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_rels/footnotes.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[2018-12-15]</w:t>
        <w:br/>
        <w:t xml:space="preserve">Lizenz: Copyright (C) 2009-2018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31"/>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2"/>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3"/>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4"/>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5"/>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6"/>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7"/>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8"/>
        <w:t>g</w:t>
      </w:r>
      <w:r>
        <w:rPr/>
        <w:t xml:space="preserve"> bei mir, Spruch </w:t>
      </w:r>
      <w:r>
        <w:rPr>
          <w:smallCaps/>
          <w:color w:val="FF0000"/>
        </w:rPr>
        <w:t>JHWH</w:t>
      </w:r>
      <w:r>
        <w:rPr/>
        <w:t>s, fürwahr!</w:t>
      </w:r>
      <w:r>
        <w:rPr>
          <w:rStyle w:val="Funotenanker"/>
        </w:rPr>
        <w:footnoteReference w:customMarkFollows="1" w:id="539"/>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40"/>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1"/>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23]]Kapitel 23</w:t>
      </w:r>
    </w:p>
    <w:p>
      <w:pPr>
        <w:pStyle w:val="Textkrper"/>
        <w:rPr/>
      </w:pPr>
      <w:r>
        <w:rPr/>
        <w:br/>
        <w:t>[[@BibleTOBIBLE:Ge 23:1]]</w:t>
      </w:r>
      <w:r>
        <w:rPr>
          <w:b/>
        </w:rPr>
        <w:t>1</w:t>
      </w:r>
      <w:r>
        <w:rPr/>
        <w:t xml:space="preserve"> {{field-on:bible}} </w:t>
      </w:r>
      <w:r>
        <w:rPr>
          <w:rStyle w:val="Funotenanker"/>
        </w:rPr>
        <w:footnoteReference w:customMarkFollows="1" w:id="542"/>
        <w:t>Status</w:t>
      </w:r>
      <w:r>
        <w:rPr/>
        <w:t xml:space="preserve"> Und es </w:t>
      </w:r>
      <w:r>
        <w:rPr>
          <w:color w:val="808080"/>
        </w:rPr>
        <w:t>(war =)</w:t>
      </w:r>
      <w:r>
        <w:rPr/>
        <w:t xml:space="preserve"> währte Saras Leben 127 Jahre; </w:t>
      </w:r>
      <w:r>
        <w:rPr>
          <w:b/>
          <w:color w:val="808080"/>
        </w:rPr>
        <w:t>[</w:t>
      </w:r>
      <w:r>
        <w:rPr/>
        <w:t>das waren</w:t>
      </w:r>
      <w:r>
        <w:rPr>
          <w:b/>
          <w:color w:val="808080"/>
        </w:rPr>
        <w:t>]</w:t>
      </w:r>
      <w:r>
        <w:rPr/>
        <w:t xml:space="preserve"> die Lebensjahre Saras.{{field-off:bible}} </w:t>
        <w:br/>
        <w:t>[[@BibleTOBIBLE:Ge 23:2]]</w:t>
      </w:r>
      <w:r>
        <w:rPr>
          <w:b/>
        </w:rPr>
        <w:t>2</w:t>
      </w:r>
      <w:r>
        <w:rPr/>
        <w:t xml:space="preserve"> {{field-on:bible}}Da starb Sara in Krijat-Arba</w:t>
      </w:r>
      <w:r>
        <w:rPr>
          <w:rStyle w:val="Funotenanker"/>
        </w:rPr>
        <w:footnoteReference w:customMarkFollows="1" w:id="543"/>
        <w:t>a</w:t>
      </w:r>
      <w:r>
        <w:rPr/>
        <w:t xml:space="preserve">, das ist Hebron im Land Kanaan. Da kam Abraham, um die Totenklage für Sara zu halten und um sie zu beweinen.{{field-off:bible}} </w:t>
        <w:br/>
        <w:t>[[@BibleTOBIBLE:Ge 23:3]]</w:t>
      </w:r>
      <w:r>
        <w:rPr>
          <w:b/>
        </w:rPr>
        <w:t>3</w:t>
      </w:r>
      <w:r>
        <w:rPr/>
        <w:t xml:space="preserve"> {{field-on:bible}}Anschließend</w:t>
      </w:r>
      <w:r>
        <w:rPr>
          <w:rStyle w:val="Funotenanker"/>
        </w:rPr>
        <w:footnoteReference w:customMarkFollows="1" w:id="544"/>
        <w:t>b</w:t>
      </w:r>
      <w:r>
        <w:rPr/>
        <w:t xml:space="preserve"> erhob sich Abraham von </w:t>
      </w:r>
      <w:r>
        <w:rPr>
          <w:strike/>
          <w:color w:val="808080"/>
        </w:rPr>
        <w:t>{vom Angesicht weg}</w:t>
      </w:r>
      <w:r>
        <w:rPr/>
        <w:t xml:space="preserve"> seiner Toten und sprach zu den </w:t>
      </w:r>
      <w:r>
        <w:rPr>
          <w:color w:val="808080"/>
        </w:rPr>
        <w:t>(Söhnen Chets =)</w:t>
      </w:r>
      <w:r>
        <w:rPr/>
        <w:t xml:space="preserve"> Hetitern </w:t>
      </w:r>
      <w:r>
        <w:rPr>
          <w:strike/>
          <w:color w:val="808080"/>
        </w:rPr>
        <w:t>{folgendermaßen}</w:t>
      </w:r>
      <w:r>
        <w:rPr/>
        <w:t xml:space="preserve">:{{field-off:bible}} </w:t>
        <w:br/>
        <w:t>[[@BibleTOBIBLE:Ge 23:4]]</w:t>
      </w:r>
      <w:r>
        <w:rPr>
          <w:b/>
        </w:rPr>
        <w:t>4</w:t>
      </w:r>
      <w:r>
        <w:rPr/>
        <w:t xml:space="preserve"> {{field-on:bible}}Ein Fremdling und Beisasse</w:t>
      </w:r>
      <w:r>
        <w:rPr>
          <w:rStyle w:val="Funotenanker"/>
        </w:rPr>
        <w:footnoteReference w:customMarkFollows="1" w:id="545"/>
        <w:t>c</w:t>
      </w:r>
      <w:r>
        <w:rPr/>
        <w:t xml:space="preserve"> bin ich bei euch. Gebt mir einen Grabbesitz</w:t>
      </w:r>
      <w:r>
        <w:rPr>
          <w:rStyle w:val="Funotenanker"/>
        </w:rPr>
        <w:footnoteReference w:customMarkFollows="1" w:id="546"/>
        <w:t>d</w:t>
      </w:r>
      <w:r>
        <w:rPr/>
        <w:t xml:space="preserve"> bei euch, damit</w:t>
      </w:r>
      <w:r>
        <w:rPr>
          <w:rStyle w:val="Funotenanker"/>
        </w:rPr>
        <w:footnoteReference w:customMarkFollows="1" w:id="547"/>
        <w:t>e</w:t>
      </w:r>
      <w:r>
        <w:rPr/>
        <w:t xml:space="preserve"> ich meine Tote </w:t>
      </w:r>
      <w:r>
        <w:rPr>
          <w:strike/>
          <w:color w:val="808080"/>
        </w:rPr>
        <w:t>{von mir weg}</w:t>
      </w:r>
      <w:r>
        <w:rPr/>
        <w:t xml:space="preserve"> begrabe.{{field-off:bible}} </w:t>
        <w:br/>
        <w:t>[[@BibleTOBIBLE:Ge 23:5]]</w:t>
      </w:r>
      <w:r>
        <w:rPr>
          <w:b/>
        </w:rPr>
        <w:t>5</w:t>
      </w:r>
      <w:r>
        <w:rPr/>
        <w:t xml:space="preserve"> {{field-on:bible}}Da antworteten die </w:t>
      </w:r>
      <w:r>
        <w:rPr>
          <w:color w:val="808080"/>
        </w:rPr>
        <w:t>(Söhne Chets =)</w:t>
      </w:r>
      <w:r>
        <w:rPr/>
        <w:t xml:space="preserve"> Hetiter Abraham </w:t>
      </w:r>
      <w:r>
        <w:rPr>
          <w:strike/>
          <w:color w:val="808080"/>
        </w:rPr>
        <w:t>{folgendermaßen}</w:t>
      </w:r>
      <w:r>
        <w:rPr/>
        <w:t xml:space="preserve"> </w:t>
      </w:r>
      <w:r>
        <w:rPr>
          <w:strike/>
          <w:color w:val="808080"/>
        </w:rPr>
        <w:t>{ihm}</w:t>
      </w:r>
      <w:r>
        <w:rPr/>
        <w:t xml:space="preserve">:{{field-off:bible}} </w:t>
        <w:br/>
        <w:t>[[@BibleTOBIBLE:Ge 23:6]]</w:t>
      </w:r>
      <w:r>
        <w:rPr>
          <w:b/>
        </w:rPr>
        <w:t>6</w:t>
      </w:r>
      <w:r>
        <w:rPr/>
        <w:t xml:space="preserve"> {{field-on:bible}}Höre </w:t>
      </w:r>
      <w:r>
        <w:rPr>
          <w:color w:val="808080"/>
        </w:rPr>
        <w:t>(auf)</w:t>
      </w:r>
      <w:r>
        <w:rPr/>
        <w:t xml:space="preserve"> uns, Herr; du </w:t>
      </w:r>
      <w:r>
        <w:rPr>
          <w:b/>
          <w:color w:val="808080"/>
        </w:rPr>
        <w:t>[</w:t>
      </w:r>
      <w:r>
        <w:rPr/>
        <w:t>bist</w:t>
      </w:r>
      <w:r>
        <w:rPr>
          <w:b/>
          <w:color w:val="808080"/>
        </w:rPr>
        <w:t>]</w:t>
      </w:r>
      <w:r>
        <w:rPr/>
        <w:t xml:space="preserve"> ein Fürst Gottes unter uns </w:t>
      </w:r>
      <w:r>
        <w:rPr>
          <w:color w:val="808080"/>
        </w:rPr>
        <w:t>(in unserer Mitte)</w:t>
      </w:r>
      <w:r>
        <w:rPr/>
        <w:t xml:space="preserve">: Im besten </w:t>
      </w:r>
      <w:r>
        <w:rPr>
          <w:color w:val="808080"/>
        </w:rPr>
        <w:t>(vornehmsten)</w:t>
      </w:r>
      <w:r>
        <w:rPr/>
        <w:t xml:space="preserve"> unserer Gräber begrabe deine Tote. </w:t>
      </w:r>
      <w:r>
        <w:rPr>
          <w:color w:val="808080"/>
        </w:rPr>
        <w:t>(Jeder von uns wird sein Grab nicht vor dir zurückhalten =)</w:t>
      </w:r>
      <w:r>
        <w:rPr/>
        <w:t xml:space="preserve"> Keiner von uns wird sein Grab vor dir zurückhalten, damit</w:t>
      </w:r>
      <w:r>
        <w:rPr>
          <w:rStyle w:val="Funotenanker"/>
        </w:rPr>
        <w:footnoteReference w:customMarkFollows="1" w:id="548"/>
        <w:t>f</w:t>
      </w:r>
      <w:r>
        <w:rPr/>
        <w:t xml:space="preserve"> du deine Tote begraben kannst.{{field-off:bible}} </w:t>
        <w:br/>
        <w:t>[[@BibleTOBIBLE:Ge 23:7]]</w:t>
      </w:r>
      <w:r>
        <w:rPr>
          <w:b/>
        </w:rPr>
        <w:t>7</w:t>
      </w:r>
      <w:r>
        <w:rPr/>
        <w:t xml:space="preserve"> {{field-on:bible}}Daraufhin</w:t>
      </w:r>
      <w:r>
        <w:rPr>
          <w:rStyle w:val="Funotenanker"/>
        </w:rPr>
        <w:footnoteReference w:customMarkFollows="1" w:id="549"/>
        <w:t>g</w:t>
      </w:r>
      <w:r>
        <w:rPr/>
        <w:t xml:space="preserve"> erhob Abraham sich und verneigte sich vor den Alteingesessenen </w:t>
      </w:r>
      <w:r>
        <w:rPr>
          <w:color w:val="808080"/>
        </w:rPr>
        <w:t>(den Landbewohnern, der Landbevölkerung)</w:t>
      </w:r>
      <w:r>
        <w:rPr/>
        <w:t xml:space="preserve"> </w:t>
      </w:r>
      <w:r>
        <w:rPr>
          <w:rStyle w:val="Funotenanker"/>
        </w:rPr>
        <w:footnoteReference w:customMarkFollows="1" w:id="550"/>
        <w:t>h</w:t>
      </w:r>
      <w:r>
        <w:rPr/>
        <w:t xml:space="preserve">, den </w:t>
      </w:r>
      <w:r>
        <w:rPr>
          <w:color w:val="808080"/>
        </w:rPr>
        <w:t>(Söhnen Chets =)</w:t>
      </w:r>
      <w:r>
        <w:rPr/>
        <w:t xml:space="preserve"> Hetitern.{{field-off:bible}} </w:t>
        <w:br/>
        <w:t>[[@BibleTOBIBLE:Ge 23:8]]</w:t>
      </w:r>
      <w:r>
        <w:rPr>
          <w:b/>
        </w:rPr>
        <w:t>8</w:t>
      </w:r>
      <w:r>
        <w:rPr/>
        <w:t xml:space="preserve"> {{field-on:bible}}Dann verhandelte </w:t>
      </w:r>
      <w:r>
        <w:rPr>
          <w:color w:val="808080"/>
        </w:rPr>
        <w:t>(sprach)</w:t>
      </w:r>
      <w:r>
        <w:rPr/>
        <w:t xml:space="preserve"> er mit ihnen </w:t>
      </w:r>
      <w:r>
        <w:rPr>
          <w:strike/>
          <w:color w:val="808080"/>
        </w:rPr>
        <w:t>{folgerndermaßen}</w:t>
      </w:r>
      <w:r>
        <w:rPr/>
        <w:t xml:space="preserve">: Wenn es in eurem Sinne ist, dass ich meine Verstorbene </w:t>
      </w:r>
      <w:r>
        <w:rPr>
          <w:strike/>
          <w:color w:val="808080"/>
        </w:rPr>
        <w:t>{von mir weg}</w:t>
      </w:r>
      <w:r>
        <w:rPr/>
        <w:t xml:space="preserve"> begrabe, dann hört mich </w:t>
      </w:r>
      <w:r>
        <w:rPr>
          <w:color w:val="808080"/>
        </w:rPr>
        <w:t>(an)</w:t>
      </w:r>
      <w:r>
        <w:rPr/>
        <w:t xml:space="preserve"> und bittet für mich </w:t>
      </w:r>
      <w:r>
        <w:rPr>
          <w:color w:val="808080"/>
        </w:rPr>
        <w:t>(legt für mich Fürsprache ein bei)</w:t>
      </w:r>
      <w:r>
        <w:rPr/>
        <w:t xml:space="preserve"> Efron, dem Sohn Zohars:{{field-off:bible}} </w:t>
        <w:br/>
        <w:t>[[@BibleTOBIBLE:Ge 23:9]]</w:t>
      </w:r>
      <w:r>
        <w:rPr>
          <w:b/>
        </w:rPr>
        <w:t>9</w:t>
      </w:r>
      <w:r>
        <w:rPr/>
        <w:t xml:space="preserve"> {{field-on:bible}}Er soll </w:t>
      </w:r>
      <w:r>
        <w:rPr>
          <w:color w:val="808080"/>
        </w:rPr>
        <w:t>(möchte)</w:t>
      </w:r>
      <w:r>
        <w:rPr/>
        <w:t xml:space="preserve"> mir geben die Höhle Machpela</w:t>
      </w:r>
      <w:r>
        <w:rPr>
          <w:rStyle w:val="Funotenanker"/>
        </w:rPr>
        <w:footnoteReference w:customMarkFollows="1" w:id="551"/>
        <w:t>i</w:t>
      </w:r>
      <w:r>
        <w:rPr/>
        <w:t xml:space="preserve">, die ihm gehört, die am Rand </w:t>
      </w:r>
      <w:r>
        <w:rPr>
          <w:color w:val="808080"/>
        </w:rPr>
        <w:t>(in der Ecke)</w:t>
      </w:r>
      <w:r>
        <w:rPr/>
        <w:t xml:space="preserve"> seines Feldes </w:t>
      </w:r>
      <w:r>
        <w:rPr>
          <w:b/>
          <w:color w:val="808080"/>
        </w:rPr>
        <w:t>[</w:t>
      </w:r>
      <w:r>
        <w:rPr/>
        <w:t>liegt</w:t>
      </w:r>
      <w:r>
        <w:rPr>
          <w:b/>
          <w:color w:val="808080"/>
        </w:rPr>
        <w:t>]</w:t>
      </w:r>
      <w:r>
        <w:rPr/>
        <w:t xml:space="preserve">, für den vollen Kaufpreis </w:t>
      </w:r>
      <w:r>
        <w:rPr>
          <w:color w:val="808080"/>
        </w:rPr>
        <w:t>(Betrag)</w:t>
      </w:r>
      <w:r>
        <w:rPr/>
        <w:t xml:space="preserve"> soll </w:t>
      </w:r>
      <w:r>
        <w:rPr>
          <w:color w:val="808080"/>
        </w:rPr>
        <w:t>(möchte)</w:t>
      </w:r>
      <w:r>
        <w:rPr/>
        <w:t xml:space="preserve"> er sie mir geben, mitten unter euch </w:t>
      </w:r>
      <w:r>
        <w:rPr>
          <w:color w:val="808080"/>
        </w:rPr>
        <w:t>(in eurer Mitte)</w:t>
      </w:r>
      <w:r>
        <w:rPr/>
        <w:t xml:space="preserve"> zum Grabbesitz</w:t>
      </w:r>
      <w:r>
        <w:rPr>
          <w:rStyle w:val="Funotenanker"/>
        </w:rPr>
        <w:footnoteReference w:customMarkFollows="1" w:id="552"/>
        <w:t>j</w:t>
      </w:r>
      <w:r>
        <w:rPr/>
        <w:t xml:space="preserve">.{{field-off:bible}} </w:t>
        <w:br/>
        <w:t>[[@BibleTOBIBLE:Ge 23:10]]</w:t>
      </w:r>
      <w:r>
        <w:rPr>
          <w:b/>
        </w:rPr>
        <w:t>10</w:t>
      </w:r>
      <w:r>
        <w:rPr/>
        <w:t xml:space="preserve"> {{field-on:bible}}Efron aber saß mitten unter den </w:t>
      </w:r>
      <w:r>
        <w:rPr>
          <w:color w:val="808080"/>
        </w:rPr>
        <w:t>(inmitten der)</w:t>
      </w:r>
      <w:r>
        <w:rPr/>
        <w:t xml:space="preserve"> </w:t>
      </w:r>
      <w:r>
        <w:rPr>
          <w:color w:val="808080"/>
        </w:rPr>
        <w:t>(Söhne Chets =)</w:t>
      </w:r>
      <w:r>
        <w:rPr/>
        <w:t xml:space="preserve"> Hetitern. Da antwortete Efron, der Hetiter, Abraham vor den Ohren der </w:t>
      </w:r>
      <w:r>
        <w:rPr>
          <w:color w:val="808080"/>
        </w:rPr>
        <w:t>(Söhne Chets =)</w:t>
      </w:r>
      <w:r>
        <w:rPr/>
        <w:t xml:space="preserve"> Hetiter, vor allen, die gekommen waren</w:t>
      </w:r>
      <w:r>
        <w:rPr>
          <w:rStyle w:val="Funotenanker"/>
        </w:rPr>
        <w:footnoteReference w:customMarkFollows="1" w:id="553"/>
        <w:t>k</w:t>
      </w:r>
      <w:r>
        <w:rPr/>
        <w:t xml:space="preserve"> zum Tor</w:t>
      </w:r>
      <w:r>
        <w:rPr>
          <w:rStyle w:val="Funotenanker"/>
        </w:rPr>
        <w:footnoteReference w:customMarkFollows="1" w:id="554"/>
        <w:t>l</w:t>
      </w:r>
      <w:r>
        <w:rPr/>
        <w:t xml:space="preserve"> seiner Stadt </w:t>
      </w:r>
      <w:r>
        <w:rPr>
          <w:strike/>
          <w:color w:val="808080"/>
        </w:rPr>
        <w:t>{folgendermaßen}</w:t>
      </w:r>
      <w:r>
        <w:rPr/>
        <w:t xml:space="preserve">:{{field-off:bible}} </w:t>
        <w:br/>
        <w:t>[[@BibleTOBIBLE:Ge 23:11]]</w:t>
      </w:r>
      <w:r>
        <w:rPr>
          <w:b/>
        </w:rPr>
        <w:t>11</w:t>
      </w:r>
      <w:r>
        <w:rPr/>
        <w:t xml:space="preserve"> {{field-on:bible}}Nein, mein Herr, höre mich </w:t>
      </w:r>
      <w:r>
        <w:rPr>
          <w:color w:val="808080"/>
        </w:rPr>
        <w:t>(an, höre mir zu)</w:t>
      </w:r>
      <w:r>
        <w:rPr/>
        <w:t xml:space="preserve">: Das Feld schenke </w:t>
      </w:r>
      <w:r>
        <w:rPr>
          <w:color w:val="808080"/>
        </w:rPr>
        <w:t>(gebe)</w:t>
      </w:r>
      <w:r>
        <w:rPr/>
        <w:t xml:space="preserve"> ich dir, und die Höhle </w:t>
      </w:r>
      <w:r>
        <w:rPr>
          <w:strike/>
          <w:color w:val="808080"/>
        </w:rPr>
        <w:t>{die}</w:t>
      </w:r>
      <w:r>
        <w:rPr/>
        <w:t xml:space="preserve"> darauf </w:t>
      </w:r>
      <w:r>
        <w:rPr>
          <w:strike/>
          <w:color w:val="808080"/>
        </w:rPr>
        <w:t>{ist}</w:t>
      </w:r>
      <w:r>
        <w:rPr/>
        <w:t xml:space="preserve">, schenke </w:t>
      </w:r>
      <w:r>
        <w:rPr>
          <w:color w:val="808080"/>
        </w:rPr>
        <w:t>(gebe)</w:t>
      </w:r>
      <w:r>
        <w:rPr/>
        <w:t xml:space="preserve"> ich dir; vor den Augen </w:t>
      </w:r>
      <w:r>
        <w:rPr>
          <w:color w:val="808080"/>
        </w:rPr>
        <w:t>(der Söhne meines Volkes =)</w:t>
      </w:r>
      <w:r>
        <w:rPr/>
        <w:t xml:space="preserve"> meiner Mitbürger </w:t>
      </w:r>
      <w:r>
        <w:rPr>
          <w:color w:val="808080"/>
        </w:rPr>
        <w:t>(Volksgenossen)</w:t>
      </w:r>
      <w:r>
        <w:rPr/>
        <w:t xml:space="preserve"> schenke </w:t>
      </w:r>
      <w:r>
        <w:rPr>
          <w:color w:val="808080"/>
        </w:rPr>
        <w:t>(gebe)</w:t>
      </w:r>
      <w:r>
        <w:rPr/>
        <w:t xml:space="preserve"> ich sie dir, um deine Verstorbene zu begraben.{{field-off:bible}} </w:t>
        <w:br/>
        <w:t>[[@BibleTOBIBLE:Ge 23:12]]</w:t>
      </w:r>
      <w:r>
        <w:rPr>
          <w:b/>
        </w:rPr>
        <w:t>12</w:t>
      </w:r>
      <w:r>
        <w:rPr/>
        <w:t xml:space="preserve"> {{field-on:bible}}Daraufhin</w:t>
      </w:r>
      <w:r>
        <w:rPr>
          <w:rStyle w:val="Funotenanker"/>
        </w:rPr>
        <w:footnoteReference w:customMarkFollows="1" w:id="555"/>
        <w:t>m</w:t>
      </w:r>
      <w:r>
        <w:rPr/>
        <w:t xml:space="preserve"> verneigte sich Abraham vor den Alteingesessenen </w:t>
      </w:r>
      <w:r>
        <w:rPr>
          <w:color w:val="808080"/>
        </w:rPr>
        <w:t>(den Landbewohnern, der Landbevölkerung)</w:t>
      </w:r>
      <w:r>
        <w:rPr/>
        <w:t xml:space="preserve">.{{field-off:bible}} </w:t>
        <w:br/>
        <w:t>[[@BibleTOBIBLE:Ge 23:13]]</w:t>
      </w:r>
      <w:r>
        <w:rPr>
          <w:b/>
        </w:rPr>
        <w:t>13</w:t>
      </w:r>
      <w:r>
        <w:rPr/>
        <w:t xml:space="preserve"> {{field-on:bible}}Dann sprach er zu Efron vor den Ohren der Alteingesessenen </w:t>
      </w:r>
      <w:r>
        <w:rPr>
          <w:color w:val="808080"/>
        </w:rPr>
        <w:t>(der Landbewohner, der Landbevölkerung)</w:t>
      </w:r>
      <w:r>
        <w:rPr/>
        <w:t xml:space="preserve"> </w:t>
      </w:r>
      <w:r>
        <w:rPr>
          <w:strike/>
          <w:color w:val="808080"/>
        </w:rPr>
        <w:t>{folgendermaßen}</w:t>
      </w:r>
      <w:r>
        <w:rPr/>
        <w:t xml:space="preserve">: Ach, wenn du doch auf mich hören wolltest! Ich zahle </w:t>
      </w:r>
      <w:r>
        <w:rPr>
          <w:color w:val="808080"/>
        </w:rPr>
        <w:t>(gebe)</w:t>
      </w:r>
      <w:r>
        <w:rPr/>
        <w:t xml:space="preserve"> den Preis des Feldes; nimm ihn von mir </w:t>
      </w:r>
      <w:r>
        <w:rPr>
          <w:b/>
          <w:color w:val="808080"/>
        </w:rPr>
        <w:t>[</w:t>
      </w:r>
      <w:r>
        <w:rPr/>
        <w:t>an</w:t>
      </w:r>
      <w:r>
        <w:rPr>
          <w:b/>
          <w:color w:val="808080"/>
        </w:rPr>
        <w:t>]</w:t>
      </w:r>
      <w:r>
        <w:rPr/>
        <w:t xml:space="preserve">, dann kann </w:t>
      </w:r>
      <w:r>
        <w:rPr>
          <w:color w:val="808080"/>
        </w:rPr>
        <w:t>(werde)</w:t>
      </w:r>
      <w:r>
        <w:rPr/>
        <w:t xml:space="preserve"> ich dort meine Tote begraben.{{field-off:bible}} </w:t>
        <w:br/>
        <w:t>[[@BibleTOBIBLE:Ge 23:14]]</w:t>
      </w:r>
      <w:r>
        <w:rPr>
          <w:b/>
        </w:rPr>
        <w:t>14</w:t>
      </w:r>
      <w:r>
        <w:rPr/>
        <w:t xml:space="preserve"> {{field-on:bible}}Daraufhin antwortete Efron Abraham </w:t>
      </w:r>
      <w:r>
        <w:rPr>
          <w:strike/>
          <w:color w:val="808080"/>
        </w:rPr>
        <w:t>{folgendermaßen}</w:t>
      </w:r>
      <w:r>
        <w:rPr/>
        <w:t xml:space="preserve"> </w:t>
      </w:r>
      <w:r>
        <w:rPr>
          <w:strike/>
          <w:color w:val="808080"/>
        </w:rPr>
        <w:t>{ihm}</w:t>
      </w:r>
      <w:r>
        <w:rPr/>
        <w:t xml:space="preserve">:{{field-off:bible}} </w:t>
        <w:br/>
        <w:t>[[@BibleTOBIBLE:Ge 23:15]]</w:t>
      </w:r>
      <w:r>
        <w:rPr>
          <w:b/>
        </w:rPr>
        <w:t>15</w:t>
      </w:r>
      <w:r>
        <w:rPr/>
        <w:t xml:space="preserve"> {{field-on:bible}}Mein Herr, höre mich </w:t>
      </w:r>
      <w:r>
        <w:rPr>
          <w:color w:val="808080"/>
        </w:rPr>
        <w:t>(an)</w:t>
      </w:r>
      <w:r>
        <w:rPr/>
        <w:t xml:space="preserve">, ein </w:t>
      </w:r>
      <w:r>
        <w:rPr>
          <w:color w:val="808080"/>
        </w:rPr>
        <w:t>(Land von 400 Silberschekeln =)</w:t>
      </w:r>
      <w:r>
        <w:rPr/>
        <w:t xml:space="preserve"> Land, das 400 Silberschekel wert ist, was ist das zwischen mir und dir? </w:t>
      </w:r>
      <w:r>
        <w:rPr>
          <w:strike/>
          <w:color w:val="808080"/>
        </w:rPr>
        <w:t>{Und}</w:t>
      </w:r>
      <w:r>
        <w:rPr/>
        <w:t xml:space="preserve"> Begrabe deine Tote!{{field-off:bible}} </w:t>
        <w:br/>
        <w:t>[[@BibleTOBIBLE:Ge 23:16]]</w:t>
      </w:r>
      <w:r>
        <w:rPr>
          <w:b/>
        </w:rPr>
        <w:t>16</w:t>
      </w:r>
      <w:r>
        <w:rPr/>
        <w:t xml:space="preserve"> {{field-on:bible}}Da hörte Abraham auf Efron, und Abraham bezahlte Efron das Geld, </w:t>
      </w:r>
      <w:r>
        <w:rPr>
          <w:color w:val="808080"/>
        </w:rPr>
        <w:t>(von dem er gesprochen =)</w:t>
      </w:r>
      <w:r>
        <w:rPr/>
        <w:t xml:space="preserve"> das er verlangt hatte vor den Ohren der </w:t>
      </w:r>
      <w:r>
        <w:rPr>
          <w:color w:val="808080"/>
        </w:rPr>
        <w:t>(Söhne Chets =)</w:t>
      </w:r>
      <w:r>
        <w:rPr/>
        <w:t xml:space="preserve"> Hetiter, 400 Silberschekel </w:t>
      </w:r>
      <w:r>
        <w:rPr>
          <w:color w:val="808080"/>
        </w:rPr>
        <w:t>(, wie sie beim Kaufmann gangbar sind =)</w:t>
      </w:r>
      <w:r>
        <w:rPr/>
        <w:t xml:space="preserve"> gangbare Münze.{{field-off:bible}} </w:t>
        <w:br/>
        <w:t>[[@BibleTOBIBLE:Ge 23:17]]</w:t>
      </w:r>
      <w:r>
        <w:rPr>
          <w:b/>
        </w:rPr>
        <w:t>17</w:t>
      </w:r>
      <w:r>
        <w:rPr/>
        <w:t xml:space="preserve"> {{field-on:bible}}So fiel </w:t>
      </w:r>
      <w:r>
        <w:rPr>
          <w:color w:val="808080"/>
        </w:rPr>
        <w:t>(ging in Besitz über)</w:t>
      </w:r>
      <w:r>
        <w:rPr/>
        <w:t xml:space="preserve"> das Feld Efrons, das in </w:t>
      </w:r>
      <w:r>
        <w:rPr>
          <w:color w:val="808080"/>
        </w:rPr>
        <w:t>(bei)</w:t>
      </w:r>
      <w:r>
        <w:rPr/>
        <w:t xml:space="preserve"> Machpela </w:t>
      </w:r>
      <w:r>
        <w:rPr>
          <w:b/>
          <w:color w:val="808080"/>
        </w:rPr>
        <w:t>[</w:t>
      </w:r>
      <w:r>
        <w:rPr/>
        <w:t>ist</w:t>
      </w:r>
      <w:r>
        <w:rPr>
          <w:b/>
          <w:color w:val="808080"/>
        </w:rPr>
        <w:t>]</w:t>
      </w:r>
      <w:r>
        <w:rPr/>
        <w:t xml:space="preserve">, das gegenüber von Mamre </w:t>
      </w:r>
      <w:r>
        <w:rPr>
          <w:b/>
          <w:color w:val="808080"/>
        </w:rPr>
        <w:t>[</w:t>
      </w:r>
      <w:r>
        <w:rPr/>
        <w:t>liegt</w:t>
      </w:r>
      <w:r>
        <w:rPr>
          <w:b/>
          <w:color w:val="808080"/>
        </w:rPr>
        <w:t>]</w:t>
      </w:r>
      <w:r>
        <w:rPr/>
        <w:t xml:space="preserve">, das Feld und die Höhle, die darauf </w:t>
      </w:r>
      <w:r>
        <w:rPr>
          <w:b/>
          <w:color w:val="808080"/>
        </w:rPr>
        <w:t>[</w:t>
      </w:r>
      <w:r>
        <w:rPr/>
        <w:t>ist</w:t>
      </w:r>
      <w:r>
        <w:rPr>
          <w:b/>
          <w:color w:val="808080"/>
        </w:rPr>
        <w:t>]</w:t>
      </w:r>
      <w:r>
        <w:rPr/>
        <w:t xml:space="preserve">, und alle Bäume, die auf dem Feld </w:t>
      </w:r>
      <w:r>
        <w:rPr>
          <w:b/>
          <w:color w:val="808080"/>
        </w:rPr>
        <w:t>[</w:t>
      </w:r>
      <w:r>
        <w:rPr/>
        <w:t>wachsen</w:t>
      </w:r>
      <w:r>
        <w:rPr>
          <w:b/>
          <w:color w:val="808080"/>
        </w:rPr>
        <w:t>]</w:t>
      </w:r>
      <w:r>
        <w:rPr/>
        <w:t xml:space="preserve">, die auf seiner ganzen Grenze </w:t>
      </w:r>
      <w:r>
        <w:rPr>
          <w:color w:val="808080"/>
        </w:rPr>
        <w:t>(seinem ganzen Gebiet)</w:t>
      </w:r>
      <w:r>
        <w:rPr/>
        <w:t xml:space="preserve"> ringsum </w:t>
      </w:r>
      <w:r>
        <w:rPr>
          <w:b/>
          <w:color w:val="808080"/>
        </w:rPr>
        <w:t>[</w:t>
      </w:r>
      <w:r>
        <w:rPr/>
        <w:t>stehen</w:t>
      </w:r>
      <w:r>
        <w:rPr>
          <w:b/>
          <w:color w:val="808080"/>
        </w:rPr>
        <w:t>]</w:t>
      </w:r>
      <w:r>
        <w:rPr/>
        <w:t xml:space="preserve">,{{field-off:bible}} </w:t>
        <w:br/>
        <w:t>[[@BibleTOBIBLE:Ge 23:18]]</w:t>
      </w:r>
      <w:r>
        <w:rPr>
          <w:b/>
        </w:rPr>
        <w:t>18</w:t>
      </w:r>
      <w:r>
        <w:rPr/>
        <w:t xml:space="preserve"> {{field-on:bible}}an Abraham als Erwerb </w:t>
      </w:r>
      <w:r>
        <w:rPr>
          <w:color w:val="808080"/>
        </w:rPr>
        <w:t>(Kauf)</w:t>
      </w:r>
      <w:r>
        <w:rPr/>
        <w:t xml:space="preserve"> vor den Augen der </w:t>
      </w:r>
      <w:r>
        <w:rPr>
          <w:color w:val="808080"/>
        </w:rPr>
        <w:t>(Söhne Chets =)</w:t>
      </w:r>
      <w:r>
        <w:rPr/>
        <w:t xml:space="preserve"> Hetiter, allen die ins Tor seiner Stadt gekommen waren.{{field-off:bible}} </w:t>
        <w:br/>
        <w:t>[[@BibleTOBIBLE:Ge 23:19]]</w:t>
      </w:r>
      <w:r>
        <w:rPr>
          <w:b/>
        </w:rPr>
        <w:t>19</w:t>
      </w:r>
      <w:r>
        <w:rPr/>
        <w:t xml:space="preserve"> {{field-on:bible}}Danach </w:t>
      </w:r>
      <w:r>
        <w:rPr>
          <w:color w:val="808080"/>
        </w:rPr>
        <w:t>(hierauf)</w:t>
      </w:r>
      <w:r>
        <w:rPr/>
        <w:t xml:space="preserve"> begrub Abraham Sara, seine Frau, in der Höhle </w:t>
      </w:r>
      <w:r>
        <w:rPr>
          <w:b/>
          <w:color w:val="808080"/>
        </w:rPr>
        <w:t>[</w:t>
      </w:r>
      <w:r>
        <w:rPr/>
        <w:t>auf dem</w:t>
      </w:r>
      <w:r>
        <w:rPr>
          <w:b/>
          <w:color w:val="808080"/>
        </w:rPr>
        <w:t>]</w:t>
      </w:r>
      <w:r>
        <w:rPr/>
        <w:t xml:space="preserve"> Acker Machpela, das vor Mamre </w:t>
      </w:r>
      <w:r>
        <w:rPr>
          <w:b/>
          <w:color w:val="808080"/>
        </w:rPr>
        <w:t>[</w:t>
      </w:r>
      <w:r>
        <w:rPr/>
        <w:t>liegt</w:t>
      </w:r>
      <w:r>
        <w:rPr>
          <w:b/>
          <w:color w:val="808080"/>
        </w:rPr>
        <w:t>]</w:t>
      </w:r>
      <w:r>
        <w:rPr/>
        <w:t xml:space="preserve">, das ist Hebron, im Land Kanaan.{{field-off:bible}} </w:t>
        <w:br/>
        <w:t>[[@BibleTOBIBLE:Ge 23:20]]</w:t>
      </w:r>
      <w:r>
        <w:rPr>
          <w:b/>
        </w:rPr>
        <w:t>20</w:t>
      </w:r>
      <w:r>
        <w:rPr/>
        <w:t xml:space="preserve"> {{field-on:bible}}So fielen </w:t>
      </w:r>
      <w:r>
        <w:rPr>
          <w:color w:val="808080"/>
        </w:rPr>
        <w:t>(gingen in Besitz über)</w:t>
      </w:r>
      <w:r>
        <w:rPr/>
        <w:t xml:space="preserve"> das Feld und die Höhle auf ihm an Abraham, zum </w:t>
      </w:r>
      <w:r>
        <w:rPr>
          <w:color w:val="808080"/>
        </w:rPr>
        <w:t>(als)</w:t>
      </w:r>
      <w:r>
        <w:rPr/>
        <w:t xml:space="preserve"> Grabbesitz von den </w:t>
      </w:r>
      <w:r>
        <w:rPr>
          <w:color w:val="808080"/>
        </w:rPr>
        <w:t>(Söhnen Chets =)</w:t>
      </w:r>
      <w:r>
        <w:rPr/>
        <w:t xml:space="preserve"> Hetitern.{{field-off:bible}} </w:t>
      </w:r>
    </w:p>
    <w:p>
      <w:pPr>
        <w:pStyle w:val="Berschrift3"/>
        <w:rPr/>
      </w:pPr>
      <w:r>
        <w:rPr/>
        <w:t>[[@BibleTOBIBLE:Ge 24]]Kapitel 24</w:t>
      </w:r>
    </w:p>
    <w:p>
      <w:pPr>
        <w:pStyle w:val="Textkrper"/>
        <w:rPr/>
      </w:pPr>
      <w:r>
        <w:rPr/>
        <w:br/>
        <w:t>[[@BibleTOBIBLE:Ge 24:1]]</w:t>
      </w:r>
      <w:r>
        <w:rPr>
          <w:b/>
        </w:rPr>
        <w:t>1</w:t>
      </w:r>
      <w:r>
        <w:rPr/>
        <w:t xml:space="preserve"> {{field-on:bible}} </w:t>
      </w:r>
      <w:r>
        <w:rPr>
          <w:rStyle w:val="Funotenanker"/>
        </w:rPr>
        <w:footnoteReference w:customMarkFollows="1" w:id="556"/>
        <w:t>Status</w:t>
      </w:r>
      <w:r>
        <w:rPr/>
        <w:t xml:space="preserve"> </w:t>
      </w:r>
      <w:r>
        <w:rPr>
          <w:strike/>
          <w:color w:val="808080"/>
        </w:rPr>
        <w:t>{Und}</w:t>
      </w:r>
      <w:r>
        <w:rPr/>
        <w:t xml:space="preserve"> Abraham </w:t>
      </w:r>
      <w:r>
        <w:rPr>
          <w:b/>
          <w:color w:val="808080"/>
        </w:rPr>
        <w:t>[</w:t>
      </w:r>
      <w:r>
        <w:rPr/>
        <w:t>war</w:t>
      </w:r>
      <w:r>
        <w:rPr>
          <w:b/>
          <w:color w:val="808080"/>
        </w:rPr>
        <w:t>]</w:t>
      </w:r>
      <w:r>
        <w:rPr/>
        <w:t xml:space="preserve"> alt, hochbetagt. Und </w:t>
      </w:r>
      <w:r>
        <w:rPr>
          <w:smallCaps/>
          <w:color w:val="FF0000"/>
        </w:rPr>
        <w:t>JHWH</w:t>
      </w:r>
      <w:r>
        <w:rPr/>
        <w:t xml:space="preserve"> hatte Abraham in allem gesegnet.{{field-off:bible}} </w:t>
        <w:br/>
        <w:t>[[@BibleTOBIBLE:Ge 24:2]]</w:t>
      </w:r>
      <w:r>
        <w:rPr>
          <w:b/>
        </w:rPr>
        <w:t>2</w:t>
      </w:r>
      <w:r>
        <w:rPr/>
        <w:t xml:space="preserve"> {{field-on:bible}}Da sprach Abraham zu seinem Knecht </w:t>
      </w:r>
      <w:r>
        <w:rPr>
          <w:color w:val="808080"/>
        </w:rPr>
        <w:t>(Diener)</w:t>
      </w:r>
      <w:r>
        <w:rPr/>
        <w:t>, dem Hausältesten, der herrschte über alles, was ihm gehörte: Lege deine Hand unter meine Hüfte</w:t>
      </w:r>
      <w:r>
        <w:rPr>
          <w:rStyle w:val="Funotenanker"/>
        </w:rPr>
        <w:footnoteReference w:customMarkFollows="1" w:id="557"/>
        <w:t>a</w:t>
      </w:r>
      <w:r>
        <w:rPr/>
        <w:t xml:space="preserve">,{{field-off:bible}} </w:t>
        <w:br/>
        <w:t>[[@BibleTOBIBLE:Ge 24:3]]</w:t>
      </w:r>
      <w:r>
        <w:rPr>
          <w:b/>
        </w:rPr>
        <w:t>3</w:t>
      </w:r>
      <w:r>
        <w:rPr/>
        <w:t xml:space="preserve"> {{field-on:bible}}damit</w:t>
      </w:r>
      <w:r>
        <w:rPr>
          <w:rStyle w:val="Funotenanker"/>
        </w:rPr>
        <w:footnoteReference w:customMarkFollows="1" w:id="558"/>
        <w:t>b</w:t>
      </w:r>
      <w:r>
        <w:rPr/>
        <w:t xml:space="preserve"> ich dich schwören lasse bei </w:t>
      </w:r>
      <w:r>
        <w:rPr>
          <w:smallCaps/>
          <w:color w:val="FF0000"/>
        </w:rPr>
        <w:t>JHWH</w:t>
      </w:r>
      <w:r>
        <w:rPr/>
        <w:t xml:space="preserve">, dem Gott des Himmels und dem Gott der Erde, dass du nicht nehmen wirst eine Frau für meinen Sohn von den Töchtern der Kanaanäer, in deren Mitte ich wohne.{{field-off:bible}} </w:t>
        <w:br/>
        <w:t>[[@BibleTOBIBLE:Ge 24:4]]</w:t>
      </w:r>
      <w:r>
        <w:rPr>
          <w:b/>
        </w:rPr>
        <w:t>4</w:t>
      </w:r>
      <w:r>
        <w:rPr/>
        <w:t xml:space="preserve"> {{field-on:bible}}Sondern in mein Land und zu meiner Verwandtschaft sollst du ziehen </w:t>
      </w:r>
      <w:r>
        <w:rPr>
          <w:color w:val="808080"/>
        </w:rPr>
        <w:t>(gehen)</w:t>
      </w:r>
      <w:r>
        <w:rPr/>
        <w:t xml:space="preserve"> und eine Frau für meinen Sohn Isaak nehmen </w:t>
      </w:r>
      <w:r>
        <w:rPr>
          <w:color w:val="808080"/>
        </w:rPr>
        <w:t>(holen)</w:t>
      </w:r>
      <w:r>
        <w:rPr/>
        <w:t xml:space="preserve">.{{field-off:bible}} </w:t>
        <w:br/>
        <w:t>[[@BibleTOBIBLE:Ge 24:5]]</w:t>
      </w:r>
      <w:r>
        <w:rPr>
          <w:b/>
        </w:rPr>
        <w:t>5</w:t>
      </w:r>
      <w:r>
        <w:rPr/>
        <w:t xml:space="preserve"> {{field-on:bible}}Da sprach der Knecht </w:t>
      </w:r>
      <w:r>
        <w:rPr>
          <w:color w:val="808080"/>
        </w:rPr>
        <w:t>(Diener)</w:t>
      </w:r>
      <w:r>
        <w:rPr/>
        <w:t xml:space="preserve"> zu ihm: Vielleicht will die Frau nicht mit mir in dieses Land gehen</w:t>
      </w:r>
      <w:r>
        <w:rPr>
          <w:rStyle w:val="Funotenanker"/>
        </w:rPr>
        <w:footnoteReference w:customMarkFollows="1" w:id="559"/>
        <w:t>c</w:t>
      </w:r>
      <w:r>
        <w:rPr/>
        <w:t>. MUSS</w:t>
      </w:r>
      <w:r>
        <w:rPr>
          <w:rStyle w:val="Funotenanker"/>
        </w:rPr>
        <w:footnoteReference w:customMarkFollows="1" w:id="560"/>
        <w:t>d</w:t>
      </w:r>
      <w:r>
        <w:rPr/>
        <w:t xml:space="preserve"> ich dann deinen Sohn in das Land bringen, aus </w:t>
      </w:r>
      <w:r>
        <w:rPr>
          <w:color w:val="808080"/>
        </w:rPr>
        <w:t>(von)</w:t>
      </w:r>
      <w:r>
        <w:rPr/>
        <w:t xml:space="preserve"> dem du ausgezogen bist?{{field-off:bible}} </w:t>
        <w:br/>
        <w:t>[[@BibleTOBIBLE:Ge 24:6]]</w:t>
      </w:r>
      <w:r>
        <w:rPr>
          <w:b/>
        </w:rPr>
        <w:t>6</w:t>
      </w:r>
      <w:r>
        <w:rPr/>
        <w:t xml:space="preserve"> {{field-on:bible}}Da sprach zu ihm Abraham: Hüte dich, dass du nicht meinen Sohn dorthin zurückbringst!{{field-off:bible}} </w:t>
        <w:br/>
        <w:t>[[@BibleTOBIBLE:Ge 24:7]]</w:t>
      </w:r>
      <w:r>
        <w:rPr>
          <w:b/>
        </w:rPr>
        <w:t>7</w:t>
      </w:r>
      <w:r>
        <w:rPr/>
        <w:t xml:space="preserve"> {{field-on:bible}} </w:t>
      </w:r>
      <w:r>
        <w:rPr>
          <w:smallCaps/>
          <w:color w:val="FF0000"/>
        </w:rPr>
        <w:t>JHWH</w:t>
      </w:r>
      <w:r>
        <w:rPr/>
        <w:t xml:space="preserve">, Gott des Himmels, der mich nahm aus dem Haus meines Vaters und aus dem Land meiner Verwandtschaft, der zu mir sprach und der mir schwor </w:t>
      </w:r>
      <w:r>
        <w:rPr>
          <w:strike/>
          <w:color w:val="808080"/>
        </w:rPr>
        <w:t>{folgendermaßen}</w:t>
      </w:r>
      <w:r>
        <w:rPr/>
        <w:t xml:space="preserve">: Deiner Nachkommenschaft </w:t>
      </w:r>
      <w:r>
        <w:rPr>
          <w:color w:val="808080"/>
        </w:rPr>
        <w:t>(deinem Samen)</w:t>
      </w:r>
      <w:r>
        <w:rPr/>
        <w:t xml:space="preserve"> werde ich dieses Land geben, er wird seinen Boten </w:t>
      </w:r>
      <w:r>
        <w:rPr>
          <w:color w:val="808080"/>
        </w:rPr>
        <w:t>(Engel)</w:t>
      </w:r>
      <w:r>
        <w:rPr/>
        <w:t xml:space="preserve"> vor dir her senden, damit</w:t>
      </w:r>
      <w:r>
        <w:rPr>
          <w:rStyle w:val="Funotenanker"/>
        </w:rPr>
        <w:footnoteReference w:customMarkFollows="1" w:id="561"/>
        <w:t>e</w:t>
      </w:r>
      <w:r>
        <w:rPr/>
        <w:t xml:space="preserve"> du meinem Sohn eine Frau von dort nehmen kannst.{{field-off:bible}} </w:t>
        <w:br/>
        <w:t>[[@BibleTOBIBLE:Ge 24:8]]</w:t>
      </w:r>
      <w:r>
        <w:rPr>
          <w:b/>
        </w:rPr>
        <w:t>8</w:t>
      </w:r>
      <w:r>
        <w:rPr/>
        <w:t xml:space="preserve"> {{field-on:bible}}Wenn aber die Frau nicht mit dir kommen will, dann bist du ledig</w:t>
      </w:r>
      <w:r>
        <w:rPr>
          <w:rStyle w:val="Funotenanker"/>
        </w:rPr>
        <w:footnoteReference w:customMarkFollows="1" w:id="562"/>
        <w:t>f</w:t>
      </w:r>
      <w:r>
        <w:rPr/>
        <w:t xml:space="preserve"> dieses Eides, </w:t>
      </w:r>
      <w:r>
        <w:rPr>
          <w:b/>
          <w:color w:val="808080"/>
        </w:rPr>
        <w:t>[</w:t>
      </w:r>
      <w:r>
        <w:rPr/>
        <w:t>den du mir geschworen hast</w:t>
      </w:r>
      <w:r>
        <w:rPr>
          <w:b/>
          <w:color w:val="808080"/>
        </w:rPr>
        <w:t>]</w:t>
      </w:r>
      <w:r>
        <w:rPr/>
        <w:t xml:space="preserve"> </w:t>
      </w:r>
      <w:r>
        <w:rPr>
          <w:rStyle w:val="Funotenanker"/>
        </w:rPr>
        <w:footnoteReference w:customMarkFollows="1" w:id="563"/>
        <w:t>g</w:t>
      </w:r>
      <w:r>
        <w:rPr/>
        <w:t xml:space="preserve">. Nur bringe meinen Sohn nicht dorthin zurück.{{field-off:bible}} </w:t>
        <w:br/>
        <w:t>[[@BibleTOBIBLE:Ge 24:9]]</w:t>
      </w:r>
      <w:r>
        <w:rPr>
          <w:b/>
        </w:rPr>
        <w:t>9</w:t>
      </w:r>
      <w:r>
        <w:rPr/>
        <w:t xml:space="preserve"> {{field-on:bible}}Da legte der Knecht </w:t>
      </w:r>
      <w:r>
        <w:rPr>
          <w:color w:val="808080"/>
        </w:rPr>
        <w:t>(Diener)</w:t>
      </w:r>
      <w:r>
        <w:rPr/>
        <w:t xml:space="preserve"> seine Hand unter die Hüfte Abrahams, seines Herrn, und schwor ihm auf dieses Wort.{{field-off:bible}} </w:t>
        <w:br/>
        <w:t>[[@BibleTOBIBLE:Ge 24:10]]</w:t>
      </w:r>
      <w:r>
        <w:rPr>
          <w:b/>
        </w:rPr>
        <w:t>10</w:t>
      </w:r>
      <w:r>
        <w:rPr/>
        <w:t xml:space="preserve"> {{field-on:bible}}Dann nahm der Knecht </w:t>
      </w:r>
      <w:r>
        <w:rPr>
          <w:color w:val="808080"/>
        </w:rPr>
        <w:t>(Diener)</w:t>
      </w:r>
      <w:r>
        <w:rPr/>
        <w:t xml:space="preserve"> zehn Kamele von den Kamelen seines Herrn und zog los </w:t>
      </w:r>
      <w:r>
        <w:rPr>
          <w:color w:val="808080"/>
        </w:rPr>
        <w:t>(ging hin)</w:t>
      </w:r>
      <w:r>
        <w:rPr/>
        <w:t xml:space="preserve">, und verfügte </w:t>
      </w:r>
      <w:r>
        <w:rPr>
          <w:rStyle w:val="Funotenanker"/>
        </w:rPr>
        <w:footnoteReference w:customMarkFollows="1" w:id="564"/>
        <w:t>h</w:t>
      </w:r>
      <w:r>
        <w:rPr/>
        <w:t xml:space="preserve"> über allerhand </w:t>
      </w:r>
      <w:r>
        <w:rPr>
          <w:color w:val="808080"/>
        </w:rPr>
        <w:t>(allerlei)</w:t>
      </w:r>
      <w:r>
        <w:rPr/>
        <w:t xml:space="preserve"> Güter </w:t>
      </w:r>
      <w:r>
        <w:rPr>
          <w:color w:val="808080"/>
        </w:rPr>
        <w:t>(Kostbarkeiten)</w:t>
      </w:r>
      <w:r>
        <w:rPr/>
        <w:t xml:space="preserve"> seines Herrn. Er machte sich also</w:t>
      </w:r>
      <w:r>
        <w:rPr>
          <w:rStyle w:val="Funotenanker"/>
        </w:rPr>
        <w:footnoteReference w:customMarkFollows="1" w:id="565"/>
        <w:t>i</w:t>
      </w:r>
      <w:r>
        <w:rPr/>
        <w:t xml:space="preserve"> auf und zog </w:t>
      </w:r>
      <w:r>
        <w:rPr>
          <w:color w:val="808080"/>
        </w:rPr>
        <w:t>(ging)</w:t>
      </w:r>
      <w:r>
        <w:rPr/>
        <w:t xml:space="preserve"> nach Aram Naharaim</w:t>
      </w:r>
      <w:r>
        <w:rPr>
          <w:rStyle w:val="Funotenanker"/>
        </w:rPr>
        <w:footnoteReference w:customMarkFollows="1" w:id="566"/>
        <w:t>j</w:t>
      </w:r>
      <w:r>
        <w:rPr/>
        <w:t xml:space="preserve"> zur Stadt Nahors.{{field-off:bible}} </w:t>
        <w:br/>
        <w:t>[[@BibleTOBIBLE:Ge 24:11]]</w:t>
      </w:r>
      <w:r>
        <w:rPr>
          <w:b/>
        </w:rPr>
        <w:t>11</w:t>
      </w:r>
      <w:r>
        <w:rPr/>
        <w:t xml:space="preserve"> {{field-on:bible}}Da ließ er die Kamele knien außerhalb der Stadt an einem Wasserbrunnen zur Abendzeit, zur Zeit, wo die Frauen zum Schöpfen </w:t>
      </w:r>
      <w:r>
        <w:rPr>
          <w:color w:val="808080"/>
        </w:rPr>
        <w:t>(die Schöpferinnen)</w:t>
      </w:r>
      <w:r>
        <w:rPr/>
        <w:t xml:space="preserve"> hinausgehen.{{field-off:bible}} </w:t>
        <w:br/>
        <w:t>[[@BibleTOBIBLE:Ge 24:12]]</w:t>
      </w:r>
      <w:r>
        <w:rPr>
          <w:b/>
        </w:rPr>
        <w:t>12</w:t>
      </w:r>
      <w:r>
        <w:rPr/>
        <w:t xml:space="preserve"> {{field-on:bible}}Und er sprach: </w:t>
      </w:r>
      <w:r>
        <w:rPr>
          <w:smallCaps/>
          <w:color w:val="FF0000"/>
        </w:rPr>
        <w:t>JHWH</w:t>
      </w:r>
      <w:r>
        <w:rPr/>
        <w:t xml:space="preserve">, Gott meines Herrn Abraham, füge es bitte heute für mich und erweise Gnade </w:t>
      </w:r>
      <w:r>
        <w:rPr>
          <w:color w:val="808080"/>
        </w:rPr>
        <w:t>(Huld)</w:t>
      </w:r>
      <w:r>
        <w:rPr/>
        <w:t xml:space="preserve"> </w:t>
      </w:r>
      <w:r>
        <w:rPr>
          <w:strike/>
          <w:color w:val="808080"/>
        </w:rPr>
        <w:t>{mit}</w:t>
      </w:r>
      <w:r>
        <w:rPr/>
        <w:t xml:space="preserve"> meinem Herrn Abraham.{{field-off:bible}} </w:t>
        <w:br/>
        <w:t>[[@BibleTOBIBLE:Ge 24:13]]</w:t>
      </w:r>
      <w:r>
        <w:rPr>
          <w:b/>
        </w:rPr>
        <w:t>13</w:t>
      </w:r>
      <w:r>
        <w:rPr/>
        <w:t xml:space="preserve"> {{field-on:bible}}Sieh, ich will mich an die Wasserquelle stellen, wenn</w:t>
      </w:r>
      <w:r>
        <w:rPr>
          <w:rStyle w:val="Funotenanker"/>
        </w:rPr>
        <w:footnoteReference w:customMarkFollows="1" w:id="567"/>
        <w:t>k</w:t>
      </w:r>
      <w:r>
        <w:rPr/>
        <w:t xml:space="preserve"> die Töchter der Stadtbewohner herauskommen, um Wasser zu schöpfen.{{field-off:bible}} </w:t>
        <w:br/>
        <w:t>[[@BibleTOBIBLE:Ge 24:14]]</w:t>
      </w:r>
      <w:r>
        <w:rPr>
          <w:b/>
        </w:rPr>
        <w:t>14</w:t>
      </w:r>
      <w:r>
        <w:rPr/>
        <w:t xml:space="preserve"> {{field-on:bible}}Sollte</w:t>
      </w:r>
      <w:r>
        <w:rPr>
          <w:rStyle w:val="Funotenanker"/>
        </w:rPr>
        <w:footnoteReference w:customMarkFollows="1" w:id="568"/>
        <w:t>l</w:t>
      </w:r>
      <w:r>
        <w:rPr/>
        <w:t xml:space="preserve"> ein Mädchen, zu dem ich sage: Neige doch deinen Krug, damit</w:t>
      </w:r>
      <w:r>
        <w:rPr>
          <w:rStyle w:val="Funotenanker"/>
        </w:rPr>
        <w:footnoteReference w:customMarkFollows="1" w:id="569"/>
        <w:t>m</w:t>
      </w:r>
      <w:r>
        <w:rPr/>
        <w:t xml:space="preserve"> ich trinken kann, antworten</w:t>
      </w:r>
      <w:r>
        <w:rPr>
          <w:rStyle w:val="Funotenanker"/>
        </w:rPr>
        <w:footnoteReference w:customMarkFollows="1" w:id="570"/>
        <w:t>n</w:t>
      </w:r>
      <w:r>
        <w:rPr/>
        <w:t xml:space="preserve">: Trink! Und auch deine Kamele will </w:t>
      </w:r>
      <w:r>
        <w:rPr>
          <w:color w:val="808080"/>
        </w:rPr>
        <w:t>(werde)</w:t>
      </w:r>
      <w:r>
        <w:rPr/>
        <w:t xml:space="preserve"> ich tränken: Die hast du bestimmt für deinen Knecht, für Isaak, und durch sie </w:t>
      </w:r>
      <w:r>
        <w:rPr>
          <w:color w:val="808080"/>
        </w:rPr>
        <w:t>(daran)</w:t>
      </w:r>
      <w:r>
        <w:rPr/>
        <w:t xml:space="preserve"> werde </w:t>
      </w:r>
      <w:r>
        <w:rPr>
          <w:color w:val="808080"/>
        </w:rPr>
        <w:t>(will)</w:t>
      </w:r>
      <w:r>
        <w:rPr/>
        <w:t xml:space="preserve"> ich erkennen, dass du </w:t>
      </w:r>
      <w:r>
        <w:rPr>
          <w:strike/>
          <w:color w:val="808080"/>
        </w:rPr>
        <w:t>{mit}</w:t>
      </w:r>
      <w:r>
        <w:rPr/>
        <w:t xml:space="preserve"> meinem Herrn Gnade erwiesen hast </w:t>
      </w:r>
      <w:r>
        <w:rPr>
          <w:color w:val="808080"/>
        </w:rPr>
        <w:t>(gnädig bist)</w:t>
      </w:r>
      <w:r>
        <w:rPr/>
        <w:t xml:space="preserve">.{{field-off:bible}} </w:t>
        <w:br/>
        <w:t>[[@BibleTOBIBLE:Ge 24:15]]</w:t>
      </w:r>
      <w:r>
        <w:rPr>
          <w:b/>
        </w:rPr>
        <w:t>15</w:t>
      </w:r>
      <w:r>
        <w:rPr/>
        <w:t xml:space="preserve"> {{field-on:bible}}Und es geschah, er hatte noch nicht zuende geredet</w:t>
      </w:r>
      <w:r>
        <w:rPr>
          <w:rStyle w:val="Funotenanker"/>
        </w:rPr>
        <w:footnoteReference w:customMarkFollows="1" w:id="571"/>
        <w:t>o</w:t>
      </w:r>
      <w:r>
        <w:rPr/>
        <w:t>, sieh!, Rebekka kommt heraus</w:t>
      </w:r>
      <w:r>
        <w:rPr>
          <w:rStyle w:val="Funotenanker"/>
        </w:rPr>
        <w:footnoteReference w:customMarkFollows="1" w:id="572"/>
        <w:t>p</w:t>
      </w:r>
      <w:r>
        <w:rPr/>
        <w:t xml:space="preserve">, die geboren wurde dem Betuel, dem Sohn Milkas, der Frau Nahors, des Bruders Abrahams, </w:t>
      </w:r>
      <w:r>
        <w:rPr>
          <w:color w:val="808080"/>
        </w:rPr>
        <w:t>(und ein Krug auf ihrer Schulter =)</w:t>
      </w:r>
      <w:r>
        <w:rPr/>
        <w:t xml:space="preserve"> mit einem Krug auf der Schulter.{{field-off:bible}} </w:t>
        <w:br/>
        <w:t>[[@BibleTOBIBLE:Ge 24:16]]</w:t>
      </w:r>
      <w:r>
        <w:rPr>
          <w:b/>
        </w:rPr>
        <w:t>16</w:t>
      </w:r>
      <w:r>
        <w:rPr/>
        <w:t xml:space="preserve"> {{field-on:bible}}Und das Mädchen war sehr schön anzusehen, eine Jungfrau, und ein Mann hatte sie noch nicht erkannt</w:t>
      </w:r>
      <w:r>
        <w:rPr>
          <w:rStyle w:val="Funotenanker"/>
        </w:rPr>
        <w:footnoteReference w:customMarkFollows="1" w:id="573"/>
        <w:t>q</w:t>
      </w:r>
      <w:r>
        <w:rPr/>
        <w:t>, die stieg hinab</w:t>
      </w:r>
      <w:r>
        <w:rPr>
          <w:rStyle w:val="Funotenanker"/>
        </w:rPr>
        <w:footnoteReference w:customMarkFollows="1" w:id="574"/>
        <w:t>r</w:t>
      </w:r>
      <w:r>
        <w:rPr/>
        <w:t xml:space="preserve"> zur Quelle, füllte ihren Krug und stieg </w:t>
      </w:r>
      <w:r>
        <w:rPr>
          <w:b/>
          <w:color w:val="808080"/>
        </w:rPr>
        <w:t>[</w:t>
      </w:r>
      <w:r>
        <w:rPr/>
        <w:t>wieder</w:t>
      </w:r>
      <w:r>
        <w:rPr>
          <w:b/>
          <w:color w:val="808080"/>
        </w:rPr>
        <w:t>]</w:t>
      </w:r>
      <w:r>
        <w:rPr/>
        <w:t xml:space="preserve"> hinauf.{{field-off:bible}} </w:t>
        <w:br/>
        <w:t>[[@BibleTOBIBLE:Ge 24:17]]</w:t>
      </w:r>
      <w:r>
        <w:rPr>
          <w:b/>
        </w:rPr>
        <w:t>17</w:t>
      </w:r>
      <w:r>
        <w:rPr/>
        <w:t xml:space="preserve"> {{field-on:bible}}Da lief </w:t>
      </w:r>
      <w:r>
        <w:rPr>
          <w:color w:val="808080"/>
        </w:rPr>
        <w:t>(eilte)</w:t>
      </w:r>
      <w:r>
        <w:rPr/>
        <w:t xml:space="preserve"> der Knecht </w:t>
      </w:r>
      <w:r>
        <w:rPr>
          <w:color w:val="808080"/>
        </w:rPr>
        <w:t>(Diener)</w:t>
      </w:r>
      <w:r>
        <w:rPr/>
        <w:t xml:space="preserve"> ihr entgegen und bat </w:t>
      </w:r>
      <w:r>
        <w:rPr>
          <w:color w:val="808080"/>
        </w:rPr>
        <w:t>(sprach)</w:t>
      </w:r>
      <w:r>
        <w:rPr/>
        <w:t xml:space="preserve">: Lass mich bitte ein wenig Wasser aus deinem Krug schlürfen.{{field-off:bible}} </w:t>
        <w:br/>
        <w:t>[[@BibleTOBIBLE:Ge 24:18]]</w:t>
      </w:r>
      <w:r>
        <w:rPr>
          <w:b/>
        </w:rPr>
        <w:t>18</w:t>
      </w:r>
      <w:r>
        <w:rPr/>
        <w:t xml:space="preserve"> {{field-on:bible}}Da sprach sie: Trink, mein Herr. Sie nahm schnell den Krug herunter auf ihre Hand und ließ ihn trinken.{{field-off:bible}} </w:t>
        <w:br/>
        <w:t>[[@BibleTOBIBLE:Ge 24:19]]</w:t>
      </w:r>
      <w:r>
        <w:rPr>
          <w:b/>
        </w:rPr>
        <w:t>19</w:t>
      </w:r>
      <w:r>
        <w:rPr/>
        <w:t xml:space="preserve"> {{field-on:bible}}Nachdem</w:t>
      </w:r>
      <w:r>
        <w:rPr>
          <w:rStyle w:val="Funotenanker"/>
        </w:rPr>
        <w:footnoteReference w:customMarkFollows="1" w:id="575"/>
        <w:t>s</w:t>
      </w:r>
      <w:r>
        <w:rPr/>
        <w:t xml:space="preserve"> sie ihm genug zu trinken gegeben hatte, sagte sie: Auch deinen Kamelen will ich schöpfen, bis sie sich satt getrunken haben</w:t>
      </w:r>
      <w:r>
        <w:rPr>
          <w:rStyle w:val="Funotenanker"/>
        </w:rPr>
        <w:footnoteReference w:customMarkFollows="1" w:id="576"/>
        <w:t>t</w:t>
      </w:r>
      <w:r>
        <w:rPr/>
        <w:t xml:space="preserve">.{{field-off:bible}} </w:t>
        <w:br/>
        <w:t>[[@BibleTOBIBLE:Ge 24:20]]</w:t>
      </w:r>
      <w:r>
        <w:rPr>
          <w:b/>
        </w:rPr>
        <w:t>20</w:t>
      </w:r>
      <w:r>
        <w:rPr/>
        <w:t xml:space="preserve"> {{field-on:bible}}Da goß sie schnell ihren Krug in die Tränke und lief noch einmal zum Brunnen, um zu schöpfen, und schöpfte für alle seine Kamele.{{field-off:bible}} </w:t>
        <w:br/>
        <w:t>[[@BibleTOBIBLE:Ge 24:21]]</w:t>
      </w:r>
      <w:r>
        <w:rPr>
          <w:b/>
        </w:rPr>
        <w:t>21</w:t>
      </w:r>
      <w:r>
        <w:rPr/>
        <w:t xml:space="preserve"> {{field-on:bible}}Der Mann aber schaute ihr zu, schweigend, um zu erkennen, ob </w:t>
      </w:r>
      <w:r>
        <w:rPr>
          <w:smallCaps/>
          <w:color w:val="FF0000"/>
        </w:rPr>
        <w:t>JHWH</w:t>
      </w:r>
      <w:r>
        <w:rPr/>
        <w:t xml:space="preserve"> seinen Plan </w:t>
      </w:r>
      <w:r>
        <w:rPr>
          <w:color w:val="808080"/>
        </w:rPr>
        <w:t>(Weg, Reise)</w:t>
      </w:r>
      <w:r>
        <w:rPr/>
        <w:t xml:space="preserve"> gelingen ließ oder nicht.{{field-off:bible}} </w:t>
        <w:br/>
        <w:t>[[@BibleTOBIBLE:Ge 24:22]]</w:t>
      </w:r>
      <w:r>
        <w:rPr>
          <w:b/>
        </w:rPr>
        <w:t>22</w:t>
      </w:r>
      <w:r>
        <w:rPr/>
        <w:t xml:space="preserve"> {{field-on:bible}}Als sich aber die Kamele satt getrunken hatten</w:t>
      </w:r>
      <w:r>
        <w:rPr>
          <w:rStyle w:val="Funotenanker"/>
        </w:rPr>
        <w:footnoteReference w:customMarkFollows="1" w:id="577"/>
        <w:t>u</w:t>
      </w:r>
      <w:r>
        <w:rPr/>
        <w:t xml:space="preserve">, da nahm der Mann einen goldenen </w:t>
      </w:r>
      <w:r>
        <w:rPr>
          <w:b/>
          <w:color w:val="808080"/>
        </w:rPr>
        <w:t>[</w:t>
      </w:r>
      <w:r>
        <w:rPr/>
        <w:t>Nasen-</w:t>
      </w:r>
      <w:r>
        <w:rPr>
          <w:b/>
          <w:color w:val="808080"/>
        </w:rPr>
        <w:t>]</w:t>
      </w:r>
      <w:r>
        <w:rPr/>
        <w:t xml:space="preserve">Ring, einen Halbschekel schwer, und zwei Armspangen für ihre Hand, zehn Goldschekel schwer,{{field-off:bible}} </w:t>
        <w:br/>
        <w:t>[[@BibleTOBIBLE:Ge 24:23]]</w:t>
      </w:r>
      <w:r>
        <w:rPr>
          <w:b/>
        </w:rPr>
        <w:t>23</w:t>
      </w:r>
      <w:r>
        <w:rPr/>
        <w:t xml:space="preserve"> {{field-on:bible}}und sprach: Wessen Tochter bist du? Sag mir bitte, gibt es für uns Platz im Haus deines Vaters zum Übernachten?{{field-off:bible}} </w:t>
        <w:br/>
        <w:t>[[@BibleTOBIBLE:Ge 24:24]]</w:t>
      </w:r>
      <w:r>
        <w:rPr>
          <w:b/>
        </w:rPr>
        <w:t>24</w:t>
      </w:r>
      <w:r>
        <w:rPr/>
        <w:t xml:space="preserve"> {{field-on:bible}}Da sprach sie zu ihm: Ich bin die Tochter Betuels, der Sohn Milkas, den sie dem Nahor gebar.{{field-off:bible}} </w:t>
        <w:br/>
        <w:t>[[@BibleTOBIBLE:Ge 24:25]]</w:t>
      </w:r>
      <w:r>
        <w:rPr>
          <w:b/>
        </w:rPr>
        <w:t>25</w:t>
      </w:r>
      <w:r>
        <w:rPr/>
        <w:t xml:space="preserve"> {{field-on:bible}}Und sie sprach </w:t>
      </w:r>
      <w:r>
        <w:rPr>
          <w:b/>
          <w:color w:val="808080"/>
        </w:rPr>
        <w:t>[</w:t>
      </w:r>
      <w:r>
        <w:rPr/>
        <w:t>weiter</w:t>
      </w:r>
      <w:r>
        <w:rPr>
          <w:b/>
          <w:color w:val="808080"/>
        </w:rPr>
        <w:t>]</w:t>
      </w:r>
      <w:r>
        <w:rPr/>
        <w:t xml:space="preserve"> zu ihm: Wir haben eine Menge </w:t>
      </w:r>
      <w:r>
        <w:rPr>
          <w:color w:val="808080"/>
        </w:rPr>
        <w:t>(viel)</w:t>
      </w:r>
      <w:r>
        <w:rPr/>
        <w:t xml:space="preserve"> </w:t>
      </w:r>
      <w:r>
        <w:rPr>
          <w:strike/>
          <w:color w:val="808080"/>
        </w:rPr>
        <w:t>{sowohl}</w:t>
      </w:r>
      <w:r>
        <w:rPr/>
        <w:t xml:space="preserve"> Häcksel </w:t>
      </w:r>
      <w:r>
        <w:rPr>
          <w:strike/>
          <w:color w:val="808080"/>
        </w:rPr>
        <w:t>{als auch}</w:t>
      </w:r>
      <w:r>
        <w:rPr/>
        <w:t xml:space="preserve"> </w:t>
      </w:r>
      <w:r>
        <w:rPr>
          <w:b/>
          <w:color w:val="808080"/>
        </w:rPr>
        <w:t>[</w:t>
      </w:r>
      <w:r>
        <w:rPr/>
        <w:t>und</w:t>
      </w:r>
      <w:r>
        <w:rPr>
          <w:b/>
          <w:color w:val="808080"/>
        </w:rPr>
        <w:t>]</w:t>
      </w:r>
      <w:r>
        <w:rPr/>
        <w:t xml:space="preserve"> Futter, auch Platz zum Übernachten.{{field-off:bible}} </w:t>
        <w:br/>
        <w:t>[[@BibleTOBIBLE:Ge 24:26]]</w:t>
      </w:r>
      <w:r>
        <w:rPr>
          <w:b/>
        </w:rPr>
        <w:t>26</w:t>
      </w:r>
      <w:r>
        <w:rPr/>
        <w:t xml:space="preserve"> {{field-on:bible}}Da warf sich der Mann auf die Knie</w:t>
      </w:r>
      <w:r>
        <w:rPr>
          <w:rStyle w:val="Funotenanker"/>
        </w:rPr>
        <w:footnoteReference w:customMarkFollows="1" w:id="578"/>
        <w:t>v</w:t>
      </w:r>
      <w:r>
        <w:rPr/>
        <w:t xml:space="preserve"> und betete zu </w:t>
      </w:r>
      <w:r>
        <w:rPr>
          <w:smallCaps/>
          <w:color w:val="FF0000"/>
        </w:rPr>
        <w:t>JHWH</w:t>
      </w:r>
      <w:r>
        <w:rPr/>
        <w:t xml:space="preserve"> {{field-off:bible}} </w:t>
        <w:br/>
        <w:t>[[@BibleTOBIBLE:Ge 24:27]]</w:t>
      </w:r>
      <w:r>
        <w:rPr>
          <w:b/>
        </w:rPr>
        <w:t>27</w:t>
      </w:r>
      <w:r>
        <w:rPr/>
        <w:t xml:space="preserve"> {{field-on:bible}}und sprach: Gepriesen sei </w:t>
      </w:r>
      <w:r>
        <w:rPr>
          <w:smallCaps/>
          <w:color w:val="FF0000"/>
        </w:rPr>
        <w:t>JHWH</w:t>
      </w:r>
      <w:r>
        <w:rPr/>
        <w:t xml:space="preserve">, der Gott meines Herrn Abraham, der nicht </w:t>
      </w:r>
      <w:r>
        <w:rPr>
          <w:color w:val="808080"/>
        </w:rPr>
        <w:t>(abgelassen =)</w:t>
      </w:r>
      <w:r>
        <w:rPr/>
        <w:t xml:space="preserve"> entzogen hat seine Gnade und Treue meinem Herrn. Mich hat </w:t>
      </w:r>
      <w:r>
        <w:rPr>
          <w:smallCaps/>
          <w:color w:val="FF0000"/>
        </w:rPr>
        <w:t>JHWH</w:t>
      </w:r>
      <w:r>
        <w:rPr/>
        <w:t xml:space="preserve"> auf meinem Weg geführt </w:t>
      </w:r>
      <w:r>
        <w:rPr>
          <w:b/>
          <w:color w:val="808080"/>
        </w:rPr>
        <w:t>[</w:t>
      </w:r>
      <w:r>
        <w:rPr/>
        <w:t>ins</w:t>
      </w:r>
      <w:r>
        <w:rPr>
          <w:b/>
          <w:color w:val="808080"/>
        </w:rPr>
        <w:t>]</w:t>
      </w:r>
      <w:r>
        <w:rPr/>
        <w:t xml:space="preserve"> Haus des Bruders meines Herrn.{{field-off:bible}} </w:t>
        <w:br/>
        <w:t>[[@BibleTOBIBLE:Ge 24:28]]</w:t>
      </w:r>
      <w:r>
        <w:rPr>
          <w:b/>
        </w:rPr>
        <w:t>28</w:t>
      </w:r>
      <w:r>
        <w:rPr/>
        <w:t xml:space="preserve"> {{field-on:bible}}Da lief das Mädchen und erzählte </w:t>
      </w:r>
      <w:r>
        <w:rPr>
          <w:color w:val="808080"/>
        </w:rPr>
        <w:t>(meldete)</w:t>
      </w:r>
      <w:r>
        <w:rPr/>
        <w:t xml:space="preserve"> dem Haus ihrer Mutter diese Dinge.{{field-off:bible}} </w:t>
        <w:br/>
        <w:t>[[@BibleTOBIBLE:Ge 24:29]]</w:t>
      </w:r>
      <w:r>
        <w:rPr>
          <w:b/>
        </w:rPr>
        <w:t>29</w:t>
      </w:r>
      <w:r>
        <w:rPr/>
        <w:t xml:space="preserve"> {{field-on:bible}}Rebekka hatte aber einen Bruder, der hieß Laban. *Da lief Laban zum Mann außerhalb der Stadt*</w:t>
      </w:r>
      <w:r>
        <w:rPr>
          <w:rStyle w:val="Funotenanker"/>
        </w:rPr>
        <w:footnoteReference w:customMarkFollows="1" w:id="579"/>
        <w:t>w</w:t>
      </w:r>
      <w:r>
        <w:rPr/>
        <w:t xml:space="preserve"> {{field-off:bible}} </w:t>
        <w:br/>
        <w:t>[[@BibleTOBIBLE:Ge 24:30]]</w:t>
      </w:r>
      <w:r>
        <w:rPr>
          <w:b/>
        </w:rPr>
        <w:t>30</w:t>
      </w:r>
      <w:r>
        <w:rPr/>
        <w:t xml:space="preserve"> {{field-on:bible}}Und es geschah, als er</w:t>
      </w:r>
      <w:r>
        <w:rPr>
          <w:rStyle w:val="Funotenanker"/>
        </w:rPr>
        <w:footnoteReference w:customMarkFollows="1" w:id="580"/>
        <w:t>x</w:t>
      </w:r>
      <w:r>
        <w:rPr/>
        <w:t xml:space="preserve"> sah den </w:t>
      </w:r>
      <w:r>
        <w:rPr>
          <w:b/>
          <w:color w:val="808080"/>
        </w:rPr>
        <w:t>[</w:t>
      </w:r>
      <w:r>
        <w:rPr/>
        <w:t>Nasen-</w:t>
      </w:r>
      <w:r>
        <w:rPr>
          <w:b/>
          <w:color w:val="808080"/>
        </w:rPr>
        <w:t>]</w:t>
      </w:r>
      <w:r>
        <w:rPr/>
        <w:t xml:space="preserve">Ring und die Armspangen an den Händen seiner Schwester, und als er hörte die Worte Rebekkas, seiner Schwester </w:t>
      </w:r>
      <w:r>
        <w:rPr>
          <w:strike/>
          <w:color w:val="808080"/>
        </w:rPr>
        <w:t>{folgendermaßen}</w:t>
      </w:r>
      <w:r>
        <w:rPr/>
        <w:t>: So sprach der Mann zu mir, ** und als er kam zu dem Mann: Sieh, da steht</w:t>
      </w:r>
      <w:r>
        <w:rPr>
          <w:rStyle w:val="Funotenanker"/>
        </w:rPr>
        <w:footnoteReference w:customMarkFollows="1" w:id="581"/>
        <w:t>y</w:t>
      </w:r>
      <w:r>
        <w:rPr/>
        <w:t xml:space="preserve"> er bei den Kamelen an der Quelle.{{field-off:bible}} </w:t>
        <w:br/>
        <w:t>[[@BibleTOBIBLE:Ge 24:31]]</w:t>
      </w:r>
      <w:r>
        <w:rPr>
          <w:b/>
        </w:rPr>
        <w:t>31</w:t>
      </w:r>
      <w:r>
        <w:rPr/>
        <w:t xml:space="preserve"> {{field-on:bible}}Und er sprach: Komm </w:t>
      </w:r>
      <w:r>
        <w:rPr>
          <w:b/>
          <w:color w:val="808080"/>
        </w:rPr>
        <w:t>[</w:t>
      </w:r>
      <w:r>
        <w:rPr/>
        <w:t>herein</w:t>
      </w:r>
      <w:r>
        <w:rPr>
          <w:b/>
          <w:color w:val="808080"/>
        </w:rPr>
        <w:t>]</w:t>
      </w:r>
      <w:r>
        <w:rPr/>
        <w:t xml:space="preserve">, Gesegneter </w:t>
      </w:r>
      <w:r>
        <w:rPr>
          <w:smallCaps/>
          <w:color w:val="FF0000"/>
        </w:rPr>
        <w:t>JHWH</w:t>
      </w:r>
      <w:r>
        <w:rPr/>
        <w:t xml:space="preserve">s! Warum stehst du draußen? Ich habe das Haus aufgeräumt und Platz </w:t>
      </w:r>
      <w:r>
        <w:rPr>
          <w:b/>
          <w:color w:val="808080"/>
        </w:rPr>
        <w:t>[</w:t>
      </w:r>
      <w:r>
        <w:rPr/>
        <w:t>ist</w:t>
      </w:r>
      <w:r>
        <w:rPr>
          <w:b/>
          <w:color w:val="808080"/>
        </w:rPr>
        <w:t>]</w:t>
      </w:r>
      <w:r>
        <w:rPr/>
        <w:t xml:space="preserve"> für die Kamele.{{field-off:bible}} </w:t>
        <w:br/>
        <w:t>[[@BibleTOBIBLE:Ge 24:32]]</w:t>
      </w:r>
      <w:r>
        <w:rPr>
          <w:b/>
        </w:rPr>
        <w:t>32</w:t>
      </w:r>
      <w:r>
        <w:rPr/>
        <w:t xml:space="preserve"> {{field-on:bible}}Da kam der Mann ins Haus und </w:t>
      </w:r>
      <w:r>
        <w:rPr>
          <w:color w:val="808080"/>
        </w:rPr>
        <w:t>(band los =)</w:t>
      </w:r>
      <w:r>
        <w:rPr/>
        <w:t xml:space="preserve"> schirrte ab die Kamele und man gab Häcksel und Futter für die Kamele und Wasser, um seine Füße zu waschen und die Füße der Männer, die mit ihm waren.{{field-off:bible}} </w:t>
        <w:br/>
        <w:t>[[@BibleTOBIBLE:Ge 24:33]]</w:t>
      </w:r>
      <w:r>
        <w:rPr>
          <w:b/>
        </w:rPr>
        <w:t>33</w:t>
      </w:r>
      <w:r>
        <w:rPr/>
        <w:t xml:space="preserve"> {{field-on:bible}}Und es wurde ihm zu Essen vorgelegt, er aber sprach: Ich will </w:t>
      </w:r>
      <w:r>
        <w:rPr>
          <w:color w:val="808080"/>
        </w:rPr>
        <w:t>(werde)</w:t>
      </w:r>
      <w:r>
        <w:rPr/>
        <w:t xml:space="preserve"> nicht essen, bis ich mein Anliegen </w:t>
      </w:r>
      <w:r>
        <w:rPr>
          <w:color w:val="808080"/>
        </w:rPr>
        <w:t>(meine Sache, Rede)</w:t>
      </w:r>
      <w:r>
        <w:rPr/>
        <w:t xml:space="preserve"> vorgetragen </w:t>
      </w:r>
      <w:r>
        <w:rPr>
          <w:color w:val="808080"/>
        </w:rPr>
        <w:t>(geredet)</w:t>
      </w:r>
      <w:r>
        <w:rPr/>
        <w:t xml:space="preserve"> habe. Da sprach er</w:t>
      </w:r>
      <w:r>
        <w:rPr>
          <w:rStyle w:val="Funotenanker"/>
        </w:rPr>
        <w:footnoteReference w:customMarkFollows="1" w:id="582"/>
        <w:t>z</w:t>
      </w:r>
      <w:r>
        <w:rPr/>
        <w:t xml:space="preserve">: Rede!{{field-off:bible}} </w:t>
        <w:br/>
        <w:t>[[@BibleTOBIBLE:Ge 24:34]]</w:t>
      </w:r>
      <w:r>
        <w:rPr>
          <w:b/>
        </w:rPr>
        <w:t>34</w:t>
      </w:r>
      <w:r>
        <w:rPr/>
        <w:t xml:space="preserve"> {{field-on:bible}}Da sagte er: Ein Knecht Abrahams </w:t>
      </w:r>
      <w:r>
        <w:rPr>
          <w:b/>
          <w:color w:val="808080"/>
        </w:rPr>
        <w:t>[</w:t>
      </w:r>
      <w:r>
        <w:rPr/>
        <w:t>bin</w:t>
      </w:r>
      <w:r>
        <w:rPr>
          <w:b/>
          <w:color w:val="808080"/>
        </w:rPr>
        <w:t>]</w:t>
      </w:r>
      <w:r>
        <w:rPr/>
        <w:t xml:space="preserve"> ich.{{field-off:bible}} </w:t>
        <w:br/>
        <w:t>[[@BibleTOBIBLE:Ge 24:35]]</w:t>
      </w:r>
      <w:r>
        <w:rPr>
          <w:b/>
        </w:rPr>
        <w:t>35</w:t>
      </w:r>
      <w:r>
        <w:rPr/>
        <w:t xml:space="preserve"> {{field-on:bible}}Und </w:t>
      </w:r>
      <w:r>
        <w:rPr>
          <w:smallCaps/>
          <w:color w:val="FF0000"/>
        </w:rPr>
        <w:t>JHWH</w:t>
      </w:r>
      <w:r>
        <w:rPr/>
        <w:t xml:space="preserve"> hat meinen Herrn sehr gesegnet, so dass er groß wurde </w:t>
      </w:r>
      <w:r>
        <w:rPr>
          <w:color w:val="808080"/>
        </w:rPr>
        <w:t>(und er wurde groß)</w:t>
      </w:r>
      <w:r>
        <w:rPr/>
        <w:t xml:space="preserve">. Und er gab ihm Kleinvieh und Rinder, </w:t>
      </w:r>
      <w:r>
        <w:rPr>
          <w:strike/>
          <w:color w:val="808080"/>
        </w:rPr>
        <w:t>{und}</w:t>
      </w:r>
      <w:r>
        <w:rPr/>
        <w:t xml:space="preserve"> Silber und Gold, </w:t>
      </w:r>
      <w:r>
        <w:rPr>
          <w:strike/>
          <w:color w:val="808080"/>
        </w:rPr>
        <w:t>{und}</w:t>
      </w:r>
      <w:r>
        <w:rPr/>
        <w:t xml:space="preserve"> Knechte </w:t>
      </w:r>
      <w:r>
        <w:rPr>
          <w:color w:val="808080"/>
        </w:rPr>
        <w:t>(Diener, Sklaven)</w:t>
      </w:r>
      <w:r>
        <w:rPr/>
        <w:t xml:space="preserve"> und Sklavinnen, </w:t>
      </w:r>
      <w:r>
        <w:rPr>
          <w:strike/>
          <w:color w:val="808080"/>
        </w:rPr>
        <w:t>{und}</w:t>
      </w:r>
      <w:r>
        <w:rPr/>
        <w:t xml:space="preserve"> Kamele und Esel.{{field-off:bible}} </w:t>
        <w:br/>
        <w:t>[[@BibleTOBIBLE:Ge 24:36]]</w:t>
      </w:r>
      <w:r>
        <w:rPr>
          <w:b/>
        </w:rPr>
        <w:t>36</w:t>
      </w:r>
      <w:r>
        <w:rPr/>
        <w:t xml:space="preserve"> {{field-on:bible}}Und Sara, die Frau meines Herrn, gebar meinem Herrn einen Sohn, nachdem sie alt geworden war, und er </w:t>
      </w:r>
      <w:r>
        <w:rPr>
          <w:color w:val="808080"/>
        </w:rPr>
        <w:t>(gab =)</w:t>
      </w:r>
      <w:r>
        <w:rPr/>
        <w:t xml:space="preserve"> übergab ihm alles, was ihm gehört.{{field-off:bible}} </w:t>
        <w:br/>
        <w:t>[[@BibleTOBIBLE:Ge 24:37]]</w:t>
      </w:r>
      <w:r>
        <w:rPr>
          <w:b/>
        </w:rPr>
        <w:t>37</w:t>
      </w:r>
      <w:r>
        <w:rPr/>
        <w:t xml:space="preserve"> {{field-on:bible}}Und mein Herr ließ mich schwören </w:t>
      </w:r>
      <w:r>
        <w:rPr>
          <w:strike/>
          <w:color w:val="808080"/>
        </w:rPr>
        <w:t>{folgendermaßen}</w:t>
      </w:r>
      <w:r>
        <w:rPr/>
        <w:t xml:space="preserve">: Du sollst meinem Sohn keine Frau nehmen von den Töchtern des Kanaanäers, in dessen Land ich wohne.{{field-off:bible}} </w:t>
        <w:br/>
        <w:t>[[@BibleTOBIBLE:Ge 24:38]]</w:t>
      </w:r>
      <w:r>
        <w:rPr>
          <w:b/>
        </w:rPr>
        <w:t>38</w:t>
      </w:r>
      <w:r>
        <w:rPr/>
        <w:t xml:space="preserve"> {{field-on:bible}}Sondern</w:t>
      </w:r>
      <w:r>
        <w:rPr>
          <w:rStyle w:val="Funotenanker"/>
        </w:rPr>
        <w:footnoteReference w:customMarkFollows="1" w:id="583"/>
        <w:t>aa</w:t>
      </w:r>
      <w:r>
        <w:rPr/>
        <w:t xml:space="preserve"> du sollst </w:t>
      </w:r>
      <w:r>
        <w:rPr>
          <w:color w:val="808080"/>
        </w:rPr>
        <w:t>(wirst)</w:t>
      </w:r>
      <w:r>
        <w:rPr/>
        <w:t xml:space="preserve"> zum Haus meines Vaters gehen und zu meiner Verwandtschaft und eine meinem Sohn eine Frau nehmen.{{field-off:bible}} </w:t>
        <w:br/>
        <w:t>[[@BibleTOBIBLE:Ge 24:39]]</w:t>
      </w:r>
      <w:r>
        <w:rPr>
          <w:b/>
        </w:rPr>
        <w:t>39</w:t>
      </w:r>
      <w:r>
        <w:rPr/>
        <w:t xml:space="preserve"> {{field-on:bible}}Da sprach ich zu meinem Herrn: Vielleicht will </w:t>
      </w:r>
      <w:r>
        <w:rPr>
          <w:color w:val="808080"/>
        </w:rPr>
        <w:t>(wird)</w:t>
      </w:r>
      <w:r>
        <w:rPr/>
        <w:t xml:space="preserve"> die Frau nicht mitgehen</w:t>
      </w:r>
      <w:r>
        <w:rPr>
          <w:rStyle w:val="Funotenanker"/>
        </w:rPr>
        <w:footnoteReference w:customMarkFollows="1" w:id="584"/>
        <w:t>ab</w:t>
      </w:r>
      <w:r>
        <w:rPr/>
        <w:t xml:space="preserve">?{{field-off:bible}} </w:t>
        <w:br/>
        <w:t>[[@BibleTOBIBLE:Ge 24:40]]</w:t>
      </w:r>
      <w:r>
        <w:rPr>
          <w:b/>
        </w:rPr>
        <w:t>40</w:t>
      </w:r>
      <w:r>
        <w:rPr/>
        <w:t xml:space="preserve"> {{field-on:bible}}Da sprach er zu mir: </w:t>
      </w:r>
      <w:r>
        <w:rPr>
          <w:smallCaps/>
          <w:color w:val="FF0000"/>
        </w:rPr>
        <w:t>JHWH</w:t>
      </w:r>
      <w:r>
        <w:rPr/>
        <w:t xml:space="preserve">, vor dem ich wandelte, wird seinen Boten </w:t>
      </w:r>
      <w:r>
        <w:rPr>
          <w:color w:val="808080"/>
        </w:rPr>
        <w:t>(Engel)</w:t>
      </w:r>
      <w:r>
        <w:rPr/>
        <w:t xml:space="preserve"> mit dir senden, und er wird deinen Auftrag </w:t>
      </w:r>
      <w:r>
        <w:rPr>
          <w:color w:val="808080"/>
        </w:rPr>
        <w:t>(Weg)</w:t>
      </w:r>
      <w:r>
        <w:rPr/>
        <w:t xml:space="preserve"> gelingen lassen, so dass du meinem Sohn eine Frau nehmen kannst aus meiner Sippe und aus dem Haus meines Vaters.{{field-off:bible}} </w:t>
        <w:br/>
        <w:t>[[@BibleTOBIBLE:Ge 24:41]]</w:t>
      </w:r>
      <w:r>
        <w:rPr>
          <w:b/>
        </w:rPr>
        <w:t>41</w:t>
      </w:r>
      <w:r>
        <w:rPr/>
        <w:t xml:space="preserve"> {{field-on:bible}}Dann wirst du frei sein von meinem</w:t>
      </w:r>
      <w:r>
        <w:rPr>
          <w:rStyle w:val="Funotenanker"/>
        </w:rPr>
        <w:footnoteReference w:customMarkFollows="1" w:id="585"/>
        <w:t>ac</w:t>
      </w:r>
      <w:r>
        <w:rPr/>
        <w:t xml:space="preserve"> Eid, wenn du zu meiner Verwandtschaft kommen wirst, und wenn sie </w:t>
      </w:r>
      <w:r>
        <w:rPr>
          <w:b/>
          <w:color w:val="808080"/>
        </w:rPr>
        <w:t>[</w:t>
      </w:r>
      <w:r>
        <w:rPr/>
        <w:t>sie</w:t>
      </w:r>
      <w:r>
        <w:rPr>
          <w:b/>
          <w:color w:val="808080"/>
        </w:rPr>
        <w:t>]</w:t>
      </w:r>
      <w:r>
        <w:rPr/>
        <w:t xml:space="preserve"> dir nicht geben, dann bist du frei von meinem Eid.{{field-off:bible}} </w:t>
        <w:br/>
        <w:t>[[@BibleTOBIBLE:Ge 24:42]]</w:t>
      </w:r>
      <w:r>
        <w:rPr>
          <w:b/>
        </w:rPr>
        <w:t>42</w:t>
      </w:r>
      <w:r>
        <w:rPr/>
        <w:t xml:space="preserve"> {{field-on:bible}}So komme</w:t>
      </w:r>
      <w:r>
        <w:rPr>
          <w:rStyle w:val="Funotenanker"/>
        </w:rPr>
        <w:footnoteReference w:customMarkFollows="1" w:id="586"/>
        <w:t>ad</w:t>
      </w:r>
      <w:r>
        <w:rPr/>
        <w:t xml:space="preserve"> ich heute zum Brunnen und ich sage: </w:t>
      </w:r>
      <w:r>
        <w:rPr>
          <w:smallCaps/>
          <w:color w:val="FF0000"/>
        </w:rPr>
        <w:t>JHWH</w:t>
      </w:r>
      <w:r>
        <w:rPr/>
        <w:t xml:space="preserve">, Gott meines Herrn Abraham, bitte lass meinen Plan </w:t>
      </w:r>
      <w:r>
        <w:rPr>
          <w:color w:val="808080"/>
        </w:rPr>
        <w:t>(Weg)</w:t>
      </w:r>
      <w:r>
        <w:rPr/>
        <w:t xml:space="preserve"> gelingen</w:t>
      </w:r>
      <w:r>
        <w:rPr>
          <w:rStyle w:val="Funotenanker"/>
        </w:rPr>
        <w:footnoteReference w:customMarkFollows="1" w:id="587"/>
        <w:t>ae</w:t>
      </w:r>
      <w:r>
        <w:rPr/>
        <w:t>, den ich vor dir ausführe</w:t>
      </w:r>
      <w:r>
        <w:rPr>
          <w:rStyle w:val="Funotenanker"/>
        </w:rPr>
        <w:footnoteReference w:customMarkFollows="1" w:id="588"/>
        <w:t>af</w:t>
      </w:r>
      <w:r>
        <w:rPr/>
        <w:t xml:space="preserve">:{{field-off:bible}} </w:t>
        <w:br/>
        <w:t>[[@BibleTOBIBLE:Ge 24:43]]</w:t>
      </w:r>
      <w:r>
        <w:rPr>
          <w:b/>
        </w:rPr>
        <w:t>43</w:t>
      </w:r>
      <w:r>
        <w:rPr/>
        <w:t xml:space="preserve"> {{field-on:bible}}Sieh, ich stelle mich an die Wasserquelle. Wenn nun die junge Frau herauskommen wird, um zu schöpfen, dann werde ich zu ihr sagen: lass mich bitte ein wenig Wasser trinken aus deinem Krug.{{field-off:bible}} </w:t>
        <w:br/>
        <w:t>[[@BibleTOBIBLE:Ge 24:44]]</w:t>
      </w:r>
      <w:r>
        <w:rPr>
          <w:b/>
        </w:rPr>
        <w:t>44</w:t>
      </w:r>
      <w:r>
        <w:rPr/>
        <w:t xml:space="preserve"> {{field-on:bible}}Wenn sie dann zu mir sagen wird: </w:t>
      </w:r>
      <w:r>
        <w:rPr>
          <w:strike/>
          <w:color w:val="808080"/>
        </w:rPr>
        <w:t>{Sowohl}</w:t>
      </w:r>
      <w:r>
        <w:rPr/>
        <w:t xml:space="preserve"> du sollst trinken</w:t>
      </w:r>
      <w:r>
        <w:rPr>
          <w:rStyle w:val="Funotenanker"/>
        </w:rPr>
        <w:footnoteReference w:customMarkFollows="1" w:id="589"/>
        <w:t>ag</w:t>
      </w:r>
      <w:r>
        <w:rPr/>
        <w:t xml:space="preserve"> und </w:t>
      </w:r>
      <w:r>
        <w:rPr>
          <w:strike/>
          <w:color w:val="808080"/>
        </w:rPr>
        <w:t>{als auch}</w:t>
      </w:r>
      <w:r>
        <w:rPr/>
        <w:t xml:space="preserve"> deinen Kamelen werde ich schöpfen: </w:t>
      </w:r>
      <w:r>
        <w:rPr>
          <w:b/>
          <w:color w:val="808080"/>
        </w:rPr>
        <w:t>[</w:t>
      </w:r>
      <w:r>
        <w:rPr/>
        <w:t>dann ist</w:t>
      </w:r>
      <w:r>
        <w:rPr>
          <w:b/>
          <w:color w:val="808080"/>
        </w:rPr>
        <w:t>]</w:t>
      </w:r>
      <w:r>
        <w:rPr/>
        <w:t xml:space="preserve"> sie die Frau, die </w:t>
      </w:r>
      <w:r>
        <w:rPr>
          <w:smallCaps/>
          <w:color w:val="FF0000"/>
        </w:rPr>
        <w:t>JHWH</w:t>
      </w:r>
      <w:r>
        <w:rPr/>
        <w:t xml:space="preserve"> dem Sohn meines Herrn bestimmt hat.{{field-off:bible}} </w:t>
        <w:br/>
        <w:t>[[@BibleTOBIBLE:Ge 24:45]]</w:t>
      </w:r>
      <w:r>
        <w:rPr>
          <w:b/>
        </w:rPr>
        <w:t>45</w:t>
      </w:r>
      <w:r>
        <w:rPr/>
        <w:t xml:space="preserve"> {{field-on:bible}}Bevor ich vollende, zu </w:t>
      </w:r>
      <w:r>
        <w:rPr>
          <w:color w:val="808080"/>
        </w:rPr>
        <w:t>(meinem Herzen =)</w:t>
      </w:r>
      <w:r>
        <w:rPr/>
        <w:t xml:space="preserve"> mir selbst zu sprechen, sieh!, Rebekka kommt heraus</w:t>
      </w:r>
      <w:r>
        <w:rPr>
          <w:rStyle w:val="Funotenanker"/>
        </w:rPr>
        <w:footnoteReference w:customMarkFollows="1" w:id="590"/>
        <w:t>ah</w:t>
      </w:r>
      <w:r>
        <w:rPr/>
        <w:t xml:space="preserve">, und ihr Krug </w:t>
      </w:r>
      <w:r>
        <w:rPr>
          <w:b/>
          <w:color w:val="808080"/>
        </w:rPr>
        <w:t>[</w:t>
      </w:r>
      <w:r>
        <w:rPr/>
        <w:t>ist</w:t>
      </w:r>
      <w:r>
        <w:rPr>
          <w:b/>
          <w:color w:val="808080"/>
        </w:rPr>
        <w:t>]</w:t>
      </w:r>
      <w:r>
        <w:rPr/>
        <w:t xml:space="preserve"> auf ihrer Schulter. Dann steigt sie in den Brunnen und schöpft, und ich sage zu ihr: Lass mich bitte trinken!{{field-off:bible}} </w:t>
        <w:br/>
        <w:t>[[@BibleTOBIBLE:Ge 24:46]]</w:t>
      </w:r>
      <w:r>
        <w:rPr>
          <w:b/>
        </w:rPr>
        <w:t>46</w:t>
      </w:r>
      <w:r>
        <w:rPr/>
        <w:t xml:space="preserve"> {{field-on:bible}}Da nimmt sie schnell ihren Krug von ihrer Schulter und sagt: Trink! Und auch deine Kamele will ich trinken lassen. Und ich trinke, und auch die Kamele lässt sie trinken.{{field-off:bible}} </w:t>
        <w:br/>
        <w:t>[[@BibleTOBIBLE:Ge 24:47]]</w:t>
      </w:r>
      <w:r>
        <w:rPr>
          <w:b/>
        </w:rPr>
        <w:t>47</w:t>
      </w:r>
      <w:r>
        <w:rPr/>
        <w:t xml:space="preserve"> {{field-on:bible}}Und ich frage sie und sage: Wessen Tochter bist du? Da sagt sie: Die Tochter Betuels, Sohn Nahors, den ihm Milka geboren hat, und ich stecke den Ring durch ihre Nase und die Armspangen an ihre Hände.{{field-off:bible}} </w:t>
        <w:br/>
        <w:t>[[@BibleTOBIBLE:Ge 24:48]]</w:t>
      </w:r>
      <w:r>
        <w:rPr>
          <w:b/>
        </w:rPr>
        <w:t>48</w:t>
      </w:r>
      <w:r>
        <w:rPr/>
        <w:t xml:space="preserve"> {{field-on:bible}}Und ich werfe mich nieder und bete zu </w:t>
      </w:r>
      <w:r>
        <w:rPr>
          <w:smallCaps/>
          <w:color w:val="FF0000"/>
        </w:rPr>
        <w:t>JHWH</w:t>
      </w:r>
      <w:r>
        <w:rPr/>
        <w:t xml:space="preserve"> und ich preise JHWH, den Gott meines Herrn Abraham, der mich auf dem Weg der Treue geführt hat, um </w:t>
      </w:r>
      <w:r>
        <w:rPr>
          <w:b/>
          <w:color w:val="808080"/>
        </w:rPr>
        <w:t>[</w:t>
      </w:r>
      <w:r>
        <w:rPr/>
        <w:t>zur Frau</w:t>
      </w:r>
      <w:r>
        <w:rPr>
          <w:b/>
          <w:color w:val="808080"/>
        </w:rPr>
        <w:t>]</w:t>
      </w:r>
      <w:r>
        <w:rPr/>
        <w:t xml:space="preserve"> zu nehmen die Tochter des Bruders meines Herrn für seinen Sohn.{{field-off:bible}} </w:t>
        <w:br/>
        <w:t>[[@BibleTOBIBLE:Ge 24:49]]</w:t>
      </w:r>
      <w:r>
        <w:rPr>
          <w:b/>
        </w:rPr>
        <w:t>49</w:t>
      </w:r>
      <w:r>
        <w:rPr/>
        <w:t xml:space="preserve"> {{field-on:bible}}Und nun, wenn ihr meinem Herrn Gnade und Treue </w:t>
      </w:r>
      <w:r>
        <w:rPr>
          <w:color w:val="808080"/>
        </w:rPr>
        <w:t>(tun =)</w:t>
      </w:r>
      <w:r>
        <w:rPr/>
        <w:t xml:space="preserve"> erweisen könnt, sagt es mir; und wenn nicht, sagt es mir, und ich werde mich rechts oder links wenden.{{field-off:bible}} </w:t>
        <w:br/>
        <w:t>[[@BibleTOBIBLE:Ge 24:50]]</w:t>
      </w:r>
      <w:r>
        <w:rPr>
          <w:b/>
        </w:rPr>
        <w:t>50</w:t>
      </w:r>
      <w:r>
        <w:rPr/>
        <w:t xml:space="preserve"> {{field-on:bible}}Da antworteten Laban und Betuel und sprachen: Von </w:t>
      </w:r>
      <w:r>
        <w:rPr>
          <w:smallCaps/>
          <w:color w:val="FF0000"/>
        </w:rPr>
        <w:t>JHWH</w:t>
      </w:r>
      <w:r>
        <w:rPr/>
        <w:t xml:space="preserve"> kommt das </w:t>
      </w:r>
      <w:r>
        <w:rPr>
          <w:strike/>
          <w:color w:val="808080"/>
        </w:rPr>
        <w:t>{Wort}</w:t>
      </w:r>
      <w:r>
        <w:rPr/>
        <w:t xml:space="preserve">; wir können dir </w:t>
      </w:r>
      <w:r>
        <w:rPr>
          <w:color w:val="808080"/>
        </w:rPr>
        <w:t>(weder Böses noch Gutes =)</w:t>
      </w:r>
      <w:r>
        <w:rPr/>
        <w:t xml:space="preserve"> gar nichts </w:t>
      </w:r>
      <w:r>
        <w:rPr>
          <w:b/>
          <w:color w:val="808080"/>
        </w:rPr>
        <w:t>[</w:t>
      </w:r>
      <w:r>
        <w:rPr/>
        <w:t>dazu</w:t>
      </w:r>
      <w:r>
        <w:rPr>
          <w:b/>
          <w:color w:val="808080"/>
        </w:rPr>
        <w:t>]</w:t>
      </w:r>
      <w:r>
        <w:rPr/>
        <w:t xml:space="preserve"> sagen.{{field-off:bible}} </w:t>
        <w:br/>
        <w:t>[[@BibleTOBIBLE:Ge 24:51]]</w:t>
      </w:r>
      <w:r>
        <w:rPr>
          <w:b/>
        </w:rPr>
        <w:t>51</w:t>
      </w:r>
      <w:r>
        <w:rPr/>
        <w:t xml:space="preserve"> {{field-on:bible}}Sieh, Rebekka </w:t>
      </w:r>
      <w:r>
        <w:rPr>
          <w:b/>
          <w:color w:val="808080"/>
        </w:rPr>
        <w:t>[</w:t>
      </w:r>
      <w:r>
        <w:rPr/>
        <w:t>steht</w:t>
      </w:r>
      <w:r>
        <w:rPr>
          <w:b/>
          <w:color w:val="808080"/>
        </w:rPr>
        <w:t>]</w:t>
      </w:r>
      <w:r>
        <w:rPr/>
        <w:t xml:space="preserve"> vor dir: Nimm sie und geh, sie soll die Frau des Sohnes deines Herrn werden, wie </w:t>
      </w:r>
      <w:r>
        <w:rPr>
          <w:smallCaps/>
          <w:color w:val="FF0000"/>
        </w:rPr>
        <w:t>JHWH</w:t>
      </w:r>
      <w:r>
        <w:rPr/>
        <w:t xml:space="preserve"> gesagt hat.{{field-off:bible}} </w:t>
        <w:br/>
        <w:t>[[@BibleTOBIBLE:Ge 24:52]]</w:t>
      </w:r>
      <w:r>
        <w:rPr>
          <w:b/>
        </w:rPr>
        <w:t>52</w:t>
      </w:r>
      <w:r>
        <w:rPr/>
        <w:t xml:space="preserve"> {{field-on:bible}}Als aber der Knecht Abrahams ihre Worte gehört hatte, da warf er sich für </w:t>
      </w:r>
      <w:r>
        <w:rPr>
          <w:smallCaps/>
          <w:color w:val="FF0000"/>
        </w:rPr>
        <w:t>JHWH</w:t>
      </w:r>
      <w:r>
        <w:rPr/>
        <w:t xml:space="preserve"> zur Erde nieder.{{field-off:bible}} </w:t>
        <w:br/>
        <w:t>[[@BibleTOBIBLE:Ge 24:53]]</w:t>
      </w:r>
      <w:r>
        <w:rPr>
          <w:b/>
        </w:rPr>
        <w:t>53</w:t>
      </w:r>
      <w:r>
        <w:rPr/>
        <w:t xml:space="preserve"> {{field-on:bible}}Und der Knecht holte hervor silberne Geräte </w:t>
      </w:r>
      <w:r>
        <w:rPr>
          <w:color w:val="808080"/>
        </w:rPr>
        <w:t>(Gefäße, Geschirr)</w:t>
      </w:r>
      <w:r>
        <w:rPr/>
        <w:t xml:space="preserve"> und goldene </w:t>
      </w:r>
      <w:r>
        <w:rPr>
          <w:strike/>
          <w:color w:val="808080"/>
        </w:rPr>
        <w:t>{Geräte}</w:t>
      </w:r>
      <w:r>
        <w:rPr/>
        <w:t xml:space="preserve"> und Kleider und gab sie Rebekka, und Kostbarkeiten gab er ihrem Bruder und ihrer Mutter.{{field-off:bible}} </w:t>
        <w:br/>
        <w:t>[[@BibleTOBIBLE:Ge 24:54]]</w:t>
      </w:r>
      <w:r>
        <w:rPr>
          <w:b/>
        </w:rPr>
        <w:t>54</w:t>
      </w:r>
      <w:r>
        <w:rPr/>
        <w:t xml:space="preserve"> {{field-on:bible}}Darauf aßen und tranken sie, er und die Männer, die mit ihm waren. Nachdem sie übernachtet hatten, standen sie am Morgen auf, und er sprach: Lasst mich zu meinem Herrn gehen.{{field-off:bible}} </w:t>
        <w:br/>
        <w:t>[[@BibleTOBIBLE:Ge 24:55]]</w:t>
      </w:r>
      <w:r>
        <w:rPr>
          <w:b/>
        </w:rPr>
        <w:t>55</w:t>
      </w:r>
      <w:r>
        <w:rPr/>
        <w:t xml:space="preserve"> {{field-on:bible}}Da sprachen ihr Bruder und ihre Mutter: Das Mädchen wird bei uns bleiben </w:t>
      </w:r>
      <w:r>
        <w:rPr>
          <w:b/>
          <w:color w:val="808080"/>
        </w:rPr>
        <w:t>[</w:t>
      </w:r>
      <w:r>
        <w:rPr/>
        <w:t>einige</w:t>
      </w:r>
      <w:r>
        <w:rPr>
          <w:b/>
          <w:color w:val="808080"/>
        </w:rPr>
        <w:t>]</w:t>
      </w:r>
      <w:r>
        <w:rPr/>
        <w:t xml:space="preserve"> Tage oder zehn, danach </w:t>
      </w:r>
      <w:r>
        <w:rPr>
          <w:color w:val="808080"/>
        </w:rPr>
        <w:t>(wird =)</w:t>
      </w:r>
      <w:r>
        <w:rPr/>
        <w:t xml:space="preserve"> kann sie gehen.{{field-off:bible}} </w:t>
        <w:br/>
        <w:t>[[@BibleTOBIBLE:Ge 24:56]]</w:t>
      </w:r>
      <w:r>
        <w:rPr>
          <w:b/>
        </w:rPr>
        <w:t>56</w:t>
      </w:r>
      <w:r>
        <w:rPr/>
        <w:t xml:space="preserve"> {{field-on:bible}}Er aber sprach zu ihnen: Haltet mich nicht auf! </w:t>
      </w:r>
      <w:r>
        <w:rPr>
          <w:smallCaps/>
          <w:color w:val="FF0000"/>
        </w:rPr>
        <w:t>JHWH</w:t>
      </w:r>
      <w:r>
        <w:rPr/>
        <w:t xml:space="preserve"> hat meinen Weg gelingen lassen </w:t>
      </w:r>
      <w:r>
        <w:rPr>
          <w:color w:val="808080"/>
        </w:rPr>
        <w:t>(Gelingen gegeben)</w:t>
      </w:r>
      <w:r>
        <w:rPr/>
        <w:t xml:space="preserve">. Lasst mich gehen, dann werde ich zu meinem Herrn gehen.{{field-off:bible}} </w:t>
        <w:br/>
        <w:t>[[@BibleTOBIBLE:Ge 24:57]]</w:t>
      </w:r>
      <w:r>
        <w:rPr>
          <w:b/>
        </w:rPr>
        <w:t>57</w:t>
      </w:r>
      <w:r>
        <w:rPr/>
        <w:t xml:space="preserve"> {{field-on:bible}}Da sprachen sie: Wir wollen das Mädchen rufen und ihren Mund </w:t>
      </w:r>
      <w:r>
        <w:rPr>
          <w:color w:val="808080"/>
        </w:rPr>
        <w:t>(= sie selbst)</w:t>
      </w:r>
      <w:r>
        <w:rPr/>
        <w:t xml:space="preserve"> befragen.{{field-off:bible}} </w:t>
        <w:br/>
        <w:t>[[@BibleTOBIBLE:Ge 24:58]]</w:t>
      </w:r>
      <w:r>
        <w:rPr>
          <w:b/>
        </w:rPr>
        <w:t>58</w:t>
      </w:r>
      <w:r>
        <w:rPr/>
        <w:t xml:space="preserve"> {{field-on:bible}}Darauf riefen sie Rebekka und sprachen zu ihr: Willst du mit diesem Mann gehen? Und sie sprach: Ich will gehen.{{field-off:bible}} </w:t>
        <w:br/>
        <w:t>[[@BibleTOBIBLE:Ge 24:59]]</w:t>
      </w:r>
      <w:r>
        <w:rPr>
          <w:b/>
        </w:rPr>
        <w:t>59</w:t>
      </w:r>
      <w:r>
        <w:rPr/>
        <w:t xml:space="preserve"> {{field-on:bible}}Da ließen sie Rebekka, ihre Schwester, los </w:t>
      </w:r>
      <w:r>
        <w:rPr>
          <w:color w:val="808080"/>
        </w:rPr>
        <w:t>(gaben sie frei, entließen sie)</w:t>
      </w:r>
      <w:r>
        <w:rPr/>
        <w:t xml:space="preserve"> und ihre Amme und den Knecht Abrahams und seine Männer.{{field-off:bible}} </w:t>
        <w:br/>
        <w:t>[[@BibleTOBIBLE:Ge 24:60]]</w:t>
      </w:r>
      <w:r>
        <w:rPr>
          <w:b/>
        </w:rPr>
        <w:t>60</w:t>
      </w:r>
      <w:r>
        <w:rPr/>
        <w:t xml:space="preserve"> {{field-on:bible}}Und sie segneten Rebekka und sagten zu ihr: </w:t>
        <w:br/>
        <w:t xml:space="preserve">Unsere Schwester, du sollst werden </w:t>
        <w:br/>
        <w:t xml:space="preserve">zu vielen Tausenden </w:t>
        <w:br/>
        <w:t>und du sollst in Besitz nehmen</w:t>
        <w:br/>
        <w:t>die Tore deiner Feinde.</w:t>
        <w:br/>
        <w:t xml:space="preserve">{{field-off:bible}} </w:t>
        <w:br/>
        <w:t>[[@BibleTOBIBLE:Ge 24:61]]</w:t>
      </w:r>
      <w:r>
        <w:rPr>
          <w:b/>
        </w:rPr>
        <w:t>61</w:t>
      </w:r>
      <w:r>
        <w:rPr/>
        <w:t xml:space="preserve"> {{field-on:bible}}Da brach Rebekka auf und ihre Mägde und sie ritten auf Kamelen und folgten dem Mann. Da nahm der Knecht Rebekka und zog los </w:t>
      </w:r>
      <w:r>
        <w:rPr>
          <w:color w:val="808080"/>
        </w:rPr>
        <w:t>(ging)</w:t>
      </w:r>
      <w:r>
        <w:rPr/>
        <w:t xml:space="preserve">.{{field-off:bible}} </w:t>
        <w:br/>
        <w:t>[[@BibleTOBIBLE:Ge 24:62]]</w:t>
      </w:r>
      <w:r>
        <w:rPr>
          <w:b/>
        </w:rPr>
        <w:t>62</w:t>
      </w:r>
      <w:r>
        <w:rPr/>
        <w:t xml:space="preserve"> {{field-on:bible}}Isaak aber kam …</w:t>
      </w:r>
      <w:r>
        <w:rPr>
          <w:rStyle w:val="Funotenanker"/>
        </w:rPr>
        <w:footnoteReference w:customMarkFollows="1" w:id="591"/>
        <w:t>ai</w:t>
      </w:r>
      <w:r>
        <w:rPr/>
        <w:t xml:space="preserve"> </w:t>
      </w:r>
      <w:r>
        <w:rPr>
          <w:b/>
          <w:color w:val="808080"/>
        </w:rPr>
        <w:t>[</w:t>
      </w:r>
      <w:r>
        <w:rPr/>
        <w:t>vom</w:t>
      </w:r>
      <w:r>
        <w:rPr>
          <w:b/>
          <w:color w:val="808080"/>
        </w:rPr>
        <w:t>]</w:t>
      </w:r>
      <w:r>
        <w:rPr/>
        <w:t xml:space="preserve"> Brunnen Lachai-roi</w:t>
      </w:r>
      <w:r>
        <w:rPr>
          <w:rStyle w:val="Funotenanker"/>
        </w:rPr>
        <w:footnoteReference w:customMarkFollows="1" w:id="592"/>
        <w:t>aj</w:t>
      </w:r>
      <w:r>
        <w:rPr/>
        <w:t xml:space="preserve">, und er wohnte im Südland.{{field-off:bible}} </w:t>
        <w:br/>
        <w:t>[[@BibleTOBIBLE:Ge 24:63]]</w:t>
      </w:r>
      <w:r>
        <w:rPr>
          <w:b/>
        </w:rPr>
        <w:t>63</w:t>
      </w:r>
      <w:r>
        <w:rPr/>
        <w:t xml:space="preserve"> {{field-on:bible}}Isaak ging gerade auf das Feld um zu …</w:t>
      </w:r>
      <w:r>
        <w:rPr>
          <w:rStyle w:val="Funotenanker"/>
        </w:rPr>
        <w:footnoteReference w:customMarkFollows="1" w:id="593"/>
        <w:t>ak</w:t>
      </w:r>
      <w:r>
        <w:rPr/>
        <w:t xml:space="preserve"> gegen Abend. Als er seine Augen erhob </w:t>
      </w:r>
      <w:r>
        <w:rPr>
          <w:color w:val="808080"/>
        </w:rPr>
        <w:t>(= aufblickte)</w:t>
      </w:r>
      <w:r>
        <w:rPr/>
        <w:t xml:space="preserve">, da sah er, und sieh! Kamele kommen!{{field-off:bible}} </w:t>
        <w:br/>
        <w:t>[[@BibleTOBIBLE:Ge 24:64]]</w:t>
      </w:r>
      <w:r>
        <w:rPr>
          <w:b/>
        </w:rPr>
        <w:t>64</w:t>
      </w:r>
      <w:r>
        <w:rPr/>
        <w:t xml:space="preserve"> {{field-on:bible}}Und als Rebekka ihre Augen erhob </w:t>
      </w:r>
      <w:r>
        <w:rPr>
          <w:color w:val="808080"/>
        </w:rPr>
        <w:t>(= aufblickte)</w:t>
      </w:r>
      <w:r>
        <w:rPr/>
        <w:t xml:space="preserve">, da sah sie Isaak. Da stieg sie ab vom Kamel.{{field-off:bible}} </w:t>
        <w:br/>
        <w:t>[[@BibleTOBIBLE:Ge 24:65]]</w:t>
      </w:r>
      <w:r>
        <w:rPr>
          <w:b/>
        </w:rPr>
        <w:t>65</w:t>
      </w:r>
      <w:r>
        <w:rPr/>
        <w:t xml:space="preserve"> {{field-on:bible}}Und sie sprach zu dem Knecht </w:t>
      </w:r>
      <w:r>
        <w:rPr>
          <w:color w:val="808080"/>
        </w:rPr>
        <w:t>(Diener)</w:t>
      </w:r>
      <w:r>
        <w:rPr/>
        <w:t xml:space="preserve">: Wer ist der Mann, der da, der uns entgegen kommt auf dem Feld? Da sprach der Knecht </w:t>
      </w:r>
      <w:r>
        <w:rPr>
          <w:color w:val="808080"/>
        </w:rPr>
        <w:t>(Diener)</w:t>
      </w:r>
      <w:r>
        <w:rPr/>
        <w:t xml:space="preserve">: Das ist mein Herr. Da nahm sie den Schleier und verhüllte sich.{{field-off:bible}} </w:t>
        <w:br/>
        <w:t>[[@BibleTOBIBLE:Ge 24:66]]</w:t>
      </w:r>
      <w:r>
        <w:rPr>
          <w:b/>
        </w:rPr>
        <w:t>66</w:t>
      </w:r>
      <w:r>
        <w:rPr/>
        <w:t xml:space="preserve"> {{field-on:bible}}Der Knecht aber erzählte Isaak </w:t>
      </w:r>
      <w:r>
        <w:rPr>
          <w:color w:val="808080"/>
        </w:rPr>
        <w:t>(alle Dinge, die =)</w:t>
      </w:r>
      <w:r>
        <w:rPr/>
        <w:t xml:space="preserve"> alles, was er getan hatte.{{field-off:bible}} </w:t>
        <w:br/>
        <w:t>[[@BibleTOBIBLE:Ge 24:67]]</w:t>
      </w:r>
      <w:r>
        <w:rPr>
          <w:b/>
        </w:rPr>
        <w:t>67</w:t>
      </w:r>
      <w:r>
        <w:rPr/>
        <w:t xml:space="preserve"> {{field-on:bible}}Da führte Isaak sie in das Zelt von Sara, seiner Mutter. Und er nahm Rebekka und sie wurde seine Frau, und er liebte sie. So wurde Isaak getröstet nach </w:t>
      </w:r>
      <w:r>
        <w:rPr>
          <w:b/>
          <w:color w:val="808080"/>
        </w:rPr>
        <w:t>[</w:t>
      </w:r>
      <w:r>
        <w:rPr/>
        <w:t>dem Tode</w:t>
      </w:r>
      <w:r>
        <w:rPr>
          <w:b/>
          <w:color w:val="808080"/>
        </w:rPr>
        <w:t>]</w:t>
      </w:r>
      <w:r>
        <w:rPr/>
        <w:t xml:space="preserve"> seiner Mutter.{{field-off:bible}} </w:t>
      </w:r>
    </w:p>
    <w:p>
      <w:pPr>
        <w:pStyle w:val="Berschrift3"/>
        <w:rPr/>
      </w:pPr>
      <w:r>
        <w:rPr/>
        <w:t>[[@BibleTOBIBLE:Ge 25]]Kapitel 25</w:t>
      </w:r>
    </w:p>
    <w:p>
      <w:pPr>
        <w:pStyle w:val="Textkrper"/>
        <w:rPr/>
      </w:pPr>
      <w:r>
        <w:rPr/>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94"/>
        <w:t>a</w:t>
      </w:r>
      <w:r>
        <w:rPr/>
        <w:t xml:space="preserve">, als er nahm </w:t>
      </w:r>
      <w:r>
        <w:rPr>
          <w:rStyle w:val="Funotenanker"/>
        </w:rPr>
        <w:footnoteReference w:customMarkFollows="1" w:id="595"/>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96"/>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97"/>
        <w:t>d</w:t>
      </w:r>
      <w:r>
        <w:rPr/>
        <w:t xml:space="preserve"> </w:t>
      </w:r>
      <w:r>
        <w:rPr>
          <w:color w:val="808080"/>
        </w:rPr>
        <w:t>(sprangen, hüpften)</w:t>
      </w:r>
      <w:r>
        <w:rPr/>
        <w:t xml:space="preserve"> </w:t>
      </w:r>
      <w:r>
        <w:rPr>
          <w:rStyle w:val="Funotenanker"/>
        </w:rPr>
        <w:footnoteReference w:customMarkFollows="1" w:id="598"/>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99"/>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600"/>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601"/>
        <w:t>h</w:t>
      </w:r>
      <w:r>
        <w:rPr/>
        <w:t xml:space="preserve"> seinen Namen Jakob </w:t>
      </w:r>
      <w:r>
        <w:rPr>
          <w:color w:val="808080"/>
        </w:rPr>
        <w:t>(man rief seinen Namen Jakob)</w:t>
      </w:r>
      <w:r>
        <w:rPr/>
        <w:t xml:space="preserve">. Isaak war sechzig Jahre alt </w:t>
      </w:r>
      <w:r>
        <w:rPr>
          <w:rStyle w:val="Funotenanker"/>
        </w:rPr>
        <w:footnoteReference w:customMarkFollows="1" w:id="602"/>
        <w:t>i</w:t>
      </w:r>
      <w:r>
        <w:rPr/>
        <w:t xml:space="preserve"> bei ihrer Geburt</w:t>
      </w:r>
      <w:r>
        <w:rPr>
          <w:rStyle w:val="Funotenanker"/>
        </w:rPr>
        <w:footnoteReference w:customMarkFollows="1" w:id="603"/>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604"/>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27]]Kapitel 27</w:t>
      </w:r>
    </w:p>
    <w:p>
      <w:pPr>
        <w:pStyle w:val="Textkrper"/>
        <w:rPr/>
      </w:pPr>
      <w:r>
        <w:rPr/>
        <w:br/>
        <w:t>[[@BibleTOBIBLE:Ge 27:1]]</w:t>
      </w:r>
      <w:r>
        <w:rPr>
          <w:b/>
        </w:rPr>
        <w:t>1</w:t>
      </w:r>
      <w:r>
        <w:rPr/>
        <w:t xml:space="preserve"> {{field-on:bible}} </w:t>
      </w:r>
      <w:r>
        <w:rPr>
          <w:rStyle w:val="Funotenanker"/>
        </w:rPr>
        <w:footnoteReference w:customMarkFollows="1" w:id="605"/>
        <w:t>Status</w:t>
      </w:r>
      <w:r>
        <w:rPr/>
        <w:t xml:space="preserve"> </w:t>
      </w:r>
      <w:r>
        <w:rPr>
          <w:color w:val="808080"/>
        </w:rPr>
        <w:t>(Und es begab sich, dass =)</w:t>
      </w:r>
      <w:r>
        <w:rPr/>
        <w:t xml:space="preserve"> Als Isaak alt </w:t>
      </w:r>
      <w:r>
        <w:rPr>
          <w:b/>
          <w:color w:val="808080"/>
        </w:rPr>
        <w:t>[</w:t>
      </w:r>
      <w:r>
        <w:rPr/>
        <w:t>geworden war</w:t>
      </w:r>
      <w:r>
        <w:rPr>
          <w:b/>
          <w:color w:val="808080"/>
        </w:rPr>
        <w:t>]</w:t>
      </w:r>
      <w:r>
        <w:rPr/>
        <w:t xml:space="preserve"> und seine Augen nachgelassen hatten, sodass er nicht mehr sehen konnte</w:t>
      </w:r>
      <w:r>
        <w:rPr>
          <w:rStyle w:val="Funotenanker"/>
        </w:rPr>
        <w:footnoteReference w:customMarkFollows="1" w:id="606"/>
        <w:t>a</w:t>
      </w:r>
      <w:r>
        <w:rPr/>
        <w:t xml:space="preserve">, rief er Esau, seinen älteren Sohn. Und er sprach zu ihm: Mein Sohn! Und er </w:t>
      </w:r>
      <w:r>
        <w:rPr>
          <w:color w:val="808080"/>
        </w:rPr>
        <w:t>(sprach =)</w:t>
      </w:r>
      <w:r>
        <w:rPr/>
        <w:t xml:space="preserve"> antwortete: Ja?</w:t>
      </w:r>
      <w:r>
        <w:rPr>
          <w:rStyle w:val="Funotenanker"/>
        </w:rPr>
        <w:footnoteReference w:customMarkFollows="1" w:id="607"/>
        <w:t>b</w:t>
      </w:r>
      <w:r>
        <w:rPr/>
        <w:t xml:space="preserve"> {{field-off:bible}} </w:t>
        <w:br/>
        <w:t>[[@BibleTOBIBLE:Ge 27:2]]</w:t>
      </w:r>
      <w:r>
        <w:rPr>
          <w:b/>
        </w:rPr>
        <w:t>2</w:t>
      </w:r>
      <w:r>
        <w:rPr/>
        <w:t xml:space="preserve"> {{field-on:bible}}Und </w:t>
      </w:r>
      <w:r>
        <w:rPr>
          <w:strike/>
          <w:color w:val="808080"/>
        </w:rPr>
        <w:t>{er}</w:t>
      </w:r>
      <w:r>
        <w:rPr/>
        <w:t xml:space="preserve"> </w:t>
      </w:r>
      <w:r>
        <w:rPr>
          <w:b/>
          <w:color w:val="808080"/>
        </w:rPr>
        <w:t>[</w:t>
      </w:r>
      <w:r>
        <w:rPr/>
        <w:t>Isaak</w:t>
      </w:r>
      <w:r>
        <w:rPr>
          <w:b/>
          <w:color w:val="808080"/>
        </w:rPr>
        <w:t>]</w:t>
      </w:r>
      <w:r>
        <w:rPr/>
        <w:t xml:space="preserve"> sprach: Du weißt</w:t>
      </w:r>
      <w:r>
        <w:rPr>
          <w:rStyle w:val="Funotenanker"/>
        </w:rPr>
        <w:footnoteReference w:customMarkFollows="1" w:id="608"/>
        <w:t>c</w:t>
      </w:r>
      <w:r>
        <w:rPr/>
        <w:t xml:space="preserve">, ich bin alt geworden. Ich weiß nicht </w:t>
      </w:r>
      <w:r>
        <w:rPr>
          <w:color w:val="808080"/>
        </w:rPr>
        <w:t>(den Tag meines Todes =)</w:t>
      </w:r>
      <w:r>
        <w:rPr/>
        <w:t xml:space="preserve">, wann ich sterben werde.{{field-off:bible}} </w:t>
        <w:br/>
        <w:t>[[@BibleTOBIBLE:Ge 27:3]]</w:t>
      </w:r>
      <w:r>
        <w:rPr>
          <w:b/>
        </w:rPr>
        <w:t>3</w:t>
      </w:r>
      <w:r>
        <w:rPr/>
        <w:t xml:space="preserve"> {{field-on:bible}}Darum nimm deine Ausrüstung, dein Wehrgehänge</w:t>
      </w:r>
      <w:r>
        <w:rPr>
          <w:rStyle w:val="Funotenanker"/>
        </w:rPr>
        <w:footnoteReference w:customMarkFollows="1" w:id="609"/>
        <w:t>d</w:t>
      </w:r>
      <w:r>
        <w:rPr/>
        <w:t xml:space="preserve"> und deinen Bogen, geh hinaus aufs Feld und </w:t>
      </w:r>
      <w:r>
        <w:rPr>
          <w:color w:val="808080"/>
        </w:rPr>
        <w:t>(jage =)</w:t>
      </w:r>
      <w:r>
        <w:rPr/>
        <w:t xml:space="preserve"> erlege mir ein Wildpret</w:t>
      </w:r>
      <w:r>
        <w:rPr>
          <w:rStyle w:val="Funotenanker"/>
        </w:rPr>
        <w:footnoteReference w:customMarkFollows="1" w:id="610"/>
        <w:t>e</w:t>
      </w:r>
      <w:r>
        <w:rPr/>
        <w:t xml:space="preserve">.{{field-off:bible}} </w:t>
        <w:br/>
        <w:t>[[@BibleTOBIBLE:Ge 27:4]]</w:t>
      </w:r>
      <w:r>
        <w:rPr>
          <w:b/>
        </w:rPr>
        <w:t>4</w:t>
      </w:r>
      <w:r>
        <w:rPr/>
        <w:t xml:space="preserve"> {{field-on:bible}}Und bereite mir einen Leckerbissen zu, wie ich es </w:t>
      </w:r>
      <w:r>
        <w:rPr>
          <w:color w:val="808080"/>
        </w:rPr>
        <w:t>(ihn?)</w:t>
      </w:r>
      <w:r>
        <w:rPr/>
        <w:t xml:space="preserve"> </w:t>
      </w:r>
      <w:r>
        <w:rPr>
          <w:rStyle w:val="Funotenanker"/>
        </w:rPr>
        <w:footnoteReference w:customMarkFollows="1" w:id="611"/>
        <w:t>f</w:t>
      </w:r>
      <w:r>
        <w:rPr/>
        <w:t xml:space="preserve"> liebe, bringe ihn mir, und ich esse</w:t>
      </w:r>
      <w:r>
        <w:rPr>
          <w:rStyle w:val="Funotenanker"/>
        </w:rPr>
        <w:footnoteReference w:customMarkFollows="1" w:id="612"/>
        <w:t>g</w:t>
      </w:r>
      <w:r>
        <w:rPr/>
        <w:t xml:space="preserve"> ihn, damit </w:t>
      </w:r>
      <w:r>
        <w:rPr>
          <w:color w:val="808080"/>
        </w:rPr>
        <w:t>(meine Seele =)</w:t>
      </w:r>
      <w:r>
        <w:rPr/>
        <w:t xml:space="preserve"> ich dich segne, bevor ich sterbe.{{field-off:bible}} </w:t>
        <w:br/>
        <w:t>[[@BibleTOBIBLE:Ge 27:5]]</w:t>
      </w:r>
      <w:r>
        <w:rPr>
          <w:b/>
        </w:rPr>
        <w:t>5</w:t>
      </w:r>
      <w:r>
        <w:rPr/>
        <w:t xml:space="preserve"> {{field-on:bible}}Aber Rebekka hörte</w:t>
      </w:r>
      <w:r>
        <w:rPr>
          <w:rStyle w:val="Funotenanker"/>
        </w:rPr>
        <w:footnoteReference w:customMarkFollows="1" w:id="613"/>
        <w:t>h</w:t>
      </w:r>
      <w:r>
        <w:rPr/>
        <w:t xml:space="preserve"> die Worte Isaaks an seinen Sohn Esau. Da ging Esau aufs Feld, um ein Wildpret zu jagen, um es zu bringen</w:t>
      </w:r>
      <w:r>
        <w:rPr>
          <w:rStyle w:val="Funotenanker"/>
        </w:rPr>
        <w:footnoteReference w:customMarkFollows="1" w:id="614"/>
        <w:t>i</w:t>
      </w:r>
      <w:r>
        <w:rPr/>
        <w:t xml:space="preserve"> {{field-off:bible}} </w:t>
        <w:br/>
        <w:t>[[@BibleTOBIBLE:Ge 27:6]]</w:t>
      </w:r>
      <w:r>
        <w:rPr>
          <w:b/>
        </w:rPr>
        <w:t>6</w:t>
      </w:r>
      <w:r>
        <w:rPr/>
        <w:t xml:space="preserve"> {{field-on:bible}}Rebekka sprach zu Jakob, ihrem Sohn </w:t>
      </w:r>
      <w:r>
        <w:rPr>
          <w:strike/>
          <w:color w:val="808080"/>
        </w:rPr>
        <w:t>{folgendermaßen}</w:t>
      </w:r>
      <w:r>
        <w:rPr/>
        <w:t xml:space="preserve">: </w:t>
      </w:r>
      <w:r>
        <w:rPr>
          <w:color w:val="808080"/>
        </w:rPr>
        <w:t>(Siehe =)</w:t>
      </w:r>
      <w:r>
        <w:rPr/>
        <w:t xml:space="preserve"> Pass auf, ich habe deinen Vater reden</w:t>
      </w:r>
      <w:r>
        <w:rPr>
          <w:rStyle w:val="Funotenanker"/>
        </w:rPr>
        <w:footnoteReference w:customMarkFollows="1" w:id="615"/>
        <w:t>j</w:t>
      </w:r>
      <w:r>
        <w:rPr/>
        <w:t xml:space="preserve"> hören zu Esau, deinen Bruder </w:t>
      </w:r>
      <w:r>
        <w:rPr>
          <w:strike/>
          <w:color w:val="808080"/>
        </w:rPr>
        <w:t>{folgendermaßen}</w:t>
      </w:r>
      <w:r>
        <w:rPr/>
        <w:t xml:space="preserve">:{{field-off:bible}} </w:t>
        <w:br/>
        <w:t>[[@BibleTOBIBLE:Ge 27:7]]</w:t>
      </w:r>
      <w:r>
        <w:rPr>
          <w:b/>
        </w:rPr>
        <w:t>7</w:t>
      </w:r>
      <w:r>
        <w:rPr/>
        <w:t xml:space="preserve"> {{field-on:bible}}Bring mir ein Wildpret und und bereite mir einen Leckerbissen zu, und ich esse ihn. Dann werde ich dich segnen vor </w:t>
      </w:r>
      <w:r>
        <w:rPr>
          <w:smallCaps/>
          <w:color w:val="FF0000"/>
        </w:rPr>
        <w:t>JHWH</w:t>
      </w:r>
      <w:r>
        <w:rPr/>
        <w:t xml:space="preserve"> vor meinem Tod.{{field-off:bible}} </w:t>
        <w:br/>
        <w:t>[[@BibleTOBIBLE:Ge 27:8]]</w:t>
      </w:r>
      <w:r>
        <w:rPr>
          <w:b/>
        </w:rPr>
        <w:t>8</w:t>
      </w:r>
      <w:r>
        <w:rPr/>
        <w:t xml:space="preserve"> {{field-on:bible}}Und nun, mein Sohn, höre auf </w:t>
      </w:r>
      <w:r>
        <w:rPr>
          <w:color w:val="808080"/>
        </w:rPr>
        <w:t>(meine Stimme =)</w:t>
      </w:r>
      <w:r>
        <w:rPr/>
        <w:t xml:space="preserve"> mich, was ich dir befehle </w:t>
      </w:r>
      <w:r>
        <w:rPr>
          <w:color w:val="808080"/>
        </w:rPr>
        <w:t>(anordne)</w:t>
      </w:r>
      <w:r>
        <w:rPr/>
        <w:t xml:space="preserve">:{{field-off:bible}} </w:t>
        <w:br/>
        <w:t>[[@BibleTOBIBLE:Ge 27:9]]</w:t>
      </w:r>
      <w:r>
        <w:rPr>
          <w:b/>
        </w:rPr>
        <w:t>9</w:t>
      </w:r>
      <w:r>
        <w:rPr/>
        <w:t xml:space="preserve"> {{field-on:bible}}Geh zum Kleinvieh und nimm dir von </w:t>
      </w:r>
      <w:r>
        <w:rPr>
          <w:color w:val="808080"/>
        </w:rPr>
        <w:t>(dort =)</w:t>
      </w:r>
      <w:r>
        <w:rPr/>
        <w:t xml:space="preserve"> der Herde zwei schöne Ziegenböckchen. Ich werde sie zu einem Leckerbissen für deinen Vater zubereiten, wie er es </w:t>
      </w:r>
      <w:r>
        <w:rPr>
          <w:color w:val="808080"/>
        </w:rPr>
        <w:t>(ihn?)</w:t>
      </w:r>
      <w:r>
        <w:rPr/>
        <w:t xml:space="preserve"> liebt.{{field-off:bible}} </w:t>
        <w:br/>
        <w:t>[[@BibleTOBIBLE:Ge 27:10]]</w:t>
      </w:r>
      <w:r>
        <w:rPr>
          <w:b/>
        </w:rPr>
        <w:t>10</w:t>
      </w:r>
      <w:r>
        <w:rPr/>
        <w:t xml:space="preserve"> {{field-on:bible}}Und du sollst </w:t>
      </w:r>
      <w:r>
        <w:rPr>
          <w:b/>
          <w:color w:val="808080"/>
        </w:rPr>
        <w:t>[</w:t>
      </w:r>
      <w:r>
        <w:rPr/>
        <w:t>ihn</w:t>
      </w:r>
      <w:r>
        <w:rPr>
          <w:b/>
          <w:color w:val="808080"/>
        </w:rPr>
        <w:t>]</w:t>
      </w:r>
      <w:r>
        <w:rPr/>
        <w:t xml:space="preserve"> deinem Vater bringen, und er wird </w:t>
      </w:r>
      <w:r>
        <w:rPr>
          <w:b/>
          <w:color w:val="808080"/>
        </w:rPr>
        <w:t>[</w:t>
      </w:r>
      <w:r>
        <w:rPr/>
        <w:t>ihn</w:t>
      </w:r>
      <w:r>
        <w:rPr>
          <w:b/>
          <w:color w:val="808080"/>
        </w:rPr>
        <w:t>]</w:t>
      </w:r>
      <w:r>
        <w:rPr/>
        <w:t xml:space="preserve"> essen, damit er dich segnet vor seinem Tod.{{field-off:bible}} </w:t>
        <w:br/>
        <w:t>[[@BibleTOBIBLE:Ge 27:11]]</w:t>
      </w:r>
      <w:r>
        <w:rPr>
          <w:b/>
        </w:rPr>
        <w:t>11</w:t>
      </w:r>
      <w:r>
        <w:rPr/>
        <w:t xml:space="preserve"> {{field-on:bible}}Da sprach Jakob zu seiner Mutter Rebekka: Sieh, mein Bruder Esau ist ein haariger Mann, aber ich bin ein glatter</w:t>
      </w:r>
      <w:r>
        <w:rPr>
          <w:rStyle w:val="Funotenanker"/>
        </w:rPr>
        <w:footnoteReference w:customMarkFollows="1" w:id="616"/>
        <w:t>k</w:t>
      </w:r>
      <w:r>
        <w:rPr/>
        <w:t xml:space="preserve"> Mann.{{field-off:bible}} </w:t>
        <w:br/>
        <w:t>[[@BibleTOBIBLE:Ge 27:12]]</w:t>
      </w:r>
      <w:r>
        <w:rPr>
          <w:b/>
        </w:rPr>
        <w:t>12</w:t>
      </w:r>
      <w:r>
        <w:rPr/>
        <w:t xml:space="preserve"> {{field-on:bible}}Vielleicht betastet mich mein Vater </w:t>
      </w:r>
      <w:r>
        <w:rPr>
          <w:color w:val="808080"/>
        </w:rPr>
        <w:t>(und ich werde in seinen Augen wie einer, der Spott treibt =)</w:t>
      </w:r>
      <w:r>
        <w:rPr/>
        <w:t xml:space="preserve"> und er glaubt, ich will ihn verspotten, und er bringt über mich Fluch und nicht Segen.{{field-off:bible}} </w:t>
        <w:br/>
        <w:t>[[@BibleTOBIBLE:Ge 27:13]]</w:t>
      </w:r>
      <w:r>
        <w:rPr>
          <w:b/>
        </w:rPr>
        <w:t>13</w:t>
      </w:r>
      <w:r>
        <w:rPr/>
        <w:t xml:space="preserve"> {{field-on:bible}}Da sprach seine Mutter zu ihm: Über mich </w:t>
      </w:r>
      <w:r>
        <w:rPr>
          <w:b/>
          <w:color w:val="808080"/>
        </w:rPr>
        <w:t>[</w:t>
      </w:r>
      <w:r>
        <w:rPr/>
        <w:t>komme</w:t>
      </w:r>
      <w:r>
        <w:rPr>
          <w:b/>
          <w:color w:val="808080"/>
        </w:rPr>
        <w:t>]</w:t>
      </w:r>
      <w:r>
        <w:rPr/>
        <w:t xml:space="preserve"> dein Fluch, mein Sohn. Doch höre auf </w:t>
      </w:r>
      <w:r>
        <w:rPr>
          <w:color w:val="808080"/>
        </w:rPr>
        <w:t>(meine Stimme =)</w:t>
      </w:r>
      <w:r>
        <w:rPr/>
        <w:t xml:space="preserve"> mich und geh, bring mir.{{field-off:bible}} </w:t>
        <w:br/>
        <w:t>[[@BibleTOBIBLE:Ge 27:14]]</w:t>
      </w:r>
      <w:r>
        <w:rPr>
          <w:b/>
        </w:rPr>
        <w:t>14</w:t>
      </w:r>
      <w:r>
        <w:rPr/>
        <w:t xml:space="preserve"> {{field-on:bible}}Da ging Jakob und nahm und brachte seiner Mutter. Und seine Mutter bereitete einen Leckerbissen zu, wie ihn </w:t>
      </w:r>
      <w:r>
        <w:rPr>
          <w:color w:val="808080"/>
        </w:rPr>
        <w:t>(es?)</w:t>
      </w:r>
      <w:r>
        <w:rPr/>
        <w:t xml:space="preserve"> sein Vater liebte.{{field-off:bible}} </w:t>
        <w:br/>
        <w:t>[[@BibleTOBIBLE:Ge 27:15]]</w:t>
      </w:r>
      <w:r>
        <w:rPr>
          <w:b/>
        </w:rPr>
        <w:t>15</w:t>
      </w:r>
      <w:r>
        <w:rPr/>
        <w:t xml:space="preserve"> {{field-on:bible}}Und Rebekka nahm die gute Kleidung ihres älteren Sohnes Esau, die bei ihr im Haus </w:t>
      </w:r>
      <w:r>
        <w:rPr>
          <w:b/>
          <w:color w:val="808080"/>
        </w:rPr>
        <w:t>[</w:t>
      </w:r>
      <w:r>
        <w:rPr/>
        <w:t>war</w:t>
      </w:r>
      <w:r>
        <w:rPr>
          <w:b/>
          <w:color w:val="808080"/>
        </w:rPr>
        <w:t>]</w:t>
      </w:r>
      <w:r>
        <w:rPr/>
        <w:t xml:space="preserve">, und bekleidete </w:t>
      </w:r>
      <w:r>
        <w:rPr>
          <w:b/>
          <w:color w:val="808080"/>
        </w:rPr>
        <w:t>[</w:t>
      </w:r>
      <w:r>
        <w:rPr/>
        <w:t>damit</w:t>
      </w:r>
      <w:r>
        <w:rPr>
          <w:b/>
          <w:color w:val="808080"/>
        </w:rPr>
        <w:t>]</w:t>
      </w:r>
      <w:r>
        <w:rPr/>
        <w:t xml:space="preserve"> ihren jüngeren Sohn Jakob.{{field-off:bible}} </w:t>
        <w:br/>
        <w:t>[[@BibleTOBIBLE:Ge 27:16]]</w:t>
      </w:r>
      <w:r>
        <w:rPr>
          <w:b/>
        </w:rPr>
        <w:t>16</w:t>
      </w:r>
      <w:r>
        <w:rPr/>
        <w:t xml:space="preserve"> {{field-on:bible}}Und die Felle der Ziegenböckchen legte sie seinen Händen an und auf seinen glatten Hals.{{field-off:bible}} </w:t>
        <w:br/>
        <w:t>[[@BibleTOBIBLE:Ge 27:17]]</w:t>
      </w:r>
      <w:r>
        <w:rPr>
          <w:b/>
        </w:rPr>
        <w:t>17</w:t>
      </w:r>
      <w:r>
        <w:rPr/>
        <w:t xml:space="preserve"> {{field-on:bible}}Und sie gab den Leckerbissen und das Brot, die sie zubereitet hatte, ihrem Sohn Jakob in die Hand.{{field-off:bible}} </w:t>
        <w:br/>
        <w:t>[[@BibleTOBIBLE:Ge 27:18]]</w:t>
      </w:r>
      <w:r>
        <w:rPr>
          <w:b/>
        </w:rPr>
        <w:t>18</w:t>
      </w:r>
      <w:r>
        <w:rPr/>
        <w:t xml:space="preserve"> {{field-on:bible}}Er ging zu seinem Vater und sprach: Mein Vater! Und er sprach: </w:t>
      </w:r>
      <w:r>
        <w:rPr>
          <w:color w:val="808080"/>
        </w:rPr>
        <w:t>(hier bin ich! =)</w:t>
      </w:r>
      <w:r>
        <w:rPr/>
        <w:t xml:space="preserve"> Ja? Wer </w:t>
      </w:r>
      <w:r>
        <w:rPr>
          <w:b/>
          <w:color w:val="808080"/>
        </w:rPr>
        <w:t>[</w:t>
      </w:r>
      <w:r>
        <w:rPr/>
        <w:t>bist</w:t>
      </w:r>
      <w:r>
        <w:rPr>
          <w:b/>
          <w:color w:val="808080"/>
        </w:rPr>
        <w:t>]</w:t>
      </w:r>
      <w:r>
        <w:rPr/>
        <w:t xml:space="preserve"> du, mein Sohn?{{field-off:bible}} </w:t>
        <w:br/>
        <w:t>[[@BibleTOBIBLE:Ge 27:19]]</w:t>
      </w:r>
      <w:r>
        <w:rPr>
          <w:b/>
        </w:rPr>
        <w:t>19</w:t>
      </w:r>
      <w:r>
        <w:rPr/>
        <w:t xml:space="preserve"> {{field-on:bible}}Jakob </w:t>
      </w:r>
      <w:r>
        <w:rPr>
          <w:color w:val="808080"/>
        </w:rPr>
        <w:t>(sprach =)</w:t>
      </w:r>
      <w:r>
        <w:rPr/>
        <w:t xml:space="preserve"> antwortete seinem Vater: Ich bin Esau, dein Erstgeborener. Ich habe getan, </w:t>
      </w:r>
      <w:r>
        <w:rPr>
          <w:color w:val="808080"/>
        </w:rPr>
        <w:t>(wie du mir gesagt =)</w:t>
      </w:r>
      <w:r>
        <w:rPr/>
        <w:t xml:space="preserve"> worum du mich gebeten hast. </w:t>
      </w:r>
      <w:r>
        <w:rPr>
          <w:color w:val="808080"/>
        </w:rPr>
        <w:t>(Steh auf =)</w:t>
      </w:r>
      <w:r>
        <w:rPr/>
        <w:t xml:space="preserve"> Komm, setz dich und iss von meinem Wildpret, damit </w:t>
      </w:r>
      <w:r>
        <w:rPr>
          <w:color w:val="808080"/>
        </w:rPr>
        <w:t>(deine Seele =)</w:t>
      </w:r>
      <w:r>
        <w:rPr/>
        <w:t xml:space="preserve"> du mich segnest.{{field-off:bible}} </w:t>
        <w:br/>
        <w:t>[[@BibleTOBIBLE:Ge 27:20]]</w:t>
      </w:r>
      <w:r>
        <w:rPr>
          <w:b/>
        </w:rPr>
        <w:t>20</w:t>
      </w:r>
      <w:r>
        <w:rPr/>
        <w:t xml:space="preserve"> {{field-on:bible}}Da sprach Isaak zu seinem Sohn: Wie hast du so schnell </w:t>
      </w:r>
      <w:r>
        <w:rPr>
          <w:b/>
          <w:color w:val="808080"/>
        </w:rPr>
        <w:t>[</w:t>
      </w:r>
      <w:r>
        <w:rPr/>
        <w:t>Wild</w:t>
      </w:r>
      <w:r>
        <w:rPr>
          <w:b/>
          <w:color w:val="808080"/>
        </w:rPr>
        <w:t>]</w:t>
      </w:r>
      <w:r>
        <w:rPr/>
        <w:t xml:space="preserve"> gefunden, mein Sohn? Er </w:t>
      </w:r>
      <w:r>
        <w:rPr>
          <w:color w:val="808080"/>
        </w:rPr>
        <w:t>(sprach =)</w:t>
      </w:r>
      <w:r>
        <w:rPr/>
        <w:t xml:space="preserve"> antwortete: </w:t>
      </w:r>
      <w:r>
        <w:rPr>
          <w:smallCaps/>
          <w:color w:val="FF0000"/>
        </w:rPr>
        <w:t>JHWH</w:t>
      </w:r>
      <w:r>
        <w:rPr/>
        <w:t xml:space="preserve">, dein Gott, hat es für mich </w:t>
      </w:r>
      <w:r>
        <w:rPr>
          <w:b/>
          <w:color w:val="808080"/>
        </w:rPr>
        <w:t>[</w:t>
      </w:r>
      <w:r>
        <w:rPr/>
        <w:t>so</w:t>
      </w:r>
      <w:r>
        <w:rPr>
          <w:b/>
          <w:color w:val="808080"/>
        </w:rPr>
        <w:t>]</w:t>
      </w:r>
      <w:r>
        <w:rPr/>
        <w:t xml:space="preserve"> gefügt.{{field-off:bible}} </w:t>
        <w:br/>
        <w:t>[[@BibleTOBIBLE:Ge 27:21]]</w:t>
      </w:r>
      <w:r>
        <w:rPr>
          <w:b/>
        </w:rPr>
        <w:t>21</w:t>
      </w:r>
      <w:r>
        <w:rPr/>
        <w:t xml:space="preserve"> {{field-on:bible}}Da sprach Isaak zu Jakob: Komm her, damit</w:t>
      </w:r>
      <w:r>
        <w:rPr>
          <w:rStyle w:val="Funotenanker"/>
        </w:rPr>
        <w:footnoteReference w:customMarkFollows="1" w:id="617"/>
        <w:t>l</w:t>
      </w:r>
      <w:r>
        <w:rPr/>
        <w:t xml:space="preserve"> ich dich betaste, mein Sohn, ob das mein Sohn Esau </w:t>
      </w:r>
      <w:r>
        <w:rPr>
          <w:b/>
          <w:color w:val="808080"/>
        </w:rPr>
        <w:t>[</w:t>
      </w:r>
      <w:r>
        <w:rPr/>
        <w:t>ist</w:t>
      </w:r>
      <w:r>
        <w:rPr>
          <w:b/>
          <w:color w:val="808080"/>
        </w:rPr>
        <w:t>]</w:t>
      </w:r>
      <w:r>
        <w:rPr/>
        <w:t xml:space="preserve"> oder nicht.{{field-off:bible}} </w:t>
        <w:br/>
        <w:t>[[@BibleTOBIBLE:Ge 27:22]]</w:t>
      </w:r>
      <w:r>
        <w:rPr>
          <w:b/>
        </w:rPr>
        <w:t>22</w:t>
      </w:r>
      <w:r>
        <w:rPr/>
        <w:t xml:space="preserve"> {{field-on:bible}}Jakob trat zu seinem Vater Isaak, und er betastete ihn. Und er sprach: Die Stimme ist die Stimme Jakobs, aber die Hände sind die Hände Esaus.{{field-off:bible}} </w:t>
        <w:br/>
        <w:t>[[@BibleTOBIBLE:Ge 27:23]]</w:t>
      </w:r>
      <w:r>
        <w:rPr>
          <w:b/>
        </w:rPr>
        <w:t>23</w:t>
      </w:r>
      <w:r>
        <w:rPr/>
        <w:t xml:space="preserve"> {{field-on:bible}}Aber er erkannte ihn nicht, denn er hatte behaarte Hände wie die Hände Esaus, seines Bruders, und er segnete ihn.{{field-off:bible}} </w:t>
        <w:br/>
        <w:t>[[@BibleTOBIBLE:Ge 27:24]]</w:t>
      </w:r>
      <w:r>
        <w:rPr>
          <w:b/>
        </w:rPr>
        <w:t>24</w:t>
      </w:r>
      <w:r>
        <w:rPr/>
        <w:t xml:space="preserve"> {{field-on:bible}}Und er </w:t>
      </w:r>
      <w:r>
        <w:rPr>
          <w:color w:val="808080"/>
        </w:rPr>
        <w:t>(sprach =)</w:t>
      </w:r>
      <w:r>
        <w:rPr/>
        <w:t xml:space="preserve"> fragte: </w:t>
      </w:r>
      <w:r>
        <w:rPr>
          <w:b/>
          <w:color w:val="808080"/>
        </w:rPr>
        <w:t>[</w:t>
      </w:r>
      <w:r>
        <w:rPr/>
        <w:t>Bist</w:t>
      </w:r>
      <w:r>
        <w:rPr>
          <w:b/>
          <w:color w:val="808080"/>
        </w:rPr>
        <w:t>]</w:t>
      </w:r>
      <w:r>
        <w:rPr/>
        <w:t xml:space="preserve"> du mein Sohn Esau? Und er </w:t>
      </w:r>
      <w:r>
        <w:rPr>
          <w:color w:val="808080"/>
        </w:rPr>
        <w:t>(sagte =)</w:t>
      </w:r>
      <w:r>
        <w:rPr/>
        <w:t xml:space="preserve"> antwortete: Ich </w:t>
      </w:r>
      <w:r>
        <w:rPr>
          <w:b/>
          <w:color w:val="808080"/>
        </w:rPr>
        <w:t>[</w:t>
      </w:r>
      <w:r>
        <w:rPr/>
        <w:t>bin es</w:t>
      </w:r>
      <w:r>
        <w:rPr>
          <w:b/>
          <w:color w:val="808080"/>
        </w:rPr>
        <w:t>]</w:t>
      </w:r>
      <w:r>
        <w:rPr/>
        <w:t xml:space="preserve">.{{field-off:bible}} </w:t>
        <w:br/>
        <w:t>[[@BibleTOBIBLE:Ge 27:25]]</w:t>
      </w:r>
      <w:r>
        <w:rPr>
          <w:b/>
        </w:rPr>
        <w:t>25</w:t>
      </w:r>
      <w:r>
        <w:rPr/>
        <w:t xml:space="preserve"> {{field-on:bible}}Und er sprach: Bringe mir, damit ich esse vom Wildpret meines Sohnes, damit </w:t>
      </w:r>
      <w:r>
        <w:rPr>
          <w:color w:val="808080"/>
        </w:rPr>
        <w:t>(meine Seele =)</w:t>
      </w:r>
      <w:r>
        <w:rPr/>
        <w:t xml:space="preserve"> ich dich segne. Und er brachte ihm, und er aß. Und er brachte ihm Wein, und er trank.{{field-off:bible}} </w:t>
        <w:br/>
        <w:t>[[@BibleTOBIBLE:Ge 27:26]]</w:t>
      </w:r>
      <w:r>
        <w:rPr>
          <w:b/>
        </w:rPr>
        <w:t>26</w:t>
      </w:r>
      <w:r>
        <w:rPr/>
        <w:t xml:space="preserve"> {{field-on:bible}}Und sein Vater Isaak sprach zu ihm: Komm her und küsse mich, mein Sohn.{{field-off:bible}} </w:t>
        <w:br/>
        <w:t>[[@BibleTOBIBLE:Ge 27:27]]</w:t>
      </w:r>
      <w:r>
        <w:rPr>
          <w:b/>
        </w:rPr>
        <w:t>27</w:t>
      </w:r>
      <w:r>
        <w:rPr/>
        <w:t xml:space="preserve"> {{field-on:bible}}Da trat Jakob zu </w:t>
      </w:r>
      <w:r>
        <w:rPr>
          <w:b/>
          <w:color w:val="808080"/>
        </w:rPr>
        <w:t>[</w:t>
      </w:r>
      <w:r>
        <w:rPr/>
        <w:t>ihm</w:t>
      </w:r>
      <w:r>
        <w:rPr>
          <w:b/>
          <w:color w:val="808080"/>
        </w:rPr>
        <w:t>]</w:t>
      </w:r>
      <w:r>
        <w:rPr/>
        <w:t xml:space="preserve"> und küsste ihn. Und er roch den Geruch seiner Kleidung und segnete ihn. Er sprach: </w:t>
        <w:br/>
        <w:t>Ich nehme wahr</w:t>
      </w:r>
      <w:r>
        <w:rPr>
          <w:rStyle w:val="Funotenanker"/>
        </w:rPr>
        <w:footnoteReference w:customMarkFollows="1" w:id="618"/>
        <w:t>m</w:t>
      </w:r>
      <w:r>
        <w:rPr/>
        <w:t xml:space="preserve"> den Geruch meines Sohnes.</w:t>
        <w:br/>
      </w:r>
      <w:r>
        <w:rPr>
          <w:b/>
          <w:color w:val="808080"/>
        </w:rPr>
        <w:t>[</w:t>
      </w:r>
      <w:r>
        <w:rPr/>
        <w:t>Er ist</w:t>
      </w:r>
      <w:r>
        <w:rPr>
          <w:b/>
          <w:color w:val="808080"/>
        </w:rPr>
        <w:t>]</w:t>
      </w:r>
      <w:r>
        <w:rPr/>
        <w:t xml:space="preserve"> wie der Geruch des Feldes,</w:t>
        <w:br/>
        <w:t xml:space="preserve">das </w:t>
      </w:r>
      <w:r>
        <w:rPr>
          <w:smallCaps/>
          <w:color w:val="FF0000"/>
        </w:rPr>
        <w:t>JHWH</w:t>
      </w:r>
      <w:r>
        <w:rPr/>
        <w:t xml:space="preserve"> gesegnet hat.</w:t>
        <w:br/>
        <w:t xml:space="preserve">{{field-off:bible}} </w:t>
        <w:br/>
        <w:t>[[@BibleTOBIBLE:Ge 27:28]]</w:t>
      </w:r>
      <w:r>
        <w:rPr>
          <w:b/>
        </w:rPr>
        <w:t>28</w:t>
      </w:r>
      <w:r>
        <w:rPr/>
        <w:t xml:space="preserve"> {{field-on:bible}} </w:t>
        <w:br/>
        <w:t>Gott gebe dir</w:t>
        <w:br/>
        <w:t>vom Tau des Himmels</w:t>
        <w:br/>
        <w:t xml:space="preserve">und </w:t>
      </w:r>
      <w:r>
        <w:rPr>
          <w:color w:val="808080"/>
        </w:rPr>
        <w:t>(von der Fettigkeit =)</w:t>
      </w:r>
      <w:r>
        <w:rPr/>
        <w:t xml:space="preserve"> vom Ertrag der Erde,</w:t>
        <w:br/>
        <w:t xml:space="preserve">und </w:t>
      </w:r>
      <w:r>
        <w:rPr>
          <w:color w:val="808080"/>
        </w:rPr>
        <w:t>(Fülle =)</w:t>
      </w:r>
      <w:r>
        <w:rPr/>
        <w:t xml:space="preserve"> viel Getreide </w:t>
      </w:r>
      <w:r>
        <w:rPr>
          <w:color w:val="808080"/>
        </w:rPr>
        <w:t>(Korn)</w:t>
      </w:r>
      <w:r>
        <w:rPr/>
        <w:t xml:space="preserve"> und Wein.</w:t>
        <w:br/>
        <w:t xml:space="preserve">{{field-off:bible}} </w:t>
        <w:br/>
        <w:t>[[@BibleTOBIBLE:Ge 27:29]]</w:t>
      </w:r>
      <w:r>
        <w:rPr>
          <w:b/>
        </w:rPr>
        <w:t>29</w:t>
      </w:r>
      <w:r>
        <w:rPr/>
        <w:t xml:space="preserve"> {{field-on:bible}} </w:t>
        <w:br/>
        <w:t>Völker sollen dir dienen</w:t>
        <w:br/>
        <w:t>und Stämme sollen sich dir beugen</w:t>
      </w:r>
      <w:r>
        <w:rPr>
          <w:rStyle w:val="Funotenanker"/>
        </w:rPr>
        <w:footnoteReference w:customMarkFollows="1" w:id="619"/>
        <w:t>n</w:t>
      </w:r>
      <w:r>
        <w:rPr/>
        <w:t>.</w:t>
        <w:br/>
        <w:t>Sei Herr über deine Brüder,</w:t>
        <w:br/>
        <w:t>und die Söhne deiner Mutter sollen sich dir beugen.</w:t>
        <w:br/>
        <w:t>Wer dich verflucht, sei verflucht,</w:t>
        <w:br/>
        <w:t>und wer dich segnet, sei gesegnet.</w:t>
        <w:br/>
        <w:t xml:space="preserve">{{field-off:bible}} </w:t>
        <w:br/>
        <w:t>[[@BibleTOBIBLE:Ge 27:30]]</w:t>
      </w:r>
      <w:r>
        <w:rPr>
          <w:b/>
        </w:rPr>
        <w:t>30</w:t>
      </w:r>
      <w:r>
        <w:rPr/>
        <w:t xml:space="preserve"> {{field-on:bible}}Und es geschah, als Isaak </w:t>
      </w:r>
      <w:r>
        <w:rPr>
          <w:color w:val="808080"/>
        </w:rPr>
        <w:t>(fertig war, Jakob zu segnen =)</w:t>
      </w:r>
      <w:r>
        <w:rPr/>
        <w:t xml:space="preserve"> den Segen für Jakob beendet hatte, da geschah es jedoch, dass Jakob schleunigst wegging</w:t>
      </w:r>
      <w:r>
        <w:rPr>
          <w:rStyle w:val="Funotenanker"/>
        </w:rPr>
        <w:footnoteReference w:customMarkFollows="1" w:id="620"/>
        <w:t>o</w:t>
      </w:r>
      <w:r>
        <w:rPr/>
        <w:t xml:space="preserve"> </w:t>
      </w:r>
      <w:r>
        <w:rPr>
          <w:color w:val="808080"/>
        </w:rPr>
        <w:t>(vom Angesicht =)</w:t>
      </w:r>
      <w:r>
        <w:rPr/>
        <w:t xml:space="preserve"> von Isaak, seinem Vater, und Esau, sein Bruder, kam von seiner Jagd.{{field-off:bible}} </w:t>
        <w:br/>
        <w:t>[[@BibleTOBIBLE:Ge 27:31]]</w:t>
      </w:r>
      <w:r>
        <w:rPr>
          <w:b/>
        </w:rPr>
        <w:t>31</w:t>
      </w:r>
      <w:r>
        <w:rPr/>
        <w:t xml:space="preserve"> {{field-on:bible}}Auch er hatte einen Leckerbissen zubereitet und brachte </w:t>
      </w:r>
      <w:r>
        <w:rPr>
          <w:b/>
          <w:color w:val="808080"/>
        </w:rPr>
        <w:t>[</w:t>
      </w:r>
      <w:r>
        <w:rPr/>
        <w:t>ihn</w:t>
      </w:r>
      <w:r>
        <w:rPr>
          <w:b/>
          <w:color w:val="808080"/>
        </w:rPr>
        <w:t>]</w:t>
      </w:r>
      <w:r>
        <w:rPr/>
        <w:t xml:space="preserve"> seinem Vater und sprach zu seinem Vater: Steh auf, mein Vater, und iss vom Wilpret deines Sohnes, damit </w:t>
      </w:r>
      <w:r>
        <w:rPr>
          <w:color w:val="808080"/>
        </w:rPr>
        <w:t>(deine Seele =)</w:t>
      </w:r>
      <w:r>
        <w:rPr/>
        <w:t xml:space="preserve"> du mich segnest.{{field-off:bible}} </w:t>
        <w:br/>
        <w:t>[[@BibleTOBIBLE:Ge 27:32]]</w:t>
      </w:r>
      <w:r>
        <w:rPr>
          <w:b/>
        </w:rPr>
        <w:t>32</w:t>
      </w:r>
      <w:r>
        <w:rPr/>
        <w:t xml:space="preserve"> {{field-on:bible}}Da </w:t>
      </w:r>
      <w:r>
        <w:rPr>
          <w:color w:val="808080"/>
        </w:rPr>
        <w:t>(sprach =)</w:t>
      </w:r>
      <w:r>
        <w:rPr/>
        <w:t xml:space="preserve"> fragte ihn Isaak, sein Vater: Wer </w:t>
      </w:r>
      <w:r>
        <w:rPr>
          <w:b/>
          <w:color w:val="808080"/>
        </w:rPr>
        <w:t>[</w:t>
      </w:r>
      <w:r>
        <w:rPr/>
        <w:t>bist</w:t>
      </w:r>
      <w:r>
        <w:rPr>
          <w:b/>
          <w:color w:val="808080"/>
        </w:rPr>
        <w:t>]</w:t>
      </w:r>
      <w:r>
        <w:rPr/>
        <w:t xml:space="preserve"> du? Und er </w:t>
      </w:r>
      <w:r>
        <w:rPr>
          <w:color w:val="808080"/>
        </w:rPr>
        <w:t>(sprach =)</w:t>
      </w:r>
      <w:r>
        <w:rPr/>
        <w:t xml:space="preserve"> antwortete: Ich bin dein erstgeborener Sohn Esau.{{field-off:bible}} </w:t>
        <w:br/>
        <w:t>[[@BibleTOBIBLE:Ge 27:33]]</w:t>
      </w:r>
      <w:r>
        <w:rPr>
          <w:b/>
        </w:rPr>
        <w:t>33</w:t>
      </w:r>
      <w:r>
        <w:rPr/>
        <w:t xml:space="preserve"> {{field-on:bible}}Da erschrak Isaak heftig</w:t>
      </w:r>
      <w:r>
        <w:rPr>
          <w:rStyle w:val="Funotenanker"/>
        </w:rPr>
        <w:footnoteReference w:customMarkFollows="1" w:id="621"/>
        <w:t>p</w:t>
      </w:r>
      <w:r>
        <w:rPr/>
        <w:t xml:space="preserve"> und </w:t>
      </w:r>
      <w:r>
        <w:rPr>
          <w:color w:val="808080"/>
        </w:rPr>
        <w:t>(sagte =)</w:t>
      </w:r>
      <w:r>
        <w:rPr/>
        <w:t xml:space="preserve"> fragte: Wer war denn das, der das Wildpret jagte und </w:t>
      </w:r>
      <w:r>
        <w:rPr>
          <w:b/>
          <w:color w:val="808080"/>
        </w:rPr>
        <w:t>[</w:t>
      </w:r>
      <w:r>
        <w:rPr/>
        <w:t>es</w:t>
      </w:r>
      <w:r>
        <w:rPr>
          <w:b/>
          <w:color w:val="808080"/>
        </w:rPr>
        <w:t>]</w:t>
      </w:r>
      <w:r>
        <w:rPr/>
        <w:t xml:space="preserve"> mir brachte, und ich aß von allem, bevor du kamst, und segnete ihn? Er wird auch gesegnet bleiben.{{field-off:bible}} </w:t>
        <w:br/>
        <w:t>[[@BibleTOBIBLE:Ge 27:34]]</w:t>
      </w:r>
      <w:r>
        <w:rPr>
          <w:b/>
        </w:rPr>
        <w:t>34</w:t>
      </w:r>
      <w:r>
        <w:rPr/>
        <w:t xml:space="preserve"> {{field-on:bible}}Als Esau </w:t>
      </w:r>
      <w:r>
        <w:rPr>
          <w:color w:val="808080"/>
        </w:rPr>
        <w:t>(die Worte seines Vaters hörte =)</w:t>
      </w:r>
      <w:r>
        <w:rPr/>
        <w:t xml:space="preserve"> hörte, was sein Vater sagte, brach er in heftiges Klagegeschrei aus, und sein Kummer war sehr groß. Und er sprach zu seinem Vater: Segne auch mich, mein Vater!{{field-off:bible}} </w:t>
        <w:br/>
        <w:t>[[@BibleTOBIBLE:Ge 27:35]]</w:t>
      </w:r>
      <w:r>
        <w:rPr>
          <w:b/>
        </w:rPr>
        <w:t>35</w:t>
      </w:r>
      <w:r>
        <w:rPr/>
        <w:t xml:space="preserve"> {{field-on:bible}}Und </w:t>
      </w:r>
      <w:r>
        <w:rPr>
          <w:b/>
          <w:color w:val="808080"/>
        </w:rPr>
        <w:t>[</w:t>
      </w:r>
      <w:r>
        <w:rPr/>
        <w:t>Isaak</w:t>
      </w:r>
      <w:r>
        <w:rPr>
          <w:b/>
          <w:color w:val="808080"/>
        </w:rPr>
        <w:t>]</w:t>
      </w:r>
      <w:r>
        <w:rPr/>
        <w:t xml:space="preserve"> sprach: Dein Bruder kam mit List </w:t>
      </w:r>
      <w:r>
        <w:rPr>
          <w:color w:val="808080"/>
        </w:rPr>
        <w:t>(Betrug, Verrat)</w:t>
      </w:r>
      <w:r>
        <w:rPr/>
        <w:t xml:space="preserve"> und </w:t>
      </w:r>
      <w:r>
        <w:rPr>
          <w:color w:val="808080"/>
        </w:rPr>
        <w:t>(nahm =)</w:t>
      </w:r>
      <w:r>
        <w:rPr/>
        <w:t xml:space="preserve"> stahl deinen Segen.{{field-off:bible}} </w:t>
        <w:br/>
        <w:t>[[@BibleTOBIBLE:Ge 27:36]]</w:t>
      </w:r>
      <w:r>
        <w:rPr>
          <w:b/>
        </w:rPr>
        <w:t>36</w:t>
      </w:r>
      <w:r>
        <w:rPr/>
        <w:t xml:space="preserve"> {{field-on:bible}}Und </w:t>
      </w:r>
      <w:r>
        <w:rPr>
          <w:b/>
          <w:color w:val="808080"/>
        </w:rPr>
        <w:t>[</w:t>
      </w:r>
      <w:r>
        <w:rPr/>
        <w:t>Esau</w:t>
      </w:r>
      <w:r>
        <w:rPr>
          <w:b/>
          <w:color w:val="808080"/>
        </w:rPr>
        <w:t>]</w:t>
      </w:r>
      <w:r>
        <w:rPr/>
        <w:t xml:space="preserve"> sprach: </w:t>
      </w:r>
      <w:r>
        <w:rPr>
          <w:color w:val="808080"/>
        </w:rPr>
        <w:t>(Wird denn sein Name genannt =)</w:t>
      </w:r>
      <w:r>
        <w:rPr/>
        <w:t xml:space="preserve"> Heißt er </w:t>
      </w:r>
      <w:r>
        <w:rPr>
          <w:b/>
          <w:color w:val="808080"/>
        </w:rPr>
        <w:t>[</w:t>
      </w:r>
      <w:r>
        <w:rPr/>
        <w:t>nicht</w:t>
      </w:r>
      <w:r>
        <w:rPr>
          <w:b/>
          <w:color w:val="808080"/>
        </w:rPr>
        <w:t>]</w:t>
      </w:r>
      <w:r>
        <w:rPr/>
        <w:t xml:space="preserve"> Jakob?</w:t>
      </w:r>
      <w:r>
        <w:rPr>
          <w:rStyle w:val="Funotenanker"/>
        </w:rPr>
        <w:footnoteReference w:customMarkFollows="1" w:id="622"/>
        <w:t>q</w:t>
      </w:r>
      <w:r>
        <w:rPr/>
        <w:t xml:space="preserve"> Und </w:t>
      </w:r>
      <w:r>
        <w:rPr>
          <w:color w:val="808080"/>
        </w:rPr>
        <w:t>(dieser =)</w:t>
      </w:r>
      <w:r>
        <w:rPr/>
        <w:t xml:space="preserve"> er hat mich zweimal hintergangen </w:t>
      </w:r>
      <w:r>
        <w:rPr>
          <w:color w:val="808080"/>
        </w:rPr>
        <w:t>(betrogen)</w:t>
      </w:r>
      <w:r>
        <w:rPr/>
        <w:t xml:space="preserve"> </w:t>
      </w:r>
      <w:r>
        <w:rPr>
          <w:rStyle w:val="Funotenanker"/>
        </w:rPr>
        <w:footnoteReference w:customMarkFollows="1" w:id="623"/>
        <w:t>r</w:t>
      </w:r>
      <w:r>
        <w:rPr/>
        <w:t xml:space="preserve">: Meine Erstgeburt hat er </w:t>
      </w:r>
      <w:r>
        <w:rPr>
          <w:color w:val="808080"/>
        </w:rPr>
        <w:t>(genommen =)</w:t>
      </w:r>
      <w:r>
        <w:rPr/>
        <w:t xml:space="preserve"> gestohlen, und </w:t>
      </w:r>
      <w:r>
        <w:rPr>
          <w:color w:val="808080"/>
        </w:rPr>
        <w:t>(siehe =)</w:t>
      </w:r>
      <w:r>
        <w:rPr/>
        <w:t xml:space="preserve"> da, jetzt </w:t>
      </w:r>
      <w:r>
        <w:rPr>
          <w:color w:val="808080"/>
        </w:rPr>
        <w:t>(nimmt =)</w:t>
      </w:r>
      <w:r>
        <w:rPr/>
        <w:t xml:space="preserve"> stiehlt er meinen Segen! Und er </w:t>
      </w:r>
      <w:r>
        <w:rPr>
          <w:color w:val="808080"/>
        </w:rPr>
        <w:t>(sprach =)</w:t>
      </w:r>
      <w:r>
        <w:rPr/>
        <w:t xml:space="preserve"> fragte: Hast du für mich keinen Segen übrig gelassen </w:t>
      </w:r>
      <w:r>
        <w:rPr>
          <w:color w:val="808080"/>
        </w:rPr>
        <w:t>(zurückbehalten)</w:t>
      </w:r>
      <w:r>
        <w:rPr/>
        <w:t xml:space="preserve">?{{field-off:bible}} </w:t>
        <w:br/>
        <w:t>[[@BibleTOBIBLE:Ge 27:37]]</w:t>
      </w:r>
      <w:r>
        <w:rPr>
          <w:b/>
        </w:rPr>
        <w:t>37</w:t>
      </w:r>
      <w:r>
        <w:rPr/>
        <w:t xml:space="preserve"> {{field-on:bible}}Isaak antwortete </w:t>
      </w:r>
      <w:r>
        <w:rPr>
          <w:strike/>
          <w:color w:val="808080"/>
        </w:rPr>
        <w:t>{und sprach zu}</w:t>
      </w:r>
      <w:r>
        <w:rPr/>
        <w:t xml:space="preserve"> Esau: Sieh mal, ich habe ihn zum Herrn über dich gemacht </w:t>
      </w:r>
      <w:r>
        <w:rPr>
          <w:color w:val="808080"/>
        </w:rPr>
        <w:t>(eingesetzt)</w:t>
      </w:r>
      <w:r>
        <w:rPr/>
        <w:t xml:space="preserve">, alle seine Brüder habe ich ihm als Diener </w:t>
      </w:r>
      <w:r>
        <w:rPr>
          <w:color w:val="808080"/>
        </w:rPr>
        <w:t>(Knechte, Sklaven)</w:t>
      </w:r>
      <w:r>
        <w:rPr/>
        <w:t xml:space="preserve"> gegeben, mit Getreide und Wein habe ich ihn versehen </w:t>
      </w:r>
      <w:r>
        <w:rPr>
          <w:color w:val="808080"/>
        </w:rPr>
        <w:t>(ausgestattet)</w:t>
      </w:r>
      <w:r>
        <w:rPr/>
        <w:t xml:space="preserve">. Was kann ich noch für dich tun, mein Sohn?{{field-off:bible}} </w:t>
        <w:br/>
        <w:t>[[@BibleTOBIBLE:Ge 27:38]]</w:t>
      </w:r>
      <w:r>
        <w:rPr>
          <w:b/>
        </w:rPr>
        <w:t>38</w:t>
      </w:r>
      <w:r>
        <w:rPr/>
        <w:t xml:space="preserve"> {{field-on:bible}}Da sprach Esau zu seinem Vater: Hast du nicht einen Segen für mich, mein Vater? Segne auch mich, mein Vater! Und Esau </w:t>
      </w:r>
      <w:r>
        <w:rPr>
          <w:color w:val="808080"/>
        </w:rPr>
        <w:t>(erhob seine Stimme und weinte =)</w:t>
      </w:r>
      <w:r>
        <w:rPr/>
        <w:t xml:space="preserve"> fing an zu weinen.{{field-off:bible}} </w:t>
        <w:br/>
        <w:t>[[@BibleTOBIBLE:Ge 27:39]]</w:t>
      </w:r>
      <w:r>
        <w:rPr>
          <w:b/>
        </w:rPr>
        <w:t>39</w:t>
      </w:r>
      <w:r>
        <w:rPr/>
        <w:t xml:space="preserve"> {{field-on:bible}}Da antwortete sein Vater Isaak </w:t>
      </w:r>
      <w:r>
        <w:rPr>
          <w:strike/>
          <w:color w:val="808080"/>
        </w:rPr>
        <w:t>{und sprach zu ihm}</w:t>
      </w:r>
      <w:r>
        <w:rPr/>
        <w:t xml:space="preserve">: </w:t>
        <w:br/>
        <w:t xml:space="preserve">Sieh, </w:t>
      </w:r>
      <w:r>
        <w:rPr>
          <w:color w:val="808080"/>
        </w:rPr>
        <w:t>(fettes Land der Erde =)</w:t>
      </w:r>
      <w:r>
        <w:rPr/>
        <w:t xml:space="preserve"> </w:t>
      </w:r>
      <w:r>
        <w:rPr>
          <w:b/>
          <w:color w:val="808080"/>
        </w:rPr>
        <w:t>[</w:t>
      </w:r>
      <w:r>
        <w:rPr/>
        <w:t>un</w:t>
      </w:r>
      <w:r>
        <w:rPr>
          <w:b/>
          <w:color w:val="808080"/>
        </w:rPr>
        <w:t>]</w:t>
      </w:r>
      <w:r>
        <w:rPr/>
        <w:t>fruchtbare Landstriche</w:t>
      </w:r>
      <w:r>
        <w:rPr>
          <w:rStyle w:val="Funotenanker"/>
        </w:rPr>
        <w:footnoteReference w:customMarkFollows="1" w:id="624"/>
        <w:t>s</w:t>
      </w:r>
      <w:r>
        <w:rPr/>
        <w:t xml:space="preserve"> </w:t>
        <w:br/>
        <w:t>werden dein Wohnsitz sein,</w:t>
        <w:br/>
        <w:t>und ohne Tau vom Himmel.</w:t>
        <w:br/>
        <w:t xml:space="preserve">{{field-off:bible}} </w:t>
        <w:br/>
        <w:t>[[@BibleTOBIBLE:Ge 27:40]]</w:t>
      </w:r>
      <w:r>
        <w:rPr>
          <w:b/>
        </w:rPr>
        <w:t>40</w:t>
      </w:r>
      <w:r>
        <w:rPr/>
        <w:t xml:space="preserve"> {{field-on:bible}} </w:t>
        <w:br/>
        <w:t>Von deinem Schwert wirst du leben</w:t>
        <w:br/>
        <w:t>und deinem Bruder wirst du dienen.</w:t>
        <w:br/>
        <w:t>Aber es soll geschehen, wenn du dich anstrengst</w:t>
      </w:r>
      <w:r>
        <w:rPr>
          <w:rStyle w:val="Funotenanker"/>
        </w:rPr>
        <w:footnoteReference w:customMarkFollows="1" w:id="625"/>
        <w:t>t</w:t>
      </w:r>
      <w:r>
        <w:rPr/>
        <w:t>,</w:t>
        <w:br/>
        <w:t>wirst du sein Joch losreißen</w:t>
        <w:br/>
        <w:t>von deinem Nacken.</w:t>
        <w:br/>
        <w:t xml:space="preserve">{{field-off:bible}} </w:t>
        <w:br/>
        <w:t>[[@BibleTOBIBLE:Ge 27:41]]</w:t>
      </w:r>
      <w:r>
        <w:rPr>
          <w:b/>
        </w:rPr>
        <w:t>41</w:t>
      </w:r>
      <w:r>
        <w:rPr/>
        <w:t xml:space="preserve"> {{field-on:bible}}Esau feindete Jakob an wegen des Segens </w:t>
      </w:r>
      <w:r>
        <w:rPr>
          <w:color w:val="808080"/>
        </w:rPr>
        <w:t>(mit dem ihn sein Vater gesegnet hatte =)</w:t>
      </w:r>
      <w:r>
        <w:rPr/>
        <w:t xml:space="preserve"> den ihm sein Vater erteilt hatte. Und Esau sprach </w:t>
      </w:r>
      <w:r>
        <w:rPr>
          <w:color w:val="808080"/>
        </w:rPr>
        <w:t>(in seinem Herzen =)</w:t>
      </w:r>
      <w:r>
        <w:rPr/>
        <w:t xml:space="preserve"> zu sich: Es nähern sich die Tage der Trauer um meinen Vater. Dann werde ich meinen Bruder Jakob töten </w:t>
      </w:r>
      <w:r>
        <w:rPr>
          <w:color w:val="808080"/>
        </w:rPr>
        <w:t>(totschlagen)</w:t>
      </w:r>
      <w:r>
        <w:rPr/>
        <w:t xml:space="preserve">.{{field-off:bible}} </w:t>
        <w:br/>
        <w:t>[[@BibleTOBIBLE:Ge 27:42]]</w:t>
      </w:r>
      <w:r>
        <w:rPr>
          <w:b/>
        </w:rPr>
        <w:t>42</w:t>
      </w:r>
      <w:r>
        <w:rPr/>
        <w:t xml:space="preserve"> {{field-on:bible}}Als Rebekka die Worte Esaus, ihres älteren Sohnes, hinterbracht wurden </w:t>
      </w:r>
      <w:r>
        <w:rPr>
          <w:color w:val="808080"/>
        </w:rPr>
        <w:t>(man hinterbrachte Rebekka Esaus ... Worte)</w:t>
      </w:r>
      <w:r>
        <w:rPr/>
        <w:t xml:space="preserve">, sandte sie und rief nach Jakob, ihrem jüngeren Sohn, und sprach zu ihm: </w:t>
      </w:r>
      <w:r>
        <w:rPr>
          <w:color w:val="808080"/>
        </w:rPr>
        <w:t>(Siehe =)</w:t>
      </w:r>
      <w:r>
        <w:rPr/>
        <w:t xml:space="preserve"> Pass auf! Dein Bruder Esau will sich an dir rächen </w:t>
      </w:r>
      <w:r>
        <w:rPr>
          <w:color w:val="808080"/>
        </w:rPr>
        <w:t>(Rache nehmen)</w:t>
      </w:r>
      <w:r>
        <w:rPr/>
        <w:t xml:space="preserve"> </w:t>
      </w:r>
      <w:r>
        <w:rPr>
          <w:rStyle w:val="Funotenanker"/>
        </w:rPr>
        <w:footnoteReference w:customMarkFollows="1" w:id="626"/>
        <w:t>u</w:t>
      </w:r>
      <w:r>
        <w:rPr/>
        <w:t xml:space="preserve">, er will dich töten.{{field-off:bible}} </w:t>
        <w:br/>
        <w:t>[[@BibleTOBIBLE:Ge 27:43]]</w:t>
      </w:r>
      <w:r>
        <w:rPr>
          <w:b/>
        </w:rPr>
        <w:t>43</w:t>
      </w:r>
      <w:r>
        <w:rPr/>
        <w:t xml:space="preserve"> {{field-on:bible}}Pass auf, mein Sohn, höre auf </w:t>
      </w:r>
      <w:r>
        <w:rPr>
          <w:color w:val="808080"/>
        </w:rPr>
        <w:t>(meine Stimme =)</w:t>
      </w:r>
      <w:r>
        <w:rPr/>
        <w:t xml:space="preserve"> mich: Mach dich auf und fliehe zu Laban, meinem Bruder, nach Haran.{{field-off:bible}} </w:t>
        <w:br/>
        <w:t>[[@BibleTOBIBLE:Ge 27:44]]</w:t>
      </w:r>
      <w:r>
        <w:rPr>
          <w:b/>
        </w:rPr>
        <w:t>44</w:t>
      </w:r>
      <w:r>
        <w:rPr/>
        <w:t xml:space="preserve"> {{field-on:bible}}Du sollst bei ihm einige Tage </w:t>
      </w:r>
      <w:r>
        <w:rPr>
          <w:color w:val="808080"/>
        </w:rPr>
        <w:t>(wohnen =)</w:t>
      </w:r>
      <w:r>
        <w:rPr/>
        <w:t xml:space="preserve"> bleiben, bis sich der Zorn deines Bruders </w:t>
      </w:r>
      <w:r>
        <w:rPr>
          <w:color w:val="808080"/>
        </w:rPr>
        <w:t>(gewendet =)</w:t>
      </w:r>
      <w:r>
        <w:rPr/>
        <w:t xml:space="preserve"> gelegt hat.{{field-off:bible}} </w:t>
        <w:br/>
        <w:t>[[@BibleTOBIBLE:Ge 27:45]]</w:t>
      </w:r>
      <w:r>
        <w:rPr>
          <w:b/>
        </w:rPr>
        <w:t>45</w:t>
      </w:r>
      <w:r>
        <w:rPr/>
        <w:t xml:space="preserve"> {{field-on:bible}}Wenn der Zorn deines Bruders sich </w:t>
      </w:r>
      <w:r>
        <w:rPr>
          <w:color w:val="808080"/>
        </w:rPr>
        <w:t>(von dir gewendet =)</w:t>
      </w:r>
      <w:r>
        <w:rPr/>
        <w:t xml:space="preserve"> gelegt hat und er vergessen hat, was du ihm angetan hast, werde ich </w:t>
      </w:r>
      <w:r>
        <w:rPr>
          <w:b/>
          <w:color w:val="808080"/>
        </w:rPr>
        <w:t>[</w:t>
      </w:r>
      <w:r>
        <w:rPr/>
        <w:t>nach dir</w:t>
      </w:r>
      <w:r>
        <w:rPr>
          <w:b/>
          <w:color w:val="808080"/>
        </w:rPr>
        <w:t>]</w:t>
      </w:r>
      <w:r>
        <w:rPr/>
        <w:t xml:space="preserve"> schicken und dich von dort holen. Warum soll ich </w:t>
      </w:r>
      <w:r>
        <w:rPr>
          <w:color w:val="808080"/>
        </w:rPr>
        <w:t>(der Kinder beraubt werden =)</w:t>
      </w:r>
      <w:r>
        <w:rPr/>
        <w:t xml:space="preserve"> euch beide verlieren</w:t>
      </w:r>
      <w:r>
        <w:rPr>
          <w:rStyle w:val="Funotenanker"/>
        </w:rPr>
        <w:footnoteReference w:customMarkFollows="1" w:id="627"/>
        <w:t>v</w:t>
      </w:r>
      <w:r>
        <w:rPr/>
        <w:t xml:space="preserve"> an einem Tag?{{field-off:bible}} </w:t>
        <w:br/>
        <w:t>[[@BibleTOBIBLE:Ge 27:46]]</w:t>
      </w:r>
      <w:r>
        <w:rPr>
          <w:b/>
        </w:rPr>
        <w:t>46</w:t>
      </w:r>
      <w:r>
        <w:rPr/>
        <w:t xml:space="preserve"> {{field-on:bible}}Und Rebekka sprach zu Isaak: Ich bin lebensüberdrüssig </w:t>
      </w:r>
      <w:r>
        <w:rPr>
          <w:color w:val="808080"/>
        </w:rPr>
        <w:t>(ekle mich vor dem Leben)</w:t>
      </w:r>
      <w:r>
        <w:rPr/>
        <w:t xml:space="preserve"> wegen der </w:t>
      </w:r>
      <w:r>
        <w:rPr>
          <w:color w:val="808080"/>
        </w:rPr>
        <w:t>(Töchter Chets =)</w:t>
      </w:r>
      <w:r>
        <w:rPr/>
        <w:t xml:space="preserve"> Hetiterinnen. Wenn Jakob eine Frau von den </w:t>
      </w:r>
      <w:r>
        <w:rPr>
          <w:color w:val="808080"/>
        </w:rPr>
        <w:t>(Töchtern Chets =)</w:t>
      </w:r>
      <w:r>
        <w:rPr/>
        <w:t xml:space="preserve"> Hetiterinnen nimmt wie jener</w:t>
      </w:r>
      <w:r>
        <w:rPr>
          <w:rStyle w:val="Funotenanker"/>
        </w:rPr>
        <w:footnoteReference w:customMarkFollows="1" w:id="628"/>
        <w:t>w</w:t>
      </w:r>
      <w:r>
        <w:rPr/>
        <w:t xml:space="preserve"> </w:t>
      </w:r>
      <w:r>
        <w:rPr>
          <w:b/>
          <w:color w:val="808080"/>
        </w:rPr>
        <w:t>[</w:t>
      </w:r>
      <w:r>
        <w:rPr/>
        <w:t>sich eine Frau</w:t>
      </w:r>
      <w:r>
        <w:rPr>
          <w:b/>
          <w:color w:val="808080"/>
        </w:rPr>
        <w:t>]</w:t>
      </w:r>
      <w:r>
        <w:rPr/>
        <w:t xml:space="preserve"> von den Töchtern des Landes </w:t>
      </w:r>
      <w:r>
        <w:rPr>
          <w:b/>
          <w:color w:val="808080"/>
        </w:rPr>
        <w:t>[</w:t>
      </w:r>
      <w:r>
        <w:rPr/>
        <w:t>nahm</w:t>
      </w:r>
      <w:r>
        <w:rPr>
          <w:b/>
          <w:color w:val="808080"/>
        </w:rPr>
        <w:t>]</w:t>
      </w:r>
      <w:r>
        <w:rPr/>
        <w:t xml:space="preserve">, was soll mir das Leben </w:t>
      </w:r>
      <w:r>
        <w:rPr>
          <w:color w:val="808080"/>
        </w:rPr>
        <w:t>(warum soll ich noch leben)</w:t>
      </w:r>
      <w:r>
        <w:rPr/>
        <w:t xml:space="preserve">?{{field-off:bible}} </w:t>
      </w:r>
    </w:p>
    <w:p>
      <w:pPr>
        <w:pStyle w:val="Berschrift3"/>
        <w:rPr/>
      </w:pPr>
      <w:r>
        <w:rPr/>
        <w:t>[[@BibleTOBIBLE:Ge 29]]Kapitel 29</w:t>
      </w:r>
    </w:p>
    <w:p>
      <w:pPr>
        <w:pStyle w:val="Textkrper"/>
        <w:rPr/>
      </w:pPr>
      <w:r>
        <w:rPr/>
        <w:br/>
        <w:t>[[@BibleTOBIBLE:Ge 29:1]]</w:t>
      </w:r>
      <w:r>
        <w:rPr>
          <w:b/>
        </w:rPr>
        <w:t>1</w:t>
      </w:r>
      <w:r>
        <w:rPr/>
        <w:t xml:space="preserve"> {{field-on:bible}}Und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br/>
        <w:t>[[@BibleTOBIBLE:Ge 29:10]]</w:t>
      </w:r>
      <w:r>
        <w:rPr>
          <w:b/>
        </w:rPr>
        <w:t>10</w:t>
      </w:r>
      <w:r>
        <w:rPr/>
        <w:t xml:space="preserve"> {{field-on:bible}}Und es begab sich, als Jakob Rahel, die Tochter Labans, des Bruders seiner Mutter und das Kleinvieh Labans, des Bruders seiner Mutter sah, </w:t>
      </w:r>
      <w:r>
        <w:rPr>
          <w:b/>
          <w:color w:val="808080"/>
        </w:rPr>
        <w:t>[</w:t>
      </w:r>
      <w:r>
        <w:rPr/>
        <w:t>da</w:t>
      </w:r>
      <w:r>
        <w:rPr>
          <w:b/>
          <w:color w:val="808080"/>
        </w:rPr>
        <w:t>]</w:t>
      </w:r>
      <w:r>
        <w:rPr/>
        <w:t xml:space="preserve"> kam er hinzu, und Jakob wälzte den Stein von der Öffnung des Brunnens, und tränkte das Kleinvieh Labans, des Bruders seiner Mutter.{{field-off:bible}} </w:t>
        <w:br/>
        <w:t>[[@BibleTOBIBLE:Ge 29:13]]</w:t>
      </w:r>
      <w:r>
        <w:rPr>
          <w:b/>
        </w:rPr>
        <w:t>13</w:t>
      </w:r>
      <w:r>
        <w:rPr/>
        <w:t xml:space="preserve"> {{field-on:bible}}Und es geschah, als Laban die Nachricht von Jakob, dem Sohn seiner Schwester hörte, </w:t>
      </w:r>
      <w:r>
        <w:rPr>
          <w:b/>
          <w:color w:val="808080"/>
        </w:rPr>
        <w:t>[</w:t>
      </w:r>
      <w:r>
        <w:rPr/>
        <w:t>da</w:t>
      </w:r>
      <w:r>
        <w:rPr>
          <w:b/>
          <w:color w:val="808080"/>
        </w:rPr>
        <w:t>]</w:t>
      </w:r>
      <w:r>
        <w:rPr/>
        <w:t xml:space="preserve"> lief er hin, um ihn </w:t>
      </w:r>
      <w:r>
        <w:rPr>
          <w:color w:val="808080"/>
        </w:rPr>
        <w:t>(für ihn)</w:t>
      </w:r>
      <w:r>
        <w:rPr/>
        <w:t xml:space="preserve"> zu treffen und umarmte ihn und küsste ihn und brachte ihn in sein Haus. Und er sagte ihm all diese Worte.{{field-off:bible}} </w:t>
      </w:r>
    </w:p>
    <w:p>
      <w:pPr>
        <w:pStyle w:val="Berschrift3"/>
        <w:rPr/>
      </w:pPr>
      <w:r>
        <w:rPr/>
        <w:t>[[@BibleTOBIBLE:Ge 32]]Kapitel 32</w:t>
      </w:r>
    </w:p>
    <w:p>
      <w:pPr>
        <w:pStyle w:val="Textkrper"/>
        <w:rPr/>
      </w:pPr>
      <w:r>
        <w:rPr/>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629"/>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630"/>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631"/>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632"/>
        <w:t>a</w:t>
      </w:r>
      <w:r>
        <w:rPr/>
        <w:t xml:space="preserve"> hütete</w:t>
      </w:r>
      <w:r>
        <w:rPr>
          <w:rStyle w:val="Funotenanker"/>
        </w:rPr>
        <w:footnoteReference w:customMarkFollows="1" w:id="633"/>
        <w:t>b</w:t>
      </w:r>
      <w:r>
        <w:rPr/>
        <w:t xml:space="preserve"> mit seinen Brüdern das Kleinvieh</w:t>
      </w:r>
      <w:r>
        <w:rPr>
          <w:rStyle w:val="Funotenanker"/>
        </w:rPr>
        <w:footnoteReference w:customMarkFollows="1" w:id="634"/>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635"/>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636"/>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637"/>
        <w:t>f</w:t>
      </w:r>
      <w:r>
        <w:rPr/>
        <w:t xml:space="preserve"> König über uns sein, </w:t>
      </w:r>
      <w:r>
        <w:rPr>
          <w:strike/>
          <w:color w:val="808080"/>
        </w:rPr>
        <w:t>{oder}</w:t>
      </w:r>
      <w:r>
        <w:rPr/>
        <w:t xml:space="preserve"> </w:t>
      </w:r>
      <w:r>
        <w:rPr>
          <w:rStyle w:val="Funotenanker"/>
        </w:rPr>
        <w:footnoteReference w:customMarkFollows="1" w:id="638"/>
        <w:t>g</w:t>
      </w:r>
      <w:r>
        <w:rPr/>
        <w:t xml:space="preserve"> willst du </w:t>
      </w:r>
      <w:r>
        <w:rPr>
          <w:strike/>
          <w:color w:val="808080"/>
        </w:rPr>
        <w:t>{etwa}</w:t>
      </w:r>
      <w:r>
        <w:rPr/>
        <w:t xml:space="preserve"> über uns herrschen? Und sie hassten sie ihn noch mehr</w:t>
      </w:r>
      <w:r>
        <w:rPr>
          <w:rStyle w:val="Funotenanker"/>
        </w:rPr>
        <w:footnoteReference w:customMarkFollows="1" w:id="639"/>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640"/>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641"/>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642"/>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643"/>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644"/>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645"/>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646"/>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647"/>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648"/>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649"/>
        <w:t>r</w:t>
      </w:r>
      <w:r>
        <w:rPr/>
        <w:t xml:space="preserve"> Balsam und Ladanum.</w:t>
      </w:r>
      <w:r>
        <w:rPr>
          <w:rStyle w:val="Funotenanker"/>
        </w:rPr>
        <w:footnoteReference w:customMarkFollows="1" w:id="650"/>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651"/>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652"/>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653"/>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654"/>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655"/>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656"/>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657"/>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658"/>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659"/>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660"/>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661"/>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662"/>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663"/>
        <w:t>e</w:t>
      </w:r>
      <w:r>
        <w:rPr/>
        <w:t xml:space="preserve"> und gehe mit ihr die Schwagerehe ein</w:t>
      </w:r>
      <w:r>
        <w:rPr>
          <w:rStyle w:val="Funotenanker"/>
        </w:rPr>
        <w:footnoteReference w:customMarkFollows="1" w:id="664"/>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665"/>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666"/>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667"/>
        <w:t>i</w:t>
      </w:r>
      <w:r>
        <w:rPr/>
        <w:t xml:space="preserve"> damit wir nicht zum Gespött </w:t>
      </w:r>
      <w:r>
        <w:rPr>
          <w:color w:val="808080"/>
        </w:rPr>
        <w:t>(zum Verachtung, zu Verachteten)</w:t>
      </w:r>
      <w:r>
        <w:rPr/>
        <w:t xml:space="preserve"> werden.</w:t>
      </w:r>
      <w:r>
        <w:rPr>
          <w:rStyle w:val="Funotenanker"/>
        </w:rPr>
        <w:footnoteReference w:customMarkFollows="1" w:id="668"/>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669"/>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670"/>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671"/>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72"/>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73"/>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74"/>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75"/>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76"/>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77"/>
        <w:t>d</w:t>
      </w:r>
      <w:r>
        <w:rPr/>
        <w:t xml:space="preserve"> hat zu uns einen Hebräer gebracht, damit er</w:t>
      </w:r>
      <w:r>
        <w:rPr>
          <w:rStyle w:val="Funotenanker"/>
        </w:rPr>
        <w:footnoteReference w:customMarkFollows="1" w:id="678"/>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79"/>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80"/>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81"/>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82"/>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{{field-on:bible}}Und es geschah nach diesen Ereignissen </w:t>
      </w:r>
      <w:r>
        <w:rPr>
          <w:color w:val="808080"/>
        </w:rPr>
        <w:t>(Dingen, Worten)</w:t>
      </w:r>
      <w:r>
        <w:rPr/>
        <w:t xml:space="preserve">, dass sich der Mundschenk des Königs Ägyptens und der Bäcker verfehlten </w:t>
      </w:r>
      <w:r>
        <w:rPr>
          <w:color w:val="808080"/>
        </w:rPr>
        <w:t>(versündigten)</w:t>
      </w:r>
      <w:r>
        <w:rPr/>
        <w:t xml:space="preserve">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83"/>
        <w:t>a</w:t>
      </w:r>
      <w:r>
        <w:rPr/>
        <w:t xml:space="preserve"> {{field-off:bible}} </w:t>
        <w:br/>
        <w:t>[[@BibleTOBIBLE:Ge 40:3]]</w:t>
      </w:r>
      <w:r>
        <w:rPr>
          <w:b/>
        </w:rPr>
        <w:t>3</w:t>
      </w:r>
      <w:r>
        <w:rPr/>
        <w:t xml:space="preserve"> {{field-on:bible}}Und er gab sie in Bewachung </w:t>
      </w:r>
      <w:r>
        <w:rPr>
          <w:color w:val="808080"/>
        </w:rPr>
        <w:t>(Aufsicht, Haft)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betraute Josef mit ihnen </w:t>
      </w:r>
      <w:r>
        <w:rPr>
          <w:color w:val="808080"/>
        </w:rPr>
        <w:t>(ordnete Josef ihnen zu)</w:t>
      </w:r>
      <w:r>
        <w:rPr/>
        <w:t xml:space="preserve">, und er </w:t>
      </w:r>
      <w:r>
        <w:rPr>
          <w:color w:val="808080"/>
        </w:rPr>
        <w:t>(Josef)</w:t>
      </w:r>
      <w:r>
        <w:rPr/>
        <w:t xml:space="preserve"> bediente sie </w:t>
      </w:r>
      <w:r>
        <w:rPr>
          <w:color w:val="808080"/>
        </w:rPr>
        <w:t>(diente ihnen, kümmerte sich um sie)</w:t>
      </w:r>
      <w:r>
        <w:rPr/>
        <w:t xml:space="preserve">. Und sie waren </w:t>
      </w:r>
      <w:r>
        <w:rPr>
          <w:b/>
          <w:color w:val="808080"/>
        </w:rPr>
        <w:t>[</w:t>
      </w:r>
      <w:r>
        <w:rPr/>
        <w:t>einige</w:t>
      </w:r>
      <w:r>
        <w:rPr>
          <w:b/>
          <w:color w:val="808080"/>
        </w:rPr>
        <w:t>]</w:t>
      </w:r>
      <w:r>
        <w:rPr/>
        <w:t xml:space="preserve"> Tage </w:t>
      </w:r>
      <w:r>
        <w:rPr>
          <w:color w:val="808080"/>
        </w:rPr>
        <w:t>(einige Zeit)</w:t>
      </w:r>
      <w:r>
        <w:rPr/>
        <w:t xml:space="preserve"> in Bewachung </w:t>
      </w:r>
      <w:r>
        <w:rPr>
          <w:color w:val="808080"/>
        </w:rPr>
        <w:t>(Aufsicht, Haft)</w:t>
      </w:r>
      <w:r>
        <w:rPr/>
        <w:t xml:space="preserve">.{{field-off:bible}} </w:t>
        <w:br/>
        <w:t>[[@BibleTOBIBLE:Ge 40:5]]</w:t>
      </w:r>
      <w:r>
        <w:rPr>
          <w:b/>
        </w:rPr>
        <w:t>5</w:t>
      </w:r>
      <w:r>
        <w:rPr/>
        <w:t xml:space="preserve"> {{field-on:bible}}Und es träumten beide von ihnen </w:t>
      </w:r>
      <w:r>
        <w:rPr>
          <w:color w:val="808080"/>
        </w:rPr>
        <w:t>(sie beide)</w:t>
      </w:r>
      <w:r>
        <w:rPr/>
        <w:t xml:space="preserve"> einen Traum, jeder seinen Traum, in einer </w:t>
      </w:r>
      <w:r>
        <w:rPr>
          <w:color w:val="808080"/>
        </w:rPr>
        <w:t>(derselben)</w:t>
      </w:r>
      <w:r>
        <w:rPr/>
        <w:t xml:space="preserve"> Nacht, jeder gemäß der Bedeutung </w:t>
      </w:r>
      <w:r>
        <w:rPr>
          <w:color w:val="808080"/>
        </w:rPr>
        <w:t>(Auslegung,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{und 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Bewachung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84"/>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85"/>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w:t>
      </w:r>
      <w:r>
        <w:rPr>
          <w:color w:val="808080"/>
        </w:rPr>
        <w:t>(Weinstock)</w:t>
      </w:r>
      <w:r>
        <w:rPr/>
        <w:t xml:space="preserv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Weinranken </w:t>
      </w:r>
      <w:r>
        <w:rPr>
          <w:color w:val="808080"/>
        </w:rPr>
        <w:t>(Sprosse, Zweige)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86"/>
        <w:t>d</w:t>
      </w:r>
      <w:r>
        <w:rPr/>
        <w:t xml:space="preserve"> Ihre Trauben brachten Beeren zur Reife.</w:t>
      </w:r>
      <w:r>
        <w:rPr>
          <w:rStyle w:val="Funotenanker"/>
        </w:rPr>
        <w:footnoteReference w:customMarkFollows="1" w:id="687"/>
        <w:t>e</w:t>
      </w:r>
      <w:r>
        <w:rPr/>
        <w:t xml:space="preserve"> {{field-off:bible}} </w:t>
        <w:br/>
        <w:t>[[@BibleTOBIBLE:Ge 40:11]]</w:t>
      </w:r>
      <w:r>
        <w:rPr>
          <w:b/>
        </w:rPr>
        <w:t>11</w:t>
      </w:r>
      <w:r>
        <w:rPr/>
        <w:t xml:space="preserve"> {{field-on:bible}}Und </w:t>
      </w:r>
      <w:r>
        <w:rPr>
          <w:color w:val="808080"/>
        </w:rPr>
        <w:t>(aber)</w:t>
      </w:r>
      <w:r>
        <w:rPr/>
        <w:t xml:space="preserve"> der Becher des Pharaos </w:t>
      </w:r>
      <w:r>
        <w:rPr>
          <w:b/>
          <w:color w:val="808080"/>
        </w:rPr>
        <w:t>[</w:t>
      </w:r>
      <w:r>
        <w:rPr/>
        <w:t>war</w:t>
      </w:r>
      <w:r>
        <w:rPr>
          <w:b/>
          <w:color w:val="808080"/>
        </w:rPr>
        <w:t>]</w:t>
      </w:r>
      <w:r>
        <w:rPr/>
        <w:t xml:space="preserve"> in meiner Hand. Und ich nahm die Beeren und ich presste sie aus </w:t>
      </w:r>
      <w:r>
        <w:rPr>
          <w:color w:val="808080"/>
        </w:rPr>
        <w:t>(zerdrückte sie)</w:t>
      </w:r>
      <w:r>
        <w:rPr/>
        <w:t xml:space="preserve"> in den Becher des Pharaos. Und ich gab den Becher in die Hand des Pharaos.{{field-off:bible}} </w:t>
        <w:br/>
        <w:t>[[@BibleTOBIBLE:Ge 40:12]]</w:t>
      </w:r>
      <w:r>
        <w:rPr>
          <w:b/>
        </w:rPr>
        <w:t>12</w:t>
      </w:r>
      <w:r>
        <w:rPr/>
        <w:t xml:space="preserve"> {{field-on:bible}}Und es sagte ihm Josef: Dies ist seine Bedeutung </w:t>
      </w:r>
      <w:r>
        <w:rPr>
          <w:color w:val="808080"/>
        </w:rPr>
        <w:t>(die Bedeutung des Traums)</w:t>
      </w:r>
      <w:r>
        <w:rPr/>
        <w:t xml:space="preserve">: Die drei Weinranken, sie </w:t>
      </w:r>
      <w:r>
        <w:rPr>
          <w:b/>
          <w:color w:val="808080"/>
        </w:rPr>
        <w:t>[</w:t>
      </w:r>
      <w:r>
        <w:rPr/>
        <w:t>bedeuten</w:t>
      </w:r>
      <w:r>
        <w:rPr>
          <w:b/>
          <w:color w:val="808080"/>
        </w:rPr>
        <w:t>]</w:t>
      </w:r>
      <w:r>
        <w:rPr/>
        <w:t xml:space="preserve"> drei Tage.{{field-off:bible}} </w:t>
        <w:br/>
        <w:t>[[@BibleTOBIBLE:Ge 40:13]]</w:t>
      </w:r>
      <w:r>
        <w:rPr>
          <w:b/>
        </w:rPr>
        <w:t>13</w:t>
      </w:r>
      <w:r>
        <w:rPr/>
        <w:t xml:space="preserve"> {{field-on:bible}}In </w:t>
      </w:r>
      <w:r>
        <w:rPr>
          <w:strike/>
          <w:color w:val="808080"/>
        </w:rPr>
        <w:t>{noch}</w:t>
      </w:r>
      <w:r>
        <w:rPr/>
        <w:t xml:space="preserve"> drei Tagen wird der Pharao dich begnadigen</w:t>
      </w:r>
      <w:r>
        <w:rPr>
          <w:rStyle w:val="Funotenanker"/>
        </w:rPr>
        <w:footnoteReference w:customMarkFollows="1" w:id="688"/>
        <w:t>f</w:t>
      </w:r>
      <w:r>
        <w:rPr/>
        <w:t xml:space="preserve"> und dich in </w:t>
      </w:r>
      <w:r>
        <w:rPr>
          <w:color w:val="808080"/>
        </w:rPr>
        <w:t>(auf)</w:t>
      </w:r>
      <w:r>
        <w:rPr/>
        <w:t xml:space="preserve"> dein Amt zurückkehren lassen </w:t>
      </w:r>
      <w:r>
        <w:rPr>
          <w:color w:val="808080"/>
        </w:rPr>
        <w:t>(zurückbringen)</w:t>
      </w:r>
      <w:r>
        <w:rPr/>
        <w:t xml:space="preserve">. Und du wirst den Becher des Pharaos in seine Hand geben, gemäß der früheren </w:t>
      </w:r>
      <w:r>
        <w:rPr>
          <w:color w:val="808080"/>
        </w:rPr>
        <w:t>(vorherigen)</w:t>
      </w:r>
      <w:r>
        <w:rPr/>
        <w:t xml:space="preserve"> Sitte </w:t>
      </w:r>
      <w:r>
        <w:rPr>
          <w:color w:val="808080"/>
        </w:rPr>
        <w:t>(Gewohnheit, Recht)</w:t>
      </w:r>
      <w:r>
        <w:rPr/>
        <w:t>,</w:t>
      </w:r>
      <w:r>
        <w:rPr>
          <w:rStyle w:val="Funotenanker"/>
        </w:rPr>
        <w:footnoteReference w:customMarkFollows="1" w:id="689"/>
        <w:t>g</w:t>
      </w:r>
      <w:r>
        <w:rPr/>
        <w:t xml:space="preserve"> als du sein Mundschenk warst.{{field-off:bible}} </w:t>
        <w:br/>
        <w:t>[[@BibleTOBIBLE:Ge 40:14]]</w:t>
      </w:r>
      <w:r>
        <w:rPr>
          <w:b/>
        </w:rPr>
        <w:t>14</w:t>
      </w:r>
      <w:r>
        <w:rPr/>
        <w:t xml:space="preserve"> {{field-on:bible}}Aber </w:t>
      </w:r>
      <w:r>
        <w:rPr>
          <w:b/>
          <w:color w:val="808080"/>
        </w:rPr>
        <w:t>[</w:t>
      </w:r>
      <w:r>
        <w:rPr/>
        <w:t>bitte</w:t>
      </w:r>
      <w:r>
        <w:rPr>
          <w:b/>
          <w:color w:val="808080"/>
        </w:rPr>
        <w:t>]</w:t>
      </w:r>
      <w:r>
        <w:rPr/>
        <w:t xml:space="preserve"> erinnere dich an mich, wenn es dir gut geht, und tue </w:t>
      </w:r>
      <w:r>
        <w:rPr>
          <w:color w:val="808080"/>
        </w:rPr>
        <w:t>(erweise)</w:t>
      </w:r>
      <w:r>
        <w:rPr/>
        <w:t xml:space="preserve"> mir doch Gnade </w:t>
      </w:r>
      <w:r>
        <w:rPr>
          <w:color w:val="808080"/>
        </w:rPr>
        <w:t>(Barmherzigkeit)</w:t>
      </w:r>
      <w:r>
        <w:rPr/>
        <w:t xml:space="preserve">, und erwähne mich gegenüber dem Pharao und hole </w:t>
      </w:r>
      <w:r>
        <w:rPr>
          <w:color w:val="808080"/>
        </w:rPr>
        <w:t>(bringe)</w:t>
      </w:r>
      <w:r>
        <w:rPr/>
        <w:t xml:space="preserve"> mich aus diesem Haus </w:t>
      </w:r>
      <w:r>
        <w:rPr>
          <w:color w:val="808080"/>
        </w:rPr>
        <w:t>(heraus)</w:t>
      </w:r>
      <w:r>
        <w:rPr/>
        <w:t xml:space="preserve">.{{field-off:bible}} </w:t>
        <w:br/>
        <w:t>[[@BibleTOBIBLE:Ge 40:15]]</w:t>
      </w:r>
      <w:r>
        <w:rPr>
          <w:b/>
        </w:rPr>
        <w:t>15</w:t>
      </w:r>
      <w:r>
        <w:rPr/>
        <w:t xml:space="preserve"> {{field-on:bible}}Denn ich bin aus dem Land der Hebräer geraubt </w:t>
      </w:r>
      <w:r>
        <w:rPr>
          <w:color w:val="808080"/>
        </w:rPr>
        <w:t>(entführt)</w:t>
      </w:r>
      <w:r>
        <w:rPr/>
        <w:t xml:space="preserve"> worden. Außerdem </w:t>
      </w:r>
      <w:r>
        <w:rPr>
          <w:color w:val="808080"/>
        </w:rPr>
        <w:t>(auch)</w:t>
      </w:r>
      <w:r>
        <w:rPr/>
        <w:t xml:space="preserve"> habe ich hier nichts getan, dass man mich hätte ins Gefängnis stecken müssen </w:t>
      </w:r>
      <w:r>
        <w:rPr>
          <w:color w:val="808080"/>
        </w:rPr>
        <w:t>(werfen müsste)</w:t>
      </w:r>
      <w:r>
        <w:rPr/>
        <w:t xml:space="preserve">.{{field-off:bible}} </w:t>
        <w:br/>
        <w:t>[[@BibleTOBIBLE:Ge 40:16]]</w:t>
      </w:r>
      <w:r>
        <w:rPr>
          <w:b/>
        </w:rPr>
        <w:t>16</w:t>
      </w:r>
      <w:r>
        <w:rPr/>
        <w:t xml:space="preserve"> {{field-on:bible}}Und es sah der oberste Bäcker, dass er </w:t>
      </w:r>
      <w:r>
        <w:rPr>
          <w:b/>
          <w:color w:val="808080"/>
        </w:rPr>
        <w:t>[</w:t>
      </w:r>
      <w:r>
        <w:rPr/>
        <w:t>den Traum</w:t>
      </w:r>
      <w:r>
        <w:rPr>
          <w:b/>
          <w:color w:val="808080"/>
        </w:rPr>
        <w:t>]</w:t>
      </w:r>
      <w:r>
        <w:rPr/>
        <w:t xml:space="preserve"> gut </w:t>
      </w:r>
      <w:r>
        <w:rPr>
          <w:color w:val="808080"/>
        </w:rPr>
        <w:t>(positiv)</w:t>
      </w:r>
      <w:r>
        <w:rPr/>
        <w:t xml:space="preserve"> gedeutet </w:t>
      </w:r>
      <w:r>
        <w:rPr>
          <w:color w:val="808080"/>
        </w:rPr>
        <w:t>(ausgelegt, interpretiert)</w:t>
      </w:r>
      <w:r>
        <w:rPr/>
        <w:t xml:space="preserve"> hatte. Und er sagte zu Joseph: Genau </w:t>
      </w:r>
      <w:r>
        <w:rPr>
          <w:color w:val="808080"/>
        </w:rPr>
        <w:t>(ganz, so)</w:t>
      </w:r>
      <w:r>
        <w:rPr/>
        <w:t xml:space="preserve"> wie ich in meinem Traum! Da waren </w:t>
      </w:r>
      <w:r>
        <w:rPr>
          <w:color w:val="808080"/>
        </w:rPr>
        <w:t>(und siehe)</w:t>
      </w:r>
      <w:r>
        <w:rPr/>
        <w:t xml:space="preserve"> drei Körbe </w:t>
      </w:r>
      <w:r>
        <w:rPr>
          <w:b/>
          <w:color w:val="808080"/>
        </w:rPr>
        <w:t>[</w:t>
      </w:r>
      <w:r>
        <w:rPr/>
        <w:t>mit</w:t>
      </w:r>
      <w:r>
        <w:rPr>
          <w:b/>
          <w:color w:val="808080"/>
        </w:rPr>
        <w:t>]</w:t>
      </w:r>
      <w:r>
        <w:rPr/>
        <w:t xml:space="preserve"> Weißbrot auf meinem Kopf.</w:t>
      </w:r>
      <w:r>
        <w:rPr>
          <w:rStyle w:val="Funotenanker"/>
        </w:rPr>
        <w:footnoteReference w:customMarkFollows="1" w:id="690"/>
        <w:t>h</w:t>
      </w:r>
      <w:r>
        <w:rPr/>
        <w:t xml:space="preserve"> {{field-off:bible}} </w:t>
        <w:br/>
        <w:t>[[@BibleTOBIBLE:Ge 40:17]]</w:t>
      </w:r>
      <w:r>
        <w:rPr>
          <w:b/>
        </w:rPr>
        <w:t>17</w:t>
      </w:r>
      <w:r>
        <w:rPr/>
        <w:t xml:space="preserve"> {{field-on:bible}}Und im obersten Korb vom ganzen Essen des Pharaos war Backwerk. Und die Vögel fraßen sie </w:t>
      </w:r>
      <w:r>
        <w:rPr>
          <w:color w:val="808080"/>
        </w:rPr>
        <w:t>(die Brote)</w:t>
      </w:r>
      <w:r>
        <w:rPr/>
        <w:t xml:space="preserve"> vom Korb auf meinem Kopf.{{field-off:bible}} </w:t>
        <w:br/>
        <w:t>[[@BibleTOBIBLE:Ge 40:18]]</w:t>
      </w:r>
      <w:r>
        <w:rPr>
          <w:b/>
        </w:rPr>
        <w:t>18</w:t>
      </w:r>
      <w:r>
        <w:rPr/>
        <w:t xml:space="preserve"> {{field-on:bible}}Und es antwortete Josef </w:t>
      </w:r>
      <w:r>
        <w:rPr>
          <w:strike/>
          <w:color w:val="808080"/>
        </w:rPr>
        <w:t>{und er sagte}</w:t>
      </w:r>
      <w:r>
        <w:rPr/>
        <w:t xml:space="preserve">: Dies ist seine Bedeutung </w:t>
      </w:r>
      <w:r>
        <w:rPr>
          <w:color w:val="808080"/>
        </w:rPr>
        <w:t>(die Bedeutung des Traums)</w:t>
      </w:r>
      <w:r>
        <w:rPr/>
        <w:t xml:space="preserve">: Die drei Körbe, sie </w:t>
      </w:r>
      <w:r>
        <w:rPr>
          <w:b/>
          <w:color w:val="808080"/>
        </w:rPr>
        <w:t>[</w:t>
      </w:r>
      <w:r>
        <w:rPr/>
        <w:t>bedeuten</w:t>
      </w:r>
      <w:r>
        <w:rPr>
          <w:b/>
          <w:color w:val="808080"/>
        </w:rPr>
        <w:t>]</w:t>
      </w:r>
      <w:r>
        <w:rPr/>
        <w:t xml:space="preserve"> drei Tage.{{field-off:bible}} </w:t>
        <w:br/>
        <w:t>[[@BibleTOBIBLE:Ge 40:19]]</w:t>
      </w:r>
      <w:r>
        <w:rPr>
          <w:b/>
        </w:rPr>
        <w:t>19</w:t>
      </w:r>
      <w:r>
        <w:rPr/>
        <w:t xml:space="preserve"> {{field-on:bible}}In </w:t>
      </w:r>
      <w:r>
        <w:rPr>
          <w:strike/>
          <w:color w:val="808080"/>
        </w:rPr>
        <w:t>{noch}</w:t>
      </w:r>
      <w:r>
        <w:rPr/>
        <w:t xml:space="preserve"> drei Tagen wird der Pharao dich enthaupten</w:t>
      </w:r>
      <w:r>
        <w:rPr>
          <w:rStyle w:val="Funotenanker"/>
        </w:rPr>
        <w:footnoteReference w:customMarkFollows="1" w:id="691"/>
        <w:t>i</w:t>
      </w:r>
      <w:r>
        <w:rPr/>
        <w:t xml:space="preserve"> </w:t>
      </w:r>
      <w:r>
        <w:rPr>
          <w:b/>
          <w:color w:val="808080"/>
        </w:rPr>
        <w:t>[</w:t>
      </w:r>
      <w:r>
        <w:rPr/>
        <w:t>lassen</w:t>
      </w:r>
      <w:r>
        <w:rPr>
          <w:b/>
          <w:color w:val="808080"/>
        </w:rPr>
        <w:t>]</w:t>
      </w:r>
      <w:r>
        <w:rPr/>
        <w:t xml:space="preserve"> und dich an einem Holzpfahl </w:t>
      </w:r>
      <w:r>
        <w:rPr>
          <w:color w:val="808080"/>
        </w:rPr>
        <w:t>(Baum, Holz)</w:t>
      </w:r>
      <w:r>
        <w:rPr/>
        <w:t xml:space="preserve"> aufhängen </w:t>
      </w:r>
      <w:r>
        <w:rPr>
          <w:b/>
          <w:color w:val="808080"/>
        </w:rPr>
        <w:t>[</w:t>
      </w:r>
      <w:r>
        <w:rPr/>
        <w:t>lassen</w:t>
      </w:r>
      <w:r>
        <w:rPr>
          <w:b/>
          <w:color w:val="808080"/>
        </w:rPr>
        <w:t>]</w:t>
      </w:r>
      <w:r>
        <w:rPr/>
        <w:t xml:space="preserve">, so dass die Vögel dein Fleisch von dir abfressen werden.{{field-off:bible}} </w:t>
        <w:br/>
        <w:t>[[@BibleTOBIBLE:Ge 40:20]]</w:t>
      </w:r>
      <w:r>
        <w:rPr>
          <w:b/>
        </w:rPr>
        <w:t>20</w:t>
      </w:r>
      <w:r>
        <w:rPr/>
        <w:t xml:space="preserve"> {{field-on:bible}}Und es geschah am dritten Tag, am Geburtstag des Pharaos, als er </w:t>
      </w:r>
      <w:r>
        <w:rPr>
          <w:color w:val="808080"/>
        </w:rPr>
        <w:t>(der Pharaoh)</w:t>
      </w:r>
      <w:r>
        <w:rPr/>
        <w:t xml:space="preserve"> ein Festmahl für alle seine Untergebenen </w:t>
      </w:r>
      <w:r>
        <w:rPr>
          <w:color w:val="808080"/>
        </w:rPr>
        <w:t>(Diener, Knechte)</w:t>
      </w:r>
      <w:r>
        <w:rPr/>
        <w:t xml:space="preserve"> veranstaltete, dass er den Kopf des obersten Mundschenks und den Kopf des obersten Bäckers inmitten seiner Untergebenen erhob.{{field-off:bible}} </w:t>
        <w:br/>
        <w:t>[[@BibleTOBIBLE:Ge 40:21]]</w:t>
      </w:r>
      <w:r>
        <w:rPr>
          <w:b/>
        </w:rPr>
        <w:t>21</w:t>
      </w:r>
      <w:r>
        <w:rPr/>
        <w:t xml:space="preserve"> {{field-on:bible}}Und er machte den obersten Mundschenk wieder zu seinem Mundschenk </w:t>
      </w:r>
      <w:r>
        <w:rPr>
          <w:color w:val="808080"/>
        </w:rPr>
        <w:t>(brachte zurück als seinen Mundschenk)</w:t>
      </w:r>
      <w:r>
        <w:rPr/>
        <w:t xml:space="preserve">, sodass er den Becher </w:t>
      </w:r>
      <w:r>
        <w:rPr>
          <w:b/>
          <w:color w:val="808080"/>
        </w:rPr>
        <w:t>[</w:t>
      </w:r>
      <w:r>
        <w:rPr/>
        <w:t>wieder</w:t>
      </w:r>
      <w:r>
        <w:rPr>
          <w:b/>
          <w:color w:val="808080"/>
        </w:rPr>
        <w:t>]</w:t>
      </w:r>
      <w:r>
        <w:rPr/>
        <w:t xml:space="preserve"> in die Hand des Pharaos gab.{{field-off:bible}} </w:t>
        <w:br/>
        <w:t>[[@BibleTOBIBLE:Ge 40:22]]</w:t>
      </w:r>
      <w:r>
        <w:rPr>
          <w:b/>
        </w:rPr>
        <w:t>22</w:t>
      </w:r>
      <w:r>
        <w:rPr/>
        <w:t xml:space="preserve"> {{field-on:bible}}Den obersten Bäcker hingegen </w:t>
      </w:r>
      <w:r>
        <w:rPr>
          <w:b/>
          <w:color w:val="808080"/>
        </w:rPr>
        <w:t>[</w:t>
      </w:r>
      <w:r>
        <w:rPr/>
        <w:t>ließ</w:t>
      </w:r>
      <w:r>
        <w:rPr>
          <w:b/>
          <w:color w:val="808080"/>
        </w:rPr>
        <w:t>]</w:t>
      </w:r>
      <w:r>
        <w:rPr/>
        <w:t xml:space="preserve"> er aufhängen, wie Josef </w:t>
      </w:r>
      <w:r>
        <w:rPr>
          <w:b/>
          <w:color w:val="808080"/>
        </w:rPr>
        <w:t>[</w:t>
      </w:r>
      <w:r>
        <w:rPr/>
        <w:t>es</w:t>
      </w:r>
      <w:r>
        <w:rPr>
          <w:b/>
          <w:color w:val="808080"/>
        </w:rPr>
        <w:t>]</w:t>
      </w:r>
      <w:r>
        <w:rPr/>
        <w:t xml:space="preserve"> ihnen gedeutet </w:t>
      </w:r>
      <w:r>
        <w:rPr>
          <w:color w:val="808080"/>
        </w:rPr>
        <w:t>(ausgelegt)</w:t>
      </w:r>
      <w:r>
        <w:rPr/>
        <w:t xml:space="preserve"> hatte.{{field-off:bible}} </w:t>
        <w:br/>
        <w:t>[[@BibleTOBIBLE:Ge 40:23]]</w:t>
      </w:r>
      <w:r>
        <w:rPr>
          <w:b/>
        </w:rPr>
        <w:t>23</w:t>
      </w:r>
      <w:r>
        <w:rPr/>
        <w:t xml:space="preserve"> {{field-on:bible}}Der oberste Mundschenk dachte </w:t>
      </w:r>
      <w:r>
        <w:rPr>
          <w:color w:val="808080"/>
        </w:rPr>
        <w:t>(erinnerte sich)</w:t>
      </w:r>
      <w:r>
        <w:rPr/>
        <w:t xml:space="preserve"> aber nicht an Josef, sondern vergaß ihn.{{field-off:bible}} </w:t>
      </w:r>
    </w:p>
    <w:p>
      <w:pPr>
        <w:pStyle w:val="Berschrift3"/>
        <w:rPr/>
      </w:pPr>
      <w:r>
        <w:rPr/>
        <w:t>[[@BibleTOBIBLE:Ge 41]]Kapitel 41</w:t>
      </w:r>
    </w:p>
    <w:p>
      <w:pPr>
        <w:pStyle w:val="Textkrper"/>
        <w:rPr/>
      </w:pPr>
      <w:r>
        <w:rPr/>
        <w:br/>
        <w:t>[[@BibleTOBIBLE:Ge 41:1]]</w:t>
      </w:r>
      <w:r>
        <w:rPr>
          <w:b/>
        </w:rPr>
        <w:t>1</w:t>
      </w:r>
      <w:r>
        <w:rPr/>
        <w:t xml:space="preserve"> {{field-on:bible}}Und es geschah, nachdem zwei Jahre vergangen waren,</w:t>
      </w:r>
      <w:r>
        <w:rPr>
          <w:rStyle w:val="Funotenanker"/>
        </w:rPr>
        <w:footnoteReference w:customMarkFollows="1" w:id="692"/>
        <w:t>a</w:t>
      </w:r>
      <w:r>
        <w:rPr/>
        <w:t xml:space="preserve"> dass auch der Pharaoh einen Traum hatte. Und siehe, er stand er am Fluss.</w:t>
      </w:r>
      <w:r>
        <w:rPr>
          <w:rStyle w:val="Funotenanker"/>
        </w:rPr>
        <w:footnoteReference w:customMarkFollows="1" w:id="693"/>
        <w:t>b</w:t>
      </w:r>
      <w:r>
        <w:rPr/>
        <w:t xml:space="preserve"> {{field-off:bible}} </w:t>
        <w:br/>
        <w:t>[[@BibleTOBIBLE:Ge 41:2]]</w:t>
      </w:r>
      <w:r>
        <w:rPr>
          <w:b/>
        </w:rPr>
        <w:t>2</w:t>
      </w:r>
      <w:r>
        <w:rPr/>
        <w:t xml:space="preserve"> {{field-on:bible}}Und siehe, aus dem Fluss stiegen sieben Kühe, schön </w:t>
      </w:r>
      <w:r>
        <w:rPr>
          <w:color w:val="808080"/>
        </w:rPr>
        <w:t>(hübsch)</w:t>
      </w:r>
      <w:r>
        <w:rPr/>
        <w:t xml:space="preserve"> </w:t>
      </w:r>
      <w:r>
        <w:rPr>
          <w:b/>
          <w:color w:val="808080"/>
        </w:rPr>
        <w:t>[</w:t>
      </w:r>
      <w:r>
        <w:rPr/>
        <w:t>vom</w:t>
      </w:r>
      <w:r>
        <w:rPr>
          <w:b/>
          <w:color w:val="808080"/>
        </w:rPr>
        <w:t>]</w:t>
      </w:r>
      <w:r>
        <w:rPr/>
        <w:t xml:space="preserve"> Aussehen und fett </w:t>
      </w:r>
      <w:r>
        <w:rPr>
          <w:color w:val="808080"/>
        </w:rPr>
        <w:t>(dick)</w:t>
      </w:r>
      <w:r>
        <w:rPr/>
        <w:t xml:space="preserve"> </w:t>
      </w:r>
      <w:r>
        <w:rPr>
          <w:b/>
          <w:color w:val="808080"/>
        </w:rPr>
        <w:t>[</w:t>
      </w:r>
      <w:r>
        <w:rPr/>
        <w:t>vom</w:t>
      </w:r>
      <w:r>
        <w:rPr>
          <w:b/>
          <w:color w:val="808080"/>
        </w:rPr>
        <w:t>]</w:t>
      </w:r>
      <w:r>
        <w:rPr/>
        <w:t xml:space="preserve"> Fleisch. Und sie weideten im Gras.{{field-off:bible}} </w:t>
        <w:br/>
        <w:t>[[@BibleTOBIBLE:Ge 41:3]]</w:t>
      </w:r>
      <w:r>
        <w:rPr>
          <w:b/>
        </w:rPr>
        <w:t>3</w:t>
      </w:r>
      <w:r>
        <w:rPr/>
        <w:t xml:space="preserve"> {{field-on:bible}}Und siehe, sieben andere Kühe stiegen nach ihnen aus dem Fluss, schlecht </w:t>
      </w:r>
      <w:r>
        <w:rPr>
          <w:b/>
          <w:color w:val="808080"/>
        </w:rPr>
        <w:t>[</w:t>
      </w:r>
      <w:r>
        <w:rPr/>
        <w:t>vom</w:t>
      </w:r>
      <w:r>
        <w:rPr>
          <w:b/>
          <w:color w:val="808080"/>
        </w:rPr>
        <w:t>]</w:t>
      </w:r>
      <w:r>
        <w:rPr/>
        <w:t xml:space="preserve"> Aussehen und mager </w:t>
      </w:r>
      <w:r>
        <w:rPr>
          <w:color w:val="808080"/>
        </w:rPr>
        <w:t>(dünn)</w:t>
      </w:r>
      <w:r>
        <w:rPr/>
        <w:t xml:space="preserve"> </w:t>
      </w:r>
      <w:r>
        <w:rPr>
          <w:b/>
          <w:color w:val="808080"/>
        </w:rPr>
        <w:t>[</w:t>
      </w:r>
      <w:r>
        <w:rPr/>
        <w:t>vom</w:t>
      </w:r>
      <w:r>
        <w:rPr>
          <w:b/>
          <w:color w:val="808080"/>
        </w:rPr>
        <w:t>]</w:t>
      </w:r>
      <w:r>
        <w:rPr/>
        <w:t xml:space="preserve"> Fleisch. Und sie stellten sich neben die </w:t>
      </w:r>
      <w:r>
        <w:rPr>
          <w:b/>
          <w:color w:val="808080"/>
        </w:rPr>
        <w:t>[</w:t>
      </w:r>
      <w:r>
        <w:rPr/>
        <w:t>anderen</w:t>
      </w:r>
      <w:r>
        <w:rPr>
          <w:b/>
          <w:color w:val="808080"/>
        </w:rPr>
        <w:t>]</w:t>
      </w:r>
      <w:r>
        <w:rPr/>
        <w:t xml:space="preserve"> Kühe am Ufer des Flusses.{{field-off:bible}} </w:t>
        <w:br/>
        <w:t>[[@BibleTOBIBLE:Ge 41:4]]</w:t>
      </w:r>
      <w:r>
        <w:rPr>
          <w:b/>
        </w:rPr>
        <w:t>4</w:t>
      </w:r>
      <w:r>
        <w:rPr/>
        <w:t xml:space="preserve"> {{field-on:bible}}Und es fraßen die Kühe von schlechtem Aussehen und magerem Fleisch die sieben dicken Kühe von schönem Aussehen. </w:t>
      </w:r>
      <w:r>
        <w:rPr>
          <w:b/>
          <w:color w:val="808080"/>
        </w:rPr>
        <w:t>[</w:t>
      </w:r>
      <w:r>
        <w:rPr/>
        <w:t>Da</w:t>
      </w:r>
      <w:r>
        <w:rPr>
          <w:b/>
          <w:color w:val="808080"/>
        </w:rPr>
        <w:t>]</w:t>
      </w:r>
      <w:r>
        <w:rPr/>
        <w:t xml:space="preserve"> wachte der Pharaoh auf.{{field-off:bible}} </w:t>
        <w:br/>
        <w:t>[[@BibleTOBIBLE:Ge 41:5]]</w:t>
      </w:r>
      <w:r>
        <w:rPr>
          <w:b/>
        </w:rPr>
        <w:t>5</w:t>
      </w:r>
      <w:r>
        <w:rPr/>
        <w:t xml:space="preserve"> {{field-on:bible}}Als er </w:t>
      </w:r>
      <w:r>
        <w:rPr>
          <w:b/>
          <w:color w:val="808080"/>
        </w:rPr>
        <w:t>[</w:t>
      </w:r>
      <w:r>
        <w:rPr/>
        <w:t>wieder</w:t>
      </w:r>
      <w:r>
        <w:rPr>
          <w:b/>
          <w:color w:val="808080"/>
        </w:rPr>
        <w:t>]</w:t>
      </w:r>
      <w:r>
        <w:rPr/>
        <w:t xml:space="preserve"> einschlief, träumte er ein zweites Mal. Und siehe, sieben Ähren wuchsen an einem Halm, </w:t>
      </w:r>
      <w:r>
        <w:rPr>
          <w:b/>
          <w:color w:val="808080"/>
        </w:rPr>
        <w:t>[</w:t>
      </w:r>
      <w:r>
        <w:rPr/>
        <w:t>sie waren</w:t>
      </w:r>
      <w:r>
        <w:rPr>
          <w:b/>
          <w:color w:val="808080"/>
        </w:rPr>
        <w:t>]</w:t>
      </w:r>
      <w:r>
        <w:rPr/>
        <w:t xml:space="preserve"> fett </w:t>
      </w:r>
      <w:r>
        <w:rPr>
          <w:color w:val="808080"/>
        </w:rPr>
        <w:t>(dick)</w:t>
      </w:r>
      <w:r>
        <w:rPr/>
        <w:t xml:space="preserve"> und gut </w:t>
      </w:r>
      <w:r>
        <w:rPr>
          <w:b/>
          <w:color w:val="808080"/>
        </w:rPr>
        <w:t>[</w:t>
      </w:r>
      <w:r>
        <w:rPr/>
        <w:t>aussehend</w:t>
      </w:r>
      <w:r>
        <w:rPr>
          <w:b/>
          <w:color w:val="808080"/>
        </w:rPr>
        <w:t>]</w:t>
      </w:r>
      <w:r>
        <w:rPr/>
        <w:t xml:space="preserve">.{{field-off:bible}} </w:t>
        <w:br/>
        <w:t>[[@BibleTOBIBLE:Ge 41:6]]</w:t>
      </w:r>
      <w:r>
        <w:rPr>
          <w:b/>
        </w:rPr>
        <w:t>6</w:t>
      </w:r>
      <w:r>
        <w:rPr/>
        <w:t xml:space="preserve"> {{field-on:bible}}Und siehe, sieben </w:t>
      </w:r>
      <w:r>
        <w:rPr>
          <w:b/>
          <w:color w:val="808080"/>
        </w:rPr>
        <w:t>[</w:t>
      </w:r>
      <w:r>
        <w:rPr/>
        <w:t>weitere</w:t>
      </w:r>
      <w:r>
        <w:rPr>
          <w:b/>
          <w:color w:val="808080"/>
        </w:rPr>
        <w:t>]</w:t>
      </w:r>
      <w:r>
        <w:rPr/>
        <w:t xml:space="preserve"> Ähren, mager </w:t>
      </w:r>
      <w:r>
        <w:rPr>
          <w:color w:val="808080"/>
        </w:rPr>
        <w:t>(dünn)</w:t>
      </w:r>
      <w:r>
        <w:rPr/>
        <w:t xml:space="preserve"> und versengt </w:t>
      </w:r>
      <w:r>
        <w:rPr>
          <w:b/>
          <w:color w:val="808080"/>
        </w:rPr>
        <w:t>[</w:t>
      </w:r>
      <w:r>
        <w:rPr/>
        <w:t>vom</w:t>
      </w:r>
      <w:r>
        <w:rPr>
          <w:b/>
          <w:color w:val="808080"/>
        </w:rPr>
        <w:t>]</w:t>
      </w:r>
      <w:r>
        <w:rPr/>
        <w:t xml:space="preserve"> Ostwind, sprossen nach ihnen.{{field-off:bible}} </w:t>
        <w:br/>
        <w:t>[[@BibleTOBIBLE:Ge 41:7]]</w:t>
      </w:r>
      <w:r>
        <w:rPr>
          <w:b/>
        </w:rPr>
        <w:t>7</w:t>
      </w:r>
      <w:r>
        <w:rPr/>
        <w:t xml:space="preserve"> {{field-on:bible}}Und es verschlangen </w:t>
      </w:r>
      <w:r>
        <w:rPr>
          <w:color w:val="808080"/>
        </w:rPr>
        <w:t>(verschluckten)</w:t>
      </w:r>
      <w:r>
        <w:rPr/>
        <w:t xml:space="preserve"> die sieben mageren Ähren die sieben fetten und vollen Ähren. </w:t>
      </w:r>
      <w:r>
        <w:rPr>
          <w:b/>
          <w:color w:val="808080"/>
        </w:rPr>
        <w:t>[</w:t>
      </w:r>
      <w:r>
        <w:rPr/>
        <w:t>Da</w:t>
      </w:r>
      <w:r>
        <w:rPr>
          <w:b/>
          <w:color w:val="808080"/>
        </w:rPr>
        <w:t>]</w:t>
      </w:r>
      <w:r>
        <w:rPr/>
        <w:t xml:space="preserve"> wachte der Pharaoh auf und siehe, </w:t>
      </w:r>
      <w:r>
        <w:rPr>
          <w:b/>
          <w:color w:val="808080"/>
        </w:rPr>
        <w:t>[</w:t>
      </w:r>
      <w:r>
        <w:rPr/>
        <w:t>es war ein</w:t>
      </w:r>
      <w:r>
        <w:rPr>
          <w:b/>
          <w:color w:val="808080"/>
        </w:rPr>
        <w:t>]</w:t>
      </w:r>
      <w:r>
        <w:rPr/>
        <w:t xml:space="preserve"> Traum </w:t>
      </w:r>
      <w:r>
        <w:rPr>
          <w:color w:val="808080"/>
        </w:rPr>
        <w:t>(und bemerkte, dass es ein Traum war)</w:t>
      </w:r>
      <w:r>
        <w:rPr/>
        <w:t xml:space="preserve">.{{field-off:bible}} </w:t>
        <w:br/>
        <w:t>[[@BibleTOBIBLE:Ge 41:8]]</w:t>
      </w:r>
      <w:r>
        <w:rPr>
          <w:b/>
        </w:rPr>
        <w:t>8</w:t>
      </w:r>
      <w:r>
        <w:rPr/>
        <w:t xml:space="preserve"> {{field-on:bible}} </w:t>
      </w:r>
      <w:r>
        <w:rPr>
          <w:strike/>
          <w:color w:val="808080"/>
        </w:rPr>
        <w:t>{Es geschah}</w:t>
      </w:r>
      <w:r>
        <w:rPr/>
        <w:t xml:space="preserve"> Am nächsten Morgen war das Gemüt </w:t>
      </w:r>
      <w:r>
        <w:rPr>
          <w:color w:val="808080"/>
        </w:rPr>
        <w:t>(Geist, Seele)</w:t>
      </w:r>
      <w:r>
        <w:rPr/>
        <w:t xml:space="preserve"> des Pharaohs beunruhigt. Und er sandte </w:t>
      </w:r>
      <w:r>
        <w:rPr>
          <w:b/>
          <w:color w:val="808080"/>
        </w:rPr>
        <w:t>[</w:t>
      </w:r>
      <w:r>
        <w:rPr/>
        <w:t>Boten</w:t>
      </w:r>
      <w:r>
        <w:rPr>
          <w:b/>
          <w:color w:val="808080"/>
        </w:rPr>
        <w:t>]</w:t>
      </w:r>
      <w:r>
        <w:rPr/>
        <w:t xml:space="preserve"> aus und rief </w:t>
      </w:r>
      <w:r>
        <w:rPr>
          <w:color w:val="808080"/>
        </w:rPr>
        <w:t>(ließ rufen)</w:t>
      </w:r>
      <w:r>
        <w:rPr/>
        <w:t xml:space="preserve"> alle Weissager Ägyptens und alle seine </w:t>
      </w:r>
      <w:r>
        <w:rPr>
          <w:color w:val="808080"/>
        </w:rPr>
        <w:t>(Ägyptens)</w:t>
      </w:r>
      <w:r>
        <w:rPr/>
        <w:t xml:space="preserve"> Gelehrten </w:t>
      </w:r>
      <w:r>
        <w:rPr>
          <w:color w:val="808080"/>
        </w:rPr>
        <w:t>(Zauberer)</w:t>
      </w:r>
      <w:r>
        <w:rPr/>
        <w:t xml:space="preserve">. Es gab aber niemanden, der sie </w:t>
      </w:r>
      <w:r>
        <w:rPr>
          <w:color w:val="808080"/>
        </w:rPr>
        <w:t>(die Träume)</w:t>
      </w:r>
      <w:r>
        <w:rPr/>
        <w:t xml:space="preserve"> dem Pharaoh deuten </w:t>
      </w:r>
      <w:r>
        <w:rPr>
          <w:color w:val="808080"/>
        </w:rPr>
        <w:t>(auslegen)</w:t>
      </w:r>
      <w:r>
        <w:rPr/>
        <w:t xml:space="preserve"> konnte.{{field-off:bible}} </w:t>
        <w:br/>
        <w:t>[[@BibleTOBIBLE:Ge 41:9]]</w:t>
      </w:r>
      <w:r>
        <w:rPr>
          <w:b/>
        </w:rPr>
        <w:t>9</w:t>
      </w:r>
      <w:r>
        <w:rPr/>
        <w:t xml:space="preserve"> {{field-on:bible}}Da sprach der oberste Mundschenk mit dem Pharaoh </w:t>
      </w:r>
      <w:r>
        <w:rPr>
          <w:strike/>
          <w:color w:val="808080"/>
        </w:rPr>
        <w:t>{wie folgt}</w:t>
      </w:r>
      <w:r>
        <w:rPr/>
        <w:t xml:space="preserve">: Ich habe mich heute an meine Verfehlungen </w:t>
      </w:r>
      <w:r>
        <w:rPr>
          <w:color w:val="808080"/>
        </w:rPr>
        <w:t>(Sünden)</w:t>
      </w:r>
      <w:r>
        <w:rPr/>
        <w:t xml:space="preserve"> erinnert.{{field-off:bible}} </w:t>
        <w:br/>
        <w:t>[[@BibleTOBIBLE:Ge 41:10]]</w:t>
      </w:r>
      <w:r>
        <w:rPr>
          <w:b/>
        </w:rPr>
        <w:t>10</w:t>
      </w:r>
      <w:r>
        <w:rPr/>
        <w:t xml:space="preserve"> {{field-on:bible}}Damals zürnte </w:t>
      </w:r>
      <w:r>
        <w:rPr>
          <w:color w:val="808080"/>
        </w:rPr>
        <w:t>(war ärgerlich, wütend)</w:t>
      </w:r>
      <w:r>
        <w:rPr/>
        <w:t xml:space="preserve"> der Pharaoh über seinen Diener, so dass er mich in Bewachung </w:t>
      </w:r>
      <w:r>
        <w:rPr>
          <w:color w:val="808080"/>
        </w:rPr>
        <w:t>(Aufsicht, Haft)</w:t>
      </w:r>
      <w:r>
        <w:rPr/>
        <w:t xml:space="preserve"> </w:t>
      </w:r>
      <w:r>
        <w:rPr>
          <w:b/>
          <w:color w:val="808080"/>
        </w:rPr>
        <w:t>[</w:t>
      </w:r>
      <w:r>
        <w:rPr/>
        <w:t>ins</w:t>
      </w:r>
      <w:r>
        <w:rPr>
          <w:b/>
          <w:color w:val="808080"/>
        </w:rPr>
        <w:t>]</w:t>
      </w:r>
      <w:r>
        <w:rPr/>
        <w:t xml:space="preserve"> Haus des obersten Leibwächters </w:t>
      </w:r>
      <w:r>
        <w:rPr>
          <w:color w:val="808080"/>
        </w:rPr>
        <w:t>(Anführers der Leibwächter)</w:t>
      </w:r>
      <w:r>
        <w:rPr/>
        <w:t xml:space="preserve"> gab, mich und den obersten Bäcker.{{field-off:bible}} </w:t>
        <w:br/>
        <w:t>[[@BibleTOBIBLE:Ge 41:11]]</w:t>
      </w:r>
      <w:r>
        <w:rPr>
          <w:b/>
        </w:rPr>
        <w:t>11</w:t>
      </w:r>
      <w:r>
        <w:rPr/>
        <w:t xml:space="preserve"> {{field-on:bible}}Und wir träumten in der Nacht einen Traum, ich und er, jeder gemäß der Bedeutung </w:t>
      </w:r>
      <w:r>
        <w:rPr>
          <w:color w:val="808080"/>
        </w:rPr>
        <w:t>(Auslegung, Deutung)</w:t>
      </w:r>
      <w:r>
        <w:rPr/>
        <w:t xml:space="preserve"> seines Traums haben wir geträumt.{{field-off:bible}} </w:t>
        <w:br/>
        <w:t>[[@BibleTOBIBLE:Ge 41:12]]</w:t>
      </w:r>
      <w:r>
        <w:rPr>
          <w:b/>
        </w:rPr>
        <w:t>12</w:t>
      </w:r>
      <w:r>
        <w:rPr/>
        <w:t xml:space="preserve"> {{field-on:bible}}Und dort mit uns </w:t>
      </w:r>
      <w:r>
        <w:rPr>
          <w:b/>
          <w:color w:val="808080"/>
        </w:rPr>
        <w:t>[</w:t>
      </w:r>
      <w:r>
        <w:rPr/>
        <w:t>war</w:t>
      </w:r>
      <w:r>
        <w:rPr>
          <w:b/>
          <w:color w:val="808080"/>
        </w:rPr>
        <w:t>]</w:t>
      </w:r>
      <w:r>
        <w:rPr/>
        <w:t xml:space="preserve"> ein hebräischer Junge, </w:t>
      </w:r>
      <w:r>
        <w:rPr>
          <w:b/>
          <w:color w:val="808080"/>
        </w:rPr>
        <w:t>[</w:t>
      </w:r>
      <w:r>
        <w:rPr/>
        <w:t>ein</w:t>
      </w:r>
      <w:r>
        <w:rPr>
          <w:b/>
          <w:color w:val="808080"/>
        </w:rPr>
        <w:t>]</w:t>
      </w:r>
      <w:r>
        <w:rPr/>
        <w:t xml:space="preserve"> Diener des obersten Leibwächters. Als wir ihm </w:t>
      </w:r>
      <w:r>
        <w:rPr>
          <w:b/>
          <w:color w:val="808080"/>
        </w:rPr>
        <w:t>[</w:t>
      </w:r>
      <w:r>
        <w:rPr/>
        <w:t>davon</w:t>
      </w:r>
      <w:r>
        <w:rPr>
          <w:b/>
          <w:color w:val="808080"/>
        </w:rPr>
        <w:t>]</w:t>
      </w:r>
      <w:r>
        <w:rPr/>
        <w:t xml:space="preserve"> erzählten, deutete er uns unsere Träume. Jedem </w:t>
      </w:r>
      <w:r>
        <w:rPr>
          <w:b/>
          <w:color w:val="808080"/>
        </w:rPr>
        <w:t>[</w:t>
      </w:r>
      <w:r>
        <w:rPr/>
        <w:t>von uns</w:t>
      </w:r>
      <w:r>
        <w:rPr>
          <w:b/>
          <w:color w:val="808080"/>
        </w:rPr>
        <w:t>]</w:t>
      </w:r>
      <w:r>
        <w:rPr/>
        <w:t xml:space="preserve"> gemäß seinem Traum hat er gedeutet.{{field-off:bible}} </w:t>
        <w:br/>
        <w:t>[[@BibleTOBIBLE:Ge 41:13]]</w:t>
      </w:r>
      <w:r>
        <w:rPr>
          <w:b/>
        </w:rPr>
        <w:t>13</w:t>
      </w:r>
      <w:r>
        <w:rPr/>
        <w:t xml:space="preserve"> {{field-on:bible}}Und </w:t>
      </w:r>
      <w:r>
        <w:rPr>
          <w:strike/>
          <w:color w:val="808080"/>
        </w:rPr>
        <w:t>{es geschah}</w:t>
      </w:r>
      <w:r>
        <w:rPr/>
        <w:t xml:space="preserve"> wie er uns gedeutet hatte, so geschah es: Mich hat man in mein Amt zurückkehren lassen </w:t>
      </w:r>
      <w:r>
        <w:rPr>
          <w:color w:val="808080"/>
        </w:rPr>
        <w:t>(zurückgebracht)</w:t>
      </w:r>
      <w:r>
        <w:rPr/>
        <w:t xml:space="preserve">, ihn aber hat man aufgehängt.{{field-off:bible}} </w:t>
        <w:br/>
        <w:t>[[@BibleTOBIBLE:Ge 41:14]]</w:t>
      </w:r>
      <w:r>
        <w:rPr>
          <w:b/>
        </w:rPr>
        <w:t>14</w:t>
      </w:r>
      <w:r>
        <w:rPr/>
        <w:t xml:space="preserve"> {{field-on:bible}}Und es sandte der Pharaoh aus und ließ Josef rufen </w:t>
      </w:r>
      <w:r>
        <w:rPr>
          <w:color w:val="808080"/>
        </w:rPr>
        <w:t>(rief Josef)</w:t>
      </w:r>
      <w:r>
        <w:rPr/>
        <w:t xml:space="preserve">. Und sie ließen ihn laufen </w:t>
      </w:r>
      <w:r>
        <w:rPr>
          <w:color w:val="808080"/>
        </w:rPr>
        <w:t>(holten ihn schnell)</w:t>
      </w:r>
      <w:r>
        <w:rPr/>
        <w:t xml:space="preserve"> aus dem Gefängnis. Und er rasierte sich, wechselte seine Kleider </w:t>
      </w:r>
      <w:r>
        <w:rPr>
          <w:color w:val="808080"/>
        </w:rPr>
        <w:t>(zog sich um)</w:t>
      </w:r>
      <w:r>
        <w:rPr/>
        <w:t xml:space="preserve"> und kam zum Pharaoh.{{field-off:bible}} </w:t>
        <w:br/>
        <w:t>[[@BibleTOBIBLE:Ge 41:15]]</w:t>
      </w:r>
      <w:r>
        <w:rPr>
          <w:b/>
        </w:rPr>
        <w:t>15</w:t>
      </w:r>
      <w:r>
        <w:rPr/>
        <w:t xml:space="preserve"> {{field-on:bible}}Und es sprach der Pharaoh zu Josef: Ich habe einen Traum geträumt. Es gibt aber niemanden, der ihn deuten kann </w:t>
      </w:r>
      <w:r>
        <w:rPr>
          <w:color w:val="808080"/>
        </w:rPr>
        <w:t>(deutet)</w:t>
      </w:r>
      <w:r>
        <w:rPr/>
        <w:t xml:space="preserve">. Ich habe über dich </w:t>
      </w:r>
      <w:r>
        <w:rPr>
          <w:color w:val="808080"/>
        </w:rPr>
        <w:t>(von dir)</w:t>
      </w:r>
      <w:r>
        <w:rPr/>
        <w:t xml:space="preserve"> gehört </w:t>
      </w:r>
      <w:r>
        <w:rPr>
          <w:strike/>
          <w:color w:val="808080"/>
        </w:rPr>
        <w:t>{Folgendes}</w:t>
      </w:r>
      <w:r>
        <w:rPr/>
        <w:t xml:space="preserve">: Wenn du einen Traum hörst, kannst du ihn deuten.{{field-off:bible}} </w:t>
        <w:br/>
        <w:t>[[@BibleTOBIBLE:Ge 41:16]]</w:t>
      </w:r>
      <w:r>
        <w:rPr>
          <w:b/>
        </w:rPr>
        <w:t>16</w:t>
      </w:r>
      <w:r>
        <w:rPr/>
        <w:t xml:space="preserve"> {{field-on:bible}}Und es antwortete Josef dem Pharaoh </w:t>
      </w:r>
      <w:r>
        <w:rPr>
          <w:strike/>
          <w:color w:val="808080"/>
        </w:rPr>
        <w:t>{Folgendes}</w:t>
      </w:r>
      <w:r>
        <w:rPr/>
        <w:t>: Ich komme nicht in Betracht.</w:t>
      </w:r>
      <w:r>
        <w:rPr>
          <w:rStyle w:val="Funotenanker"/>
        </w:rPr>
        <w:footnoteReference w:customMarkFollows="1" w:id="694"/>
        <w:t>c</w:t>
      </w:r>
      <w:r>
        <w:rPr/>
        <w:t xml:space="preserve"> Gott wird zum Wohlergehen </w:t>
      </w:r>
      <w:r>
        <w:rPr>
          <w:color w:val="808080"/>
        </w:rPr>
        <w:t>(Frieden)</w:t>
      </w:r>
      <w:r>
        <w:rPr/>
        <w:t xml:space="preserve"> des Pharaos antworten.{{field-off:bible}} </w:t>
        <w:br/>
        <w:t>[[@BibleTOBIBLE:Ge 41:17]]</w:t>
      </w:r>
      <w:r>
        <w:rPr>
          <w:b/>
        </w:rPr>
        <w:t>17</w:t>
      </w:r>
      <w:r>
        <w:rPr/>
        <w:t xml:space="preserve"> {{field-on:bible}}Und es sprach der Pharaoh zu Josef: In meinem Traum, siehe, da stand ich am Ufer des Flusses </w:t>
      </w:r>
      <w:r>
        <w:rPr>
          <w:color w:val="808080"/>
        </w:rPr>
        <w:t>(Nils)</w:t>
      </w:r>
      <w:r>
        <w:rPr/>
        <w:t xml:space="preserve">.{{field-off:bible}} </w:t>
        <w:br/>
        <w:t>[[@BibleTOBIBLE:Ge 41:18]]</w:t>
      </w:r>
      <w:r>
        <w:rPr>
          <w:b/>
        </w:rPr>
        <w:t>18</w:t>
      </w:r>
      <w:r>
        <w:rPr/>
        <w:t xml:space="preserve"> {{field-on:bible}}Und siehe, aus dem Fluss stiegen Kühe, fett </w:t>
      </w:r>
      <w:r>
        <w:rPr>
          <w:b/>
          <w:color w:val="808080"/>
        </w:rPr>
        <w:t>[</w:t>
      </w:r>
      <w:r>
        <w:rPr/>
        <w:t>vom</w:t>
      </w:r>
      <w:r>
        <w:rPr>
          <w:b/>
          <w:color w:val="808080"/>
        </w:rPr>
        <w:t>]</w:t>
      </w:r>
      <w:r>
        <w:rPr/>
        <w:t xml:space="preserve"> Fleisch und schön </w:t>
      </w:r>
      <w:r>
        <w:rPr>
          <w:b/>
          <w:color w:val="808080"/>
        </w:rPr>
        <w:t>[</w:t>
      </w:r>
      <w:r>
        <w:rPr/>
        <w:t>von</w:t>
      </w:r>
      <w:r>
        <w:rPr>
          <w:b/>
          <w:color w:val="808080"/>
        </w:rPr>
        <w:t>]</w:t>
      </w:r>
      <w:r>
        <w:rPr/>
        <w:t xml:space="preserve"> Gestalt, und sie weideten im Gras.{{field-off:bible}} </w:t>
        <w:br/>
        <w:t>[[@BibleTOBIBLE:Ge 41:19]]</w:t>
      </w:r>
      <w:r>
        <w:rPr>
          <w:b/>
        </w:rPr>
        <w:t>19</w:t>
      </w:r>
      <w:r>
        <w:rPr/>
        <w:t xml:space="preserve"> {{field-on:bible}}. Und siehe, sieben andere Kühe stiegen nach ihnen </w:t>
      </w:r>
      <w:r>
        <w:rPr>
          <w:b/>
          <w:color w:val="808080"/>
        </w:rPr>
        <w:t>[</w:t>
      </w:r>
      <w:r>
        <w:rPr/>
        <w:t>aus dem Fluss</w:t>
      </w:r>
      <w:r>
        <w:rPr>
          <w:b/>
          <w:color w:val="808080"/>
        </w:rPr>
        <w:t>]</w:t>
      </w:r>
      <w:r>
        <w:rPr/>
        <w:t xml:space="preserve">, sehr schwach </w:t>
      </w:r>
      <w:r>
        <w:rPr>
          <w:color w:val="808080"/>
        </w:rPr>
        <w:t>(elend)</w:t>
      </w:r>
      <w:r>
        <w:rPr/>
        <w:t xml:space="preserve"> und hässlich </w:t>
      </w:r>
      <w:r>
        <w:rPr>
          <w:color w:val="808080"/>
        </w:rPr>
        <w:t>(schlecht)</w:t>
      </w:r>
      <w:r>
        <w:rPr/>
        <w:t xml:space="preserve"> </w:t>
      </w:r>
      <w:r>
        <w:rPr>
          <w:b/>
          <w:color w:val="808080"/>
        </w:rPr>
        <w:t>[</w:t>
      </w:r>
      <w:r>
        <w:rPr/>
        <w:t>von</w:t>
      </w:r>
      <w:r>
        <w:rPr>
          <w:b/>
          <w:color w:val="808080"/>
        </w:rPr>
        <w:t>]</w:t>
      </w:r>
      <w:r>
        <w:rPr/>
        <w:t xml:space="preserve"> Gestalt, und mager </w:t>
      </w:r>
      <w:r>
        <w:rPr>
          <w:b/>
          <w:color w:val="808080"/>
        </w:rPr>
        <w:t>[</w:t>
      </w:r>
      <w:r>
        <w:rPr/>
        <w:t>vom</w:t>
      </w:r>
      <w:r>
        <w:rPr>
          <w:b/>
          <w:color w:val="808080"/>
        </w:rPr>
        <w:t>]</w:t>
      </w:r>
      <w:r>
        <w:rPr/>
        <w:t xml:space="preserve"> Fleisch. Im ganzen Land Ägypten habe ich nicht so schlecht </w:t>
      </w:r>
      <w:r>
        <w:rPr>
          <w:b/>
          <w:color w:val="808080"/>
        </w:rPr>
        <w:t>[</w:t>
      </w:r>
      <w:r>
        <w:rPr/>
        <w:t>aussehende</w:t>
      </w:r>
      <w:r>
        <w:rPr>
          <w:b/>
          <w:color w:val="808080"/>
        </w:rPr>
        <w:t>]</w:t>
      </w:r>
      <w:r>
        <w:rPr/>
        <w:t xml:space="preserve"> </w:t>
      </w:r>
      <w:r>
        <w:rPr>
          <w:color w:val="808080"/>
        </w:rPr>
        <w:t>(hässliche)</w:t>
      </w:r>
      <w:r>
        <w:rPr/>
        <w:t xml:space="preserve"> wie sie gesehen.{{field-off:bible}} </w:t>
        <w:br/>
        <w:t>[[@BibleTOBIBLE:Ge 41:20]]</w:t>
      </w:r>
      <w:r>
        <w:rPr>
          <w:b/>
        </w:rPr>
        <w:t>20</w:t>
      </w:r>
      <w:r>
        <w:rPr/>
        <w:t xml:space="preserve"> {{field-on:bible}}Und es fraßen die mageren und hässlichen Kühe die sieben ersteren, fetten Kühe.{{field-off:bible}} </w:t>
        <w:br/>
        <w:t>[[@BibleTOBIBLE:Ge 41:21]]</w:t>
      </w:r>
      <w:r>
        <w:rPr>
          <w:b/>
        </w:rPr>
        <w:t>21</w:t>
      </w:r>
      <w:r>
        <w:rPr/>
        <w:t xml:space="preserve"> {{field-on:bible}}Und sie </w:t>
      </w:r>
      <w:r>
        <w:rPr>
          <w:color w:val="808080"/>
        </w:rPr>
        <w:t>(die fetten Kühe)</w:t>
      </w:r>
      <w:r>
        <w:rPr/>
        <w:t xml:space="preserve"> gelangten in ihren Leib </w:t>
      </w:r>
      <w:r>
        <w:rPr>
          <w:color w:val="808080"/>
        </w:rPr>
        <w:t>(den Leib der mageren Kühe)</w:t>
      </w:r>
      <w:r>
        <w:rPr/>
        <w:t xml:space="preserve"> </w:t>
      </w:r>
      <w:r>
        <w:rPr>
          <w:rStyle w:val="Funotenanker"/>
        </w:rPr>
        <w:footnoteReference w:customMarkFollows="1" w:id="695"/>
        <w:t>d</w:t>
      </w:r>
      <w:r>
        <w:rPr/>
        <w:t xml:space="preserve">, aber es war nicht erkennbar, dass sie in ihren Leib gelangt waren, denn </w:t>
      </w:r>
      <w:r>
        <w:rPr>
          <w:color w:val="808080"/>
        </w:rPr>
        <w:t>(und)</w:t>
      </w:r>
      <w:r>
        <w:rPr/>
        <w:t xml:space="preserve"> ihr Aussehen war </w:t>
      </w:r>
      <w:r>
        <w:rPr>
          <w:b/>
          <w:color w:val="808080"/>
        </w:rPr>
        <w:t>[</w:t>
      </w:r>
      <w:r>
        <w:rPr/>
        <w:t>immer noch genauso</w:t>
      </w:r>
      <w:r>
        <w:rPr>
          <w:b/>
          <w:color w:val="808080"/>
        </w:rPr>
        <w:t>]</w:t>
      </w:r>
      <w:r>
        <w:rPr/>
        <w:t xml:space="preserve"> schlecht wie am Anfang. Da wachte ich auf.{{field-off:bible}} </w:t>
        <w:br/>
        <w:t>[[@BibleTOBIBLE:Ge 41:22]]</w:t>
      </w:r>
      <w:r>
        <w:rPr>
          <w:b/>
        </w:rPr>
        <w:t>22</w:t>
      </w:r>
      <w:r>
        <w:rPr/>
        <w:t xml:space="preserve"> {{field-on:bible}}Und ich sah </w:t>
      </w:r>
      <w:r>
        <w:rPr>
          <w:color w:val="808080"/>
        </w:rPr>
        <w:t>(lies: fand mich wieder)</w:t>
      </w:r>
      <w:r>
        <w:rPr/>
        <w:t xml:space="preserve"> in meinem Traum. Und siehe, sieben Ähren wuchsen </w:t>
      </w:r>
      <w:r>
        <w:rPr>
          <w:color w:val="808080"/>
        </w:rPr>
        <w:t>(stiegen auf)</w:t>
      </w:r>
      <w:r>
        <w:rPr/>
        <w:t xml:space="preserve"> an einem Halm, voll</w:t>
      </w:r>
      <w:r>
        <w:rPr>
          <w:color w:val="808080"/>
        </w:rPr>
        <w:t>(e)</w:t>
      </w:r>
      <w:r>
        <w:rPr/>
        <w:t xml:space="preserve"> und schön</w:t>
      </w:r>
      <w:r>
        <w:rPr>
          <w:color w:val="808080"/>
        </w:rPr>
        <w:t>(e)</w:t>
      </w:r>
      <w:r>
        <w:rPr/>
        <w:t xml:space="preserve"> </w:t>
      </w:r>
      <w:r>
        <w:rPr>
          <w:color w:val="808080"/>
        </w:rPr>
        <w:t>(gute)</w:t>
      </w:r>
      <w:r>
        <w:rPr/>
        <w:t xml:space="preserve">.{{field-off:bible}} </w:t>
        <w:br/>
        <w:t>[[@BibleTOBIBLE:Ge 41:23]]</w:t>
      </w:r>
      <w:r>
        <w:rPr>
          <w:b/>
        </w:rPr>
        <w:t>23</w:t>
      </w:r>
      <w:r>
        <w:rPr/>
        <w:t xml:space="preserve"> {{field-on:bible}}Und siehe, sieben unfruchtbare </w:t>
      </w:r>
      <w:r>
        <w:rPr>
          <w:color w:val="808080"/>
        </w:rPr>
        <w:t>(harte)</w:t>
      </w:r>
      <w:r>
        <w:rPr/>
        <w:t xml:space="preserve">, dünne, </w:t>
      </w:r>
      <w:r>
        <w:rPr>
          <w:b/>
          <w:color w:val="808080"/>
        </w:rPr>
        <w:t>[</w:t>
      </w:r>
      <w:r>
        <w:rPr/>
        <w:t>vom</w:t>
      </w:r>
      <w:r>
        <w:rPr>
          <w:b/>
          <w:color w:val="808080"/>
        </w:rPr>
        <w:t>]</w:t>
      </w:r>
      <w:r>
        <w:rPr/>
        <w:t xml:space="preserve"> Ostwind versengte Ähren sprossen nach ihnen.{{field-off:bible}} </w:t>
        <w:br/>
        <w:t>[[@BibleTOBIBLE:Ge 41:24]]</w:t>
      </w:r>
      <w:r>
        <w:rPr>
          <w:b/>
        </w:rPr>
        <w:t>24</w:t>
      </w:r>
      <w:r>
        <w:rPr/>
        <w:t xml:space="preserve"> {{field-on:bible}}Und es verschlangen </w:t>
      </w:r>
      <w:r>
        <w:rPr>
          <w:color w:val="808080"/>
        </w:rPr>
        <w:t>(verschluckten)</w:t>
      </w:r>
      <w:r>
        <w:rPr/>
        <w:t xml:space="preserve"> die dünnen Ähren die sieben schönen Ähren. Und ich erzählte </w:t>
      </w:r>
      <w:r>
        <w:rPr>
          <w:b/>
          <w:color w:val="808080"/>
        </w:rPr>
        <w:t>[</w:t>
      </w:r>
      <w:r>
        <w:rPr/>
        <w:t>den Traum</w:t>
      </w:r>
      <w:r>
        <w:rPr>
          <w:b/>
          <w:color w:val="808080"/>
        </w:rPr>
        <w:t>]</w:t>
      </w:r>
      <w:r>
        <w:rPr/>
        <w:t xml:space="preserve"> den Gelehrten </w:t>
      </w:r>
      <w:r>
        <w:rPr>
          <w:color w:val="808080"/>
        </w:rPr>
        <w:t>(Zauberern)</w:t>
      </w:r>
      <w:r>
        <w:rPr/>
        <w:t xml:space="preserve">, es gab </w:t>
      </w:r>
      <w:r>
        <w:rPr>
          <w:color w:val="808080"/>
        </w:rPr>
        <w:t>(gibt)</w:t>
      </w:r>
      <w:r>
        <w:rPr/>
        <w:t xml:space="preserve"> aber keinen, der mir Klarheit verschaffen konnte </w:t>
      </w:r>
      <w:r>
        <w:rPr>
          <w:color w:val="808080"/>
        </w:rPr>
        <w:t>(kann, könnte)</w:t>
      </w:r>
      <w:r>
        <w:rPr/>
        <w:t xml:space="preserve">.{{field-off:bible}} </w:t>
        <w:br/>
        <w:t>[[@BibleTOBIBLE:Ge 41:25]]</w:t>
      </w:r>
      <w:r>
        <w:rPr>
          <w:b/>
        </w:rPr>
        <w:t>25</w:t>
      </w:r>
      <w:r>
        <w:rPr/>
        <w:t xml:space="preserve"> {{field-on:bible}}Und es sagte Josef dem Pharaoh: </w:t>
      </w:r>
      <w:r>
        <w:rPr>
          <w:b/>
          <w:color w:val="808080"/>
        </w:rPr>
        <w:t>[</w:t>
      </w:r>
      <w:r>
        <w:rPr/>
        <w:t>Der</w:t>
      </w:r>
      <w:r>
        <w:rPr>
          <w:b/>
          <w:color w:val="808080"/>
        </w:rPr>
        <w:t>]</w:t>
      </w:r>
      <w:r>
        <w:rPr/>
        <w:t xml:space="preserve"> Traum </w:t>
      </w:r>
      <w:r>
        <w:rPr>
          <w:color w:val="808080"/>
        </w:rPr>
        <w:t>(lies vielleicht besser: die Träume)</w:t>
      </w:r>
      <w:r>
        <w:rPr/>
        <w:t xml:space="preserve"> des Pharao, er ist ein einziger </w:t>
      </w:r>
      <w:r>
        <w:rPr>
          <w:color w:val="808080"/>
        </w:rPr>
        <w:t>(einer)</w:t>
      </w:r>
      <w:r>
        <w:rPr/>
        <w:t xml:space="preserve">. Was Gott im Begriff ist zu tun, hat er dem Pharaoh </w:t>
      </w:r>
      <w:r>
        <w:rPr>
          <w:b/>
          <w:color w:val="808080"/>
        </w:rPr>
        <w:t>[</w:t>
      </w:r>
      <w:r>
        <w:rPr/>
        <w:t>damit</w:t>
      </w:r>
      <w:r>
        <w:rPr>
          <w:b/>
          <w:color w:val="808080"/>
        </w:rPr>
        <w:t>]</w:t>
      </w:r>
      <w:r>
        <w:rPr/>
        <w:t xml:space="preserve"> offenbart </w:t>
      </w:r>
      <w:r>
        <w:rPr>
          <w:color w:val="808080"/>
        </w:rPr>
        <w:t>(erzählt, kundgetan)</w:t>
      </w:r>
      <w:r>
        <w:rPr/>
        <w:t xml:space="preserve">.{{field-off:bible}} </w:t>
        <w:br/>
        <w:t>[[@BibleTOBIBLE:Ge 41:26]]</w:t>
      </w:r>
      <w:r>
        <w:rPr>
          <w:b/>
        </w:rPr>
        <w:t>26</w:t>
      </w:r>
      <w:r>
        <w:rPr/>
        <w:t xml:space="preserve"> {{field-on:bible}}Die sieben schönen Kühe, sie </w:t>
      </w:r>
      <w:r>
        <w:rPr>
          <w:b/>
          <w:color w:val="808080"/>
        </w:rPr>
        <w:t>[</w:t>
      </w:r>
      <w:r>
        <w:rPr/>
        <w:t>bedeuten</w:t>
      </w:r>
      <w:r>
        <w:rPr>
          <w:b/>
          <w:color w:val="808080"/>
        </w:rPr>
        <w:t>]</w:t>
      </w:r>
      <w:r>
        <w:rPr/>
        <w:t xml:space="preserve"> sieben Jahre. Und die sieben schönen Ähren, sie </w:t>
      </w:r>
      <w:r>
        <w:rPr>
          <w:b/>
          <w:color w:val="808080"/>
        </w:rPr>
        <w:t>[</w:t>
      </w:r>
      <w:r>
        <w:rPr/>
        <w:t>bedeuten</w:t>
      </w:r>
      <w:r>
        <w:rPr>
          <w:b/>
          <w:color w:val="808080"/>
        </w:rPr>
        <w:t>]</w:t>
      </w:r>
      <w:r>
        <w:rPr/>
        <w:t xml:space="preserve"> sieben Jahre. Es ist ein </w:t>
      </w:r>
      <w:r>
        <w:rPr>
          <w:b/>
          <w:color w:val="808080"/>
        </w:rPr>
        <w:t>[</w:t>
      </w:r>
      <w:r>
        <w:rPr/>
        <w:t>einziger</w:t>
      </w:r>
      <w:r>
        <w:rPr>
          <w:b/>
          <w:color w:val="808080"/>
        </w:rPr>
        <w:t>]</w:t>
      </w:r>
      <w:r>
        <w:rPr/>
        <w:t xml:space="preserve"> Traum.{{field-off:bible}} </w:t>
        <w:br/>
        <w:t>[[@BibleTOBIBLE:Ge 41:27]]</w:t>
      </w:r>
      <w:r>
        <w:rPr>
          <w:b/>
        </w:rPr>
        <w:t>27</w:t>
      </w:r>
      <w:r>
        <w:rPr/>
        <w:t xml:space="preserve"> {{field-on:bible}}Und die sieben mageren und hässlichen Kühe, die nach ihnen aufgestiegen sind, sie </w:t>
      </w:r>
      <w:r>
        <w:rPr>
          <w:b/>
          <w:color w:val="808080"/>
        </w:rPr>
        <w:t>[</w:t>
      </w:r>
      <w:r>
        <w:rPr/>
        <w:t>bedeuten</w:t>
      </w:r>
      <w:r>
        <w:rPr>
          <w:b/>
          <w:color w:val="808080"/>
        </w:rPr>
        <w:t>]</w:t>
      </w:r>
      <w:r>
        <w:rPr/>
        <w:t xml:space="preserve"> sieben Jahre. Und die sieben leeren, vom Ostwind versengten Ähren, sie werden sieben Jahre der Hungersnot sein.{{field-off:bible}} </w:t>
        <w:br/>
        <w:t>[[@BibleTOBIBLE:Ge 41:28]]</w:t>
      </w:r>
      <w:r>
        <w:rPr>
          <w:b/>
        </w:rPr>
        <w:t>28</w:t>
      </w:r>
      <w:r>
        <w:rPr/>
        <w:t xml:space="preserve"> {{field-on:bible}}Das </w:t>
      </w:r>
      <w:r>
        <w:rPr>
          <w:b/>
          <w:color w:val="808080"/>
        </w:rPr>
        <w:t>[</w:t>
      </w:r>
      <w:r>
        <w:rPr/>
        <w:t>meinte ich mit</w:t>
      </w:r>
      <w:r>
        <w:rPr>
          <w:b/>
          <w:color w:val="808080"/>
        </w:rPr>
        <w:t>]</w:t>
      </w:r>
      <w:r>
        <w:rPr/>
        <w:t xml:space="preserve"> dem Wort, das ich dem Pharaoh gesagt habe: Was Gott im Begriff ist zu tun, hat er den Pharaoh sehen lassen </w:t>
      </w:r>
      <w:r>
        <w:rPr>
          <w:color w:val="808080"/>
        </w:rPr>
        <w:t>(dem Pharaoh gezeigt)</w:t>
      </w:r>
      <w:r>
        <w:rPr/>
        <w:t xml:space="preserve">.{{field-off:bible}} </w:t>
        <w:br/>
        <w:t>[[@BibleTOBIBLE:Ge 41:29]]</w:t>
      </w:r>
      <w:r>
        <w:rPr>
          <w:b/>
        </w:rPr>
        <w:t>29</w:t>
      </w:r>
      <w:r>
        <w:rPr/>
        <w:t xml:space="preserve"> {{field-on:bible}}Siehe, sieben Jahre kommen von großer Fülle </w:t>
      </w:r>
      <w:r>
        <w:rPr>
          <w:color w:val="808080"/>
        </w:rPr>
        <w:t>(Überfluss, Reichtum)</w:t>
      </w:r>
      <w:r>
        <w:rPr/>
        <w:t xml:space="preserve"> im ganzen Land Ägypten.{{field-off:bible}} </w:t>
        <w:br/>
        <w:t>[[@BibleTOBIBLE:Ge 41:30]]</w:t>
      </w:r>
      <w:r>
        <w:rPr>
          <w:b/>
        </w:rPr>
        <w:t>30</w:t>
      </w:r>
      <w:r>
        <w:rPr/>
        <w:t xml:space="preserve"> {{field-on:bible}}Und es werden nach ihnen sieben Jahre der Hungersnot entstehen </w:t>
      </w:r>
      <w:r>
        <w:rPr>
          <w:color w:val="808080"/>
        </w:rPr>
        <w:t>(bestehen)</w:t>
      </w:r>
      <w:r>
        <w:rPr/>
        <w:t xml:space="preserve">, und es wird die ganze Fülle vergessen sein im Land Ägypten, und die Hungersnot wird das Land vertilgen.{{field-off:bible}} </w:t>
        <w:br/>
        <w:t>[[@BibleTOBIBLE:Ge 41:31]]</w:t>
      </w:r>
      <w:r>
        <w:rPr>
          <w:b/>
        </w:rPr>
        <w:t>31</w:t>
      </w:r>
      <w:r>
        <w:rPr/>
        <w:t xml:space="preserve"> {{field-on:bible}}Und die Fülle wird nicht </w:t>
      </w:r>
      <w:r>
        <w:rPr>
          <w:b/>
          <w:color w:val="808080"/>
        </w:rPr>
        <w:t>[</w:t>
      </w:r>
      <w:r>
        <w:rPr/>
        <w:t>mehr</w:t>
      </w:r>
      <w:r>
        <w:rPr>
          <w:b/>
          <w:color w:val="808080"/>
        </w:rPr>
        <w:t>]</w:t>
      </w:r>
      <w:r>
        <w:rPr/>
        <w:t xml:space="preserve"> erkennbar sein </w:t>
      </w:r>
      <w:r>
        <w:rPr>
          <w:color w:val="808080"/>
        </w:rPr>
        <w:t>(erkannt werden)</w:t>
      </w:r>
      <w:r>
        <w:rPr/>
        <w:t xml:space="preserve"> im Land</w:t>
      </w:r>
      <w:r>
        <w:rPr>
          <w:rStyle w:val="Funotenanker"/>
        </w:rPr>
        <w:footnoteReference w:customMarkFollows="1" w:id="696"/>
        <w:t>e</w:t>
      </w:r>
      <w:r>
        <w:rPr/>
        <w:t xml:space="preserve"> angesichts jener Hungersnot danach </w:t>
      </w:r>
      <w:r>
        <w:rPr>
          <w:color w:val="808080"/>
        </w:rPr>
        <w:t>(nach ihr)</w:t>
      </w:r>
      <w:r>
        <w:rPr/>
        <w:t xml:space="preserve">, denn sehr schwer </w:t>
      </w:r>
      <w:r>
        <w:rPr>
          <w:color w:val="808080"/>
        </w:rPr>
        <w:t>(schwerwiegend, groß)</w:t>
      </w:r>
      <w:r>
        <w:rPr/>
        <w:t xml:space="preserve"> wird sie sein.{{field-off:bible}} </w:t>
        <w:br/>
        <w:t>[[@BibleTOBIBLE:Ge 41:32]]</w:t>
      </w:r>
      <w:r>
        <w:rPr>
          <w:b/>
        </w:rPr>
        <w:t>32</w:t>
      </w:r>
      <w:r>
        <w:rPr/>
        <w:t xml:space="preserve"> {{field-on:bible}}Und dass sich der Traum dem Pharaoh </w:t>
      </w:r>
      <w:r>
        <w:rPr>
          <w:strike/>
          <w:color w:val="808080"/>
        </w:rPr>
        <w:t>{zweimal}</w:t>
      </w:r>
      <w:r>
        <w:rPr/>
        <w:t xml:space="preserve"> wiederholt hat, </w:t>
      </w:r>
      <w:r>
        <w:rPr>
          <w:b/>
          <w:color w:val="808080"/>
        </w:rPr>
        <w:t>[</w:t>
      </w:r>
      <w:r>
        <w:rPr/>
        <w:t>bedeutet</w:t>
      </w:r>
      <w:r>
        <w:rPr>
          <w:b/>
          <w:color w:val="808080"/>
        </w:rPr>
        <w:t>]</w:t>
      </w:r>
      <w:r>
        <w:rPr/>
        <w:t xml:space="preserve">, dass die Sache </w:t>
      </w:r>
      <w:r>
        <w:rPr>
          <w:color w:val="808080"/>
        </w:rPr>
        <w:t>(das Wort)</w:t>
      </w:r>
      <w:r>
        <w:rPr/>
        <w:t xml:space="preserve"> feststeht </w:t>
      </w:r>
      <w:r>
        <w:rPr>
          <w:color w:val="808080"/>
        </w:rPr>
        <w:t>(beschlossen ist)</w:t>
      </w:r>
      <w:r>
        <w:rPr/>
        <w:t xml:space="preserve"> bei Gott und </w:t>
      </w:r>
      <w:r>
        <w:rPr>
          <w:b/>
          <w:color w:val="808080"/>
        </w:rPr>
        <w:t>[</w:t>
      </w:r>
      <w:r>
        <w:rPr/>
        <w:t>dass</w:t>
      </w:r>
      <w:r>
        <w:rPr>
          <w:b/>
          <w:color w:val="808080"/>
        </w:rPr>
        <w:t>]</w:t>
      </w:r>
      <w:r>
        <w:rPr/>
        <w:t xml:space="preserve"> Gott sich beeilt, </w:t>
      </w:r>
      <w:r>
        <w:rPr>
          <w:b/>
          <w:color w:val="808080"/>
        </w:rPr>
        <w:t>[</w:t>
      </w:r>
      <w:r>
        <w:rPr/>
        <w:t>sie</w:t>
      </w:r>
      <w:r>
        <w:rPr>
          <w:b/>
          <w:color w:val="808080"/>
        </w:rPr>
        <w:t>]</w:t>
      </w:r>
      <w:r>
        <w:rPr/>
        <w:t xml:space="preserve"> auszuführen.{{field-off:bible}} </w:t>
        <w:br/>
        <w:t>[[@BibleTOBIBLE:Ge 41:33]]</w:t>
      </w:r>
      <w:r>
        <w:rPr>
          <w:b/>
        </w:rPr>
        <w:t>33</w:t>
      </w:r>
      <w:r>
        <w:rPr/>
        <w:t xml:space="preserve"> {{field-on:bible}}Jetzt aber möge der Pharaoh einen verständigen </w:t>
      </w:r>
      <w:r>
        <w:rPr>
          <w:color w:val="808080"/>
        </w:rPr>
        <w:t>(klugen)</w:t>
      </w:r>
      <w:r>
        <w:rPr/>
        <w:t xml:space="preserve"> und weisen Mann ausersehen </w:t>
      </w:r>
      <w:r>
        <w:rPr>
          <w:color w:val="808080"/>
        </w:rPr>
        <w:t>(auswählen, ausfindig machen)</w:t>
      </w:r>
      <w:r>
        <w:rPr/>
        <w:t xml:space="preserve"> und ihn über das Land Ägypten setzen.{{field-off:bible}} </w:t>
        <w:br/>
        <w:t>[[@BibleTOBIBLE:Ge 41:34]]</w:t>
      </w:r>
      <w:r>
        <w:rPr>
          <w:b/>
        </w:rPr>
        <w:t>34</w:t>
      </w:r>
      <w:r>
        <w:rPr/>
        <w:t xml:space="preserve"> {{field-on:bible}}Der Pharao möge es </w:t>
      </w:r>
      <w:r>
        <w:rPr>
          <w:b/>
          <w:color w:val="808080"/>
        </w:rPr>
        <w:t>[</w:t>
      </w:r>
      <w:r>
        <w:rPr/>
        <w:t>so</w:t>
      </w:r>
      <w:r>
        <w:rPr>
          <w:b/>
          <w:color w:val="808080"/>
        </w:rPr>
        <w:t>]</w:t>
      </w:r>
      <w:r>
        <w:rPr/>
        <w:t xml:space="preserve"> tun, dass er Aufseher </w:t>
      </w:r>
      <w:r>
        <w:rPr>
          <w:color w:val="808080"/>
        </w:rPr>
        <w:t>(Gouverneure, Verwalter)</w:t>
      </w:r>
      <w:r>
        <w:rPr/>
        <w:t xml:space="preserve"> über das Land bestimme. Und er möge das Land Ägypten </w:t>
      </w:r>
      <w:r>
        <w:rPr>
          <w:b/>
          <w:color w:val="808080"/>
        </w:rPr>
        <w:t>[</w:t>
      </w:r>
      <w:r>
        <w:rPr/>
        <w:t>mit dem</w:t>
      </w:r>
      <w:r>
        <w:rPr>
          <w:b/>
          <w:color w:val="808080"/>
        </w:rPr>
        <w:t>]</w:t>
      </w:r>
      <w:r>
        <w:rPr/>
        <w:t xml:space="preserve"> fünften </w:t>
      </w:r>
      <w:r>
        <w:rPr>
          <w:b/>
          <w:color w:val="808080"/>
        </w:rPr>
        <w:t>[</w:t>
      </w:r>
      <w:r>
        <w:rPr/>
        <w:t>Teil der Ernte als Steuer belegen</w:t>
      </w:r>
      <w:r>
        <w:rPr>
          <w:b/>
          <w:color w:val="808080"/>
        </w:rPr>
        <w:t>]</w:t>
      </w:r>
      <w:r>
        <w:rPr/>
        <w:t xml:space="preserve"> </w:t>
      </w:r>
      <w:r>
        <w:rPr>
          <w:rStyle w:val="Funotenanker"/>
        </w:rPr>
        <w:footnoteReference w:customMarkFollows="1" w:id="697"/>
        <w:t>f</w:t>
      </w:r>
      <w:r>
        <w:rPr/>
        <w:t xml:space="preserve"> in den sieben Jahren der Fülle.{{field-off:bible}} </w:t>
        <w:br/>
        <w:t>[[@BibleTOBIBLE:Ge 41:35]]</w:t>
      </w:r>
      <w:r>
        <w:rPr>
          <w:b/>
        </w:rPr>
        <w:t>35</w:t>
      </w:r>
      <w:r>
        <w:rPr/>
        <w:t xml:space="preserve"> {{field-on:bible}}Und sie </w:t>
      </w:r>
      <w:r>
        <w:rPr>
          <w:color w:val="808080"/>
        </w:rPr>
        <w:t>(die Aufseher)</w:t>
      </w:r>
      <w:r>
        <w:rPr/>
        <w:t xml:space="preserve"> sollen die ganzen Nahrungsmittel </w:t>
      </w:r>
      <w:r>
        <w:rPr>
          <w:color w:val="808080"/>
        </w:rPr>
        <w:t>(Nahrung, Essen, Vorräte)</w:t>
      </w:r>
      <w:r>
        <w:rPr/>
        <w:t xml:space="preserve"> dieser kommenden guten Jahre sammeln und sie sollen Getreide anhäufen unter der Verfügung </w:t>
      </w:r>
      <w:r>
        <w:rPr>
          <w:color w:val="808080"/>
        </w:rPr>
        <w:t>(Hand, Autorität)</w:t>
      </w:r>
      <w:r>
        <w:rPr/>
        <w:t xml:space="preserve"> des Pharaos </w:t>
      </w:r>
      <w:r>
        <w:rPr>
          <w:b/>
          <w:color w:val="808080"/>
        </w:rPr>
        <w:t>[</w:t>
      </w:r>
      <w:r>
        <w:rPr/>
        <w:t>als</w:t>
      </w:r>
      <w:r>
        <w:rPr>
          <w:b/>
          <w:color w:val="808080"/>
        </w:rPr>
        <w:t>]</w:t>
      </w:r>
      <w:r>
        <w:rPr/>
        <w:t xml:space="preserve"> Nahrungsmittel in den Städten und </w:t>
      </w:r>
      <w:r>
        <w:rPr>
          <w:b/>
          <w:color w:val="808080"/>
        </w:rPr>
        <w:t>[</w:t>
      </w:r>
      <w:r>
        <w:rPr/>
        <w:t>es</w:t>
      </w:r>
      <w:r>
        <w:rPr>
          <w:b/>
          <w:color w:val="808080"/>
        </w:rPr>
        <w:t>]</w:t>
      </w:r>
      <w:r>
        <w:rPr/>
        <w:t xml:space="preserve"> </w:t>
      </w:r>
      <w:r>
        <w:rPr>
          <w:color w:val="808080"/>
        </w:rPr>
        <w:t>(auf)</w:t>
      </w:r>
      <w:r>
        <w:rPr/>
        <w:t xml:space="preserve">bewahren.{{field-off:bible}} </w:t>
        <w:br/>
        <w:t>[[@BibleTOBIBLE:Ge 41:36]]</w:t>
      </w:r>
      <w:r>
        <w:rPr>
          <w:b/>
        </w:rPr>
        <w:t>36</w:t>
      </w:r>
      <w:r>
        <w:rPr/>
        <w:t xml:space="preserve"> {{field-on:bible}}Und die Nahrungsmittel sollen dem Land zum Vorrat sein für die sieben Jahre der Hungersnot, die im Land Ägypten sein werden, so dass das Land in der Hungersnot nicht verwüstet werden wird.{{field-off:bible}} </w:t>
        <w:br/>
        <w:t>[[@BibleTOBIBLE:Ge 41:37]]</w:t>
      </w:r>
      <w:r>
        <w:rPr>
          <w:b/>
        </w:rPr>
        <w:t>37</w:t>
      </w:r>
      <w:r>
        <w:rPr/>
        <w:t xml:space="preserve"> {{field-on:bible}}Und das </w:t>
      </w:r>
      <w:r>
        <w:rPr>
          <w:color w:val="808080"/>
        </w:rPr>
        <w:t>(Josefs)</w:t>
      </w:r>
      <w:r>
        <w:rPr/>
        <w:t xml:space="preserve"> Wort war gut in den Augen des Pharaoh und den Augen aller seiner Untergebenen.{{field-off:bible}} </w:t>
        <w:br/>
        <w:t>[[@BibleTOBIBLE:Ge 41:38]]</w:t>
      </w:r>
      <w:r>
        <w:rPr>
          <w:b/>
        </w:rPr>
        <w:t>38</w:t>
      </w:r>
      <w:r>
        <w:rPr/>
        <w:t xml:space="preserve"> {{field-on:bible}}Und der Pharaoh sagte zu seinen Untergebenen: Ist </w:t>
      </w:r>
      <w:r>
        <w:rPr>
          <w:b/>
          <w:color w:val="808080"/>
        </w:rPr>
        <w:t>[</w:t>
      </w:r>
      <w:r>
        <w:rPr/>
        <w:t>jemals</w:t>
      </w:r>
      <w:r>
        <w:rPr>
          <w:b/>
          <w:color w:val="808080"/>
        </w:rPr>
        <w:t>]</w:t>
      </w:r>
      <w:r>
        <w:rPr/>
        <w:t xml:space="preserve"> ein Mann wie dieser gefunden worden, in dem der Hauch </w:t>
      </w:r>
      <w:r>
        <w:rPr>
          <w:color w:val="808080"/>
        </w:rPr>
        <w:t>(Geist)</w:t>
      </w:r>
      <w:r>
        <w:rPr/>
        <w:t xml:space="preserve"> Gottes ist?{{field-off:bible}} </w:t>
        <w:br/>
        <w:t>[[@BibleTOBIBLE:Ge 41:39]]</w:t>
      </w:r>
      <w:r>
        <w:rPr>
          <w:b/>
        </w:rPr>
        <w:t>39</w:t>
      </w:r>
      <w:r>
        <w:rPr/>
        <w:t xml:space="preserve"> {{field-on:bible}}Und der Pharaoh sagte zu Josef: Nachdem Gott dich das alles wissen </w:t>
      </w:r>
      <w:r>
        <w:rPr>
          <w:color w:val="808080"/>
        </w:rPr>
        <w:t>(erkennen)</w:t>
      </w:r>
      <w:r>
        <w:rPr/>
        <w:t xml:space="preserve"> lassen hat, gibt es niemanden, der verständig und weise ist wie du.{{field-off:bible}} </w:t>
        <w:br/>
        <w:t>[[@BibleTOBIBLE:Ge 41:40]]</w:t>
      </w:r>
      <w:r>
        <w:rPr>
          <w:b/>
        </w:rPr>
        <w:t>40</w:t>
      </w:r>
      <w:r>
        <w:rPr/>
        <w:t xml:space="preserve"> {{field-on:bible}}Du sollst über meinem Haus sein und deinem Wort soll mein ganzes Volk gehorchen</w:t>
      </w:r>
      <w:r>
        <w:rPr>
          <w:rStyle w:val="Funotenanker"/>
        </w:rPr>
        <w:footnoteReference w:customMarkFollows="1" w:id="698"/>
        <w:t>g</w:t>
      </w:r>
      <w:r>
        <w:rPr/>
        <w:t xml:space="preserve"> Nur </w:t>
      </w:r>
      <w:r>
        <w:rPr>
          <w:b/>
          <w:color w:val="808080"/>
        </w:rPr>
        <w:t>[</w:t>
      </w:r>
      <w:r>
        <w:rPr/>
        <w:t>um</w:t>
      </w:r>
      <w:r>
        <w:rPr>
          <w:b/>
          <w:color w:val="808080"/>
        </w:rPr>
        <w:t>]</w:t>
      </w:r>
      <w:r>
        <w:rPr/>
        <w:t xml:space="preserve"> den Thron soll </w:t>
      </w:r>
      <w:r>
        <w:rPr>
          <w:color w:val="808080"/>
        </w:rPr>
        <w:t>(will, werde)</w:t>
      </w:r>
      <w:r>
        <w:rPr/>
        <w:t xml:space="preserve"> ich größer sein als du.{{field-off:bible}} </w:t>
        <w:br/>
        <w:t>[[@BibleTOBIBLE:Ge 41:41]]</w:t>
      </w:r>
      <w:r>
        <w:rPr>
          <w:b/>
        </w:rPr>
        <w:t>41</w:t>
      </w:r>
      <w:r>
        <w:rPr/>
        <w:t xml:space="preserve"> {{field-on:bible}}Und der Pharaoh sagte zu Josef: Siehe, hiermit setze ich dich über das ganze Land Ägypten.{{field-off:bible}} </w:t>
        <w:br/>
        <w:t>[[@BibleTOBIBLE:Ge 41:42]]</w:t>
      </w:r>
      <w:r>
        <w:rPr>
          <w:b/>
        </w:rPr>
        <w:t>42</w:t>
      </w:r>
      <w:r>
        <w:rPr/>
        <w:t xml:space="preserve"> {{field-on:bible}}Und der Pharaoh zog seinen Siegelring von der Hand und er setzte ihn auf die Hand Josefs. Und er kleidete ihn in ein Gewand </w:t>
      </w:r>
      <w:r>
        <w:rPr>
          <w:color w:val="808080"/>
        </w:rPr>
        <w:t>(Kleider)</w:t>
      </w:r>
      <w:r>
        <w:rPr/>
        <w:t xml:space="preserve"> aus Leinen und legte ihm eine goldene Kette um den Hals.{{field-off:bible}} </w:t>
        <w:br/>
        <w:t>[[@BibleTOBIBLE:Ge 41:43]]</w:t>
      </w:r>
      <w:r>
        <w:rPr>
          <w:b/>
        </w:rPr>
        <w:t>43</w:t>
      </w:r>
      <w:r>
        <w:rPr/>
        <w:t xml:space="preserve"> {{field-on:bible}}Und er ließ ihn auf seinem zweiten Wagen </w:t>
      </w:r>
      <w:r>
        <w:rPr>
          <w:color w:val="808080"/>
        </w:rPr>
        <w:t>(Prunkwagen)</w:t>
      </w:r>
      <w:r>
        <w:rPr/>
        <w:t xml:space="preserve"> fahren, und sie </w:t>
      </w:r>
      <w:r>
        <w:rPr>
          <w:color w:val="808080"/>
        </w:rPr>
        <w:t>(seine Diener)</w:t>
      </w:r>
      <w:r>
        <w:rPr/>
        <w:t xml:space="preserve"> riefen vor ihm </w:t>
      </w:r>
      <w:r>
        <w:rPr>
          <w:b/>
          <w:color w:val="808080"/>
        </w:rPr>
        <w:t>[</w:t>
      </w:r>
      <w:r>
        <w:rPr/>
        <w:t>her</w:t>
      </w:r>
      <w:r>
        <w:rPr>
          <w:b/>
          <w:color w:val="808080"/>
        </w:rPr>
        <w:t>]</w:t>
      </w:r>
      <w:r>
        <w:rPr/>
        <w:t xml:space="preserve">: Kniet nieder! Und </w:t>
      </w:r>
      <w:r>
        <w:rPr>
          <w:b/>
          <w:color w:val="808080"/>
        </w:rPr>
        <w:t>[</w:t>
      </w:r>
      <w:r>
        <w:rPr/>
        <w:t>so</w:t>
      </w:r>
      <w:r>
        <w:rPr>
          <w:b/>
          <w:color w:val="808080"/>
        </w:rPr>
        <w:t>]</w:t>
      </w:r>
      <w:r>
        <w:rPr/>
        <w:t xml:space="preserve"> setzte er ihn über das ganze Land Ägypten.{{field-off:bible}} </w:t>
        <w:br/>
        <w:t>[[@BibleTOBIBLE:Ge 41:44]]</w:t>
      </w:r>
      <w:r>
        <w:rPr>
          <w:b/>
        </w:rPr>
        <w:t>44</w:t>
      </w:r>
      <w:r>
        <w:rPr/>
        <w:t xml:space="preserve"> {{field-on:bible}}Und der Pharaoh sagte zu Josef: Ich bin der Pharaoh, aber ohne dich soll niemand seine Hand und seinen Fuß heben im ganzen Land Ägypten.{{field-off:bible}} </w:t>
        <w:br/>
        <w:t>[[@BibleTOBIBLE:Ge 41:45]]</w:t>
      </w:r>
      <w:r>
        <w:rPr>
          <w:b/>
        </w:rPr>
        <w:t>45</w:t>
      </w:r>
      <w:r>
        <w:rPr/>
        <w:t xml:space="preserve"> {{field-on:bible}}Und der Pharaoh gab Josef den Namen </w:t>
      </w:r>
      <w:r>
        <w:rPr>
          <w:color w:val="808080"/>
        </w:rPr>
        <w:t>(Titel)</w:t>
      </w:r>
      <w:r>
        <w:rPr/>
        <w:t xml:space="preserve"> Zafenat-Paneach</w:t>
      </w:r>
      <w:r>
        <w:rPr>
          <w:rStyle w:val="Funotenanker"/>
        </w:rPr>
        <w:footnoteReference w:customMarkFollows="1" w:id="699"/>
        <w:t>h</w:t>
      </w:r>
      <w:r>
        <w:rPr/>
        <w:t xml:space="preserve">, und er gab ihm Asenat, die Tochter Potiferas, des Priesters von On </w:t>
      </w:r>
      <w:r>
        <w:rPr>
          <w:color w:val="808080"/>
        </w:rPr>
        <w:t>(Heliopolis)</w:t>
      </w:r>
      <w:r>
        <w:rPr/>
        <w:t xml:space="preserve">, zur Frau. Und Josef zog hinaus über das Land Ägypten.{{field-off:bible}} </w:t>
        <w:br/>
        <w:t>[[@BibleTOBIBLE:Ge 41:46]]</w:t>
      </w:r>
      <w:r>
        <w:rPr>
          <w:b/>
        </w:rPr>
        <w:t>46</w:t>
      </w:r>
      <w:r>
        <w:rPr/>
        <w:t xml:space="preserve"> {{field-on:bible}}Und Josef war 30 Jahre alt, als er vor dem Pharaoh stand </w:t>
      </w:r>
      <w:r>
        <w:rPr>
          <w:color w:val="808080"/>
        </w:rPr>
        <w:t>(vor den Pharaoh trat)</w:t>
      </w:r>
      <w:r>
        <w:rPr/>
        <w:t xml:space="preserve">, dem König Ägyptens. Und Josef zog hinaus vom Pharaoh und durchquerte </w:t>
      </w:r>
      <w:r>
        <w:rPr>
          <w:color w:val="808080"/>
        </w:rPr>
        <w:t>(reiste durch)</w:t>
      </w:r>
      <w:r>
        <w:rPr/>
        <w:t xml:space="preserve"> das ganze Land Ägypten.{{field-off:bible}} </w:t>
        <w:br/>
        <w:t>[[@BibleTOBIBLE:Ge 41:47]]</w:t>
      </w:r>
      <w:r>
        <w:rPr>
          <w:b/>
        </w:rPr>
        <w:t>47</w:t>
      </w:r>
      <w:r>
        <w:rPr/>
        <w:t xml:space="preserve"> {{field-on:bible}}Und die Erde schuf in sieben Jahren </w:t>
      </w:r>
      <w:r>
        <w:rPr>
          <w:strike/>
          <w:color w:val="808080"/>
        </w:rPr>
        <w:t>{die}</w:t>
      </w:r>
      <w:r>
        <w:rPr/>
        <w:t xml:space="preserve"> Fülle im Überfluss </w:t>
      </w:r>
      <w:r>
        <w:rPr>
          <w:color w:val="808080"/>
        </w:rPr>
        <w:t>(wörtlich: Handvoll)</w:t>
      </w:r>
      <w:r>
        <w:rPr/>
        <w:t xml:space="preserve">.{{field-off:bible}} </w:t>
        <w:br/>
        <w:t>[[@BibleTOBIBLE:Ge 41:48]]</w:t>
      </w:r>
      <w:r>
        <w:rPr>
          <w:b/>
        </w:rPr>
        <w:t>48</w:t>
      </w:r>
      <w:r>
        <w:rPr/>
        <w:t xml:space="preserve"> {{field-on:bible}}Und er sammelte die ganzen Nahrungsmittel der sieben Jahre, die im Land Ägypten vergingen. Und er deponierte Nahrungsmittel in den Städten. Nahrungsmittel </w:t>
      </w:r>
      <w:r>
        <w:rPr>
          <w:b/>
          <w:color w:val="808080"/>
        </w:rPr>
        <w:t>[</w:t>
      </w:r>
      <w:r>
        <w:rPr/>
        <w:t>von</w:t>
      </w:r>
      <w:r>
        <w:rPr>
          <w:b/>
          <w:color w:val="808080"/>
        </w:rPr>
        <w:t>]</w:t>
      </w:r>
      <w:r>
        <w:rPr/>
        <w:t xml:space="preserve"> den Feldern, die in der Umgebung der Stadt waren, deponierte er in ihrer </w:t>
      </w:r>
      <w:r>
        <w:rPr>
          <w:color w:val="808080"/>
        </w:rPr>
        <w:t>(der Stadt)</w:t>
      </w:r>
      <w:r>
        <w:rPr/>
        <w:t xml:space="preserve"> Mitte.{{field-off:bible}} </w:t>
        <w:br/>
        <w:t>[[@BibleTOBIBLE:Ge 41:49]]</w:t>
      </w:r>
      <w:r>
        <w:rPr>
          <w:b/>
        </w:rPr>
        <w:t>49</w:t>
      </w:r>
      <w:r>
        <w:rPr/>
        <w:t xml:space="preserve"> {{field-on:bible}}Und Josef häufte Getreide an wie Sand am Meer, in riesiger Menge </w:t>
      </w:r>
      <w:r>
        <w:rPr>
          <w:color w:val="808080"/>
        </w:rPr>
        <w:t>(massenhaft)</w:t>
      </w:r>
      <w:r>
        <w:rPr/>
        <w:t>, bis man aufhörte, es zu zählen, weil es nicht mehr zählbar war.</w:t>
      </w:r>
      <w:r>
        <w:rPr>
          <w:rStyle w:val="Funotenanker"/>
        </w:rPr>
        <w:footnoteReference w:customMarkFollows="1" w:id="700"/>
        <w:t>i</w:t>
      </w:r>
      <w:r>
        <w:rPr/>
        <w:t xml:space="preserve"> {{field-off:bible}} </w:t>
        <w:br/>
        <w:t>[[@BibleTOBIBLE:Ge 41:50]]</w:t>
      </w:r>
      <w:r>
        <w:rPr>
          <w:b/>
        </w:rPr>
        <w:t>50</w:t>
      </w:r>
      <w:r>
        <w:rPr/>
        <w:t xml:space="preserve"> {{field-on:bible}}Und dem Josef wurden zwei Söhne geboren - bevor das Jahr der Hungersnot kam -, die ihm Asenat, die Tochter Potiferas, des Priesters von On, gebar.{{field-off:bible}} </w:t>
        <w:br/>
        <w:t>[[@BibleTOBIBLE:Ge 41:51]]</w:t>
      </w:r>
      <w:r>
        <w:rPr>
          <w:b/>
        </w:rPr>
        <w:t>51</w:t>
      </w:r>
      <w:r>
        <w:rPr/>
        <w:t xml:space="preserve"> {{field-on:bible}}Und Josef nannte den Namen seines Erstgeborenen Manasse </w:t>
      </w:r>
      <w:r>
        <w:rPr>
          <w:color w:val="808080"/>
        </w:rPr>
        <w:t>(„der vergessen lässt“)</w:t>
      </w:r>
      <w:r>
        <w:rPr/>
        <w:t xml:space="preserve">, denn </w:t>
      </w:r>
      <w:r>
        <w:rPr>
          <w:b/>
          <w:color w:val="808080"/>
        </w:rPr>
        <w:t>[</w:t>
      </w:r>
      <w:r>
        <w:rPr/>
        <w:t>er sagte</w:t>
      </w:r>
      <w:r>
        <w:rPr>
          <w:b/>
          <w:color w:val="808080"/>
        </w:rPr>
        <w:t>]</w:t>
      </w:r>
      <w:r>
        <w:rPr/>
        <w:t xml:space="preserve">: Gott hat mich meine ganze Mühsal vergessen lassen und das ganze Haus meines Vaters.{{field-off:bible}} </w:t>
        <w:br/>
        <w:t>[[@BibleTOBIBLE:Ge 41:52]]</w:t>
      </w:r>
      <w:r>
        <w:rPr>
          <w:b/>
        </w:rPr>
        <w:t>52</w:t>
      </w:r>
      <w:r>
        <w:rPr/>
        <w:t xml:space="preserve"> {{field-on:bible}}Und den Namen des zweiten nannte er Efraim </w:t>
      </w:r>
      <w:r>
        <w:rPr>
          <w:color w:val="808080"/>
        </w:rPr>
        <w:t>(„der Fruchtbare“)</w:t>
      </w:r>
      <w:r>
        <w:rPr/>
        <w:t>,</w:t>
      </w:r>
      <w:r>
        <w:rPr>
          <w:rStyle w:val="Funotenanker"/>
        </w:rPr>
        <w:footnoteReference w:customMarkFollows="1" w:id="701"/>
        <w:t>j</w:t>
      </w:r>
      <w:r>
        <w:rPr/>
        <w:t xml:space="preserve"> denn </w:t>
      </w:r>
      <w:r>
        <w:rPr>
          <w:b/>
          <w:color w:val="808080"/>
        </w:rPr>
        <w:t>[</w:t>
      </w:r>
      <w:r>
        <w:rPr/>
        <w:t>er sagte</w:t>
      </w:r>
      <w:r>
        <w:rPr>
          <w:b/>
          <w:color w:val="808080"/>
        </w:rPr>
        <w:t>]</w:t>
      </w:r>
      <w:r>
        <w:rPr/>
        <w:t xml:space="preserve">: Denn Gott hat mich im Land meines Elends fruchtbar gemacht.{{field-off:bible}} </w:t>
        <w:br/>
        <w:t>[[@BibleTOBIBLE:Ge 41:53]]</w:t>
      </w:r>
      <w:r>
        <w:rPr>
          <w:b/>
        </w:rPr>
        <w:t>53</w:t>
      </w:r>
      <w:r>
        <w:rPr/>
        <w:t xml:space="preserve"> {{field-on:bible}}Und es vergingen die sieben Jahre der Fülle, die im Land Ägypten gewesen waren.{{field-off:bible}} </w:t>
        <w:br/>
        <w:t>[[@BibleTOBIBLE:Ge 41:54]]</w:t>
      </w:r>
      <w:r>
        <w:rPr>
          <w:b/>
        </w:rPr>
        <w:t>54</w:t>
      </w:r>
      <w:r>
        <w:rPr/>
        <w:t xml:space="preserve"> {{field-on:bible}}Und es begannen die sieben Jahres der Hungersnot zu kommen </w:t>
      </w:r>
      <w:r>
        <w:rPr>
          <w:color w:val="808080"/>
        </w:rPr>
        <w:t>(hielten Einzug o.ä.)</w:t>
      </w:r>
      <w:r>
        <w:rPr/>
        <w:t xml:space="preserve">, wie Josef gesagt hatte. Und es gab eine Hungersnot in allen Ländern. Aber im ganzen Land Ägypten gab es Brot.{{field-off:bible}} </w:t>
        <w:br/>
        <w:t>[[@BibleTOBIBLE:Ge 41:55]]</w:t>
      </w:r>
      <w:r>
        <w:rPr>
          <w:b/>
        </w:rPr>
        <w:t>55</w:t>
      </w:r>
      <w:r>
        <w:rPr/>
        <w:t xml:space="preserve"> {{field-on:bible}}Und das ganze Land Ägypten hungerte. Und das Volk erhob den Klageruf zum Pharaoh nach Brot. Und der Pharaoh sagte zu ganz Ägypten: Geht zu Josef! Was er euch sagt, </w:t>
      </w:r>
      <w:r>
        <w:rPr>
          <w:b/>
          <w:color w:val="808080"/>
        </w:rPr>
        <w:t>[</w:t>
      </w:r>
      <w:r>
        <w:rPr/>
        <w:t>das</w:t>
      </w:r>
      <w:r>
        <w:rPr>
          <w:b/>
          <w:color w:val="808080"/>
        </w:rPr>
        <w:t>]</w:t>
      </w:r>
      <w:r>
        <w:rPr/>
        <w:t xml:space="preserve"> führt aus </w:t>
      </w:r>
      <w:r>
        <w:rPr>
          <w:color w:val="808080"/>
        </w:rPr>
        <w:t>(tut)</w:t>
      </w:r>
      <w:r>
        <w:rPr/>
        <w:t xml:space="preserve">!{{field-off:bible}} </w:t>
        <w:br/>
        <w:t>[[@BibleTOBIBLE:Ge 41:56]]</w:t>
      </w:r>
      <w:r>
        <w:rPr>
          <w:b/>
        </w:rPr>
        <w:t>56</w:t>
      </w:r>
      <w:r>
        <w:rPr/>
        <w:t xml:space="preserve"> {{field-on:bible}}Und die Hungersnot war </w:t>
      </w:r>
      <w:r>
        <w:rPr>
          <w:color w:val="808080"/>
        </w:rPr>
        <w:t>(herrschte)</w:t>
      </w:r>
      <w:r>
        <w:rPr/>
        <w:t xml:space="preserve"> über dem ganzen Angesicht des Landes </w:t>
      </w:r>
      <w:r>
        <w:rPr>
          <w:color w:val="808080"/>
        </w:rPr>
        <w:t>(war über das ganze Land verbreitet)</w:t>
      </w:r>
      <w:r>
        <w:rPr/>
        <w:t xml:space="preserve">. Und Josef öffnete alles, was bei ihnen war </w:t>
      </w:r>
      <w:r>
        <w:rPr>
          <w:color w:val="808080"/>
        </w:rPr>
        <w:t>(d.h. alle Speicher des Landes)</w:t>
      </w:r>
      <w:r>
        <w:rPr/>
        <w:t xml:space="preserve">, und er verkaufte es den Ägyptern. Und die Hungersnot wurde stärker </w:t>
      </w:r>
      <w:r>
        <w:rPr>
          <w:color w:val="808080"/>
        </w:rPr>
        <w:t>(nahm zu)</w:t>
      </w:r>
      <w:r>
        <w:rPr/>
        <w:t xml:space="preserve"> im Land Ägypten.{{field-off:bible}} </w:t>
        <w:br/>
        <w:t>[[@BibleTOBIBLE:Ge 41:57]]</w:t>
      </w:r>
      <w:r>
        <w:rPr>
          <w:b/>
        </w:rPr>
        <w:t>57</w:t>
      </w:r>
      <w:r>
        <w:rPr/>
        <w:t xml:space="preserve"> {{field-on:bible}}Und alle Welt kam nach Ägypten, um Getreide zu kaufen, zu Josef. Denn die Hungersnot war stark geworden auf der ganzen Erde.{{field-off:bible}} </w:t>
      </w:r>
    </w:p>
    <w:p>
      <w:pPr>
        <w:pStyle w:val="Berschrift3"/>
        <w:rPr/>
      </w:pPr>
      <w:r>
        <w:rPr/>
        <w:t>[[@BibleTOBIBLE:Ge 42]]Kapitel 42</w:t>
      </w:r>
    </w:p>
    <w:p>
      <w:pPr>
        <w:pStyle w:val="Textkrper"/>
        <w:rPr/>
      </w:pPr>
      <w:r>
        <w:rPr/>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702"/>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703"/>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704"/>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705"/>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706"/>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707"/>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708"/>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709"/>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710"/>
        <w:t>i</w:t>
      </w:r>
      <w:r>
        <w:rPr/>
        <w:t>, dann bringt</w:t>
      </w:r>
      <w:r>
        <w:rPr>
          <w:rStyle w:val="Funotenanker"/>
        </w:rPr>
        <w:footnoteReference w:customMarkFollows="1" w:id="711"/>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712"/>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713"/>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714"/>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715"/>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716"/>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717"/>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718"/>
        <w:t>b</w:t>
      </w:r>
      <w:r>
        <w:rPr/>
        <w:t xml:space="preserve"> an seinen Händen </w:t>
      </w:r>
      <w:r>
        <w:rPr>
          <w:color w:val="808080"/>
        </w:rPr>
        <w:t>(er überkreuzte seine Hände)</w:t>
      </w:r>
      <w:r>
        <w:rPr/>
        <w:t xml:space="preserve"> </w:t>
      </w:r>
      <w:r>
        <w:rPr>
          <w:rStyle w:val="Funotenanker"/>
        </w:rPr>
        <w:footnoteReference w:customMarkFollows="1" w:id="719"/>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720"/>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721"/>
        <w:t>Status</w:t>
      </w:r>
      <w:r>
        <w:rPr/>
        <w:t xml:space="preserve"> </w:t>
      </w:r>
      <w:r>
        <w:rPr>
          <w:strike/>
          <w:color w:val="808080"/>
        </w:rPr>
        <w:t>{Und}</w:t>
      </w:r>
      <w:r>
        <w:rPr/>
        <w:t xml:space="preserve"> Ein Mann aus dem Hause Levi ging und nahm eine Nachfahrin Levis</w:t>
      </w:r>
      <w:r>
        <w:rPr>
          <w:rStyle w:val="Funotenanker"/>
        </w:rPr>
        <w:footnoteReference w:customMarkFollows="1" w:id="722"/>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723"/>
        <w:t>b</w:t>
      </w:r>
      <w:r>
        <w:rPr/>
        <w:t xml:space="preserve"> </w:t>
      </w:r>
      <w:r>
        <w:rPr>
          <w:b/>
          <w:color w:val="808080"/>
        </w:rPr>
        <w:t>[</w:t>
      </w:r>
      <w:r>
        <w:rPr/>
        <w:t>aus</w:t>
      </w:r>
      <w:r>
        <w:rPr>
          <w:b/>
          <w:color w:val="808080"/>
        </w:rPr>
        <w:t>]</w:t>
      </w:r>
      <w:r>
        <w:rPr/>
        <w:t xml:space="preserve"> Schilf</w:t>
      </w:r>
      <w:r>
        <w:rPr>
          <w:rStyle w:val="Funotenanker"/>
        </w:rPr>
        <w:footnoteReference w:customMarkFollows="1" w:id="724"/>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725"/>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726"/>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727"/>
        <w:t>f</w:t>
      </w:r>
      <w:r>
        <w:rPr/>
        <w:t xml:space="preserve">. </w:t>
      </w:r>
      <w:r>
        <w:rPr>
          <w:strike/>
          <w:color w:val="808080"/>
        </w:rPr>
        <w:t>{und}</w:t>
      </w:r>
      <w:r>
        <w:rPr/>
        <w:t xml:space="preserve"> Sie gab ihm den Namen</w:t>
      </w:r>
      <w:r>
        <w:rPr>
          <w:rStyle w:val="Funotenanker"/>
        </w:rPr>
        <w:footnoteReference w:customMarkFollows="1" w:id="728"/>
        <w:t>g</w:t>
      </w:r>
      <w:r>
        <w:rPr/>
        <w:t xml:space="preserve"> Mose und sagte: Weil ich ihn aus dem Wasser gezogen habe!</w:t>
      </w:r>
      <w:r>
        <w:rPr>
          <w:rStyle w:val="Funotenanker"/>
        </w:rPr>
        <w:footnoteReference w:customMarkFollows="1" w:id="729"/>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730"/>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731"/>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732"/>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733"/>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734"/>
        <w:t>Status</w:t>
      </w:r>
      <w:r>
        <w:rPr/>
        <w:t xml:space="preserve"> Währenddessen </w:t>
      </w:r>
      <w:r>
        <w:rPr>
          <w:color w:val="808080"/>
        </w:rPr>
        <w:t>(und, als)</w:t>
      </w:r>
      <w:r>
        <w:rPr/>
        <w:t xml:space="preserve"> </w:t>
      </w:r>
      <w:r>
        <w:rPr>
          <w:rStyle w:val="Funotenanker"/>
        </w:rPr>
        <w:footnoteReference w:customMarkFollows="1" w:id="735"/>
        <w:t>a</w:t>
      </w:r>
      <w:r>
        <w:rPr/>
        <w:t xml:space="preserve"> hütete Mose das Kleinvieh</w:t>
      </w:r>
      <w:r>
        <w:rPr>
          <w:rStyle w:val="Funotenanker"/>
        </w:rPr>
        <w:footnoteReference w:customMarkFollows="1" w:id="736"/>
        <w:t>b</w:t>
      </w:r>
      <w:r>
        <w:rPr/>
        <w:t xml:space="preserve"> </w:t>
      </w:r>
      <w:r>
        <w:rPr>
          <w:color w:val="808080"/>
        </w:rPr>
        <w:t>(war Hirte des Kleinviehs)</w:t>
      </w:r>
      <w:r>
        <w:rPr/>
        <w:t xml:space="preserve"> </w:t>
      </w:r>
      <w:r>
        <w:rPr>
          <w:rStyle w:val="Funotenanker"/>
        </w:rPr>
        <w:footnoteReference w:customMarkFollows="1" w:id="737"/>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738"/>
        <w:t>d</w:t>
      </w:r>
      <w:r>
        <w:rPr/>
        <w:t xml:space="preserve"> aus der Mitte des Busches</w:t>
      </w:r>
      <w:r>
        <w:rPr>
          <w:rStyle w:val="Funotenanker"/>
        </w:rPr>
        <w:footnoteReference w:customMarkFollows="1" w:id="739"/>
        <w:t>e</w:t>
      </w:r>
      <w:r>
        <w:rPr/>
        <w:t xml:space="preserve">. </w:t>
      </w:r>
      <w:r>
        <w:rPr>
          <w:strike/>
          <w:color w:val="808080"/>
        </w:rPr>
        <w:t>{und}</w:t>
      </w:r>
      <w:r>
        <w:rPr/>
        <w:t xml:space="preserve"> Er sah hin - obwohl</w:t>
      </w:r>
      <w:r>
        <w:rPr>
          <w:rStyle w:val="Funotenanker"/>
        </w:rPr>
        <w:footnoteReference w:customMarkFollows="1" w:id="740"/>
        <w:t>f</w:t>
      </w:r>
      <w:r>
        <w:rPr/>
        <w:t xml:space="preserve"> der Busch mit </w:t>
      </w:r>
      <w:r>
        <w:rPr>
          <w:color w:val="808080"/>
        </w:rPr>
        <w:t>(im)</w:t>
      </w:r>
      <w:r>
        <w:rPr/>
        <w:t xml:space="preserve"> Feuer</w:t>
      </w:r>
      <w:r>
        <w:rPr>
          <w:rStyle w:val="Funotenanker"/>
        </w:rPr>
        <w:footnoteReference w:customMarkFollows="1" w:id="741"/>
        <w:t>g</w:t>
      </w:r>
      <w:r>
        <w:rPr/>
        <w:t xml:space="preserve"> brannte</w:t>
      </w:r>
      <w:r>
        <w:rPr>
          <w:rStyle w:val="Funotenanker"/>
        </w:rPr>
        <w:footnoteReference w:customMarkFollows="1" w:id="742"/>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743"/>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744"/>
        <w:t>j</w:t>
      </w:r>
      <w:r>
        <w:rPr/>
        <w:t xml:space="preserve"> diese außergewöhnliche </w:t>
      </w:r>
      <w:r>
        <w:rPr>
          <w:color w:val="808080"/>
        </w:rPr>
        <w:t>(großartige)</w:t>
      </w:r>
      <w:r>
        <w:rPr/>
        <w:t xml:space="preserve"> Erscheinung ansehen. Warum verbrennt</w:t>
      </w:r>
      <w:r>
        <w:rPr>
          <w:rStyle w:val="Funotenanker"/>
        </w:rPr>
        <w:footnoteReference w:customMarkFollows="1" w:id="745"/>
        <w:t>k</w:t>
      </w:r>
      <w:r>
        <w:rPr/>
        <w:t xml:space="preserve"> der Busch nicht?</w:t>
      </w:r>
      <w:r>
        <w:rPr>
          <w:rStyle w:val="Funotenanker"/>
        </w:rPr>
        <w:footnoteReference w:customMarkFollows="1" w:id="746"/>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747"/>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748"/>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749"/>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750"/>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751"/>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752"/>
        <w:t>r</w:t>
      </w:r>
      <w:r>
        <w:rPr/>
        <w:t xml:space="preserve"> Milch und Honig fließt</w:t>
      </w:r>
      <w:r>
        <w:rPr>
          <w:rStyle w:val="Funotenanker"/>
        </w:rPr>
        <w:footnoteReference w:customMarkFollows="1" w:id="753"/>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754"/>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755"/>
        <w:t>u</w:t>
      </w:r>
      <w:r>
        <w:rPr/>
        <w:t>.</w:t>
      </w:r>
      <w:r>
        <w:rPr>
          <w:rStyle w:val="Funotenanker"/>
        </w:rPr>
        <w:footnoteReference w:customMarkFollows="1" w:id="756"/>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757"/>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758"/>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759"/>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760"/>
        <w:t>z</w:t>
      </w:r>
      <w:r>
        <w:rPr/>
        <w:t xml:space="preserve"> Ich werde bei dir sein </w:t>
      </w:r>
      <w:r>
        <w:rPr>
          <w:color w:val="808080"/>
        </w:rPr>
        <w:t>(bin bei dir)</w:t>
      </w:r>
      <w:r>
        <w:rPr/>
        <w:t xml:space="preserve"> </w:t>
      </w:r>
      <w:r>
        <w:rPr>
          <w:rStyle w:val="Funotenanker"/>
        </w:rPr>
        <w:footnoteReference w:customMarkFollows="1" w:id="761"/>
        <w:t>aa</w:t>
      </w:r>
      <w:r>
        <w:rPr/>
        <w:t xml:space="preserve">. Und dies </w:t>
      </w:r>
      <w:r>
        <w:rPr>
          <w:b/>
          <w:color w:val="808080"/>
        </w:rPr>
        <w:t>[</w:t>
      </w:r>
      <w:r>
        <w:rPr/>
        <w:t>soll</w:t>
      </w:r>
      <w:r>
        <w:rPr>
          <w:b/>
          <w:color w:val="808080"/>
        </w:rPr>
        <w:t>]</w:t>
      </w:r>
      <w:r>
        <w:rPr/>
        <w:t xml:space="preserve"> dein</w:t>
      </w:r>
      <w:r>
        <w:rPr>
          <w:rStyle w:val="Funotenanker"/>
        </w:rPr>
        <w:footnoteReference w:customMarkFollows="1" w:id="762"/>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763"/>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764"/>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765"/>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766"/>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767"/>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768"/>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769"/>
        <w:t>ai</w:t>
      </w:r>
      <w:r>
        <w:rPr/>
        <w:t xml:space="preserve">, der Gott Abrahams, Isaaks und Jakobs </w:t>
      </w:r>
      <w:r>
        <w:rPr>
          <w:rStyle w:val="Funotenanker"/>
        </w:rPr>
        <w:footnoteReference w:customMarkFollows="1" w:id="770"/>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771"/>
        <w:t>ak</w:t>
      </w:r>
      <w:r>
        <w:rPr/>
        <w:t xml:space="preserve"> angenommen </w:t>
      </w:r>
      <w:r>
        <w:rPr>
          <w:color w:val="808080"/>
        </w:rPr>
        <w:t>(beobachtet, mich gekümmert, eingegriffen)</w:t>
      </w:r>
      <w:r>
        <w:rPr/>
        <w:t xml:space="preserve"> </w:t>
      </w:r>
      <w:r>
        <w:rPr>
          <w:rStyle w:val="Funotenanker"/>
        </w:rPr>
        <w:footnoteReference w:customMarkFollows="1" w:id="772"/>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773"/>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774"/>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775"/>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776"/>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777"/>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778"/>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779"/>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780"/>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781"/>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82"/>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83"/>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{{field-on:bible}}Dann </w:t>
      </w:r>
      <w:r>
        <w:rPr>
          <w:color w:val="808080"/>
        </w:rPr>
        <w:t>(und)</w:t>
      </w:r>
      <w:r>
        <w:rPr/>
        <w:t xml:space="preserve"> sprach Gott alle diese Worte:</w:t>
      </w:r>
      <w:r>
        <w:rPr>
          <w:rStyle w:val="Funotenanker"/>
        </w:rPr>
        <w:footnoteReference w:customMarkFollows="1" w:id="785"/>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86"/>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87"/>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88"/>
        <w:t>d</w:t>
      </w:r>
      <w:r>
        <w:rPr/>
        <w:t xml:space="preserve"> keine anderen Götter vor </w:t>
      </w:r>
      <w:r>
        <w:rPr>
          <w:color w:val="808080"/>
        </w:rPr>
        <w:t>(neben, außer)</w:t>
      </w:r>
      <w:r>
        <w:rPr/>
        <w:t xml:space="preserve"> mir</w:t>
      </w:r>
      <w:r>
        <w:rPr>
          <w:rStyle w:val="Funotenanker"/>
        </w:rPr>
        <w:footnoteReference w:customMarkFollows="1" w:id="789"/>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90"/>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91"/>
        <w:t>g</w:t>
      </w:r>
      <w:r>
        <w:rPr/>
        <w:t xml:space="preserve"> gebrauchen </w:t>
      </w:r>
      <w:r>
        <w:rPr>
          <w:color w:val="808080"/>
        </w:rPr>
        <w:t>(aussprechen; aufheben)</w:t>
      </w:r>
      <w:r>
        <w:rPr/>
        <w:t xml:space="preserve"> </w:t>
      </w:r>
      <w:r>
        <w:rPr>
          <w:rStyle w:val="Funotenanker"/>
        </w:rPr>
        <w:footnoteReference w:customMarkFollows="1" w:id="792"/>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93"/>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94"/>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95"/>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96"/>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797"/>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98"/>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99"/>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800"/>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801"/>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802"/>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804"/>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805"/>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806"/>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807"/>
        <w:t>d</w:t>
      </w:r>
      <w:r>
        <w:rPr/>
        <w:t xml:space="preserve">!{{field-off:bible}} </w:t>
        <w:br/>
        <w:t>[[@BibleTOBIBLE:Le 18:4]]</w:t>
      </w:r>
      <w:r>
        <w:rPr>
          <w:b/>
        </w:rPr>
        <w:t>4</w:t>
      </w:r>
      <w:r>
        <w:rPr/>
        <w:t xml:space="preserve"> {{field-on:bible}}''Meine'' Verordnungen</w:t>
      </w:r>
      <w:r>
        <w:rPr>
          <w:rStyle w:val="Funotenanker"/>
        </w:rPr>
        <w:footnoteReference w:customMarkFollows="1" w:id="808"/>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809"/>
        <w:t>f</w:t>
      </w:r>
      <w:r>
        <w:rPr/>
        <w:t xml:space="preserve"> und ''meine'' Vorschriften</w:t>
      </w:r>
      <w:r>
        <w:rPr>
          <w:rStyle w:val="Funotenanker"/>
        </w:rPr>
        <w:footnoteReference w:customMarkFollows="1" w:id="810"/>
        <w:t>g</w:t>
      </w:r>
      <w:r>
        <w:rPr/>
        <w:t xml:space="preserve"> einhalten </w:t>
      </w:r>
      <w:r>
        <w:rPr>
          <w:color w:val="808080"/>
        </w:rPr>
        <w:t>(befolgen; haltet ein)</w:t>
      </w:r>
      <w:r>
        <w:rPr/>
        <w:t>, indem ihr nach ihnen lebt!</w:t>
      </w:r>
      <w:r>
        <w:rPr>
          <w:rStyle w:val="Funotenanker"/>
        </w:rPr>
        <w:footnoteReference w:customMarkFollows="1" w:id="811"/>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812"/>
        <w:t>i</w:t>
      </w:r>
      <w:r>
        <w:rPr/>
        <w:t xml:space="preserve">. </w:t>
      </w:r>
      <w:r>
        <w:rPr>
          <w:rStyle w:val="Funotenanker"/>
        </w:rPr>
        <w:footnoteReference w:customMarkFollows="1" w:id="813"/>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814"/>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815"/>
        <w:t>k</w:t>
      </w:r>
      <w:r>
        <w:rPr/>
        <w:t>, die ich vor euch vertreibe</w:t>
      </w:r>
      <w:r>
        <w:rPr>
          <w:rStyle w:val="Funotenanker"/>
        </w:rPr>
        <w:footnoteReference w:customMarkFollows="1" w:id="816"/>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817"/>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818"/>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819"/>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820"/>
        <w:t>p</w:t>
      </w:r>
      <w:r>
        <w:rPr/>
        <w:t xml:space="preserve"> denen sie vor euren Augen </w:t>
      </w:r>
      <w:r>
        <w:rPr>
          <w:color w:val="808080"/>
        </w:rPr>
        <w:t>(vor eurer Ankunft; vor euch)</w:t>
      </w:r>
      <w:r>
        <w:rPr/>
        <w:t xml:space="preserve"> </w:t>
      </w:r>
      <w:r>
        <w:rPr>
          <w:rStyle w:val="Funotenanker"/>
        </w:rPr>
        <w:footnoteReference w:customMarkFollows="1" w:id="821"/>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822"/>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823"/>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824"/>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825"/>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826"/>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27"/>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28"/>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{{field-on:bible}}Und Bileam stand auf</w:t>
      </w:r>
      <w:r>
        <w:rPr>
          <w:rStyle w:val="Funotenanker"/>
        </w:rPr>
        <w:footnoteReference w:customMarkFollows="1" w:id="829"/>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30"/>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31"/>
        <w:t>c</w:t>
      </w:r>
      <w:r>
        <w:rPr/>
        <w:t xml:space="preserve"> entbrannte</w:t>
      </w:r>
      <w:r>
        <w:rPr>
          <w:rStyle w:val="Funotenanker"/>
        </w:rPr>
        <w:footnoteReference w:customMarkFollows="1" w:id="832"/>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33"/>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34"/>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35"/>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36"/>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37"/>
        <w:t>i</w:t>
      </w:r>
      <w:r>
        <w:rPr/>
        <w:t xml:space="preserve">, in seiner Hand. Und die Eselin bog ab </w:t>
      </w:r>
      <w:r>
        <w:rPr>
          <w:color w:val="808080"/>
        </w:rPr>
        <w:t>(wich ab)</w:t>
      </w:r>
      <w:r>
        <w:rPr/>
        <w:t xml:space="preserve"> </w:t>
      </w:r>
      <w:r>
        <w:rPr>
          <w:rStyle w:val="Funotenanker"/>
        </w:rPr>
        <w:footnoteReference w:customMarkFollows="1" w:id="838"/>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39"/>
        <w:t>k</w:t>
      </w:r>
      <w:r>
        <w:rPr/>
        <w:t xml:space="preserve"> die Eselin um sie zu lenken </w:t>
      </w:r>
      <w:r>
        <w:rPr>
          <w:color w:val="808080"/>
        </w:rPr>
        <w:t>(führen)</w:t>
      </w:r>
      <w:r>
        <w:rPr/>
        <w:t xml:space="preserve"> </w:t>
      </w:r>
      <w:r>
        <w:rPr>
          <w:rStyle w:val="Funotenanker"/>
        </w:rPr>
        <w:footnoteReference w:customMarkFollows="1" w:id="840"/>
        <w:t>l</w:t>
      </w:r>
      <w:r>
        <w:rPr/>
        <w:t xml:space="preserve"> </w:t>
      </w:r>
      <w:r>
        <w:rPr>
          <w:b/>
          <w:color w:val="808080"/>
        </w:rPr>
        <w:t>[</w:t>
      </w:r>
      <w:r>
        <w:rPr/>
        <w:t>zurück</w:t>
      </w:r>
      <w:r>
        <w:rPr>
          <w:b/>
          <w:color w:val="808080"/>
        </w:rPr>
        <w:t>]</w:t>
      </w:r>
      <w:r>
        <w:rPr/>
        <w:t xml:space="preserve"> auf den Weg</w:t>
      </w:r>
      <w:r>
        <w:rPr>
          <w:rStyle w:val="Funotenanker"/>
        </w:rPr>
        <w:footnoteReference w:customMarkFollows="1" w:id="841"/>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42"/>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43"/>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44"/>
        <w:t>p</w:t>
      </w:r>
      <w:r>
        <w:rPr/>
        <w:t>, in seiner Hand. Und er verneigte sich</w:t>
      </w:r>
      <w:r>
        <w:rPr>
          <w:rStyle w:val="Funotenanker"/>
        </w:rPr>
        <w:footnoteReference w:customMarkFollows="1" w:id="845"/>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46"/>
        <w:t>r</w:t>
      </w:r>
      <w:r>
        <w:rPr/>
        <w:t xml:space="preserve"> auf seine Nase</w:t>
      </w:r>
      <w:r>
        <w:rPr>
          <w:rStyle w:val="Funotenanker"/>
        </w:rPr>
        <w:footnoteReference w:customMarkFollows="1" w:id="847"/>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48"/>
        <w:t>t</w:t>
      </w:r>
      <w:r>
        <w:rPr/>
        <w:t xml:space="preserve"> deine Eselin nun</w:t>
      </w:r>
      <w:r>
        <w:rPr>
          <w:rStyle w:val="Funotenanker"/>
        </w:rPr>
        <w:footnoteReference w:customMarkFollows="1" w:id="849"/>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50"/>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51"/>
        <w:t>w</w:t>
      </w:r>
      <w:r>
        <w:rPr/>
        <w:t xml:space="preserve">, denn der Weg war übereilt </w:t>
      </w:r>
      <w:r>
        <w:rPr>
          <w:color w:val="808080"/>
        </w:rPr>
        <w:t>(überstürzt)</w:t>
      </w:r>
      <w:r>
        <w:rPr/>
        <w:t xml:space="preserve"> </w:t>
      </w:r>
      <w:r>
        <w:rPr>
          <w:rStyle w:val="Funotenanker"/>
        </w:rPr>
        <w:footnoteReference w:customMarkFollows="1" w:id="852"/>
        <w:t>x</w:t>
      </w:r>
      <w:r>
        <w:rPr/>
        <w:t xml:space="preserve"> verglichen zu mir </w:t>
      </w:r>
      <w:r>
        <w:rPr>
          <w:color w:val="808080"/>
        </w:rPr>
        <w:t>(mir gegenüber, vor mir)</w:t>
      </w:r>
      <w:r>
        <w:rPr/>
        <w:t xml:space="preserve"> </w:t>
      </w:r>
      <w:r>
        <w:rPr>
          <w:rStyle w:val="Funotenanker"/>
        </w:rPr>
        <w:footnoteReference w:customMarkFollows="1" w:id="853"/>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54"/>
        <w:t>z</w:t>
      </w:r>
      <w:r>
        <w:rPr/>
        <w:t xml:space="preserve"> abgebogen wäre vor mir, dann hätte ich jetzt sogar </w:t>
      </w:r>
      <w:r>
        <w:rPr>
          <w:color w:val="808080"/>
        </w:rPr>
        <w:t>(ja, auch)</w:t>
      </w:r>
      <w:r>
        <w:rPr/>
        <w:t xml:space="preserve"> dich getötet und sie</w:t>
      </w:r>
      <w:r>
        <w:rPr>
          <w:rStyle w:val="Funotenanker"/>
        </w:rPr>
        <w:footnoteReference w:customMarkFollows="1" w:id="855"/>
        <w:t>aa</w:t>
      </w:r>
      <w:r>
        <w:rPr/>
        <w:t xml:space="preserve"> leben lassen</w:t>
      </w:r>
      <w:r>
        <w:rPr>
          <w:rStyle w:val="Funotenanker"/>
        </w:rPr>
        <w:footnoteReference w:customMarkFollows="1" w:id="856"/>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57"/>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58"/>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59"/>
        <w:t>b</w:t>
      </w:r>
      <w:r>
        <w:rPr/>
        <w:t>, und übt sie ein</w:t>
      </w:r>
      <w:r>
        <w:rPr>
          <w:rStyle w:val="Funotenanker"/>
        </w:rPr>
        <w:footnoteReference w:customMarkFollows="1" w:id="860"/>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61"/>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62"/>
        <w:t>e</w:t>
      </w:r>
      <w:r>
        <w:rPr/>
        <w:t xml:space="preserve">.{{field-off:bible}} </w:t>
        <w:br/>
        <w:t>[[@BibleTOBIBLE:Dt 5:8]]</w:t>
      </w:r>
      <w:r>
        <w:rPr>
          <w:b/>
        </w:rPr>
        <w:t>8</w:t>
      </w:r>
      <w:r>
        <w:rPr/>
        <w:t xml:space="preserve"> {{field-on:bible}}Nicht machst du dir</w:t>
      </w:r>
      <w:r>
        <w:rPr>
          <w:rStyle w:val="Funotenanker"/>
        </w:rPr>
        <w:footnoteReference w:customMarkFollows="1" w:id="863"/>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64"/>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65"/>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66"/>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67"/>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68"/>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69"/>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70"/>
        <w:t>a</w:t>
      </w:r>
      <w:r>
        <w:rPr/>
        <w:t>, indem</w:t>
      </w:r>
      <w:r>
        <w:rPr>
          <w:rStyle w:val="Funotenanker"/>
        </w:rPr>
        <w:footnoteReference w:customMarkFollows="1" w:id="87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7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73"/>
        <w:t>d</w:t>
      </w:r>
      <w:r>
        <w:rPr/>
        <w:t xml:space="preserve"> deine Tage lange währen </w:t>
      </w:r>
      <w:r>
        <w:rPr>
          <w:color w:val="808080"/>
        </w:rPr>
        <w:t>(du lange lebst)</w:t>
      </w:r>
      <w:r>
        <w:rPr/>
        <w:t xml:space="preserve"> </w:t>
      </w:r>
      <w:r>
        <w:rPr>
          <w:rStyle w:val="Funotenanker"/>
        </w:rPr>
        <w:footnoteReference w:customMarkFollows="1" w:id="87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7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7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77"/>
        <w:t>h</w:t>
      </w:r>
      <w:r>
        <w:rPr/>
        <w:t xml:space="preserve"> einem Land, </w:t>
      </w:r>
      <w:r>
        <w:rPr>
          <w:b/>
          <w:color w:val="808080"/>
        </w:rPr>
        <w:t>[</w:t>
      </w:r>
      <w:r>
        <w:rPr/>
        <w:t>das von</w:t>
      </w:r>
      <w:r>
        <w:rPr>
          <w:b/>
          <w:color w:val="808080"/>
        </w:rPr>
        <w:t>]</w:t>
      </w:r>
      <w:r>
        <w:rPr/>
        <w:t xml:space="preserve"> </w:t>
      </w:r>
      <w:r>
        <w:rPr>
          <w:rStyle w:val="Funotenanker"/>
        </w:rPr>
        <w:footnoteReference w:customMarkFollows="1" w:id="878"/>
        <w:t>i</w:t>
      </w:r>
      <w:r>
        <w:rPr/>
        <w:t xml:space="preserve"> Milch und Honig </w:t>
      </w:r>
      <w:r>
        <w:rPr>
          <w:b/>
          <w:color w:val="808080"/>
        </w:rPr>
        <w:t>[</w:t>
      </w:r>
      <w:r>
        <w:rPr/>
        <w:t>über</w:t>
      </w:r>
      <w:r>
        <w:rPr>
          <w:b/>
          <w:color w:val="808080"/>
        </w:rPr>
        <w:t>]</w:t>
      </w:r>
      <w:r>
        <w:rPr/>
        <w:t>fließt.</w:t>
      </w:r>
      <w:r>
        <w:rPr>
          <w:rStyle w:val="Funotenanker"/>
        </w:rPr>
        <w:footnoteReference w:customMarkFollows="1" w:id="87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8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8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8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83"/>
        <w:t>n</w:t>
      </w:r>
      <w:r>
        <w:rPr/>
        <w:t xml:space="preserve"> und sie werden als Bänder </w:t>
      </w:r>
      <w:r>
        <w:rPr>
          <w:color w:val="808080"/>
        </w:rPr>
        <w:t>(Erinnerungszeichen, Stirnbänder)</w:t>
      </w:r>
      <w:r>
        <w:rPr/>
        <w:t xml:space="preserve"> </w:t>
      </w:r>
      <w:r>
        <w:rPr>
          <w:rStyle w:val="Funotenanker"/>
        </w:rPr>
        <w:footnoteReference w:customMarkFollows="1" w:id="884"/>
        <w:t>o</w:t>
      </w:r>
      <w:r>
        <w:rPr/>
        <w:t xml:space="preserve"> zwischen deinen Augen</w:t>
      </w:r>
      <w:r>
        <w:rPr>
          <w:rStyle w:val="Funotenanker"/>
        </w:rPr>
        <w:footnoteReference w:customMarkFollows="1" w:id="88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8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87"/>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88"/>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889"/>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90"/>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91"/>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92"/>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93"/>
        <w:t>e</w:t>
      </w:r>
      <w:r>
        <w:rPr/>
        <w:t xml:space="preserve"> begehrt, für Rinder und Kleinvieh</w:t>
      </w:r>
      <w:r>
        <w:rPr>
          <w:rStyle w:val="Funotenanker"/>
        </w:rPr>
        <w:footnoteReference w:customMarkFollows="1" w:id="894"/>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895"/>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896"/>
        <w:t>a</w:t>
      </w:r>
      <w:r>
        <w:rPr/>
        <w:t xml:space="preserve"> </w:t>
      </w:r>
      <w:r>
        <w:rPr>
          <w:smallCaps/>
          <w:color w:val="FF0000"/>
        </w:rPr>
        <w:t>JHWH</w:t>
      </w:r>
      <w:r>
        <w:rPr/>
        <w:t>s, gestorben war, da sprach JHWH zu Josua, dem Sohn Nuns, dem Diener</w:t>
      </w:r>
      <w:r>
        <w:rPr>
          <w:rStyle w:val="Funotenanker"/>
        </w:rPr>
        <w:footnoteReference w:customMarkFollows="1" w:id="897"/>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898"/>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899"/>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00"/>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01"/>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02"/>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03"/>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04"/>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05"/>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06"/>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07"/>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08"/>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09"/>
        <w:t>e</w:t>
      </w:r>
      <w:r>
        <w:rPr/>
        <w:t xml:space="preserve"> und sie in dem Flachsstroh </w:t>
      </w:r>
      <w:r>
        <w:rPr>
          <w:color w:val="808080"/>
        </w:rPr>
        <w:t>(Flachsstängeln)</w:t>
      </w:r>
      <w:r>
        <w:rPr/>
        <w:t xml:space="preserve"> </w:t>
      </w:r>
      <w:r>
        <w:rPr>
          <w:rStyle w:val="Funotenanker"/>
        </w:rPr>
        <w:footnoteReference w:customMarkFollows="1" w:id="910"/>
        <w:t>f</w:t>
      </w:r>
      <w:r>
        <w:rPr/>
        <w:t xml:space="preserve"> versteckt, </w:t>
      </w:r>
      <w:r>
        <w:rPr>
          <w:color w:val="808080"/>
        </w:rPr>
        <w:t>(Flachs des Baumes)</w:t>
      </w:r>
      <w:r>
        <w:rPr/>
        <w:t xml:space="preserve"> </w:t>
      </w:r>
      <w:r>
        <w:rPr>
          <w:rStyle w:val="Funotenanker"/>
        </w:rPr>
        <w:footnoteReference w:customMarkFollows="1" w:id="911"/>
        <w:t>g</w:t>
      </w:r>
      <w:r>
        <w:rPr/>
        <w:t>, das von ihr auf dem Dach angeordnet worden war</w:t>
      </w:r>
      <w:r>
        <w:rPr>
          <w:rStyle w:val="Funotenanker"/>
        </w:rPr>
        <w:footnoteReference w:customMarkFollows="1" w:id="912"/>
        <w:t>h</w:t>
      </w:r>
      <w:r>
        <w:rPr/>
        <w:t xml:space="preserve"> </w:t>
      </w:r>
      <w:r>
        <w:rPr>
          <w:rStyle w:val="Funotenanker"/>
        </w:rPr>
        <w:footnoteReference w:customMarkFollows="1" w:id="913"/>
        <w:t>i</w:t>
      </w:r>
      <w:r>
        <w:rPr/>
        <w:t>.</w:t>
      </w:r>
      <w:r>
        <w:rPr>
          <w:rStyle w:val="Funotenanker"/>
        </w:rPr>
        <w:footnoteReference w:customMarkFollows="1" w:id="914"/>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15"/>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16"/>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17"/>
        <w:t>m</w:t>
      </w:r>
      <w:r>
        <w:rPr/>
        <w:t>.</w:t>
      </w:r>
      <w:r>
        <w:rPr>
          <w:rStyle w:val="Funotenanker"/>
        </w:rPr>
        <w:footnoteReference w:customMarkFollows="1" w:id="918"/>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19"/>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20"/>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21"/>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22"/>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23"/>
        <w:t>s</w:t>
      </w:r>
      <w:r>
        <w:rPr/>
        <w:t xml:space="preserve"> Wenn</w:t>
      </w:r>
      <w:r>
        <w:rPr>
          <w:rStyle w:val="Funotenanker"/>
        </w:rPr>
        <w:footnoteReference w:customMarkFollows="1" w:id="924"/>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25"/>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26"/>
        <w:t>v</w:t>
      </w:r>
      <w:r>
        <w:rPr/>
        <w:t xml:space="preserve"> {{field-off:bible}} </w:t>
        <w:br/>
        <w:t>[[@BibleTOBIBLE:Jos 2:18]]</w:t>
      </w:r>
      <w:r>
        <w:rPr>
          <w:b/>
        </w:rPr>
        <w:t>18</w:t>
      </w:r>
      <w:r>
        <w:rPr/>
        <w:t xml:space="preserve"> {{field-on:bible}}Wenn</w:t>
      </w:r>
      <w:r>
        <w:rPr>
          <w:rStyle w:val="Funotenanker"/>
        </w:rPr>
        <w:footnoteReference w:customMarkFollows="1" w:id="927"/>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28"/>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29"/>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30"/>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31"/>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32"/>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33"/>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34"/>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35"/>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36"/>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37"/>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38"/>
        <w:t>e</w:t>
      </w:r>
      <w:r>
        <w:rPr/>
        <w:t xml:space="preserve"> ein junger Löwe </w:t>
      </w:r>
      <w:r>
        <w:rPr>
          <w:strike/>
          <w:color w:val="808080"/>
        </w:rPr>
        <w:t>{der Löwen}</w:t>
      </w:r>
      <w:r>
        <w:rPr/>
        <w:t xml:space="preserve"> </w:t>
      </w:r>
      <w:r>
        <w:rPr>
          <w:rStyle w:val="Funotenanker"/>
        </w:rPr>
        <w:footnoteReference w:customMarkFollows="1" w:id="939"/>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40"/>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41"/>
        <w:t>h</w:t>
      </w:r>
      <w:r>
        <w:rPr/>
        <w:t>, und er zerriss ihn</w:t>
      </w:r>
      <w:r>
        <w:rPr>
          <w:rStyle w:val="Funotenanker"/>
        </w:rPr>
        <w:footnoteReference w:customMarkFollows="1" w:id="942"/>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43"/>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44"/>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45"/>
        <w:t>l</w:t>
      </w:r>
      <w:r>
        <w:rPr/>
        <w:t xml:space="preserve"> ein Bienenschwarm</w:t>
      </w:r>
      <w:r>
        <w:rPr>
          <w:rStyle w:val="Funotenanker"/>
        </w:rPr>
        <w:footnoteReference w:customMarkFollows="1" w:id="946"/>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47"/>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48"/>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49"/>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50"/>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51"/>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52"/>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53"/>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54"/>
        <w:t>u</w:t>
      </w:r>
      <w:r>
        <w:rPr/>
        <w:t xml:space="preserve"> verraten könnt</w:t>
      </w:r>
      <w:r>
        <w:rPr>
          <w:rStyle w:val="Funotenanker"/>
        </w:rPr>
        <w:footnoteReference w:customMarkFollows="1" w:id="955"/>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56"/>
        <w:t>w</w:t>
      </w:r>
      <w:r>
        <w:rPr/>
        <w:t xml:space="preserve"> und dreißig Wechselkleider</w:t>
      </w:r>
      <w:r>
        <w:rPr>
          <w:rStyle w:val="Funotenanker"/>
        </w:rPr>
        <w:footnoteReference w:customMarkFollows="1" w:id="957"/>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58"/>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59"/>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60"/>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61"/>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62"/>
        <w:t>ac</w:t>
      </w:r>
      <w:r>
        <w:rPr/>
        <w:t>, sonst verbrennen</w:t>
      </w:r>
      <w:r>
        <w:rPr>
          <w:rStyle w:val="Funotenanker"/>
        </w:rPr>
        <w:footnoteReference w:customMarkFollows="1" w:id="963"/>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64"/>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65"/>
        <w:t>af</w:t>
      </w:r>
      <w:r>
        <w:rPr/>
        <w:t xml:space="preserve"> ihm und sagte: „Du hasst</w:t>
      </w:r>
      <w:r>
        <w:rPr>
          <w:rStyle w:val="Funotenanker"/>
        </w:rPr>
        <w:footnoteReference w:customMarkFollows="1" w:id="966"/>
        <w:t>ag</w:t>
      </w:r>
      <w:r>
        <w:rPr/>
        <w:t xml:space="preserve"> mich nur, und du liebst mich nicht</w:t>
      </w:r>
      <w:r>
        <w:rPr>
          <w:rStyle w:val="Funotenanker"/>
        </w:rPr>
        <w:footnoteReference w:customMarkFollows="1" w:id="967"/>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68"/>
        <w:t>ai</w:t>
      </w:r>
      <w:r>
        <w:rPr/>
        <w:t xml:space="preserve"> nicht verraten!“ Da </w:t>
      </w:r>
      <w:r>
        <w:rPr>
          <w:color w:val="808080"/>
        </w:rPr>
        <w:t>(und)</w:t>
      </w:r>
      <w:r>
        <w:rPr/>
        <w:t xml:space="preserve"> sagte er zu ihr: „Nicht einmal</w:t>
      </w:r>
      <w:r>
        <w:rPr>
          <w:rStyle w:val="Funotenanker"/>
        </w:rPr>
        <w:footnoteReference w:customMarkFollows="1" w:id="969"/>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70"/>
        <w:t>ak</w:t>
      </w:r>
      <w:r>
        <w:rPr/>
        <w:t xml:space="preserve"> ihm, während</w:t>
      </w:r>
      <w:r>
        <w:rPr>
          <w:rStyle w:val="Funotenanker"/>
        </w:rPr>
        <w:footnoteReference w:customMarkFollows="1" w:id="971"/>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72"/>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73"/>
        <w:t>an</w:t>
      </w:r>
      <w:r>
        <w:rPr/>
        <w:t>:</w:t>
      </w:r>
      <w:r>
        <w:rPr>
          <w:rStyle w:val="Funotenanker"/>
        </w:rPr>
        <w:footnoteReference w:customMarkFollows="1" w:id="974"/>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75"/>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76"/>
        <w:t>aq</w:t>
      </w:r>
      <w:r>
        <w:rPr/>
        <w:t xml:space="preserve"> nicht gefunden!</w:t>
      </w:r>
      <w:r>
        <w:rPr>
          <w:rStyle w:val="Funotenanker"/>
        </w:rPr>
        <w:footnoteReference w:customMarkFollows="1" w:id="977"/>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78"/>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79"/>
        <w:t>at</w:t>
      </w:r>
      <w:r>
        <w:rPr/>
        <w:t xml:space="preserve"> dreißig Mann</w:t>
      </w:r>
      <w:r>
        <w:rPr>
          <w:rStyle w:val="Funotenanker"/>
        </w:rPr>
        <w:footnoteReference w:customMarkFollows="1" w:id="980"/>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81"/>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82"/>
        <w:t>aw</w:t>
      </w:r>
      <w:r>
        <w:rPr/>
        <w:t xml:space="preserve"> denen, die das Rätsel gelöst </w:t>
      </w:r>
      <w:r>
        <w:rPr>
          <w:color w:val="808080"/>
        </w:rPr>
        <w:t>(gesagt)</w:t>
      </w:r>
      <w:r>
        <w:rPr/>
        <w:t xml:space="preserve"> </w:t>
      </w:r>
      <w:r>
        <w:rPr>
          <w:rStyle w:val="Funotenanker"/>
        </w:rPr>
        <w:footnoteReference w:customMarkFollows="1" w:id="983"/>
        <w:t>ax</w:t>
      </w:r>
      <w:r>
        <w:rPr/>
        <w:t xml:space="preserve"> hatten</w:t>
      </w:r>
      <w:r>
        <w:rPr>
          <w:rStyle w:val="Funotenanker"/>
        </w:rPr>
        <w:footnoteReference w:customMarkFollows="1" w:id="984"/>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85"/>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86"/>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87"/>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988"/>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989"/>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990"/>
        <w:t>e</w:t>
      </w:r>
      <w:r>
        <w:rPr/>
        <w:t xml:space="preserve">&lt;/blockquote&gt; </w:t>
        <w:br/>
        <w:br/>
        <w:t>[[@BibleTOBIBLE:Ru 1:1]]</w:t>
      </w:r>
      <w:r>
        <w:rPr>
          <w:b/>
        </w:rPr>
        <w:t>1</w:t>
      </w:r>
      <w:r>
        <w:rPr/>
        <w:t xml:space="preserve"> {{field-on:bible}} </w:t>
      </w:r>
      <w:r>
        <w:rPr>
          <w:rStyle w:val="Funotenanker"/>
        </w:rPr>
        <w:footnoteReference w:customMarkFollows="1" w:id="991"/>
        <w:t>Status</w:t>
      </w:r>
      <w:r>
        <w:rPr/>
        <w:t xml:space="preserve"> Zur Zeit </w:t>
      </w:r>
      <w:r>
        <w:rPr>
          <w:color w:val="808080"/>
        </w:rPr>
        <w:t>(in den Tagen)</w:t>
      </w:r>
      <w:r>
        <w:rPr/>
        <w:t xml:space="preserve"> des Richtens der Richter</w:t>
      </w:r>
      <w:r>
        <w:rPr>
          <w:rStyle w:val="Funotenanker"/>
        </w:rPr>
        <w:footnoteReference w:customMarkFollows="1" w:id="992"/>
        <w:t>f</w:t>
      </w:r>
      <w:r>
        <w:rPr/>
        <w:t xml:space="preserve"> war </w:t>
      </w:r>
      <w:r>
        <w:rPr>
          <w:color w:val="808080"/>
        </w:rPr>
        <w:t>(herrschte)</w:t>
      </w:r>
      <w:r>
        <w:rPr/>
        <w:t xml:space="preserve"> eine Hungersnot im Land</w:t>
      </w:r>
      <w:r>
        <w:rPr>
          <w:rStyle w:val="Funotenanker"/>
        </w:rPr>
        <w:footnoteReference w:customMarkFollows="1" w:id="993"/>
        <w:t>g</w:t>
      </w:r>
      <w:r>
        <w:rPr/>
        <w:t xml:space="preserve"> </w:t>
      </w:r>
      <w:r>
        <w:rPr>
          <w:color w:val="808080"/>
        </w:rPr>
        <w:t>(kam eine Hungersnot über das Land)</w:t>
      </w:r>
      <w:r>
        <w:rPr/>
        <w:t>. Da verließ</w:t>
      </w:r>
      <w:r>
        <w:rPr>
          <w:rStyle w:val="Funotenanker"/>
        </w:rPr>
        <w:footnoteReference w:customMarkFollows="1" w:id="994"/>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995"/>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996"/>
        <w:t>j</w:t>
      </w:r>
      <w:r>
        <w:rPr/>
        <w:t xml:space="preserve"> Moab</w:t>
      </w:r>
      <w:r>
        <w:rPr>
          <w:rStyle w:val="Funotenanker"/>
        </w:rPr>
        <w:footnoteReference w:customMarkFollows="1" w:id="997"/>
        <w:t>k</w:t>
      </w:r>
      <w:r>
        <w:rPr/>
        <w:t xml:space="preserve"> niederzulassen</w:t>
      </w:r>
      <w:r>
        <w:rPr>
          <w:rStyle w:val="Funotenanker"/>
        </w:rPr>
        <w:footnoteReference w:customMarkFollows="1" w:id="998"/>
        <w:t>l</w:t>
      </w:r>
      <w:r>
        <w:rPr/>
        <w:t xml:space="preserve"> - er, seine Frau und seine beiden Söhne</w:t>
      </w:r>
      <w:r>
        <w:rPr>
          <w:rStyle w:val="Funotenanker"/>
        </w:rPr>
        <w:footnoteReference w:customMarkFollows="1" w:id="999"/>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00"/>
        <w:t>n</w:t>
      </w:r>
      <w:r>
        <w:rPr/>
        <w:t xml:space="preserve"> Machlon </w:t>
      </w:r>
      <w:r>
        <w:rPr>
          <w:color w:val="808080"/>
        </w:rPr>
        <w:t>(krank?)</w:t>
      </w:r>
      <w:r>
        <w:rPr/>
        <w:t xml:space="preserve"> </w:t>
      </w:r>
      <w:r>
        <w:rPr>
          <w:rStyle w:val="Funotenanker"/>
        </w:rPr>
        <w:footnoteReference w:customMarkFollows="1" w:id="1001"/>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02"/>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03"/>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04"/>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05"/>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06"/>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07"/>
        <w:t>u</w:t>
      </w:r>
      <w:r>
        <w:rPr/>
        <w:t xml:space="preserve"> - sie und ihre Schwiegertöchter</w:t>
      </w:r>
      <w:r>
        <w:rPr>
          <w:rStyle w:val="Funotenanker"/>
        </w:rPr>
        <w:footnoteReference w:customMarkFollows="1" w:id="1008"/>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09"/>
        <w:t>w</w:t>
      </w:r>
      <w:r>
        <w:rPr/>
        <w:t xml:space="preserve">, dass </w:t>
      </w:r>
      <w:r>
        <w:rPr>
          <w:smallCaps/>
          <w:color w:val="FF0000"/>
        </w:rPr>
        <w:t>JHWH</w:t>
      </w:r>
      <w:r>
        <w:rPr/>
        <w:t xml:space="preserve"> sein Volk besucht hatte</w:t>
      </w:r>
      <w:r>
        <w:rPr>
          <w:rStyle w:val="Funotenanker"/>
        </w:rPr>
        <w:footnoteReference w:customMarkFollows="1" w:id="1010"/>
        <w:t>x</w:t>
      </w:r>
      <w:r>
        <w:rPr/>
        <w:t>, indem er ihm Brot</w:t>
      </w:r>
      <w:r>
        <w:rPr>
          <w:rStyle w:val="Funotenanker"/>
        </w:rPr>
        <w:footnoteReference w:customMarkFollows="1" w:id="1011"/>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12"/>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13"/>
        <w:t>aa</w:t>
      </w:r>
      <w:r>
        <w:rPr/>
        <w:t>, jede in das Haus ihrer</w:t>
      </w:r>
      <w:r>
        <w:rPr>
          <w:rStyle w:val="Funotenanker"/>
        </w:rPr>
        <w:footnoteReference w:customMarkFollows="1" w:id="1014"/>
        <w:t>ab</w:t>
      </w:r>
      <w:r>
        <w:rPr/>
        <w:t xml:space="preserve"> Mutter</w:t>
      </w:r>
      <w:r>
        <w:rPr>
          <w:rStyle w:val="Funotenanker"/>
        </w:rPr>
        <w:footnoteReference w:customMarkFollows="1" w:id="1015"/>
        <w:t>ac</w:t>
      </w:r>
      <w:r>
        <w:rPr/>
        <w:t>!</w:t>
      </w:r>
      <w:r>
        <w:rPr>
          <w:rStyle w:val="Funotenanker"/>
        </w:rPr>
        <w:footnoteReference w:customMarkFollows="1" w:id="1016"/>
        <w:t>ad</w:t>
      </w:r>
      <w:r>
        <w:rPr/>
        <w:t xml:space="preserve"> </w:t>
      </w:r>
      <w:r>
        <w:rPr>
          <w:smallCaps/>
          <w:color w:val="FF0000"/>
        </w:rPr>
        <w:t>JHWH</w:t>
      </w:r>
      <w:r>
        <w:rPr/>
        <w:t xml:space="preserve"> erweise euch Güte</w:t>
      </w:r>
      <w:r>
        <w:rPr>
          <w:rStyle w:val="Funotenanker"/>
        </w:rPr>
        <w:footnoteReference w:customMarkFollows="1" w:id="1017"/>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18"/>
        <w:t>af</w:t>
      </w:r>
      <w:r>
        <w:rPr/>
        <w:t xml:space="preserve"> findet</w:t>
      </w:r>
      <w:r>
        <w:rPr>
          <w:rStyle w:val="Funotenanker"/>
        </w:rPr>
        <w:footnoteReference w:customMarkFollows="1" w:id="1019"/>
        <w:t>ag</w:t>
      </w:r>
      <w:r>
        <w:rPr/>
        <w:t xml:space="preserve"> - jede im Haus ihres Mannes</w:t>
      </w:r>
      <w:r>
        <w:rPr>
          <w:rStyle w:val="Funotenanker"/>
        </w:rPr>
        <w:footnoteReference w:customMarkFollows="1" w:id="1020"/>
        <w:t>ah</w:t>
      </w:r>
      <w:r>
        <w:rPr/>
        <w:t>!“ - und sie küsste sie. Da erhoben sie ihre Stimmen, weinten</w:t>
      </w:r>
      <w:r>
        <w:rPr>
          <w:rStyle w:val="Funotenanker"/>
        </w:rPr>
        <w:footnoteReference w:customMarkFollows="1" w:id="1021"/>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22"/>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23"/>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24"/>
        <w:t>al</w:t>
      </w:r>
      <w:r>
        <w:rPr/>
        <w:t xml:space="preserve"> </w:t>
      </w:r>
      <w:r>
        <w:rPr>
          <w:b/>
          <w:color w:val="808080"/>
        </w:rPr>
        <w:t>[</w:t>
      </w:r>
      <w:r>
        <w:rPr/>
        <w:t>selbst, wenn</w:t>
      </w:r>
      <w:r>
        <w:rPr>
          <w:b/>
          <w:color w:val="808080"/>
        </w:rPr>
        <w:t>]</w:t>
      </w:r>
      <w:r>
        <w:rPr/>
        <w:t xml:space="preserve"> </w:t>
      </w:r>
      <w:r>
        <w:rPr>
          <w:rStyle w:val="Funotenanker"/>
        </w:rPr>
        <w:footnoteReference w:customMarkFollows="1" w:id="1025"/>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26"/>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27"/>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28"/>
        <w:t>ap</w:t>
      </w:r>
      <w:r>
        <w:rPr/>
        <w:t xml:space="preserve"> Nein, meine Töchter! Ach, mir ist es um euretwillen sehr bitter, dass</w:t>
      </w:r>
      <w:r>
        <w:rPr>
          <w:rStyle w:val="Funotenanker"/>
        </w:rPr>
        <w:footnoteReference w:customMarkFollows="1" w:id="1029"/>
        <w:t>aq</w:t>
      </w:r>
      <w:r>
        <w:rPr/>
        <w:t xml:space="preserve"> die Hand </w:t>
      </w:r>
      <w:r>
        <w:rPr>
          <w:smallCaps/>
          <w:color w:val="FF0000"/>
        </w:rPr>
        <w:t>JHWH</w:t>
      </w:r>
      <w:r>
        <w:rPr/>
        <w:t>s gegen mich ging</w:t>
      </w:r>
      <w:r>
        <w:rPr>
          <w:rStyle w:val="Funotenanker"/>
        </w:rPr>
        <w:footnoteReference w:customMarkFollows="1" w:id="1030"/>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31"/>
        <w:t>as</w:t>
      </w:r>
      <w:r>
        <w:rPr/>
        <w:t xml:space="preserve">.Dann küsste Orpa ihre Schwiegermutter und </w:t>
      </w:r>
      <w:r>
        <w:rPr>
          <w:color w:val="808080"/>
        </w:rPr>
        <w:t>(aber)</w:t>
      </w:r>
      <w:r>
        <w:rPr/>
        <w:t xml:space="preserve"> Rut hängte sich an sie.</w:t>
      </w:r>
      <w:r>
        <w:rPr>
          <w:rStyle w:val="Funotenanker"/>
        </w:rPr>
        <w:footnoteReference w:customMarkFollows="1" w:id="1032"/>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33"/>
        <w:t>au</w:t>
      </w:r>
      <w:r>
        <w:rPr/>
        <w:t xml:space="preserve">, deine Schwägerin kehrt zu ihrem Volk und ihrem Gott </w:t>
      </w:r>
      <w:r>
        <w:rPr>
          <w:color w:val="808080"/>
        </w:rPr>
        <w:t>(ihren Göttern)</w:t>
      </w:r>
      <w:r>
        <w:rPr/>
        <w:t xml:space="preserve"> zurück</w:t>
      </w:r>
      <w:r>
        <w:rPr>
          <w:rStyle w:val="Funotenanker"/>
        </w:rPr>
        <w:footnoteReference w:customMarkFollows="1" w:id="1034"/>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35"/>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36"/>
        <w:t>ax</w:t>
      </w:r>
      <w:r>
        <w:rPr/>
        <w:t xml:space="preserve"> der Tod uns scheiden wird.</w:t>
      </w:r>
      <w:r>
        <w:rPr>
          <w:rStyle w:val="Funotenanker"/>
        </w:rPr>
        <w:footnoteReference w:customMarkFollows="1" w:id="1037"/>
        <w:t>ay</w:t>
      </w:r>
      <w:r>
        <w:rPr/>
        <w:t xml:space="preserve">«{{field-off:bible}} </w:t>
        <w:br/>
        <w:t>[[@BibleTOBIBLE:Ru 1:18]]</w:t>
      </w:r>
      <w:r>
        <w:rPr>
          <w:b/>
        </w:rPr>
        <w:t>18</w:t>
      </w:r>
      <w:r>
        <w:rPr/>
        <w:t xml:space="preserve"> {{field-on:bible}}Da sah sie, wie entschlossen</w:t>
      </w:r>
      <w:r>
        <w:rPr>
          <w:rStyle w:val="Funotenanker"/>
        </w:rPr>
        <w:footnoteReference w:customMarkFollows="1" w:id="1038"/>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39"/>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40"/>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41"/>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42"/>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43"/>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44"/>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45"/>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46"/>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47"/>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48"/>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49"/>
        <w:t>Status</w:t>
      </w:r>
      <w:r>
        <w:rPr/>
        <w:t xml:space="preserve"> Noomi hatte einen Verwandten </w:t>
      </w:r>
      <w:r>
        <w:rPr>
          <w:color w:val="808080"/>
        </w:rPr>
        <w:t>(Bekannten)</w:t>
      </w:r>
      <w:r>
        <w:rPr/>
        <w:t xml:space="preserve"> </w:t>
      </w:r>
      <w:r>
        <w:rPr>
          <w:rStyle w:val="Funotenanker"/>
        </w:rPr>
        <w:footnoteReference w:customMarkFollows="1" w:id="1050"/>
        <w:t>c</w:t>
      </w:r>
      <w:r>
        <w:rPr/>
        <w:t xml:space="preserve"> ihres Mannes; einen mächtigen, fähigen Mann</w:t>
      </w:r>
      <w:r>
        <w:rPr>
          <w:rStyle w:val="Funotenanker"/>
        </w:rPr>
        <w:footnoteReference w:customMarkFollows="1" w:id="1051"/>
        <w:t>d</w:t>
      </w:r>
      <w:r>
        <w:rPr/>
        <w:t xml:space="preserve"> aus der Sippe Elimelechs</w:t>
      </w:r>
      <w:r>
        <w:rPr>
          <w:rStyle w:val="Funotenanker"/>
        </w:rPr>
        <w:footnoteReference w:customMarkFollows="1" w:id="1052"/>
        <w:t>e</w:t>
      </w:r>
      <w:r>
        <w:rPr/>
        <w:t xml:space="preserve">. Sein Name war: Boas </w:t>
      </w:r>
      <w:r>
        <w:rPr>
          <w:color w:val="808080"/>
        </w:rPr>
        <w:t>(in ihm ist Kraft, der Scharfsinnige)</w:t>
      </w:r>
      <w:r>
        <w:rPr/>
        <w:t xml:space="preserve"> </w:t>
      </w:r>
      <w:r>
        <w:rPr>
          <w:rStyle w:val="Funotenanker"/>
        </w:rPr>
        <w:footnoteReference w:customMarkFollows="1" w:id="1053"/>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54"/>
        <w:t>g</w:t>
      </w:r>
      <w:r>
        <w:rPr/>
        <w:t xml:space="preserve"> gehen</w:t>
      </w:r>
      <w:r>
        <w:rPr>
          <w:rStyle w:val="Funotenanker"/>
        </w:rPr>
        <w:footnoteReference w:customMarkFollows="1" w:id="1055"/>
        <w:t>h</w:t>
      </w:r>
      <w:r>
        <w:rPr/>
        <w:t xml:space="preserve"> und an den Ähren mitlesen</w:t>
      </w:r>
      <w:r>
        <w:rPr>
          <w:rStyle w:val="Funotenanker"/>
        </w:rPr>
        <w:footnoteReference w:customMarkFollows="1" w:id="1056"/>
        <w:t>i</w:t>
      </w:r>
      <w:r>
        <w:rPr/>
        <w:t xml:space="preserve"> hinter dem, in dessen Augen ich Gefallen finde</w:t>
      </w:r>
      <w:r>
        <w:rPr>
          <w:rStyle w:val="Funotenanker"/>
        </w:rPr>
        <w:footnoteReference w:customMarkFollows="1" w:id="1057"/>
        <w:t>j</w:t>
      </w:r>
      <w:r>
        <w:rPr/>
        <w:t>.“ Sie sagte zu ihr: „Geh, meine Tochter!“</w:t>
      </w:r>
      <w:r>
        <w:rPr>
          <w:rStyle w:val="Funotenanker"/>
        </w:rPr>
        <w:footnoteReference w:customMarkFollows="1" w:id="1058"/>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59"/>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60"/>
        <w:t>m</w:t>
      </w:r>
      <w:r>
        <w:rPr/>
        <w:t xml:space="preserve"> Zufällig geriet sie</w:t>
      </w:r>
      <w:r>
        <w:rPr>
          <w:rStyle w:val="Funotenanker"/>
        </w:rPr>
        <w:footnoteReference w:customMarkFollows="1" w:id="1061"/>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62"/>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63"/>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64"/>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65"/>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66"/>
        <w:t>s</w:t>
      </w:r>
      <w:r>
        <w:rPr/>
        <w:t>.</w:t>
      </w:r>
      <w:r>
        <w:rPr>
          <w:rStyle w:val="Funotenanker"/>
        </w:rPr>
        <w:footnoteReference w:customMarkFollows="1" w:id="1067"/>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68"/>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69"/>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70"/>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71"/>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72"/>
        <w:t>y</w:t>
      </w:r>
      <w:r>
        <w:rPr/>
        <w:t xml:space="preserve">. Gehe hinter ihnen </w:t>
      </w:r>
      <w:r>
        <w:rPr>
          <w:color w:val="808080"/>
        </w:rPr>
        <w:t>(zusammen mit ihnen)</w:t>
      </w:r>
      <w:r>
        <w:rPr/>
        <w:t xml:space="preserve"> </w:t>
      </w:r>
      <w:r>
        <w:rPr>
          <w:rStyle w:val="Funotenanker"/>
        </w:rPr>
        <w:footnoteReference w:customMarkFollows="1" w:id="1073"/>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74"/>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75"/>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76"/>
        <w:t>ac</w:t>
      </w:r>
      <w:r>
        <w:rPr/>
        <w:t xml:space="preserve"> ihr: „Berichtet </w:t>
      </w:r>
      <w:r>
        <w:rPr>
          <w:strike/>
          <w:color w:val="808080"/>
        </w:rPr>
        <w:t>{berichtet}</w:t>
      </w:r>
      <w:r>
        <w:rPr/>
        <w:t xml:space="preserve"> </w:t>
      </w:r>
      <w:r>
        <w:rPr>
          <w:rStyle w:val="Funotenanker"/>
        </w:rPr>
        <w:footnoteReference w:customMarkFollows="1" w:id="1077"/>
        <w:t>ad</w:t>
      </w:r>
      <w:r>
        <w:rPr/>
        <w:t xml:space="preserve"> wurde mir alles, was du für deine Schwiegermutter nach dem Tod deines Mannes getan hast</w:t>
      </w:r>
      <w:r>
        <w:rPr>
          <w:rStyle w:val="Funotenanker"/>
        </w:rPr>
        <w:footnoteReference w:customMarkFollows="1" w:id="1078"/>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79"/>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80"/>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81"/>
        <w:t>ah</w:t>
      </w:r>
      <w:r>
        <w:rPr/>
        <w:t>, mein Herr</w:t>
      </w:r>
      <w:r>
        <w:rPr>
          <w:rStyle w:val="Funotenanker"/>
        </w:rPr>
        <w:footnoteReference w:customMarkFollows="1" w:id="1082"/>
        <w:t>ai</w:t>
      </w:r>
      <w:r>
        <w:rPr/>
        <w:t>, weil du mich getröstet und weil du zum Herzen deiner Magd gesprochen hast</w:t>
      </w:r>
      <w:r>
        <w:rPr>
          <w:rStyle w:val="Funotenanker"/>
        </w:rPr>
        <w:footnoteReference w:customMarkFollows="1" w:id="1083"/>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84"/>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85"/>
        <w:t>al</w:t>
      </w:r>
      <w:r>
        <w:rPr/>
        <w:t xml:space="preserve"> </w:t>
      </w:r>
      <w:r>
        <w:rPr>
          <w:color w:val="808080"/>
        </w:rPr>
        <w:t>)</w:t>
      </w:r>
      <w:r>
        <w:rPr/>
        <w:t>! Iss von dem Brot und tunke deinen Brocken in den Essig</w:t>
      </w:r>
      <w:r>
        <w:rPr>
          <w:rStyle w:val="Funotenanker"/>
        </w:rPr>
        <w:footnoteReference w:customMarkFollows="1" w:id="1086"/>
        <w:t>am</w:t>
      </w:r>
      <w:r>
        <w:rPr/>
        <w:t>!“ - Also setzte sich sich an die Seite der Schnitter, er reichte</w:t>
      </w:r>
      <w:r>
        <w:rPr>
          <w:rStyle w:val="Funotenanker"/>
        </w:rPr>
        <w:footnoteReference w:customMarkFollows="1" w:id="1087"/>
        <w:t>an</w:t>
      </w:r>
      <w:r>
        <w:rPr/>
        <w:t xml:space="preserve"> ihr Röstkorn</w:t>
      </w:r>
      <w:r>
        <w:rPr>
          <w:rStyle w:val="Funotenanker"/>
        </w:rPr>
        <w:footnoteReference w:customMarkFollows="1" w:id="1088"/>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089"/>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090"/>
        <w:t>aq</w:t>
      </w:r>
      <w:r>
        <w:rPr/>
        <w:t xml:space="preserve"> aus den Handbündeln</w:t>
      </w:r>
      <w:r>
        <w:rPr>
          <w:rStyle w:val="Funotenanker"/>
        </w:rPr>
        <w:footnoteReference w:customMarkFollows="1" w:id="1091"/>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092"/>
        <w:t>as</w:t>
      </w:r>
      <w:r>
        <w:rPr/>
        <w:t xml:space="preserve"> - und es ergab ungefähr ein Efa </w:t>
      </w:r>
      <w:r>
        <w:rPr>
          <w:color w:val="808080"/>
        </w:rPr>
        <w:t>(genau ein Efa, ein ganzes Efa)</w:t>
      </w:r>
      <w:r>
        <w:rPr/>
        <w:t xml:space="preserve"> </w:t>
      </w:r>
      <w:r>
        <w:rPr>
          <w:rStyle w:val="Funotenanker"/>
        </w:rPr>
        <w:footnoteReference w:customMarkFollows="1" w:id="1093"/>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094"/>
        <w:t>au</w:t>
      </w:r>
      <w:r>
        <w:rPr/>
        <w:t xml:space="preserve">, kam in die Stadt und zeigte ihrer Schwiegermutter </w:t>
      </w:r>
      <w:r>
        <w:rPr>
          <w:color w:val="808080"/>
        </w:rPr>
        <w:t>(ihre Schwiegermutter sah)</w:t>
      </w:r>
      <w:r>
        <w:rPr/>
        <w:t xml:space="preserve"> </w:t>
      </w:r>
      <w:r>
        <w:rPr>
          <w:rStyle w:val="Funotenanker"/>
        </w:rPr>
        <w:footnoteReference w:customMarkFollows="1" w:id="1095"/>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096"/>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097"/>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098"/>
        <w:t>ay</w:t>
      </w:r>
      <w:r>
        <w:rPr/>
        <w:t>, der nicht von seiner Treue zu den Lebenden und den Toten abgelassen hat</w:t>
      </w:r>
      <w:r>
        <w:rPr>
          <w:rStyle w:val="Funotenanker"/>
        </w:rPr>
        <w:footnoteReference w:customMarkFollows="1" w:id="1099"/>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00"/>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01"/>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02"/>
        <w:t>bc</w:t>
      </w:r>
      <w:r>
        <w:rPr/>
        <w:t xml:space="preserve"> er zu mir gesagt hat: »An die Jungen</w:t>
      </w:r>
      <w:r>
        <w:rPr>
          <w:rStyle w:val="Funotenanker"/>
        </w:rPr>
        <w:footnoteReference w:customMarkFollows="1" w:id="1103"/>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04"/>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05"/>
        <w:t>a</w:t>
      </w:r>
      <w:r>
        <w:rPr/>
        <w:t xml:space="preserve"> Israel wieder „Brot gegeben“ habe - doch das Brot von Noomi und Rut stammt von Boas. * In Rut 2,12 verwendet Boas die sog. „Lohnknecht-Metapher“</w:t>
      </w:r>
      <w:r>
        <w:rPr>
          <w:rStyle w:val="Funotenanker"/>
        </w:rPr>
        <w:footnoteReference w:customMarkFollows="1" w:id="1106"/>
        <w:t>b</w:t>
      </w:r>
      <w:r>
        <w:rPr/>
        <w:t xml:space="preserve"> und stellt so </w:t>
      </w:r>
      <w:r>
        <w:rPr>
          <w:rStyle w:val="Funotenanker"/>
        </w:rPr>
        <w:footnoteReference w:customMarkFollows="1" w:id="1107"/>
        <w:t>c</w:t>
      </w:r>
      <w:r>
        <w:rPr/>
        <w:t xml:space="preserve"> als Lohnherrn der Rut vor („</w:t>
      </w:r>
      <w:r>
        <w:rPr>
          <w:rStyle w:val="Funotenanker"/>
        </w:rPr>
        <w:footnoteReference w:customMarkFollows="1" w:id="1108"/>
        <w:t>d</w:t>
      </w:r>
      <w:r>
        <w:rPr/>
        <w:t xml:space="preserve"> vergelte dein Tun und dein Lohn sei voll von JHWH, dem Gott Israel“) - doch auch hier: Der Lohn für die Arbeit Ruts stammt von Boas.</w:t>
      </w:r>
      <w:r>
        <w:rPr>
          <w:rStyle w:val="Funotenanker"/>
        </w:rPr>
        <w:footnoteReference w:customMarkFollows="1" w:id="1109"/>
        <w:t>e</w:t>
      </w:r>
      <w:r>
        <w:rPr/>
        <w:t xml:space="preserve"> * Zu diesem Phänomen gehört auch die Ambiguität von Rut 2,20, wo unsicher ist, ob der Relativsatz auf Boas oder </w:t>
      </w:r>
      <w:r>
        <w:rPr>
          <w:rStyle w:val="Funotenanker"/>
        </w:rPr>
        <w:footnoteReference w:customMarkFollows="1" w:id="1110"/>
        <w:t>f</w:t>
      </w:r>
      <w:r>
        <w:rPr/>
        <w:t xml:space="preserve"> zu beziehen ist (s. FN ax).</w:t>
      </w:r>
      <w:r>
        <w:rPr>
          <w:rStyle w:val="Funotenanker"/>
        </w:rPr>
        <w:footnoteReference w:customMarkFollows="1" w:id="1111"/>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12"/>
        <w:t>h</w:t>
      </w:r>
      <w:r>
        <w:rPr/>
        <w:t>s schlechthin ausdrückt.</w:t>
      </w:r>
      <w:r>
        <w:rPr>
          <w:rStyle w:val="Funotenanker"/>
        </w:rPr>
        <w:footnoteReference w:customMarkFollows="1" w:id="1113"/>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14"/>
        <w:t>j</w:t>
      </w:r>
      <w:r>
        <w:rPr/>
        <w:t>s „Flügeln“ Schutz suchen wolle.</w:t>
      </w:r>
      <w:r>
        <w:rPr>
          <w:rStyle w:val="Funotenanker"/>
        </w:rPr>
        <w:footnoteReference w:customMarkFollows="1" w:id="1115"/>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16"/>
        <w:t>l</w:t>
      </w:r>
      <w:r>
        <w:rPr/>
        <w:t>s vorausgesagt werden.</w:t>
      </w:r>
      <w:r>
        <w:rPr>
          <w:rStyle w:val="Funotenanker"/>
        </w:rPr>
        <w:footnoteReference w:customMarkFollows="1" w:id="1117"/>
        <w:t>m</w:t>
      </w:r>
      <w:r>
        <w:rPr/>
        <w:t xml:space="preserve"> * In Rut 4,15 findet sich eine ganz ähnliche Ambivalenz wie in 2,20 (s. FN am) * Auffällig ist schließlich in Rut 4,13f., wie </w:t>
      </w:r>
      <w:r>
        <w:rPr>
          <w:rStyle w:val="Funotenanker"/>
        </w:rPr>
        <w:footnoteReference w:customMarkFollows="1" w:id="1118"/>
        <w:t>n</w:t>
      </w:r>
      <w:r>
        <w:rPr/>
        <w:t xml:space="preserve"> und die beiden Eheleute bei der Zeugung Obeds zusammenwirken: „Der Nachkomme, den </w:t>
      </w:r>
      <w:r>
        <w:rPr>
          <w:rStyle w:val="Funotenanker"/>
        </w:rPr>
        <w:footnoteReference w:customMarkFollows="1" w:id="1119"/>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20"/>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21"/>
        <w:t>q</w:t>
      </w:r>
      <w:r>
        <w:rPr/>
        <w:t xml:space="preserve"> parallelisiert, und das „damit es dir gut geht“ ist hier gerade nicht die Folge von </w:t>
      </w:r>
      <w:r>
        <w:rPr>
          <w:rStyle w:val="Funotenanker"/>
        </w:rPr>
        <w:footnoteReference w:customMarkFollows="1" w:id="1122"/>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23"/>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24"/>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25"/>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26"/>
        <w:t>u</w:t>
      </w:r>
      <w:r>
        <w:rPr/>
        <w:t xml:space="preserve"> für dich Ruhe </w:t>
      </w:r>
      <w:r>
        <w:rPr>
          <w:color w:val="808080"/>
        </w:rPr>
        <w:t>(eine Heimstatt)</w:t>
      </w:r>
      <w:r>
        <w:rPr/>
        <w:t xml:space="preserve"> </w:t>
      </w:r>
      <w:r>
        <w:rPr>
          <w:rStyle w:val="Funotenanker"/>
        </w:rPr>
        <w:footnoteReference w:customMarkFollows="1" w:id="1127"/>
        <w:t>v</w:t>
      </w:r>
      <w:r>
        <w:rPr/>
        <w:t xml:space="preserve"> suchen, damit </w:t>
      </w:r>
      <w:r>
        <w:rPr>
          <w:color w:val="808080"/>
        </w:rPr>
        <w:t>(wo)</w:t>
      </w:r>
      <w:r>
        <w:rPr/>
        <w:t xml:space="preserve"> es dir gut geht?</w:t>
      </w:r>
      <w:r>
        <w:rPr>
          <w:rStyle w:val="Funotenanker"/>
        </w:rPr>
        <w:footnoteReference w:customMarkFollows="1" w:id="1128"/>
        <w:t>w</w:t>
      </w:r>
      <w:r>
        <w:rPr/>
        <w:t xml:space="preserve"> {{field-off:bible}} </w:t>
        <w:br/>
        <w:t>[[@BibleTOBIBLE:Ru 3:2]]</w:t>
      </w:r>
      <w:r>
        <w:rPr>
          <w:b/>
        </w:rPr>
        <w:t>2</w:t>
      </w:r>
      <w:r>
        <w:rPr/>
        <w:t xml:space="preserve"> {{field-on:bible}}Und weiter</w:t>
      </w:r>
      <w:r>
        <w:rPr>
          <w:rStyle w:val="Funotenanker"/>
        </w:rPr>
        <w:footnoteReference w:customMarkFollows="1" w:id="1129"/>
        <w:t>x</w:t>
      </w:r>
      <w:r>
        <w:rPr/>
        <w:t>: Ist nicht Boas, bei dessen Mägden du warst, unser Verwandter</w:t>
      </w:r>
      <w:r>
        <w:rPr>
          <w:rStyle w:val="Funotenanker"/>
        </w:rPr>
        <w:footnoteReference w:customMarkFollows="1" w:id="1130"/>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31"/>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32"/>
        <w:t>aa</w:t>
      </w:r>
      <w:r>
        <w:rPr/>
        <w:t xml:space="preserve"> wasche dich, salbe dich, wirf deine Kleider </w:t>
      </w:r>
      <w:r>
        <w:rPr>
          <w:color w:val="808080"/>
        </w:rPr>
        <w:t>(dein Kleid)</w:t>
      </w:r>
      <w:r>
        <w:rPr/>
        <w:t xml:space="preserve"> </w:t>
      </w:r>
      <w:r>
        <w:rPr>
          <w:rStyle w:val="Funotenanker"/>
        </w:rPr>
        <w:footnoteReference w:customMarkFollows="1" w:id="1133"/>
        <w:t>ab</w:t>
      </w:r>
      <w:r>
        <w:rPr/>
        <w:t xml:space="preserve"> um dich </w:t>
      </w:r>
      <w:r>
        <w:rPr>
          <w:color w:val="808080"/>
        </w:rPr>
        <w:t>(zieh deine Kleider/dein Kleid an)</w:t>
      </w:r>
      <w:r>
        <w:rPr/>
        <w:t xml:space="preserve"> </w:t>
      </w:r>
      <w:r>
        <w:rPr>
          <w:rStyle w:val="Funotenanker"/>
        </w:rPr>
        <w:footnoteReference w:customMarkFollows="1" w:id="1134"/>
        <w:t>ac</w:t>
      </w:r>
      <w:r>
        <w:rPr/>
        <w:t xml:space="preserve"> und geh zur Tenne hinab</w:t>
      </w:r>
      <w:r>
        <w:rPr>
          <w:rStyle w:val="Funotenanker"/>
        </w:rPr>
        <w:footnoteReference w:customMarkFollows="1" w:id="1135"/>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36"/>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37"/>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38"/>
        <w:t>ag</w:t>
      </w:r>
      <w:r>
        <w:rPr/>
        <w:t xml:space="preserve"> sagst </w:t>
      </w:r>
      <w:r>
        <w:rPr>
          <w:color w:val="808080"/>
        </w:rPr>
        <w:t>(je sagen wirst)</w:t>
      </w:r>
      <w:r>
        <w:rPr/>
        <w:t xml:space="preserve"> </w:t>
      </w:r>
      <w:r>
        <w:rPr>
          <w:rStyle w:val="Funotenanker"/>
        </w:rPr>
        <w:footnoteReference w:customMarkFollows="1" w:id="1139"/>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40"/>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41"/>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42"/>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43"/>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44"/>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45"/>
        <w:t>an</w:t>
      </w:r>
      <w:r>
        <w:rPr/>
        <w:t xml:space="preserve"> - daher breite deinen Gewandzipfel </w:t>
      </w:r>
      <w:r>
        <w:rPr>
          <w:color w:val="808080"/>
        </w:rPr>
        <w:t>(deine Decke, deine Flügel)</w:t>
      </w:r>
      <w:r>
        <w:rPr/>
        <w:t xml:space="preserve"> </w:t>
      </w:r>
      <w:r>
        <w:rPr>
          <w:rStyle w:val="Funotenanker"/>
        </w:rPr>
        <w:footnoteReference w:customMarkFollows="1" w:id="1146"/>
        <w:t>ao</w:t>
      </w:r>
      <w:r>
        <w:rPr/>
        <w:t xml:space="preserve"> über deine Magd, denn du bist Goel!</w:t>
      </w:r>
      <w:r>
        <w:rPr>
          <w:rStyle w:val="Funotenanker"/>
        </w:rPr>
        <w:footnoteReference w:customMarkFollows="1" w:id="1147"/>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48"/>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49"/>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50"/>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51"/>
        <w:t>at</w:t>
      </w:r>
      <w:r>
        <w:rPr/>
        <w:t>, dass du eine fähige Frau</w:t>
      </w:r>
      <w:r>
        <w:rPr>
          <w:rStyle w:val="Funotenanker"/>
        </w:rPr>
        <w:footnoteReference w:customMarkFollows="1" w:id="1152"/>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53"/>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54"/>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55"/>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56"/>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57"/>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58"/>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59"/>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60"/>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61"/>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62"/>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63"/>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64"/>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65"/>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66"/>
        <w:t>Status</w:t>
      </w:r>
      <w:r>
        <w:rPr/>
        <w:t xml:space="preserve"> Boas aber ging ins Tor</w:t>
      </w:r>
      <w:r>
        <w:rPr>
          <w:rStyle w:val="Funotenanker"/>
        </w:rPr>
        <w:footnoteReference w:customMarkFollows="1" w:id="1167"/>
        <w:t>b</w:t>
      </w:r>
      <w:r>
        <w:rPr/>
        <w:t xml:space="preserve"> hinauf und setzte sich dort hin. Und, siehe da!,</w:t>
      </w:r>
      <w:r>
        <w:rPr>
          <w:rStyle w:val="Funotenanker"/>
        </w:rPr>
        <w:footnoteReference w:customMarkFollows="1" w:id="1168"/>
        <w:t>c</w:t>
      </w:r>
      <w:r>
        <w:rPr/>
        <w:t xml:space="preserve"> der Löser</w:t>
      </w:r>
      <w:r>
        <w:rPr>
          <w:rStyle w:val="Funotenanker"/>
        </w:rPr>
        <w:footnoteReference w:customMarkFollows="1" w:id="1169"/>
        <w:t>d</w:t>
      </w:r>
      <w:r>
        <w:rPr/>
        <w:t xml:space="preserve"> kam vorüber, von dem Boas gesprochen hatte. Da sagte er: „Bieg ab!</w:t>
      </w:r>
      <w:r>
        <w:rPr>
          <w:rStyle w:val="Funotenanker"/>
        </w:rPr>
        <w:footnoteReference w:customMarkFollows="1" w:id="1170"/>
        <w:t>e</w:t>
      </w:r>
      <w:r>
        <w:rPr/>
        <w:t xml:space="preserve"> Setz dich hier irgendwo hin </w:t>
      </w:r>
      <w:r>
        <w:rPr>
          <w:color w:val="808080"/>
        </w:rPr>
        <w:t>(setz dich hier hin, Soundso)</w:t>
      </w:r>
      <w:r>
        <w:rPr/>
        <w:t>!“</w:t>
      </w:r>
      <w:r>
        <w:rPr>
          <w:rStyle w:val="Funotenanker"/>
        </w:rPr>
        <w:footnoteReference w:customMarkFollows="1" w:id="1171"/>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72"/>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73"/>
        <w:t>h</w:t>
      </w:r>
      <w:r>
        <w:rPr/>
        <w:t xml:space="preserve"> das unserem Bruder</w:t>
      </w:r>
      <w:r>
        <w:rPr>
          <w:rStyle w:val="Funotenanker"/>
        </w:rPr>
        <w:footnoteReference w:customMarkFollows="1" w:id="1174"/>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75"/>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76"/>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77"/>
        <w:t>l</w:t>
      </w:r>
      <w:r>
        <w:rPr/>
        <w:t xml:space="preserve"> ich will dir folgendes zu Gehör bringen:</w:t>
      </w:r>
      <w:r>
        <w:rPr>
          <w:rStyle w:val="Funotenanker"/>
        </w:rPr>
        <w:footnoteReference w:customMarkFollows="1" w:id="1178"/>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79"/>
        <w:t>n</w:t>
      </w:r>
      <w:r>
        <w:rPr/>
        <w:t xml:space="preserve"> - wenn du lösen willst, dann löse.</w:t>
      </w:r>
      <w:r>
        <w:rPr>
          <w:rStyle w:val="Funotenanker"/>
        </w:rPr>
        <w:footnoteReference w:customMarkFollows="1" w:id="1180"/>
        <w:t>o</w:t>
      </w:r>
      <w:r>
        <w:rPr/>
        <w:t xml:space="preserve"> Wenn aber niemand lösen will </w:t>
      </w:r>
      <w:r>
        <w:rPr>
          <w:color w:val="808080"/>
        </w:rPr>
        <w:t>(wenn du aber nicht lösen willst)</w:t>
      </w:r>
      <w:r>
        <w:rPr/>
        <w:t>,</w:t>
      </w:r>
      <w:r>
        <w:rPr>
          <w:rStyle w:val="Funotenanker"/>
        </w:rPr>
        <w:footnoteReference w:customMarkFollows="1" w:id="1181"/>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82"/>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83"/>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84"/>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85"/>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86"/>
        <w:t>u</w:t>
      </w:r>
      <w:r>
        <w:rPr/>
        <w:t xml:space="preserve"> um irgendetwas</w:t>
      </w:r>
      <w:r>
        <w:rPr>
          <w:rStyle w:val="Funotenanker"/>
        </w:rPr>
        <w:footnoteReference w:customMarkFollows="1" w:id="1187"/>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188"/>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189"/>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190"/>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191"/>
        <w:t>z</w:t>
      </w:r>
      <w:r>
        <w:rPr/>
        <w:t xml:space="preserve"> aus dem Volk seiner Brüder und aus dem Tor seines Ortes.</w:t>
      </w:r>
      <w:r>
        <w:rPr>
          <w:rStyle w:val="Funotenanker"/>
        </w:rPr>
        <w:footnoteReference w:customMarkFollows="1" w:id="1192"/>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193"/>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194"/>
        <w:t>ac</w:t>
      </w:r>
      <w:r>
        <w:rPr/>
        <w:t xml:space="preserve"> </w:t>
      </w:r>
      <w:r>
        <w:rPr>
          <w:b/>
          <w:color w:val="808080"/>
        </w:rPr>
        <w:t>[</w:t>
      </w:r>
      <w:r>
        <w:rPr/>
        <w:t>werde</w:t>
      </w:r>
      <w:r>
        <w:rPr>
          <w:b/>
          <w:color w:val="808080"/>
        </w:rPr>
        <w:t>]</w:t>
      </w:r>
      <w:r>
        <w:rPr/>
        <w:t>,Die beide</w:t>
      </w:r>
      <w:r>
        <w:rPr>
          <w:rStyle w:val="Funotenanker"/>
        </w:rPr>
        <w:footnoteReference w:customMarkFollows="1" w:id="1195"/>
        <w:t>ad</w:t>
      </w:r>
      <w:r>
        <w:rPr/>
        <w:t xml:space="preserve"> das Haus Israel erbauten!</w:t>
      </w:r>
      <w:r>
        <w:rPr>
          <w:rStyle w:val="Funotenanker"/>
        </w:rPr>
        <w:footnoteReference w:customMarkFollows="1" w:id="1196"/>
        <w:t>ae</w:t>
      </w:r>
      <w:r>
        <w:rPr/>
        <w:t xml:space="preserve"> </w:t>
        <w:br/>
        <w:t xml:space="preserve">Vollbringe </w:t>
      </w:r>
      <w:r>
        <w:rPr>
          <w:color w:val="808080"/>
        </w:rPr>
        <w:t>(erzeuge)</w:t>
      </w:r>
      <w:r>
        <w:rPr/>
        <w:t xml:space="preserve"> Tüchtiges</w:t>
      </w:r>
      <w:r>
        <w:rPr>
          <w:rStyle w:val="Funotenanker"/>
        </w:rPr>
        <w:footnoteReference w:customMarkFollows="1" w:id="1197"/>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198"/>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199"/>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00"/>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01"/>
        <w:t>aj</w:t>
      </w:r>
      <w:r>
        <w:rPr/>
        <w:t xml:space="preserve"> sie wurde seine Frau,</w:t>
      </w:r>
      <w:r>
        <w:rPr>
          <w:rStyle w:val="Funotenanker"/>
        </w:rPr>
        <w:footnoteReference w:customMarkFollows="1" w:id="1202"/>
        <w:t>ak</w:t>
      </w:r>
      <w:r>
        <w:rPr/>
        <w:t xml:space="preserve"> er ging zu ihr,</w:t>
      </w:r>
      <w:r>
        <w:rPr>
          <w:rStyle w:val="Funotenanker"/>
        </w:rPr>
        <w:footnoteReference w:customMarkFollows="1" w:id="1203"/>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04"/>
        <w:t>am</w:t>
      </w:r>
      <w:r>
        <w:rPr/>
        <w:t xml:space="preserve"> dir heute einen Löser nicht hat fehlen lassen,Sein Name werde gerufen</w:t>
      </w:r>
      <w:r>
        <w:rPr>
          <w:rStyle w:val="Funotenanker"/>
        </w:rPr>
        <w:footnoteReference w:customMarkFollows="1" w:id="1205"/>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06"/>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07"/>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08"/>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09"/>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10"/>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11"/>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2:1]]</w:t>
      </w:r>
      <w:r>
        <w:rPr>
          <w:b/>
        </w:rPr>
        <w:t>1</w:t>
      </w:r>
      <w:r>
        <w:rPr/>
        <w:t xml:space="preserve"> {{field-on:bible}}Hanna betete </w:t>
      </w:r>
      <w:r>
        <w:rPr>
          <w:strike/>
          <w:color w:val="808080"/>
        </w:rPr>
        <w:t>{und sprach}</w:t>
      </w:r>
      <w:r>
        <w:rPr/>
        <w:t xml:space="preserve">: </w:t>
        <w:br/>
        <w:t xml:space="preserve">Mein Herz freut sich </w:t>
      </w:r>
      <w:r>
        <w:rPr>
          <w:color w:val="808080"/>
        </w:rPr>
        <w:t>(jauchzt, frohlockt, triumphiert)</w:t>
      </w:r>
      <w:r>
        <w:rPr/>
        <w:t xml:space="preserve"> über </w:t>
      </w:r>
      <w:r>
        <w:rPr>
          <w:smallCaps/>
          <w:color w:val="FF0000"/>
        </w:rPr>
        <w:t>JHWH</w:t>
      </w:r>
      <w:r>
        <w:rPr/>
        <w:t>,</w:t>
        <w:br/>
        <w:t xml:space="preserve">erhoben </w:t>
      </w:r>
      <w:r>
        <w:rPr>
          <w:color w:val="808080"/>
        </w:rPr>
        <w:t>(siegreich)</w:t>
      </w:r>
      <w:r>
        <w:rPr/>
        <w:t xml:space="preserve"> ist mein Horn</w:t>
      </w:r>
      <w:r>
        <w:rPr>
          <w:rStyle w:val="Funotenanker"/>
        </w:rPr>
        <w:footnoteReference w:customMarkFollows="1" w:id="1212"/>
        <w:t>a</w:t>
      </w:r>
      <w:r>
        <w:rPr/>
        <w:t xml:space="preserve"> wegen </w:t>
      </w:r>
      <w:r>
        <w:rPr>
          <w:smallCaps/>
          <w:color w:val="FF0000"/>
        </w:rPr>
        <w:t>JHWH</w:t>
      </w:r>
      <w:r>
        <w:rPr/>
        <w:t>.</w:t>
        <w:br/>
        <w:t xml:space="preserve">Weit offen ist mein Mund gegen meine Gegner </w:t>
      </w:r>
      <w:r>
        <w:rPr>
          <w:color w:val="808080"/>
        </w:rPr>
        <w:t>(Feinde)</w:t>
      </w:r>
      <w:r>
        <w:rPr/>
        <w:t>,</w:t>
        <w:br/>
        <w:t xml:space="preserve">denn ich habe mich über deine Hilfe gefreut </w:t>
      </w:r>
      <w:r>
        <w:rPr>
          <w:color w:val="808080"/>
        </w:rPr>
        <w:t>(= deiner Hilfe erfreut)</w:t>
      </w:r>
      <w:r>
        <w:rPr/>
        <w:t>.</w:t>
        <w:br/>
        <w:t xml:space="preserve">{{field-off:bible}} </w:t>
        <w:br/>
        <w:t>[[@BibleTOBIBLE:1Sa 2:2]]</w:t>
      </w:r>
      <w:r>
        <w:rPr>
          <w:b/>
        </w:rPr>
        <w:t>2</w:t>
      </w:r>
      <w:r>
        <w:rPr/>
        <w:t xml:space="preserve"> {{field-on:bible}} </w:t>
        <w:br/>
        <w:t xml:space="preserve">Keiner </w:t>
      </w:r>
      <w:r>
        <w:rPr>
          <w:b/>
          <w:color w:val="808080"/>
        </w:rPr>
        <w:t>[</w:t>
      </w:r>
      <w:r>
        <w:rPr/>
        <w:t>ist</w:t>
      </w:r>
      <w:r>
        <w:rPr>
          <w:b/>
          <w:color w:val="808080"/>
        </w:rPr>
        <w:t>]</w:t>
      </w:r>
      <w:r>
        <w:rPr/>
        <w:t xml:space="preserve"> heilig wie </w:t>
      </w:r>
      <w:r>
        <w:rPr>
          <w:smallCaps/>
          <w:color w:val="FF0000"/>
        </w:rPr>
        <w:t>JHWH</w:t>
      </w:r>
      <w:r>
        <w:rPr/>
        <w:t>,</w:t>
        <w:br/>
        <w:t xml:space="preserve">denn außer dir </w:t>
      </w:r>
      <w:r>
        <w:rPr>
          <w:b/>
          <w:color w:val="808080"/>
        </w:rPr>
        <w:t>[</w:t>
      </w:r>
      <w:r>
        <w:rPr/>
        <w:t>ist</w:t>
      </w:r>
      <w:r>
        <w:rPr>
          <w:b/>
          <w:color w:val="808080"/>
        </w:rPr>
        <w:t>]</w:t>
      </w:r>
      <w:r>
        <w:rPr/>
        <w:t xml:space="preserve"> keiner,</w:t>
        <w:br/>
        <w:t xml:space="preserve">und </w:t>
      </w:r>
      <w:r>
        <w:rPr>
          <w:b/>
          <w:color w:val="808080"/>
        </w:rPr>
        <w:t>[</w:t>
      </w:r>
      <w:r>
        <w:rPr/>
        <w:t>es gibt</w:t>
      </w:r>
      <w:r>
        <w:rPr>
          <w:b/>
          <w:color w:val="808080"/>
        </w:rPr>
        <w:t>]</w:t>
      </w:r>
      <w:r>
        <w:rPr/>
        <w:t xml:space="preserve"> keinen Fels</w:t>
      </w:r>
      <w:r>
        <w:rPr>
          <w:rStyle w:val="Funotenanker"/>
        </w:rPr>
        <w:footnoteReference w:customMarkFollows="1" w:id="1213"/>
        <w:t>b</w:t>
      </w:r>
      <w:r>
        <w:rPr/>
        <w:t xml:space="preserve"> wie unseren Gott.</w:t>
        <w:br/>
        <w:t xml:space="preserve">{{field-off:bible}} </w:t>
        <w:br/>
        <w:t>[[@BibleTOBIBLE:1Sa 2:3]]</w:t>
      </w:r>
      <w:r>
        <w:rPr>
          <w:b/>
        </w:rPr>
        <w:t>3</w:t>
      </w:r>
      <w:r>
        <w:rPr/>
        <w:t xml:space="preserve"> {{field-on:bible}} </w:t>
        <w:br/>
        <w:t xml:space="preserve">{{field-off:bible}} </w:t>
        <w:br/>
        <w:t>[[@BibleTOBIBLE:1Sa 2:4]]</w:t>
      </w:r>
      <w:r>
        <w:rPr>
          <w:b/>
        </w:rPr>
        <w:t>4</w:t>
      </w:r>
      <w:r>
        <w:rPr/>
        <w:t xml:space="preserve"> {{field-on:bible}} </w:t>
        <w:br/>
        <w:t xml:space="preserve">{{field-off:bible}} </w:t>
        <w:br/>
        <w:t>[[@BibleTOBIBLE:1Sa 2:5]]</w:t>
      </w:r>
      <w:r>
        <w:rPr>
          <w:b/>
        </w:rPr>
        <w:t>5</w:t>
      </w:r>
      <w:r>
        <w:rPr/>
        <w:t xml:space="preserve"> {{field-on:bible}} </w:t>
        <w:br/>
        <w:t xml:space="preserve">{{field-off:bible}} </w:t>
        <w:br/>
        <w:t>[[@BibleTOBIBLE:1Sa 2:6]]</w:t>
      </w:r>
      <w:r>
        <w:rPr>
          <w:b/>
        </w:rPr>
        <w:t>6</w:t>
      </w:r>
      <w:r>
        <w:rPr/>
        <w:t xml:space="preserve"> {{field-on:bible}} </w:t>
        <w:br/>
      </w:r>
      <w:r>
        <w:rPr>
          <w:smallCaps/>
          <w:color w:val="FF0000"/>
        </w:rPr>
        <w:t>JHWH</w:t>
      </w:r>
      <w:r>
        <w:rPr/>
        <w:t xml:space="preserve"> tötet </w:t>
      </w:r>
      <w:r>
        <w:rPr>
          <w:color w:val="808080"/>
        </w:rPr>
        <w:t>(lässt sterben)</w:t>
      </w:r>
      <w:r>
        <w:rPr/>
        <w:t xml:space="preserve"> und erhält am Leben </w:t>
      </w:r>
      <w:r>
        <w:rPr>
          <w:color w:val="808080"/>
        </w:rPr>
        <w:t>(macht lebendig)</w:t>
      </w:r>
      <w:r>
        <w:rPr/>
        <w:t xml:space="preserve">, </w:t>
        <w:br/>
        <w:t xml:space="preserve">er lässt herabsteigen </w:t>
      </w:r>
      <w:r>
        <w:rPr>
          <w:color w:val="808080"/>
        </w:rPr>
        <w:t>(bringt hinab)</w:t>
      </w:r>
      <w:r>
        <w:rPr/>
        <w:t xml:space="preserve"> in den Scheol</w:t>
      </w:r>
      <w:r>
        <w:rPr>
          <w:rStyle w:val="Funotenanker"/>
        </w:rPr>
        <w:footnoteReference w:customMarkFollows="1" w:id="1214"/>
        <w:t>c</w:t>
      </w:r>
      <w:r>
        <w:rPr/>
        <w:t xml:space="preserve"> und er lässt hinaufsteigen </w:t>
      </w:r>
      <w:r>
        <w:rPr>
          <w:color w:val="808080"/>
        </w:rPr>
        <w:t>(bringt hinauf)</w:t>
      </w:r>
      <w:r>
        <w:rPr/>
        <w:t>.</w:t>
        <w:br/>
        <w:t xml:space="preserve">{{field-off:bible}} </w:t>
        <w:br/>
        <w:t>[[@BibleTOBIBLE:1Sa 2:7]]</w:t>
      </w:r>
      <w:r>
        <w:rPr>
          <w:b/>
        </w:rPr>
        <w:t>7</w:t>
      </w:r>
      <w:r>
        <w:rPr/>
        <w:t xml:space="preserve"> {{field-on:bible}} </w:t>
        <w:br/>
      </w:r>
      <w:r>
        <w:rPr>
          <w:smallCaps/>
          <w:color w:val="FF0000"/>
        </w:rPr>
        <w:t>JHWH</w:t>
      </w:r>
      <w:r>
        <w:rPr/>
        <w:t xml:space="preserve"> macht arm </w:t>
      </w:r>
      <w:r>
        <w:rPr>
          <w:color w:val="808080"/>
        </w:rPr>
        <w:t>(lässt verarmen)</w:t>
      </w:r>
      <w:r>
        <w:rPr/>
        <w:t xml:space="preserve"> und macht reich, </w:t>
        <w:br/>
        <w:t xml:space="preserve">er erniedrigt </w:t>
      </w:r>
      <w:r>
        <w:rPr>
          <w:color w:val="808080"/>
        </w:rPr>
        <w:t>(demütigt)</w:t>
      </w:r>
      <w:r>
        <w:rPr/>
        <w:t xml:space="preserve"> und</w:t>
      </w:r>
      <w:r>
        <w:rPr>
          <w:rStyle w:val="Funotenanker"/>
        </w:rPr>
        <w:footnoteReference w:customMarkFollows="1" w:id="1215"/>
        <w:t>d</w:t>
      </w:r>
      <w:r>
        <w:rPr/>
        <w:t xml:space="preserve"> erhöht.</w:t>
        <w:br/>
        <w:t xml:space="preserve">{{field-off:bible}} </w:t>
        <w:br/>
        <w:t>[[@BibleTOBIBLE:1Sa 2:8]]</w:t>
      </w:r>
      <w:r>
        <w:rPr>
          <w:b/>
        </w:rPr>
        <w:t>8</w:t>
      </w:r>
      <w:r>
        <w:rPr/>
        <w:t xml:space="preserve"> {{field-on:bible}} </w:t>
        <w:br/>
        <w:t xml:space="preserve">Er stellt auf </w:t>
      </w:r>
      <w:r>
        <w:rPr>
          <w:color w:val="808080"/>
        </w:rPr>
        <w:t>(richtet auf)</w:t>
      </w:r>
      <w:r>
        <w:rPr/>
        <w:t xml:space="preserve"> aus dem Staub den Hilflosen, aus der Abfallgrube </w:t>
      </w:r>
      <w:r>
        <w:rPr>
          <w:color w:val="808080"/>
        </w:rPr>
        <w:t>(dem Aschehaufen)</w:t>
      </w:r>
      <w:r>
        <w:rPr/>
        <w:t xml:space="preserve"> erhöht er den Armen, </w:t>
        <w:br/>
        <w:t xml:space="preserve">um </w:t>
      </w:r>
      <w:r>
        <w:rPr>
          <w:b/>
          <w:color w:val="808080"/>
        </w:rPr>
        <w:t>[</w:t>
      </w:r>
      <w:r>
        <w:rPr/>
        <w:t>ihn</w:t>
      </w:r>
      <w:r>
        <w:rPr>
          <w:b/>
          <w:color w:val="808080"/>
        </w:rPr>
        <w:t>]</w:t>
      </w:r>
      <w:r>
        <w:rPr/>
        <w:t xml:space="preserve"> unter Fürsten zu setzen, </w:t>
        <w:br/>
        <w:t xml:space="preserve">und den Thron </w:t>
      </w:r>
      <w:r>
        <w:rPr>
          <w:color w:val="808080"/>
        </w:rPr>
        <w:t>(Sessel)</w:t>
      </w:r>
      <w:r>
        <w:rPr/>
        <w:t xml:space="preserve"> der Ehre </w:t>
      </w:r>
      <w:r>
        <w:rPr>
          <w:color w:val="808080"/>
        </w:rPr>
        <w:t>(des Ruhms, des Reichtums)</w:t>
      </w:r>
      <w:r>
        <w:rPr/>
        <w:t xml:space="preserve"> teilt er ihnen als Erbschaft aus. </w:t>
        <w:br/>
        <w:t xml:space="preserve">Denn für </w:t>
      </w:r>
      <w:r>
        <w:rPr>
          <w:smallCaps/>
          <w:color w:val="FF0000"/>
        </w:rPr>
        <w:t>JHWH</w:t>
      </w:r>
      <w:r>
        <w:rPr/>
        <w:t xml:space="preserve"> </w:t>
      </w:r>
      <w:r>
        <w:rPr>
          <w:b/>
          <w:color w:val="808080"/>
        </w:rPr>
        <w:t>[</w:t>
      </w:r>
      <w:r>
        <w:rPr/>
        <w:t>sind</w:t>
      </w:r>
      <w:r>
        <w:rPr>
          <w:b/>
          <w:color w:val="808080"/>
        </w:rPr>
        <w:t>]</w:t>
      </w:r>
      <w:r>
        <w:rPr/>
        <w:t xml:space="preserve"> </w:t>
      </w:r>
      <w:r>
        <w:rPr>
          <w:color w:val="808080"/>
        </w:rPr>
        <w:t>(</w:t>
      </w:r>
      <w:r>
        <w:rPr>
          <w:smallCaps/>
          <w:color w:val="FF0000"/>
        </w:rPr>
        <w:t>JHWH</w:t>
      </w:r>
      <w:r>
        <w:rPr>
          <w:color w:val="808080"/>
        </w:rPr>
        <w:t xml:space="preserve"> gehören)</w:t>
      </w:r>
      <w:r>
        <w:rPr/>
        <w:t xml:space="preserve"> die Säulen der Erde, </w:t>
        <w:br/>
        <w:t>und auf sie hat er gesetzt das Festland.</w:t>
        <w:br/>
        <w:t xml:space="preserve">{{field-off:bible}} </w:t>
        <w:br/>
        <w:t>[[@BibleTOBIBLE:1Sa 2:9]]</w:t>
      </w:r>
      <w:r>
        <w:rPr>
          <w:b/>
        </w:rPr>
        <w:t>9</w:t>
      </w:r>
      <w:r>
        <w:rPr/>
        <w:t xml:space="preserve"> {{field-on:bible}} </w:t>
        <w:br/>
        <w:t>Die Füße seiner Frommen</w:t>
      </w:r>
      <w:r>
        <w:rPr>
          <w:rStyle w:val="Funotenanker"/>
        </w:rPr>
        <w:footnoteReference w:customMarkFollows="1" w:id="1216"/>
        <w:t>e</w:t>
      </w:r>
      <w:r>
        <w:rPr/>
        <w:t xml:space="preserve"> wird er bewachen </w:t>
      </w:r>
      <w:r>
        <w:rPr>
          <w:color w:val="808080"/>
        </w:rPr>
        <w:t>(behüten)</w:t>
      </w:r>
      <w:r>
        <w:rPr/>
        <w:t xml:space="preserve"> </w:t>
        <w:br/>
        <w:t xml:space="preserve">und die Frevler </w:t>
      </w:r>
      <w:r>
        <w:rPr>
          <w:color w:val="808080"/>
        </w:rPr>
        <w:t>(Gottlosen)</w:t>
      </w:r>
      <w:r>
        <w:rPr/>
        <w:t xml:space="preserve"> werden umkommen </w:t>
      </w:r>
      <w:r>
        <w:rPr>
          <w:color w:val="808080"/>
        </w:rPr>
        <w:t>(verstummen)</w:t>
      </w:r>
      <w:r>
        <w:rPr/>
        <w:t xml:space="preserve"> in der Finsternis. </w:t>
        <w:br/>
        <w:t xml:space="preserve">Denn nicht aus </w:t>
      </w:r>
      <w:r>
        <w:rPr>
          <w:b/>
          <w:color w:val="808080"/>
        </w:rPr>
        <w:t>[</w:t>
      </w:r>
      <w:r>
        <w:rPr/>
        <w:t>eigener</w:t>
      </w:r>
      <w:r>
        <w:rPr>
          <w:b/>
          <w:color w:val="808080"/>
        </w:rPr>
        <w:t>]</w:t>
      </w:r>
      <w:r>
        <w:rPr/>
        <w:t xml:space="preserve"> Kraft wird ein Mann </w:t>
      </w:r>
      <w:r>
        <w:rPr>
          <w:color w:val="808080"/>
        </w:rPr>
        <w:t>(Mensch)</w:t>
      </w:r>
      <w:r>
        <w:rPr/>
        <w:t xml:space="preserve"> stark.</w:t>
        <w:br/>
        <w:t xml:space="preserve">{{field-off:bible}} </w:t>
        <w:br/>
        <w:t>[[@BibleTOBIBLE:1Sa 2:10]]</w:t>
      </w:r>
      <w:r>
        <w:rPr>
          <w:b/>
        </w:rPr>
        <w:t>10</w:t>
      </w:r>
      <w:r>
        <w:rPr/>
        <w:t xml:space="preserve"> {{field-on:bible}} </w:t>
        <w:br/>
        <w:t xml:space="preserve">{{field-off:bible}}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17"/>
        <w:t>Status</w:t>
      </w:r>
      <w:r>
        <w:rPr/>
        <w:t xml:space="preserve"> Nun </w:t>
      </w:r>
      <w:r>
        <w:rPr>
          <w:color w:val="808080"/>
        </w:rPr>
        <w:t>(und)</w:t>
      </w:r>
      <w:r>
        <w:rPr/>
        <w:t xml:space="preserve"> </w:t>
      </w:r>
      <w:r>
        <w:rPr>
          <w:rStyle w:val="Funotenanker"/>
        </w:rPr>
        <w:footnoteReference w:customMarkFollows="1" w:id="121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1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20"/>
        <w:t>c</w:t>
      </w:r>
      <w:r>
        <w:rPr/>
        <w:t xml:space="preserve"> </w:t>
      </w:r>
      <w:r>
        <w:rPr>
          <w:strike/>
          <w:color w:val="808080"/>
        </w:rPr>
        <w:t>{und}</w:t>
      </w:r>
      <w:r>
        <w:rPr/>
        <w:t xml:space="preserve"> </w:t>
      </w:r>
      <w:r>
        <w:rPr>
          <w:rStyle w:val="Funotenanker"/>
        </w:rPr>
        <w:footnoteReference w:customMarkFollows="1" w:id="122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22"/>
        <w:t>e</w:t>
      </w:r>
      <w:r>
        <w:rPr/>
        <w:t>,</w:t>
      </w:r>
      <w:r>
        <w:rPr>
          <w:rStyle w:val="Funotenanker"/>
        </w:rPr>
        <w:footnoteReference w:customMarkFollows="1" w:id="122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2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2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2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2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2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2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3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3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3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33"/>
        <w:t>p</w:t>
      </w:r>
      <w:r>
        <w:rPr/>
        <w:t xml:space="preserve"> </w:t>
      </w:r>
      <w:r>
        <w:rPr>
          <w:color w:val="808080"/>
        </w:rPr>
        <w:t>(werde ihm ankündigen; du sollst ihm sagen)</w:t>
      </w:r>
      <w:r>
        <w:rPr/>
        <w:t xml:space="preserve"> </w:t>
      </w:r>
      <w:r>
        <w:rPr>
          <w:rStyle w:val="Funotenanker"/>
        </w:rPr>
        <w:footnoteReference w:customMarkFollows="1" w:id="123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3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36"/>
        <w:t>s</w:t>
      </w:r>
      <w:r>
        <w:rPr/>
        <w:t>,</w:t>
      </w:r>
      <w:r>
        <w:rPr>
          <w:rStyle w:val="Funotenanker"/>
        </w:rPr>
        <w:footnoteReference w:customMarkFollows="1" w:id="123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3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3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40"/>
        <w:t>Status</w:t>
      </w:r>
      <w:r>
        <w:rPr/>
        <w:t xml:space="preserve"> Und Samuel ergriff den Krug mit Öl </w:t>
      </w:r>
      <w:r>
        <w:rPr>
          <w:color w:val="808080"/>
        </w:rPr>
        <w:t>(Ölkrug)</w:t>
      </w:r>
      <w:r>
        <w:rPr/>
        <w:t xml:space="preserve"> und er goss</w:t>
      </w:r>
      <w:r>
        <w:rPr>
          <w:rStyle w:val="Funotenanker"/>
        </w:rPr>
        <w:footnoteReference w:customMarkFollows="1" w:id="124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4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{{field-on:bible}}Da kam ein Vorkämpfer</w:t>
      </w:r>
      <w:r>
        <w:rPr>
          <w:rStyle w:val="Funotenanker"/>
        </w:rPr>
        <w:footnoteReference w:customMarkFollows="1" w:id="1243"/>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44"/>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45"/>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46"/>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[[@BibleTOBIBLE:2Sa]]2 Samuel</w:t>
      </w:r>
    </w:p>
    <w:p>
      <w:pPr>
        <w:pStyle w:val="Berschrift3"/>
        <w:rPr/>
      </w:pPr>
      <w:r>
        <w:rPr/>
        <w:t>[[@BibleTOBIBLE:2Sa 22]]Kapitel 22</w:t>
      </w:r>
    </w:p>
    <w:p>
      <w:pPr>
        <w:pStyle w:val="Textkrper"/>
        <w:rPr/>
      </w:pPr>
      <w:r>
        <w:rPr/>
        <w:t xml:space="preserve">2 Sam 22 gibt ein langes Dankgebet Davids für seine Rettung wieder. Die Logik ist klar erkennbar: Strophe 1 (Vv. 2-4) berichtet von einer vergangenen Bitte, die nötig war aufgrund einer vergangenen Not, die in Strophe 2 (Vv. 5-7) sehr metaphorisch beschrieben wird. Strophen 3 und 4 (Vv. 8-16) schildern das Rettungshandeln Gottes. Strophe 5 (Vv. 17-20a) fasst noch einmal in Vv. 17-19a die Bitte und in Vv. 19b-20a die Rettung zusammen. Ab Strophe 6 wird von hier aus verallgemeinert: Wie Gott damals handelte, so wird er auch künftig handeln, weil der Beter sich stets an Gottes Gebote hielt (Vv. 20b-25). Strophe 7 (Vv. 26-30) verallgemeinert noch weiter: Ganz grundsätzlich handelt Gott so. Denn, Strophe 8 (Vv. 31-37): So ist Gott eben: Er ist einer, der vollkommen ist (Vv. 31f.) und daher einer, der auch den Beter unterstützte und weiterhin unterstützen wird (Vv. 33-37), weshalb dieser sich dann in Strophen 9 und 10 (Vv. 38-46) sogar Weltherrschaftsfantasien hingeben kann. Für dieses rettende und unterstützende Handeln in Vergangenheit, Gegenwart und Zukunft schließt der Beter mit einer zweistrophigen Danksagung mit einem Gelübde, auch künftig danken und preisen zu wollen (Vv. 47-51). Der Psalm ist in der Bibel doppelt überliefert und findet sich noch mal in Ps 18, wo er in der Psalmüberschrift ebenso wie hier David in den Mund gelegt wird (das macht den Text übrigens auch textkritisch sehr komplex, weshalb in der Befußnotung die Textkritik ausgelagert wurde auf die Seite 2 Sam 22, Ps 18 und die Textkritik des Alten Testaments). Sehr viele Psalmen werden in ihrer Überschrift David in den Mund gelegt; in den meisten Fällen ist dies sehr unwahrscheinlich - und auch hier macht es der letzte Vers, in dem von „David“ in der 3. Person und danach dann auch noch von seinen Nachfahren gesprochen wird, wahrscheinlicher, dass die Zuschreibung an David eine Fiktion ist und der Psalm ursprünglich einen anderen Verfasser hatte. </w:t>
        <w:br/>
        <w:br/>
        <w:t>[[@BibleTOBIBLE:2Sa 22:1]]</w:t>
      </w:r>
      <w:r>
        <w:rPr>
          <w:b/>
        </w:rPr>
        <w:t>1</w:t>
      </w:r>
      <w:r>
        <w:rPr/>
        <w:t xml:space="preserve"> {{field-on:bible}} </w:t>
      </w:r>
      <w:r>
        <w:rPr>
          <w:rStyle w:val="Funotenanker"/>
        </w:rPr>
        <w:footnoteReference w:customMarkFollows="1" w:id="1247"/>
        <w:t>Status</w:t>
      </w:r>
      <w:r>
        <w:rPr/>
        <w:t xml:space="preserve"> David sprach zu </w:t>
      </w:r>
      <w:r>
        <w:rPr>
          <w:smallCaps/>
          <w:color w:val="FF0000"/>
        </w:rPr>
        <w:t>JHWH</w:t>
      </w:r>
      <w:r>
        <w:rPr/>
        <w:t xml:space="preserve"> die Worte dieses Lieds am Tag, als JHWH ihn rettete aus der Handfläche all seiner Feinde und aus der Handfläche</w:t>
      </w:r>
      <w:r>
        <w:rPr>
          <w:rStyle w:val="Funotenanker"/>
        </w:rPr>
        <w:footnoteReference w:customMarkFollows="1" w:id="1248"/>
        <w:t>a</w:t>
      </w:r>
      <w:r>
        <w:rPr/>
        <w:t xml:space="preserve"> Sauls.{{field-off:bible}} </w:t>
        <w:br/>
        <w:t>[[@BibleTOBIBLE:2Sa 22:2]]</w:t>
      </w:r>
      <w:r>
        <w:rPr>
          <w:b/>
        </w:rPr>
        <w:t>2</w:t>
      </w:r>
      <w:r>
        <w:rPr/>
        <w:t xml:space="preserve"> {{field-on:bible}}Und er sagte: </w:t>
        <w:br/>
      </w:r>
      <w:r>
        <w:rPr>
          <w:smallCaps/>
          <w:color w:val="FF0000"/>
        </w:rPr>
        <w:t>JHWH</w:t>
      </w:r>
      <w:r>
        <w:rPr/>
        <w:t xml:space="preserve"> </w:t>
      </w:r>
      <w:r>
        <w:rPr>
          <w:b/>
          <w:color w:val="808080"/>
        </w:rPr>
        <w:t>[</w:t>
      </w:r>
      <w:r>
        <w:rPr/>
        <w:t>ist</w:t>
      </w:r>
      <w:r>
        <w:rPr>
          <w:b/>
          <w:color w:val="808080"/>
        </w:rPr>
        <w:t>]</w:t>
      </w:r>
      <w:r>
        <w:rPr/>
        <w:t xml:space="preserve"> mein Fels und meine Burg und mein Retter,</w:t>
        <w:br/>
        <w:t xml:space="preserve">{{field-off:bible}} </w:t>
        <w:br/>
        <w:t>[[@BibleTOBIBLE:2Sa 22:3]]</w:t>
      </w:r>
      <w:r>
        <w:rPr>
          <w:b/>
        </w:rPr>
        <w:t>3</w:t>
      </w:r>
      <w:r>
        <w:rPr/>
        <w:t xml:space="preserve"> {{field-on:bible}} </w:t>
        <w:br/>
        <w:t xml:space="preserve">Mein Gott </w:t>
      </w:r>
      <w:r>
        <w:rPr>
          <w:b/>
          <w:color w:val="808080"/>
        </w:rPr>
        <w:t>[</w:t>
      </w:r>
      <w:r>
        <w:rPr/>
        <w:t>ist</w:t>
      </w:r>
      <w:r>
        <w:rPr>
          <w:b/>
          <w:color w:val="808080"/>
        </w:rPr>
        <w:t>]</w:t>
      </w:r>
      <w:r>
        <w:rPr/>
        <w:t xml:space="preserve"> </w:t>
      </w:r>
      <w:r>
        <w:rPr>
          <w:color w:val="808080"/>
        </w:rPr>
        <w:t>(,)</w:t>
      </w:r>
      <w:r>
        <w:rPr/>
        <w:t xml:space="preserve"> mein Berg, zu dem ich fliehe </w:t>
      </w:r>
      <w:r>
        <w:rPr>
          <w:color w:val="808080"/>
        </w:rPr>
        <w:t>(auf den ich vertraue)</w:t>
      </w:r>
      <w:r>
        <w:rPr/>
        <w:t>,</w:t>
        <w:br/>
        <w:t xml:space="preserve">Mein Schild, das Horn meiner Rettung, meine Klippe </w:t>
      </w:r>
      <w:r>
        <w:rPr>
          <w:color w:val="808080"/>
        </w:rPr>
        <w:t>(Festung)</w:t>
      </w:r>
      <w:r>
        <w:rPr/>
        <w:t xml:space="preserve"> und meine Zuflucht,Mein Retter, vor Gewalttat wirst du mich retten!</w:t>
        <w:br/>
        <w:t xml:space="preserve">{{field-off:bible}} </w:t>
        <w:br/>
        <w:t>[[@BibleTOBIBLE:2Sa 22:4]]</w:t>
      </w:r>
      <w:r>
        <w:rPr>
          <w:b/>
        </w:rPr>
        <w:t>4</w:t>
      </w:r>
      <w:r>
        <w:rPr/>
        <w:t xml:space="preserve"> {{field-on:bible}} </w:t>
        <w:br/>
        <w:t xml:space="preserve">Als Lobenswerten will ich anrufen </w:t>
      </w:r>
      <w:r>
        <w:rPr>
          <w:smallCaps/>
          <w:color w:val="FF0000"/>
        </w:rPr>
        <w:t>JHWH</w:t>
      </w:r>
      <w:r>
        <w:rPr/>
        <w:t xml:space="preserve">Und von meinen Feinden will </w:t>
      </w:r>
      <w:r>
        <w:rPr>
          <w:color w:val="808080"/>
        </w:rPr>
        <w:t>(werde)</w:t>
      </w:r>
      <w:r>
        <w:rPr/>
        <w:t xml:space="preserve"> ich gerettet werden.</w:t>
        <w:br/>
        <w:br/>
        <w:t xml:space="preserve">{{field-off:bible}} </w:t>
        <w:br/>
        <w:t>[[@BibleTOBIBLE:2Sa 22:5]]</w:t>
      </w:r>
      <w:r>
        <w:rPr>
          <w:b/>
        </w:rPr>
        <w:t>5</w:t>
      </w:r>
      <w:r>
        <w:rPr/>
        <w:t xml:space="preserve"> {{field-on:bible}} </w:t>
        <w:br/>
        <w:t>Denn es umgaben mich Wogen des Todes,Die Flüsse Belias werden mich erschrecken!</w:t>
      </w:r>
      <w:r>
        <w:rPr>
          <w:rStyle w:val="Funotenanker"/>
        </w:rPr>
        <w:footnoteReference w:customMarkFollows="1" w:id="1249"/>
        <w:t>b</w:t>
      </w:r>
      <w:r>
        <w:rPr/>
        <w:t xml:space="preserve"> </w:t>
        <w:br/>
        <w:t xml:space="preserve">{{field-off:bible}} </w:t>
        <w:br/>
        <w:t>[[@BibleTOBIBLE:2Sa 22:6]]</w:t>
      </w:r>
      <w:r>
        <w:rPr>
          <w:b/>
        </w:rPr>
        <w:t>6</w:t>
      </w:r>
      <w:r>
        <w:rPr/>
        <w:t xml:space="preserve"> {{field-on:bible}} </w:t>
        <w:br/>
        <w:t>Die Stricke des Scheol</w:t>
      </w:r>
      <w:r>
        <w:rPr>
          <w:rStyle w:val="Funotenanker"/>
        </w:rPr>
        <w:footnoteReference w:customMarkFollows="1" w:id="1250"/>
        <w:t>c</w:t>
      </w:r>
      <w:r>
        <w:rPr/>
        <w:t xml:space="preserve"> umfingen mich, Es ereilten mich die Schlingen des Todes.</w:t>
        <w:br/>
        <w:t xml:space="preserve">{{field-off:bible}} </w:t>
        <w:br/>
        <w:t>[[@BibleTOBIBLE:2Sa 22:7]]</w:t>
      </w:r>
      <w:r>
        <w:rPr>
          <w:b/>
        </w:rPr>
        <w:t>7</w:t>
      </w:r>
      <w:r>
        <w:rPr/>
        <w:t xml:space="preserve"> {{field-on:bible}} </w:t>
        <w:br/>
      </w:r>
      <w:r>
        <w:rPr>
          <w:b/>
          <w:color w:val="808080"/>
        </w:rPr>
        <w:t>[</w:t>
      </w:r>
      <w:r>
        <w:rPr/>
        <w:t>Ich sprach:</w:t>
      </w:r>
      <w:r>
        <w:rPr>
          <w:b/>
          <w:color w:val="808080"/>
        </w:rPr>
        <w:t>]</w:t>
      </w:r>
      <w:r>
        <w:rPr/>
        <w:t xml:space="preserve"> „In meiner Not will ich anrufen </w:t>
      </w:r>
      <w:r>
        <w:rPr>
          <w:smallCaps/>
          <w:color w:val="FF0000"/>
        </w:rPr>
        <w:t>JHWH</w:t>
      </w:r>
      <w:r>
        <w:rPr/>
        <w:t>Und meinen Gott will ich anrufen.</w:t>
        <w:br/>
        <w:t>Er soll hören in seinem Tempel meine StimmeUnd mein Schreien soll kommen in seinem Ohr!“</w:t>
        <w:br/>
        <w:br/>
        <w:br/>
        <w:t xml:space="preserve">{{field-off:bible}} </w:t>
        <w:br/>
        <w:t>[[@BibleTOBIBLE:2Sa 22:8]]</w:t>
      </w:r>
      <w:r>
        <w:rPr>
          <w:b/>
        </w:rPr>
        <w:t>8</w:t>
      </w:r>
      <w:r>
        <w:rPr/>
        <w:t xml:space="preserve"> {{field-on:bible}} </w:t>
        <w:br/>
        <w:t>Da wankte und schwankte die ErdeUnd die Pfeiler des Himmels</w:t>
      </w:r>
      <w:r>
        <w:rPr>
          <w:rStyle w:val="Funotenanker"/>
        </w:rPr>
        <w:footnoteReference w:customMarkFollows="1" w:id="1251"/>
        <w:t>d</w:t>
      </w:r>
      <w:r>
        <w:rPr/>
        <w:t xml:space="preserve"> bebten und wanktenDenn es loderte in ihm.</w:t>
        <w:br/>
        <w:t xml:space="preserve">{{field-off:bible}} </w:t>
        <w:br/>
        <w:t>[[@BibleTOBIBLE:2Sa 22:9]]</w:t>
      </w:r>
      <w:r>
        <w:rPr>
          <w:b/>
        </w:rPr>
        <w:t>9</w:t>
      </w:r>
      <w:r>
        <w:rPr/>
        <w:t xml:space="preserve"> {{field-on:bible}} </w:t>
        <w:br/>
        <w:t xml:space="preserve">Es stieg Rauch aus seiner NaseUnd Feuer fraß aus seinem Mund;Kohlen brannten aus ihm hervor </w:t>
      </w:r>
      <w:r>
        <w:rPr>
          <w:color w:val="808080"/>
        </w:rPr>
        <w:t>(entbrannten durch es)</w:t>
      </w:r>
      <w:r>
        <w:rPr/>
        <w:t>.</w:t>
        <w:br/>
        <w:t xml:space="preserve">{{field-off:bible}} </w:t>
        <w:br/>
        <w:t>[[@BibleTOBIBLE:2Sa 22:10]]</w:t>
      </w:r>
      <w:r>
        <w:rPr>
          <w:b/>
        </w:rPr>
        <w:t>10</w:t>
      </w:r>
      <w:r>
        <w:rPr/>
        <w:t xml:space="preserve"> {{field-on:bible}} </w:t>
        <w:br/>
        <w:t xml:space="preserve">Und er öffnete </w:t>
      </w:r>
      <w:r>
        <w:rPr>
          <w:color w:val="808080"/>
        </w:rPr>
        <w:t>(neigte)</w:t>
      </w:r>
      <w:r>
        <w:rPr/>
        <w:t xml:space="preserve"> den Himmel</w:t>
      </w:r>
      <w:r>
        <w:rPr>
          <w:rStyle w:val="Funotenanker"/>
        </w:rPr>
        <w:footnoteReference w:customMarkFollows="1" w:id="1252"/>
        <w:t>e</w:t>
      </w:r>
      <w:r>
        <w:rPr/>
        <w:t xml:space="preserve"> und stieg herabUnd eine Wolke </w:t>
      </w:r>
      <w:r>
        <w:rPr>
          <w:color w:val="808080"/>
        </w:rPr>
        <w:t>(Dunkelheit)</w:t>
      </w:r>
      <w:r>
        <w:rPr/>
        <w:t xml:space="preserve"> </w:t>
      </w:r>
      <w:r>
        <w:rPr>
          <w:b/>
          <w:color w:val="808080"/>
        </w:rPr>
        <w:t>[</w:t>
      </w:r>
      <w:r>
        <w:rPr/>
        <w:t>war</w:t>
      </w:r>
      <w:r>
        <w:rPr>
          <w:b/>
          <w:color w:val="808080"/>
        </w:rPr>
        <w:t>]</w:t>
      </w:r>
      <w:r>
        <w:rPr/>
        <w:t xml:space="preserve"> unter seinen Füßen.</w:t>
        <w:br/>
        <w:t xml:space="preserve">{{field-off:bible}} </w:t>
        <w:br/>
        <w:t>[[@BibleTOBIBLE:2Sa 22:11]]</w:t>
      </w:r>
      <w:r>
        <w:rPr>
          <w:b/>
        </w:rPr>
        <w:t>11</w:t>
      </w:r>
      <w:r>
        <w:rPr/>
        <w:t xml:space="preserve"> {{field-on:bible}} </w:t>
        <w:br/>
        <w:t>Und er ritt auf einem Kerub</w:t>
      </w:r>
      <w:r>
        <w:rPr>
          <w:rStyle w:val="Funotenanker"/>
        </w:rPr>
        <w:footnoteReference w:customMarkFollows="1" w:id="1253"/>
        <w:t>f</w:t>
      </w:r>
      <w:r>
        <w:rPr/>
        <w:t xml:space="preserve"> und flogUnd schoß herab auf den Flügeln des Windes.</w:t>
        <w:br/>
        <w:br/>
        <w:t xml:space="preserve">{{field-off:bible}} </w:t>
        <w:br/>
        <w:t>[[@BibleTOBIBLE:2Sa 22:12]]</w:t>
      </w:r>
      <w:r>
        <w:rPr>
          <w:b/>
        </w:rPr>
        <w:t>12</w:t>
      </w:r>
      <w:r>
        <w:rPr/>
        <w:t xml:space="preserve"> {{field-on:bible}} </w:t>
        <w:br/>
        <w:t xml:space="preserve">Und er setzte Dunkelheit als seine Bedeckung um sich,Seine Hütte </w:t>
      </w:r>
      <w:r>
        <w:rPr>
          <w:b/>
          <w:color w:val="808080"/>
        </w:rPr>
        <w:t>[</w:t>
      </w:r>
      <w:r>
        <w:rPr/>
        <w:t>waren aus</w:t>
      </w:r>
      <w:r>
        <w:rPr>
          <w:b/>
          <w:color w:val="808080"/>
        </w:rPr>
        <w:t>]</w:t>
      </w:r>
      <w:r>
        <w:rPr/>
        <w:t xml:space="preserve"> Massen von Wassern in den Wolken des Himmels.</w:t>
        <w:br/>
        <w:t xml:space="preserve">{{field-off:bible}} </w:t>
        <w:br/>
        <w:t>[[@BibleTOBIBLE:2Sa 22:13]]</w:t>
      </w:r>
      <w:r>
        <w:rPr>
          <w:b/>
        </w:rPr>
        <w:t>13</w:t>
      </w:r>
      <w:r>
        <w:rPr/>
        <w:t xml:space="preserve"> {{field-on:bible}} </w:t>
        <w:br/>
        <w:t>Aus dem Glanz vor ihm gingen ausHagel und Kohlen von Feuer.</w:t>
        <w:br/>
        <w:t xml:space="preserve">{{field-off:bible}} </w:t>
        <w:br/>
        <w:t>[[@BibleTOBIBLE:2Sa 22:14]]</w:t>
      </w:r>
      <w:r>
        <w:rPr>
          <w:b/>
        </w:rPr>
        <w:t>14</w:t>
      </w:r>
      <w:r>
        <w:rPr/>
        <w:t xml:space="preserve"> {{field-on:bible}} </w:t>
        <w:br/>
        <w:t xml:space="preserve">Und es donnerte aus dem Himmel </w:t>
      </w:r>
      <w:r>
        <w:rPr>
          <w:smallCaps/>
          <w:color w:val="FF0000"/>
        </w:rPr>
        <w:t>JHWH</w:t>
      </w:r>
      <w:r>
        <w:rPr/>
        <w:t xml:space="preserve"> Und Eljon wird geben</w:t>
      </w:r>
      <w:r>
        <w:rPr>
          <w:rStyle w:val="Funotenanker"/>
        </w:rPr>
        <w:footnoteReference w:customMarkFollows="1" w:id="1254"/>
        <w:t>g</w:t>
      </w:r>
      <w:r>
        <w:rPr/>
        <w:t xml:space="preserve"> seine Stimme.</w:t>
        <w:br/>
        <w:t xml:space="preserve">{{field-off:bible}} </w:t>
        <w:br/>
        <w:t>[[@BibleTOBIBLE:2Sa 22:15]]</w:t>
      </w:r>
      <w:r>
        <w:rPr>
          <w:b/>
        </w:rPr>
        <w:t>15</w:t>
      </w:r>
      <w:r>
        <w:rPr/>
        <w:t xml:space="preserve"> {{field-on:bible}} </w:t>
        <w:br/>
        <w:t>Und er warf Pfeile und zerstreute diese,Einen Blitz schoß er und verwirrte er.</w:t>
      </w:r>
      <w:r>
        <w:rPr>
          <w:rStyle w:val="Funotenanker"/>
        </w:rPr>
        <w:footnoteReference w:customMarkFollows="1" w:id="1255"/>
        <w:t>h</w:t>
      </w:r>
      <w:r>
        <w:rPr/>
        <w:t xml:space="preserve"> </w:t>
        <w:br/>
        <w:t xml:space="preserve">{{field-off:bible}} </w:t>
        <w:br/>
        <w:t>[[@BibleTOBIBLE:2Sa 22:16]]</w:t>
      </w:r>
      <w:r>
        <w:rPr>
          <w:b/>
        </w:rPr>
        <w:t>16</w:t>
      </w:r>
      <w:r>
        <w:rPr/>
        <w:t xml:space="preserve"> {{field-on:bible}} </w:t>
        <w:br/>
        <w:t>Und es wurden gesehen die Betten der Wasser,Es werden bloßgelegt werden</w:t>
      </w:r>
      <w:r>
        <w:rPr>
          <w:rStyle w:val="Funotenanker"/>
        </w:rPr>
        <w:footnoteReference w:customMarkFollows="1" w:id="1256"/>
        <w:t>i</w:t>
      </w:r>
      <w:r>
        <w:rPr/>
        <w:t xml:space="preserve"> die Fundamente der Erde.</w:t>
      </w:r>
      <w:r>
        <w:rPr>
          <w:rStyle w:val="Funotenanker"/>
        </w:rPr>
        <w:footnoteReference w:customMarkFollows="1" w:id="1257"/>
        <w:t>j</w:t>
      </w:r>
      <w:r>
        <w:rPr/>
        <w:t xml:space="preserve"> </w:t>
        <w:br/>
        <w:t xml:space="preserve">Durch dein Schelten, </w:t>
      </w:r>
      <w:r>
        <w:rPr>
          <w:smallCaps/>
          <w:color w:val="FF0000"/>
        </w:rPr>
        <w:t>JHWH</w:t>
      </w:r>
      <w:r>
        <w:rPr/>
        <w:t>,Durch das Schnauben des Windes deiner Nase.</w:t>
        <w:br/>
        <w:br/>
        <w:t xml:space="preserve">{{field-off:bible}} </w:t>
        <w:br/>
        <w:t>[[@BibleTOBIBLE:2Sa 22:17]]</w:t>
      </w:r>
      <w:r>
        <w:rPr>
          <w:b/>
        </w:rPr>
        <w:t>17</w:t>
      </w:r>
      <w:r>
        <w:rPr/>
        <w:t xml:space="preserve"> {{field-on:bible}} </w:t>
        <w:br/>
      </w:r>
      <w:r>
        <w:rPr>
          <w:b/>
          <w:color w:val="808080"/>
        </w:rPr>
        <w:t>[</w:t>
      </w:r>
      <w:r>
        <w:rPr/>
        <w:t>Ich sprach:</w:t>
      </w:r>
      <w:r>
        <w:rPr>
          <w:b/>
          <w:color w:val="808080"/>
        </w:rPr>
        <w:t>]</w:t>
      </w:r>
      <w:r>
        <w:rPr/>
        <w:t xml:space="preserve"> „Er möge </w:t>
      </w:r>
      <w:r>
        <w:rPr>
          <w:color w:val="808080"/>
        </w:rPr>
        <w:t>(wird)</w:t>
      </w:r>
      <w:r>
        <w:rPr/>
        <w:t xml:space="preserve"> senden aus der Höhe,</w:t>
      </w:r>
      <w:r>
        <w:rPr>
          <w:rStyle w:val="Funotenanker"/>
        </w:rPr>
        <w:footnoteReference w:customMarkFollows="1" w:id="1258"/>
        <w:t>k</w:t>
      </w:r>
      <w:r>
        <w:rPr/>
        <w:t xml:space="preserve"> mich ergreifen,Mich herausziehen aus vielen Wassern,</w:t>
      </w:r>
      <w:r>
        <w:rPr>
          <w:rStyle w:val="Funotenanker"/>
        </w:rPr>
        <w:footnoteReference w:customMarkFollows="1" w:id="1259"/>
        <w:t>l</w:t>
      </w:r>
      <w:r>
        <w:rPr/>
        <w:t xml:space="preserve"> </w:t>
        <w:br/>
        <w:t xml:space="preserve">{{field-off:bible}} </w:t>
        <w:br/>
        <w:t>[[@BibleTOBIBLE:2Sa 22:18]]</w:t>
      </w:r>
      <w:r>
        <w:rPr>
          <w:b/>
        </w:rPr>
        <w:t>18</w:t>
      </w:r>
      <w:r>
        <w:rPr/>
        <w:t xml:space="preserve"> {{field-on:bible}} </w:t>
        <w:br/>
        <w:t>Es möge mich retten vor meinem Feind der Starke Und vor meinen Hassern, weil sie kräftiger sind als ich!</w:t>
        <w:br/>
        <w:t xml:space="preserve">{{field-off:bible}} </w:t>
        <w:br/>
        <w:t>[[@BibleTOBIBLE:2Sa 22:19]]</w:t>
      </w:r>
      <w:r>
        <w:rPr>
          <w:b/>
        </w:rPr>
        <w:t>19</w:t>
      </w:r>
      <w:r>
        <w:rPr/>
        <w:t xml:space="preserve"> {{field-on:bible}} </w:t>
        <w:br/>
        <w:t>Sie werden mir entgegentreten am Tag meines Unglücks!“</w:t>
        <w:br/>
        <w:t xml:space="preserve">Und </w:t>
      </w:r>
      <w:r>
        <w:rPr>
          <w:smallCaps/>
          <w:color w:val="FF0000"/>
        </w:rPr>
        <w:t>JHWH</w:t>
      </w:r>
      <w:r>
        <w:rPr/>
        <w:t xml:space="preserve"> war meine Stütze:</w:t>
        <w:br/>
        <w:t xml:space="preserve">{{field-off:bible}} </w:t>
        <w:br/>
        <w:t>[[@BibleTOBIBLE:2Sa 22:20]]</w:t>
      </w:r>
      <w:r>
        <w:rPr>
          <w:b/>
        </w:rPr>
        <w:t>20</w:t>
      </w:r>
      <w:r>
        <w:rPr/>
        <w:t xml:space="preserve"> {{field-on:bible}} </w:t>
        <w:br/>
        <w:t>Er führte mich ins Weite.</w:t>
        <w:br/>
        <w:br/>
      </w:r>
      <w:r>
        <w:rPr>
          <w:b/>
          <w:color w:val="808080"/>
        </w:rPr>
        <w:t>[</w:t>
      </w:r>
      <w:r>
        <w:rPr/>
        <w:t>Ich wusste:</w:t>
      </w:r>
      <w:r>
        <w:rPr>
          <w:b/>
          <w:color w:val="808080"/>
        </w:rPr>
        <w:t>]</w:t>
      </w:r>
      <w:r>
        <w:rPr/>
        <w:t xml:space="preserve"> „Er wird mich retten, weil er Gefallen hat an mir:</w:t>
        <w:br/>
        <w:t xml:space="preserve">{{field-off:bible}} </w:t>
        <w:br/>
        <w:t>[[@BibleTOBIBLE:2Sa 22:21]]</w:t>
      </w:r>
      <w:r>
        <w:rPr>
          <w:b/>
        </w:rPr>
        <w:t>21</w:t>
      </w:r>
      <w:r>
        <w:rPr/>
        <w:t xml:space="preserve"> {{field-on:bible}} </w:t>
        <w:br/>
        <w:t xml:space="preserve">Es wird mich belohnen </w:t>
      </w:r>
      <w:r>
        <w:rPr>
          <w:smallCaps/>
          <w:color w:val="FF0000"/>
        </w:rPr>
        <w:t>JHWH</w:t>
      </w:r>
      <w:r>
        <w:rPr/>
        <w:t xml:space="preserve"> entsprechend meiner Gerechtigkeit,Entsprechend der Reinheit meiner Hände wird er mir zurückgeben,</w:t>
        <w:br/>
        <w:t xml:space="preserve">{{field-off:bible}} </w:t>
        <w:br/>
        <w:t>[[@BibleTOBIBLE:2Sa 22:22]]</w:t>
      </w:r>
      <w:r>
        <w:rPr>
          <w:b/>
        </w:rPr>
        <w:t>22</w:t>
      </w:r>
      <w:r>
        <w:rPr/>
        <w:t xml:space="preserve"> {{field-on:bible}} </w:t>
        <w:br/>
        <w:t xml:space="preserve">Denn ich wahrte die Wege </w:t>
      </w:r>
      <w:r>
        <w:rPr>
          <w:smallCaps/>
          <w:color w:val="FF0000"/>
        </w:rPr>
        <w:t>JHWH</w:t>
      </w:r>
      <w:r>
        <w:rPr/>
        <w:t>sUnd handelte nicht böse von</w:t>
      </w:r>
      <w:r>
        <w:rPr>
          <w:rStyle w:val="Funotenanker"/>
        </w:rPr>
        <w:footnoteReference w:customMarkFollows="1" w:id="1260"/>
        <w:t>m</w:t>
      </w:r>
      <w:r>
        <w:rPr/>
        <w:t xml:space="preserve"> meinem Gott,</w:t>
        <w:br/>
        <w:t xml:space="preserve">{{field-off:bible}} </w:t>
        <w:br/>
        <w:t>[[@BibleTOBIBLE:2Sa 22:23]]</w:t>
      </w:r>
      <w:r>
        <w:rPr>
          <w:b/>
        </w:rPr>
        <w:t>23</w:t>
      </w:r>
      <w:r>
        <w:rPr/>
        <w:t xml:space="preserve"> {{field-on:bible}} </w:t>
        <w:br/>
        <w:t xml:space="preserve">Denn all seine Gesetze </w:t>
      </w:r>
      <w:r>
        <w:rPr>
          <w:b/>
          <w:color w:val="808080"/>
        </w:rPr>
        <w:t>[</w:t>
      </w:r>
      <w:r>
        <w:rPr/>
        <w:t>waren</w:t>
      </w:r>
      <w:r>
        <w:rPr>
          <w:b/>
          <w:color w:val="808080"/>
        </w:rPr>
        <w:t>]</w:t>
      </w:r>
      <w:r>
        <w:rPr/>
        <w:t xml:space="preserve"> vor mir</w:t>
      </w:r>
      <w:r>
        <w:rPr>
          <w:rStyle w:val="Funotenanker"/>
        </w:rPr>
        <w:footnoteReference w:customMarkFollows="1" w:id="1261"/>
        <w:t>n</w:t>
      </w:r>
      <w:r>
        <w:rPr/>
        <w:t>Und seine Satzungen werde ich nicht von mir stoßen</w:t>
        <w:br/>
        <w:t xml:space="preserve">{{field-off:bible}} </w:t>
        <w:br/>
        <w:t>[[@BibleTOBIBLE:2Sa 22:24]]</w:t>
      </w:r>
      <w:r>
        <w:rPr>
          <w:b/>
        </w:rPr>
        <w:t>24</w:t>
      </w:r>
      <w:r>
        <w:rPr/>
        <w:t xml:space="preserve"> {{field-on:bible}} </w:t>
        <w:br/>
        <w:t>Und ich verhielt mich gegen ihn perfektUnd ich hütete mich vor meinen Fehlern.“</w:t>
        <w:br/>
        <w:t xml:space="preserve">{{field-off:bible}} </w:t>
        <w:br/>
        <w:t>[[@BibleTOBIBLE:2Sa 22:25]]</w:t>
      </w:r>
      <w:r>
        <w:rPr>
          <w:b/>
        </w:rPr>
        <w:t>25</w:t>
      </w:r>
      <w:r>
        <w:rPr/>
        <w:t xml:space="preserve"> {{field-on:bible}} </w:t>
        <w:br/>
        <w:t xml:space="preserve">Und es gab </w:t>
      </w:r>
      <w:r>
        <w:rPr>
          <w:smallCaps/>
          <w:color w:val="FF0000"/>
        </w:rPr>
        <w:t>JHWH</w:t>
      </w:r>
      <w:r>
        <w:rPr/>
        <w:t xml:space="preserve"> mir zurück entsprechend meiner Gerechtigkeit,Entsprechend meiner Reinheit vor seinen Augen.</w:t>
        <w:br/>
        <w:br/>
        <w:t xml:space="preserve">{{field-off:bible}} </w:t>
        <w:br/>
        <w:t>[[@BibleTOBIBLE:2Sa 22:26]]</w:t>
      </w:r>
      <w:r>
        <w:rPr>
          <w:b/>
        </w:rPr>
        <w:t>26</w:t>
      </w:r>
      <w:r>
        <w:rPr/>
        <w:t xml:space="preserve"> {{field-on:bible}} </w:t>
        <w:br/>
      </w:r>
      <w:r>
        <w:rPr>
          <w:b/>
          <w:color w:val="808080"/>
        </w:rPr>
        <w:t>[</w:t>
      </w:r>
      <w:r>
        <w:rPr/>
        <w:t>Dem</w:t>
      </w:r>
      <w:r>
        <w:rPr>
          <w:b/>
          <w:color w:val="808080"/>
        </w:rPr>
        <w:t>]</w:t>
      </w:r>
      <w:r>
        <w:rPr/>
        <w:t xml:space="preserve"> Bundestreuen gegenüber wirst du dich bundestreu erweisen,Und </w:t>
      </w:r>
      <w:r>
        <w:rPr>
          <w:b/>
          <w:color w:val="808080"/>
        </w:rPr>
        <w:t>[</w:t>
      </w:r>
      <w:r>
        <w:rPr/>
        <w:t>dem</w:t>
      </w:r>
      <w:r>
        <w:rPr>
          <w:b/>
          <w:color w:val="808080"/>
        </w:rPr>
        <w:t>]</w:t>
      </w:r>
      <w:r>
        <w:rPr/>
        <w:t xml:space="preserve"> perfekten Mann gegenüber wirst du dich perfekt erweisen,</w:t>
        <w:br/>
        <w:t xml:space="preserve">{{field-off:bible}} </w:t>
        <w:br/>
        <w:t>[[@BibleTOBIBLE:2Sa 22:27]]</w:t>
      </w:r>
      <w:r>
        <w:rPr>
          <w:b/>
        </w:rPr>
        <w:t>27</w:t>
      </w:r>
      <w:r>
        <w:rPr/>
        <w:t xml:space="preserve"> {{field-on:bible}} </w:t>
        <w:br/>
      </w:r>
      <w:r>
        <w:rPr>
          <w:b/>
          <w:color w:val="808080"/>
        </w:rPr>
        <w:t>[</w:t>
      </w:r>
      <w:r>
        <w:rPr/>
        <w:t>Dem</w:t>
      </w:r>
      <w:r>
        <w:rPr>
          <w:b/>
          <w:color w:val="808080"/>
        </w:rPr>
        <w:t>]</w:t>
      </w:r>
      <w:r>
        <w:rPr/>
        <w:t xml:space="preserve"> Reinen gegenüber wirst du dich rein erweisen,Dem Falschen gegenüber wirst du dich verkehrt erweisen.</w:t>
        <w:br/>
        <w:t xml:space="preserve">{{field-off:bible}} </w:t>
        <w:br/>
        <w:t>[[@BibleTOBIBLE:2Sa 22:28]]</w:t>
      </w:r>
      <w:r>
        <w:rPr>
          <w:b/>
        </w:rPr>
        <w:t>28</w:t>
      </w:r>
      <w:r>
        <w:rPr/>
        <w:t xml:space="preserve"> {{field-on:bible}} </w:t>
        <w:br/>
        <w:t>Du rettest das arme Volk,Doch die Augen Hochmütiger beugst du nieder.</w:t>
        <w:br/>
        <w:t xml:space="preserve">{{field-off:bible}} </w:t>
        <w:br/>
        <w:t>[[@BibleTOBIBLE:2Sa 22:29]]</w:t>
      </w:r>
      <w:r>
        <w:rPr>
          <w:b/>
        </w:rPr>
        <w:t>29</w:t>
      </w:r>
      <w:r>
        <w:rPr/>
        <w:t xml:space="preserve"> {{field-on:bible}} </w:t>
        <w:br/>
        <w:t xml:space="preserve">Ja, du bist meine Lampe, </w:t>
      </w:r>
      <w:r>
        <w:rPr>
          <w:smallCaps/>
          <w:color w:val="FF0000"/>
        </w:rPr>
        <w:t>JHWH</w:t>
      </w:r>
      <w:r>
        <w:rPr/>
        <w:t>,</w:t>
      </w:r>
      <w:r>
        <w:rPr>
          <w:smallCaps/>
          <w:color w:val="FF0000"/>
        </w:rPr>
        <w:t>JHWH</w:t>
      </w:r>
      <w:r>
        <w:rPr/>
        <w:t xml:space="preserve"> wird erhellen meine Dunkelheit.</w:t>
        <w:br/>
        <w:t xml:space="preserve">{{field-off:bible}} </w:t>
        <w:br/>
        <w:t>[[@BibleTOBIBLE:2Sa 22:30]]</w:t>
      </w:r>
      <w:r>
        <w:rPr>
          <w:b/>
        </w:rPr>
        <w:t>30</w:t>
      </w:r>
      <w:r>
        <w:rPr/>
        <w:t xml:space="preserve"> {{field-on:bible}} </w:t>
        <w:br/>
        <w:t xml:space="preserve">Ja, mit dir werde </w:t>
      </w:r>
      <w:r>
        <w:rPr>
          <w:color w:val="808080"/>
        </w:rPr>
        <w:t>(kann)</w:t>
      </w:r>
      <w:r>
        <w:rPr/>
        <w:t xml:space="preserve"> ich überrennen </w:t>
      </w:r>
      <w:r>
        <w:rPr>
          <w:color w:val="808080"/>
        </w:rPr>
        <w:t>(zerschmettern)</w:t>
      </w:r>
      <w:r>
        <w:rPr/>
        <w:t xml:space="preserve"> eine TruppeUnd mit meinem Gott werde </w:t>
      </w:r>
      <w:r>
        <w:rPr>
          <w:color w:val="808080"/>
        </w:rPr>
        <w:t>(kann)</w:t>
      </w:r>
      <w:r>
        <w:rPr/>
        <w:t xml:space="preserve"> ich eine Mauer überspringen.</w:t>
        <w:br/>
        <w:br/>
        <w:t xml:space="preserve">{{field-off:bible}} </w:t>
        <w:br/>
        <w:t>[[@BibleTOBIBLE:2Sa 22:31]]</w:t>
      </w:r>
      <w:r>
        <w:rPr>
          <w:b/>
        </w:rPr>
        <w:t>31</w:t>
      </w:r>
      <w:r>
        <w:rPr/>
        <w:t xml:space="preserve"> {{field-on:bible}} </w:t>
        <w:br/>
        <w:t xml:space="preserve">Gott - vollkommen </w:t>
      </w:r>
      <w:r>
        <w:rPr>
          <w:b/>
          <w:color w:val="808080"/>
        </w:rPr>
        <w:t>[</w:t>
      </w:r>
      <w:r>
        <w:rPr/>
        <w:t>ist</w:t>
      </w:r>
      <w:r>
        <w:rPr>
          <w:b/>
          <w:color w:val="808080"/>
        </w:rPr>
        <w:t>]</w:t>
      </w:r>
      <w:r>
        <w:rPr/>
        <w:t xml:space="preserve"> sein Weg. Das Wort </w:t>
      </w:r>
      <w:r>
        <w:rPr>
          <w:smallCaps/>
          <w:color w:val="FF0000"/>
        </w:rPr>
        <w:t>JHWH</w:t>
      </w:r>
      <w:r>
        <w:rPr/>
        <w:t xml:space="preserve">s ist erprobt, Ein Schild </w:t>
      </w:r>
      <w:r>
        <w:rPr>
          <w:b/>
          <w:color w:val="808080"/>
        </w:rPr>
        <w:t>[</w:t>
      </w:r>
      <w:r>
        <w:rPr/>
        <w:t>ist</w:t>
      </w:r>
      <w:r>
        <w:rPr>
          <w:b/>
          <w:color w:val="808080"/>
        </w:rPr>
        <w:t>]</w:t>
      </w:r>
      <w:r>
        <w:rPr/>
        <w:t xml:space="preserve"> er für alle, die auf ihn vertrauen </w:t>
      </w:r>
      <w:r>
        <w:rPr>
          <w:color w:val="808080"/>
        </w:rPr>
        <w:t>(die zu ihm flüchten)</w:t>
      </w:r>
      <w:r>
        <w:rPr/>
        <w:t>.</w:t>
        <w:br/>
        <w:t xml:space="preserve">{{field-off:bible}} </w:t>
        <w:br/>
        <w:t>[[@BibleTOBIBLE:2Sa 22:32]]</w:t>
      </w:r>
      <w:r>
        <w:rPr>
          <w:b/>
        </w:rPr>
        <w:t>32</w:t>
      </w:r>
      <w:r>
        <w:rPr/>
        <w:t xml:space="preserve"> {{field-on:bible}} </w:t>
        <w:br/>
        <w:t xml:space="preserve">Ja, wer ist Gott außer </w:t>
      </w:r>
      <w:r>
        <w:rPr>
          <w:smallCaps/>
          <w:color w:val="FF0000"/>
        </w:rPr>
        <w:t>JHWH</w:t>
      </w:r>
      <w:r>
        <w:rPr/>
        <w:t>Und wer ein Berg außer unserem Gott –</w:t>
        <w:br/>
        <w:t xml:space="preserve">{{field-off:bible}} </w:t>
        <w:br/>
        <w:t>[[@BibleTOBIBLE:2Sa 22:33]]</w:t>
      </w:r>
      <w:r>
        <w:rPr>
          <w:b/>
        </w:rPr>
        <w:t>33</w:t>
      </w:r>
      <w:r>
        <w:rPr/>
        <w:t xml:space="preserve"> {{field-on:bible}} </w:t>
        <w:br/>
        <w:t xml:space="preserve">Dem Gott, </w:t>
      </w:r>
      <w:r>
        <w:rPr>
          <w:b/>
          <w:color w:val="808080"/>
        </w:rPr>
        <w:t>[</w:t>
      </w:r>
      <w:r>
        <w:rPr/>
        <w:t>der</w:t>
      </w:r>
      <w:r>
        <w:rPr>
          <w:b/>
          <w:color w:val="808080"/>
        </w:rPr>
        <w:t>]</w:t>
      </w:r>
      <w:r>
        <w:rPr/>
        <w:t xml:space="preserve"> mich stärkt </w:t>
      </w:r>
      <w:r>
        <w:rPr>
          <w:b/>
          <w:color w:val="808080"/>
        </w:rPr>
        <w:t>[</w:t>
      </w:r>
      <w:r>
        <w:rPr/>
        <w:t>mit</w:t>
      </w:r>
      <w:r>
        <w:rPr>
          <w:b/>
          <w:color w:val="808080"/>
        </w:rPr>
        <w:t>]</w:t>
      </w:r>
      <w:r>
        <w:rPr/>
        <w:t xml:space="preserve"> KraftUnd der meinen Weg perfekt machte,</w:t>
        <w:br/>
        <w:t xml:space="preserve">{{field-off:bible}} </w:t>
        <w:br/>
        <w:t>[[@BibleTOBIBLE:2Sa 22:34]]</w:t>
      </w:r>
      <w:r>
        <w:rPr>
          <w:b/>
        </w:rPr>
        <w:t>34</w:t>
      </w:r>
      <w:r>
        <w:rPr/>
        <w:t xml:space="preserve"> {{field-on:bible}} </w:t>
        <w:br/>
        <w:t>Der meinen Fuß einer Gazelle gleich machteUnd mich auf meine Höhen stellte,</w:t>
        <w:br/>
        <w:t xml:space="preserve">{{field-off:bible}} </w:t>
        <w:br/>
        <w:t>[[@BibleTOBIBLE:2Sa 22:35]]</w:t>
      </w:r>
      <w:r>
        <w:rPr>
          <w:b/>
        </w:rPr>
        <w:t>35</w:t>
      </w:r>
      <w:r>
        <w:rPr/>
        <w:t xml:space="preserve"> {{field-on:bible}} </w:t>
        <w:br/>
        <w:t>Der meine Hände für den Kampf trainierte,Um zu stärken</w:t>
      </w:r>
      <w:r>
        <w:rPr>
          <w:rStyle w:val="Funotenanker"/>
        </w:rPr>
        <w:footnoteReference w:customMarkFollows="1" w:id="1262"/>
        <w:t>o</w:t>
      </w:r>
      <w:r>
        <w:rPr/>
        <w:t xml:space="preserve"> </w:t>
      </w:r>
      <w:r>
        <w:rPr>
          <w:b/>
          <w:color w:val="808080"/>
        </w:rPr>
        <w:t>[</w:t>
      </w:r>
      <w:r>
        <w:rPr/>
        <w:t>wie</w:t>
      </w:r>
      <w:r>
        <w:rPr>
          <w:b/>
          <w:color w:val="808080"/>
        </w:rPr>
        <w:t>]</w:t>
      </w:r>
      <w:r>
        <w:rPr/>
        <w:t xml:space="preserve"> einen Kupferbogen meine Arme!?</w:t>
        <w:br/>
        <w:t xml:space="preserve">{{field-off:bible}} </w:t>
        <w:br/>
        <w:t>[[@BibleTOBIBLE:2Sa 22:36]]</w:t>
      </w:r>
      <w:r>
        <w:rPr>
          <w:b/>
        </w:rPr>
        <w:t>36</w:t>
      </w:r>
      <w:r>
        <w:rPr/>
        <w:t xml:space="preserve"> {{field-on:bible}} </w:t>
        <w:br/>
        <w:t>Und du gabst mir den Schild der Rettung Und deine rechte Hand wird mich stützenUnd deine Erhörung wird mich vergrößern.</w:t>
        <w:br/>
        <w:t xml:space="preserve">{{field-off:bible}} </w:t>
        <w:br/>
        <w:t>[[@BibleTOBIBLE:2Sa 22:37]]</w:t>
      </w:r>
      <w:r>
        <w:rPr>
          <w:b/>
        </w:rPr>
        <w:t>37</w:t>
      </w:r>
      <w:r>
        <w:rPr/>
        <w:t xml:space="preserve"> {{field-on:bible}} </w:t>
        <w:br/>
        <w:t>Du wirst weit machen meine Schritte unter mirUnd meine Knöchel wanken nicht.</w:t>
        <w:br/>
        <w:br/>
        <w:t xml:space="preserve">{{field-off:bible}} </w:t>
        <w:br/>
        <w:t>[[@BibleTOBIBLE:2Sa 22:38]]</w:t>
      </w:r>
      <w:r>
        <w:rPr>
          <w:b/>
        </w:rPr>
        <w:t>38</w:t>
      </w:r>
      <w:r>
        <w:rPr/>
        <w:t xml:space="preserve"> {{field-on:bible}} </w:t>
        <w:br/>
        <w:t>Ich werde nachjagen meinen Feinden und sie erreichenUnd werde nicht umkehren, bis ich sie zerstört habe.</w:t>
        <w:br/>
        <w:t xml:space="preserve">{{field-off:bible}} </w:t>
        <w:br/>
        <w:t>[[@BibleTOBIBLE:2Sa 22:39]]</w:t>
      </w:r>
      <w:r>
        <w:rPr>
          <w:b/>
        </w:rPr>
        <w:t>39</w:t>
      </w:r>
      <w:r>
        <w:rPr/>
        <w:t xml:space="preserve"> {{field-on:bible}} </w:t>
        <w:br/>
        <w:t>Ich werde sie zerschmettern und sie werden sich nicht erheben können,Sie werden unter meine Füße fallen!</w:t>
        <w:br/>
        <w:t xml:space="preserve">{{field-off:bible}} </w:t>
        <w:br/>
        <w:t>[[@BibleTOBIBLE:2Sa 22:40]]</w:t>
      </w:r>
      <w:r>
        <w:rPr>
          <w:b/>
        </w:rPr>
        <w:t>40</w:t>
      </w:r>
      <w:r>
        <w:rPr/>
        <w:t xml:space="preserve"> {{field-on:bible}} </w:t>
        <w:br/>
        <w:t xml:space="preserve">Und du gürtetest mich mit Kraft für den Kampf,Du wirst beugen </w:t>
      </w:r>
      <w:r>
        <w:rPr>
          <w:b/>
          <w:color w:val="808080"/>
        </w:rPr>
        <w:t>[</w:t>
      </w:r>
      <w:r>
        <w:rPr/>
        <w:t>die</w:t>
      </w:r>
      <w:r>
        <w:rPr>
          <w:b/>
          <w:color w:val="808080"/>
        </w:rPr>
        <w:t>]</w:t>
      </w:r>
      <w:r>
        <w:rPr/>
        <w:t xml:space="preserve">, die sich </w:t>
      </w:r>
      <w:r>
        <w:rPr>
          <w:b/>
          <w:color w:val="808080"/>
        </w:rPr>
        <w:t>[</w:t>
      </w:r>
      <w:r>
        <w:rPr/>
        <w:t>gegen</w:t>
      </w:r>
      <w:r>
        <w:rPr>
          <w:b/>
          <w:color w:val="808080"/>
        </w:rPr>
        <w:t>]</w:t>
      </w:r>
      <w:r>
        <w:rPr/>
        <w:t xml:space="preserve"> mich erheben, unter mich!</w:t>
        <w:br/>
        <w:t xml:space="preserve">{{field-off:bible}} </w:t>
        <w:br/>
        <w:t>[[@BibleTOBIBLE:2Sa 22:41]]</w:t>
      </w:r>
      <w:r>
        <w:rPr>
          <w:b/>
        </w:rPr>
        <w:t>41</w:t>
      </w:r>
      <w:r>
        <w:rPr/>
        <w:t xml:space="preserve"> {{field-on:bible}} </w:t>
        <w:br/>
        <w:t xml:space="preserve">Und meine Feinde – du gabst mir </w:t>
      </w:r>
      <w:r>
        <w:rPr>
          <w:b/>
          <w:color w:val="808080"/>
        </w:rPr>
        <w:t>[</w:t>
      </w:r>
      <w:r>
        <w:rPr/>
        <w:t>ihren</w:t>
      </w:r>
      <w:r>
        <w:rPr>
          <w:b/>
          <w:color w:val="808080"/>
        </w:rPr>
        <w:t>]</w:t>
      </w:r>
      <w:r>
        <w:rPr/>
        <w:t xml:space="preserve"> Rücken;</w:t>
      </w:r>
      <w:r>
        <w:rPr>
          <w:rStyle w:val="Funotenanker"/>
        </w:rPr>
        <w:footnoteReference w:customMarkFollows="1" w:id="1263"/>
        <w:t>p</w:t>
      </w:r>
      <w:r>
        <w:rPr/>
        <w:t>Meine Hasser werde ich vernichten.</w:t>
        <w:br/>
        <w:t xml:space="preserve">{{field-off:bible}} </w:t>
        <w:br/>
        <w:t>[[@BibleTOBIBLE:2Sa 22:42]]</w:t>
      </w:r>
      <w:r>
        <w:rPr>
          <w:b/>
        </w:rPr>
        <w:t>42</w:t>
      </w:r>
      <w:r>
        <w:rPr/>
        <w:t xml:space="preserve"> {{field-on:bible}} </w:t>
        <w:br/>
        <w:t xml:space="preserve">Sie werden schreien, doch es </w:t>
      </w:r>
      <w:r>
        <w:rPr>
          <w:b/>
          <w:color w:val="808080"/>
        </w:rPr>
        <w:t>[</w:t>
      </w:r>
      <w:r>
        <w:rPr/>
        <w:t>wird für sie</w:t>
      </w:r>
      <w:r>
        <w:rPr>
          <w:b/>
          <w:color w:val="808080"/>
        </w:rPr>
        <w:t>]</w:t>
      </w:r>
      <w:r>
        <w:rPr/>
        <w:t xml:space="preserve"> nicht geben einen Retter,Zu </w:t>
      </w:r>
      <w:r>
        <w:rPr>
          <w:smallCaps/>
          <w:color w:val="FF0000"/>
        </w:rPr>
        <w:t>JHWH</w:t>
      </w:r>
      <w:r>
        <w:rPr/>
        <w:t>,</w:t>
      </w:r>
      <w:r>
        <w:rPr>
          <w:rStyle w:val="Funotenanker"/>
        </w:rPr>
        <w:footnoteReference w:customMarkFollows="1" w:id="1264"/>
        <w:t>q</w:t>
      </w:r>
      <w:r>
        <w:rPr/>
        <w:t xml:space="preserve"> aber er antwortete ihnen nicht.</w:t>
      </w:r>
      <w:r>
        <w:rPr>
          <w:rStyle w:val="Funotenanker"/>
        </w:rPr>
        <w:footnoteReference w:customMarkFollows="1" w:id="1265"/>
        <w:t>r</w:t>
      </w:r>
      <w:r>
        <w:rPr/>
        <w:t xml:space="preserve"> </w:t>
        <w:br/>
        <w:t xml:space="preserve">{{field-off:bible}} </w:t>
        <w:br/>
        <w:t>[[@BibleTOBIBLE:2Sa 22:43]]</w:t>
      </w:r>
      <w:r>
        <w:rPr>
          <w:b/>
        </w:rPr>
        <w:t>43</w:t>
      </w:r>
      <w:r>
        <w:rPr/>
        <w:t xml:space="preserve"> {{field-on:bible}} </w:t>
        <w:br/>
        <w:t xml:space="preserve">Ich werde sie zermalmen wie Staub auf dem </w:t>
      </w:r>
      <w:r>
        <w:rPr>
          <w:strike/>
          <w:color w:val="808080"/>
        </w:rPr>
        <w:t>{Gesicht des}</w:t>
      </w:r>
      <w:r>
        <w:rPr/>
        <w:t xml:space="preserve"> Weg</w:t>
      </w:r>
      <w:r>
        <w:rPr>
          <w:strike/>
          <w:color w:val="808080"/>
        </w:rPr>
        <w:t>{es}</w:t>
      </w:r>
      <w:r>
        <w:rPr/>
        <w:t xml:space="preserve">,Wie Kot </w:t>
      </w:r>
      <w:r>
        <w:rPr>
          <w:b/>
          <w:color w:val="808080"/>
        </w:rPr>
        <w:t>[</w:t>
      </w:r>
      <w:r>
        <w:rPr/>
        <w:t>auf</w:t>
      </w:r>
      <w:r>
        <w:rPr>
          <w:b/>
          <w:color w:val="808080"/>
        </w:rPr>
        <w:t>]</w:t>
      </w:r>
      <w:r>
        <w:rPr/>
        <w:t xml:space="preserve"> der Straße werde ich sie ausschütten!</w:t>
        <w:br/>
        <w:br/>
        <w:t xml:space="preserve">{{field-off:bible}} </w:t>
        <w:br/>
        <w:t>[[@BibleTOBIBLE:2Sa 22:44]]</w:t>
      </w:r>
      <w:r>
        <w:rPr>
          <w:b/>
        </w:rPr>
        <w:t>44</w:t>
      </w:r>
      <w:r>
        <w:rPr/>
        <w:t xml:space="preserve"> {{field-on:bible}} </w:t>
        <w:br/>
        <w:t xml:space="preserve">Du wirst mich retten aus den Auseinandersetzungen des Volkes,Du wirst mich einsetzen als Haupt der Heiden,Ein Volk, </w:t>
      </w:r>
      <w:r>
        <w:rPr>
          <w:b/>
          <w:color w:val="808080"/>
        </w:rPr>
        <w:t>[</w:t>
      </w:r>
      <w:r>
        <w:rPr/>
        <w:t>das</w:t>
      </w:r>
      <w:r>
        <w:rPr>
          <w:b/>
          <w:color w:val="808080"/>
        </w:rPr>
        <w:t>]</w:t>
      </w:r>
      <w:r>
        <w:rPr/>
        <w:t xml:space="preserve"> ich nicht kenne </w:t>
      </w:r>
      <w:r>
        <w:rPr>
          <w:color w:val="808080"/>
        </w:rPr>
        <w:t>(kannte)</w:t>
      </w:r>
      <w:r>
        <w:rPr/>
        <w:t>, wird mir dienen.</w:t>
        <w:br/>
        <w:t xml:space="preserve">{{field-off:bible}} </w:t>
        <w:br/>
        <w:t>[[@BibleTOBIBLE:2Sa 22:45]]</w:t>
      </w:r>
      <w:r>
        <w:rPr>
          <w:b/>
        </w:rPr>
        <w:t>45</w:t>
      </w:r>
      <w:r>
        <w:rPr/>
        <w:t xml:space="preserve"> {{field-on:bible}} </w:t>
        <w:br/>
        <w:t xml:space="preserve">Auf Gehörtes des Ohrs </w:t>
      </w:r>
      <w:r>
        <w:rPr>
          <w:b/>
          <w:color w:val="808080"/>
        </w:rPr>
        <w:t>[</w:t>
      </w:r>
      <w:r>
        <w:rPr/>
        <w:t>hin</w:t>
      </w:r>
      <w:r>
        <w:rPr>
          <w:b/>
          <w:color w:val="808080"/>
        </w:rPr>
        <w:t>]</w:t>
      </w:r>
      <w:r>
        <w:rPr/>
        <w:t xml:space="preserve"> werden sie auf mich hören,</w:t>
      </w:r>
      <w:r>
        <w:rPr>
          <w:strike/>
          <w:color w:val="808080"/>
        </w:rPr>
        <w:t>{Kinder von }</w:t>
      </w:r>
      <w:r>
        <w:rPr/>
        <w:t>Ausländer</w:t>
      </w:r>
      <w:r>
        <w:rPr>
          <w:strike/>
          <w:color w:val="808080"/>
        </w:rPr>
        <w:t>{n}</w:t>
      </w:r>
      <w:r>
        <w:rPr/>
        <w:t xml:space="preserve"> werden mir </w:t>
      </w:r>
      <w:r>
        <w:rPr>
          <w:b/>
          <w:color w:val="808080"/>
        </w:rPr>
        <w:t>[</w:t>
      </w:r>
      <w:r>
        <w:rPr/>
        <w:t>Ergebung</w:t>
      </w:r>
      <w:r>
        <w:rPr>
          <w:b/>
          <w:color w:val="808080"/>
        </w:rPr>
        <w:t>]</w:t>
      </w:r>
      <w:r>
        <w:rPr/>
        <w:t xml:space="preserve"> heucheln </w:t>
      </w:r>
      <w:r>
        <w:rPr>
          <w:color w:val="808080"/>
        </w:rPr>
        <w:t>(mir schmeicheln)</w:t>
      </w:r>
      <w:r>
        <w:rPr/>
        <w:t>,</w:t>
      </w:r>
      <w:r>
        <w:rPr>
          <w:rStyle w:val="Funotenanker"/>
        </w:rPr>
        <w:footnoteReference w:customMarkFollows="1" w:id="1266"/>
        <w:t>s</w:t>
      </w:r>
      <w:r>
        <w:rPr/>
        <w:t xml:space="preserve"> </w:t>
        <w:br/>
        <w:t xml:space="preserve">{{field-off:bible}} </w:t>
        <w:br/>
        <w:t>[[@BibleTOBIBLE:2Sa 22:46]]</w:t>
      </w:r>
      <w:r>
        <w:rPr>
          <w:b/>
        </w:rPr>
        <w:t>46</w:t>
      </w:r>
      <w:r>
        <w:rPr/>
        <w:t xml:space="preserve"> {{field-on:bible}} </w:t>
        <w:br/>
      </w:r>
      <w:r>
        <w:rPr>
          <w:strike/>
          <w:color w:val="808080"/>
        </w:rPr>
        <w:t>{Kinder von }</w:t>
      </w:r>
      <w:r>
        <w:rPr/>
        <w:t>Ausländer</w:t>
      </w:r>
      <w:r>
        <w:rPr>
          <w:strike/>
          <w:color w:val="808080"/>
        </w:rPr>
        <w:t>{n}</w:t>
      </w:r>
      <w:r>
        <w:rPr/>
        <w:t xml:space="preserve"> werden vergehen</w:t>
        <w:br/>
        <w:t xml:space="preserve">Und sich </w:t>
      </w:r>
      <w:r>
        <w:rPr>
          <w:b/>
          <w:color w:val="808080"/>
        </w:rPr>
        <w:t>[</w:t>
      </w:r>
      <w:r>
        <w:rPr/>
        <w:t>selbst</w:t>
      </w:r>
      <w:r>
        <w:rPr>
          <w:b/>
          <w:color w:val="808080"/>
        </w:rPr>
        <w:t>]</w:t>
      </w:r>
      <w:r>
        <w:rPr/>
        <w:t xml:space="preserve"> gürten mit ihren Banden.</w:t>
        <w:br/>
        <w:br/>
        <w:t xml:space="preserve">{{field-off:bible}} </w:t>
        <w:br/>
        <w:t>[[@BibleTOBIBLE:2Sa 22:47]]</w:t>
      </w:r>
      <w:r>
        <w:rPr>
          <w:b/>
        </w:rPr>
        <w:t>47</w:t>
      </w:r>
      <w:r>
        <w:rPr/>
        <w:t xml:space="preserve"> {{field-on:bible}} </w:t>
        <w:br/>
      </w:r>
      <w:r>
        <w:rPr>
          <w:b/>
          <w:color w:val="808080"/>
        </w:rPr>
        <w:t>[</w:t>
      </w:r>
      <w:r>
        <w:rPr/>
        <w:t>So wahr</w:t>
      </w:r>
      <w:r>
        <w:rPr>
          <w:b/>
          <w:color w:val="808080"/>
        </w:rPr>
        <w:t>]</w:t>
      </w:r>
      <w:r>
        <w:rPr/>
        <w:t xml:space="preserve"> Gott lebt: Gesegnet </w:t>
      </w:r>
      <w:r>
        <w:rPr>
          <w:b/>
          <w:color w:val="808080"/>
        </w:rPr>
        <w:t>[</w:t>
      </w:r>
      <w:r>
        <w:rPr/>
        <w:t>sei</w:t>
      </w:r>
      <w:r>
        <w:rPr>
          <w:b/>
          <w:color w:val="808080"/>
        </w:rPr>
        <w:t>]</w:t>
      </w:r>
      <w:r>
        <w:rPr/>
        <w:t xml:space="preserve"> mein FelsUnd erhoben werden soll der Gott meiner Rettung,</w:t>
        <w:br/>
        <w:t xml:space="preserve">{{field-off:bible}} </w:t>
        <w:br/>
        <w:t>[[@BibleTOBIBLE:2Sa 22:48]]</w:t>
      </w:r>
      <w:r>
        <w:rPr>
          <w:b/>
        </w:rPr>
        <w:t>48</w:t>
      </w:r>
      <w:r>
        <w:rPr/>
        <w:t xml:space="preserve"> {{field-on:bible}} </w:t>
        <w:br/>
        <w:t xml:space="preserve">Der Gott, </w:t>
      </w:r>
      <w:r>
        <w:rPr>
          <w:b/>
          <w:color w:val="808080"/>
        </w:rPr>
        <w:t>[</w:t>
      </w:r>
      <w:r>
        <w:rPr/>
        <w:t>der</w:t>
      </w:r>
      <w:r>
        <w:rPr>
          <w:b/>
          <w:color w:val="808080"/>
        </w:rPr>
        <w:t>]</w:t>
      </w:r>
      <w:r>
        <w:rPr/>
        <w:t xml:space="preserve"> mir Rache gab </w:t>
      </w:r>
      <w:r>
        <w:rPr>
          <w:color w:val="808080"/>
        </w:rPr>
        <w:t>(gibt)</w:t>
      </w:r>
      <w:r>
        <w:rPr/>
        <w:t>Und Völker unter mich unterjocht hat,</w:t>
        <w:br/>
        <w:t xml:space="preserve">{{field-off:bible}} </w:t>
        <w:br/>
        <w:t>[[@BibleTOBIBLE:2Sa 22:49]]</w:t>
      </w:r>
      <w:r>
        <w:rPr>
          <w:b/>
        </w:rPr>
        <w:t>49</w:t>
      </w:r>
      <w:r>
        <w:rPr/>
        <w:t xml:space="preserve"> {{field-on:bible}} </w:t>
        <w:br/>
        <w:t>Der mich aus meinen Feinden herausholt,</w:t>
      </w:r>
      <w:r>
        <w:rPr>
          <w:rStyle w:val="Funotenanker"/>
        </w:rPr>
        <w:footnoteReference w:customMarkFollows="1" w:id="1267"/>
        <w:t>t</w:t>
      </w:r>
      <w:r>
        <w:rPr/>
        <w:t>Mich erhöhen wird über die, die sich gegen mich erheben,Der du mich von dem gewalttätigen Mann befreien wirst.</w:t>
        <w:br/>
        <w:br/>
        <w:t xml:space="preserve">{{field-off:bible}} </w:t>
        <w:br/>
        <w:t>[[@BibleTOBIBLE:2Sa 22:50]]</w:t>
      </w:r>
      <w:r>
        <w:rPr>
          <w:b/>
        </w:rPr>
        <w:t>50</w:t>
      </w:r>
      <w:r>
        <w:rPr/>
        <w:t xml:space="preserve"> {{field-on:bible}} </w:t>
        <w:br/>
        <w:t xml:space="preserve">Darum will ich dich preisen, </w:t>
      </w:r>
      <w:r>
        <w:rPr>
          <w:smallCaps/>
          <w:color w:val="FF0000"/>
        </w:rPr>
        <w:t>JHWH</w:t>
      </w:r>
      <w:r>
        <w:rPr/>
        <w:t xml:space="preserve">, </w:t>
      </w:r>
      <w:r>
        <w:rPr>
          <w:b/>
          <w:color w:val="808080"/>
        </w:rPr>
        <w:t>[</w:t>
      </w:r>
      <w:r>
        <w:rPr/>
        <w:t>mitten</w:t>
      </w:r>
      <w:r>
        <w:rPr>
          <w:b/>
          <w:color w:val="808080"/>
        </w:rPr>
        <w:t>]</w:t>
      </w:r>
      <w:r>
        <w:rPr/>
        <w:t xml:space="preserve"> unter den Heiden,Und deinem Namen singen,</w:t>
        <w:br/>
        <w:t xml:space="preserve">{{field-off:bible}} </w:t>
        <w:br/>
        <w:t>[[@BibleTOBIBLE:2Sa 22:51]]</w:t>
      </w:r>
      <w:r>
        <w:rPr>
          <w:b/>
        </w:rPr>
        <w:t>51</w:t>
      </w:r>
      <w:r>
        <w:rPr/>
        <w:t xml:space="preserve"> {{field-on:bible}} </w:t>
        <w:br/>
        <w:t xml:space="preserve">Der groß macht das Heil </w:t>
      </w:r>
      <w:r>
        <w:rPr>
          <w:color w:val="808080"/>
        </w:rPr>
        <w:t xml:space="preserve">(der ein Turm des Heils </w:t>
      </w:r>
      <w:r>
        <w:rPr>
          <w:b/>
          <w:color w:val="808080"/>
        </w:rPr>
        <w:t>[</w:t>
      </w:r>
      <w:r>
        <w:rPr>
          <w:color w:val="808080"/>
        </w:rPr>
        <w:t>ist</w:t>
      </w:r>
      <w:r>
        <w:rPr>
          <w:b/>
          <w:color w:val="808080"/>
        </w:rPr>
        <w:t>]</w:t>
      </w:r>
      <w:r>
        <w:rPr>
          <w:color w:val="808080"/>
        </w:rPr>
        <w:t xml:space="preserve"> für)</w:t>
      </w:r>
      <w:r>
        <w:rPr/>
        <w:t xml:space="preserve"> </w:t>
      </w:r>
      <w:r>
        <w:rPr>
          <w:rStyle w:val="Funotenanker"/>
        </w:rPr>
        <w:footnoteReference w:customMarkFollows="1" w:id="1268"/>
        <w:t>u</w:t>
      </w:r>
      <w:r>
        <w:rPr/>
        <w:t xml:space="preserve"> seines KönigsUnd seinem Gesalbten Bundestreue erweist,David und seinen Nachkommen auf ewig.</w:t>
        <w:b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16]]Kapitel 16</w:t>
      </w:r>
    </w:p>
    <w:p>
      <w:pPr>
        <w:pStyle w:val="Textkrper"/>
        <w:rPr/>
      </w:pPr>
      <w:r>
        <w:rPr/>
        <w:br/>
        <w:t>[[@BibleTOBIBLE:1Ki 16:1]]</w:t>
      </w:r>
      <w:r>
        <w:rPr>
          <w:b/>
        </w:rPr>
        <w:t>1</w:t>
      </w:r>
      <w:r>
        <w:rPr/>
        <w:t xml:space="preserve"> {{field-on:bible}}Und es erging das Wort Jahwes an Jehu, den Sohn Hananis, gegen Bascha, wie folgt:{{field-off:bible}} </w:t>
        <w:br/>
        <w:t>[[@BibleTOBIBLE:1Ki 16:2]]</w:t>
      </w:r>
      <w:r>
        <w:rPr>
          <w:b/>
        </w:rPr>
        <w:t>2</w:t>
      </w:r>
      <w:r>
        <w:rPr/>
        <w:t xml:space="preserve"> {{field-on:bible}}Weil ich dich aus dem Staub erhoben und dich als Fürst </w:t>
      </w:r>
      <w:r>
        <w:rPr>
          <w:color w:val="808080"/>
        </w:rPr>
        <w:t>(Anführer)</w:t>
      </w:r>
      <w:r>
        <w:rPr/>
        <w:t xml:space="preserve"> über mein Volk Israel gesetzt habe und du auf dem Weg Jerobeams gegangen bist und mein Volk Israel zur Sünde verleitet hast, so dass sie mich wütend gemacht haben mit ihren Sünden:</w:t>
      </w:r>
      <w:r>
        <w:rPr>
          <w:rStyle w:val="Funotenanker"/>
        </w:rPr>
        <w:footnoteReference w:customMarkFollows="1" w:id="1269"/>
        <w:t>a</w:t>
      </w:r>
      <w:r>
        <w:rPr/>
        <w:t xml:space="preserve"> {{field-off:bible}} </w:t>
        <w:br/>
        <w:t>[[@BibleTOBIBLE:1Ki 16:3]]</w:t>
      </w:r>
      <w:r>
        <w:rPr>
          <w:b/>
        </w:rPr>
        <w:t>3</w:t>
      </w:r>
      <w:r>
        <w:rPr/>
        <w:t xml:space="preserve"> {{field-on:bible}}Siehe, ich werde Bascha und sein Haus hinwegfegen und ich werde dein Haus stellen </w:t>
      </w:r>
      <w:r>
        <w:rPr>
          <w:color w:val="808080"/>
        </w:rPr>
        <w:t>(d.h. so damit verfahren)</w:t>
      </w:r>
      <w:r>
        <w:rPr/>
        <w:t xml:space="preserve"> wie das Haus Jerobeams, des Sohnes Nebats.{{field-off:bible}} </w:t>
        <w:br/>
        <w:t>[[@BibleTOBIBLE:1Ki 16:4]]</w:t>
      </w:r>
      <w:r>
        <w:rPr>
          <w:b/>
        </w:rPr>
        <w:t>4</w:t>
      </w:r>
      <w:r>
        <w:rPr/>
        <w:t xml:space="preserve"> {{field-on:bible}}Wer von Bascha in der Stadt stirbt, </w:t>
      </w:r>
      <w:r>
        <w:rPr>
          <w:b/>
          <w:color w:val="808080"/>
        </w:rPr>
        <w:t>[</w:t>
      </w:r>
      <w:r>
        <w:rPr/>
        <w:t>den</w:t>
      </w:r>
      <w:r>
        <w:rPr>
          <w:b/>
          <w:color w:val="808080"/>
        </w:rPr>
        <w:t>]</w:t>
      </w:r>
      <w:r>
        <w:rPr/>
        <w:t xml:space="preserve"> werden die Hunde fressen. Und wer von ihm auf dem Feld stirbt, den sollen die Vögel des Himmels fressen.{{field-off:bible}} </w:t>
        <w:br/>
        <w:t>[[@BibleTOBIBLE:1Ki 16:5]]</w:t>
      </w:r>
      <w:r>
        <w:rPr>
          <w:b/>
        </w:rPr>
        <w:t>5</w:t>
      </w:r>
      <w:r>
        <w:rPr/>
        <w:t xml:space="preserve"> {{field-on:bible}}Und der Rest der Begebenheiten </w:t>
      </w:r>
      <w:r>
        <w:rPr>
          <w:color w:val="808080"/>
        </w:rPr>
        <w:t>(Ereignisse, Geschichte)</w:t>
      </w:r>
      <w:r>
        <w:rPr/>
        <w:t xml:space="preserve"> </w:t>
      </w:r>
      <w:r>
        <w:rPr>
          <w:b/>
          <w:color w:val="808080"/>
        </w:rPr>
        <w:t>[</w:t>
      </w:r>
      <w:r>
        <w:rPr/>
        <w:t>bezüglich</w:t>
      </w:r>
      <w:r>
        <w:rPr>
          <w:b/>
          <w:color w:val="808080"/>
        </w:rPr>
        <w:t>]</w:t>
      </w:r>
      <w:r>
        <w:rPr/>
        <w:t xml:space="preserve"> Baschas, was er getan hat und seine Kriegserfolge </w:t>
      </w:r>
      <w:r>
        <w:rPr>
          <w:color w:val="808080"/>
        </w:rPr>
        <w:t>(kriegerischen Leistungen)</w:t>
      </w:r>
      <w:r>
        <w:rPr/>
        <w:t>, sind sie nicht geschrieben in der Chronik der Könige Israels?</w:t>
      </w:r>
      <w:r>
        <w:rPr>
          <w:rStyle w:val="Funotenanker"/>
        </w:rPr>
        <w:footnoteReference w:customMarkFollows="1" w:id="1270"/>
        <w:t>b</w:t>
      </w:r>
      <w:r>
        <w:rPr/>
        <w:t xml:space="preserve"> {{field-off:bible}} </w:t>
        <w:br/>
        <w:t>[[@BibleTOBIBLE:1Ki 16:6]]</w:t>
      </w:r>
      <w:r>
        <w:rPr>
          <w:b/>
        </w:rPr>
        <w:t>6</w:t>
      </w:r>
      <w:r>
        <w:rPr/>
        <w:t xml:space="preserve"> {{field-on:bible}}Und Bascha legte sich zu seinen Vätern und er wurde in Tirza begraben. Und sein Sohn Ela wurde König an seiner Stelle.{{field-off:bible}} </w:t>
        <w:br/>
        <w:t>[[@BibleTOBIBLE:1Ki 16:7]]</w:t>
      </w:r>
      <w:r>
        <w:rPr>
          <w:b/>
        </w:rPr>
        <w:t>7</w:t>
      </w:r>
      <w:r>
        <w:rPr/>
        <w:t xml:space="preserve"> {{field-on:bible}}Und ebenfalls </w:t>
      </w:r>
      <w:r>
        <w:rPr>
          <w:color w:val="808080"/>
        </w:rPr>
        <w:t>(auch)</w:t>
      </w:r>
      <w:r>
        <w:rPr/>
        <w:t xml:space="preserve"> durch den Propheten Jehu, Sohn Hananis, erging das Wort Jahwes an Bascha und sein Haus, wegen des ganzen Bösen </w:t>
      </w:r>
      <w:r>
        <w:rPr>
          <w:color w:val="808080"/>
        </w:rPr>
        <w:t>(Schlechten)</w:t>
      </w:r>
      <w:r>
        <w:rPr/>
        <w:t xml:space="preserve">, das er in den Augen Jahwes getan hatte, so dass er ihn wütend gemacht hatte mit dem Werk seiner Hände und wie das Haus Jerobeams geworden war und weil er es </w:t>
      </w:r>
      <w:r>
        <w:rPr>
          <w:color w:val="808080"/>
        </w:rPr>
        <w:t>(das Haus Jerobeams)</w:t>
      </w:r>
      <w:r>
        <w:rPr/>
        <w:t xml:space="preserve"> erschlagen hatte.{{field-off:bible}} </w:t>
        <w:br/>
        <w:t>[[@BibleTOBIBLE:1Ki 16:8]]</w:t>
      </w:r>
      <w:r>
        <w:rPr>
          <w:b/>
        </w:rPr>
        <w:t>8</w:t>
      </w:r>
      <w:r>
        <w:rPr/>
        <w:t xml:space="preserve"> {{field-on:bible}}Im sechsundzwanzigsten Jahr </w:t>
      </w:r>
      <w:r>
        <w:rPr>
          <w:b/>
          <w:color w:val="808080"/>
        </w:rPr>
        <w:t>[</w:t>
      </w:r>
      <w:r>
        <w:rPr/>
        <w:t>der Herrschaft</w:t>
      </w:r>
      <w:r>
        <w:rPr>
          <w:b/>
          <w:color w:val="808080"/>
        </w:rPr>
        <w:t>]</w:t>
      </w:r>
      <w:r>
        <w:rPr/>
        <w:t xml:space="preserve"> von Asa, dem König Judas, herrschte Ela, Sohn Baschas, in Tirza </w:t>
      </w:r>
      <w:r>
        <w:rPr>
          <w:b/>
          <w:color w:val="808080"/>
        </w:rPr>
        <w:t>[</w:t>
      </w:r>
      <w:r>
        <w:rPr/>
        <w:t>und seine Herrschaft dauerte</w:t>
      </w:r>
      <w:r>
        <w:rPr>
          <w:b/>
          <w:color w:val="808080"/>
        </w:rPr>
        <w:t>]</w:t>
      </w:r>
      <w:r>
        <w:rPr/>
        <w:t xml:space="preserve"> zwei Jahre.{{field-off:bible}} </w:t>
        <w:br/>
        <w:t>[[@BibleTOBIBLE:1Ki 16:9]]</w:t>
      </w:r>
      <w:r>
        <w:rPr>
          <w:b/>
        </w:rPr>
        <w:t>9</w:t>
      </w:r>
      <w:r>
        <w:rPr/>
        <w:t xml:space="preserve"> {{field-on:bible}}Und es verschwor sich gegen ihn sein Untergebener Simri, der Anführer der Hälfte der Streitwagen. Er </w:t>
      </w:r>
      <w:r>
        <w:rPr>
          <w:color w:val="808080"/>
        </w:rPr>
        <w:t>(Ela)</w:t>
      </w:r>
      <w:r>
        <w:rPr/>
        <w:t xml:space="preserve"> aber </w:t>
      </w:r>
      <w:r>
        <w:rPr>
          <w:b/>
          <w:color w:val="808080"/>
        </w:rPr>
        <w:t>[</w:t>
      </w:r>
      <w:r>
        <w:rPr/>
        <w:t>war</w:t>
      </w:r>
      <w:r>
        <w:rPr>
          <w:b/>
          <w:color w:val="808080"/>
        </w:rPr>
        <w:t>]</w:t>
      </w:r>
      <w:r>
        <w:rPr/>
        <w:t xml:space="preserve"> in Tirza, trinkend </w:t>
      </w:r>
      <w:r>
        <w:rPr>
          <w:b/>
          <w:color w:val="808080"/>
        </w:rPr>
        <w:t>[</w:t>
      </w:r>
      <w:r>
        <w:rPr/>
        <w:t>und</w:t>
      </w:r>
      <w:r>
        <w:rPr>
          <w:b/>
          <w:color w:val="808080"/>
        </w:rPr>
        <w:t>]</w:t>
      </w:r>
      <w:r>
        <w:rPr/>
        <w:t xml:space="preserve"> berauscht im Haus Arzas, der über das Haus </w:t>
      </w:r>
      <w:r>
        <w:rPr>
          <w:color w:val="808080"/>
        </w:rPr>
        <w:t>(d.h. Königshaus)</w:t>
      </w:r>
      <w:r>
        <w:rPr/>
        <w:t xml:space="preserve"> in Tirza </w:t>
      </w:r>
      <w:r>
        <w:rPr>
          <w:b/>
          <w:color w:val="808080"/>
        </w:rPr>
        <w:t>[</w:t>
      </w:r>
      <w:r>
        <w:rPr/>
        <w:t>gesetzt</w:t>
      </w:r>
      <w:r>
        <w:rPr>
          <w:b/>
          <w:color w:val="808080"/>
        </w:rPr>
        <w:t>]</w:t>
      </w:r>
      <w:r>
        <w:rPr/>
        <w:t xml:space="preserve"> war.{{field-off:bible}} </w:t>
        <w:br/>
        <w:t>[[@BibleTOBIBLE:1Ki 16:10]]</w:t>
      </w:r>
      <w:r>
        <w:rPr>
          <w:b/>
        </w:rPr>
        <w:t>10</w:t>
      </w:r>
      <w:r>
        <w:rPr/>
        <w:t xml:space="preserve"> {{field-on:bible}}Und Simri kam und schlug ihn und tötete ihn, im siebenundzwanzigsten Jahr von Asa, dem König Judas. Und er wurde König an seiner Stelle.{{field-off:bible}} </w:t>
        <w:br/>
        <w:t>[[@BibleTOBIBLE:1Ki 16:11]]</w:t>
      </w:r>
      <w:r>
        <w:rPr>
          <w:b/>
        </w:rPr>
        <w:t>11</w:t>
      </w:r>
      <w:r>
        <w:rPr/>
        <w:t xml:space="preserve"> {{field-on:bible}}Und </w:t>
      </w:r>
      <w:r>
        <w:rPr>
          <w:strike/>
          <w:color w:val="808080"/>
        </w:rPr>
        <w:t>{es geschah}</w:t>
      </w:r>
      <w:r>
        <w:rPr/>
        <w:t xml:space="preserve"> als er herrschte, während er auf seinem Thron saß, erschlug er das ganze Haus Baschas. Er ließ ihm nicht einen übrig, der an die Wand pisst,</w:t>
      </w:r>
      <w:r>
        <w:rPr>
          <w:rStyle w:val="Funotenanker"/>
        </w:rPr>
        <w:footnoteReference w:customMarkFollows="1" w:id="1271"/>
        <w:t>c</w:t>
      </w:r>
      <w:r>
        <w:rPr/>
        <w:t xml:space="preserve"> weder seine Verwandten</w:t>
      </w:r>
      <w:r>
        <w:rPr>
          <w:rStyle w:val="Funotenanker"/>
        </w:rPr>
        <w:footnoteReference w:customMarkFollows="1" w:id="1272"/>
        <w:t>d</w:t>
      </w:r>
      <w:r>
        <w:rPr/>
        <w:t xml:space="preserve"> noch seine Freunde </w:t>
      </w:r>
      <w:r>
        <w:rPr>
          <w:b/>
          <w:color w:val="808080"/>
        </w:rPr>
        <w:t>[</w:t>
      </w:r>
      <w:r>
        <w:rPr/>
        <w:t>verschonte er</w:t>
      </w:r>
      <w:r>
        <w:rPr>
          <w:b/>
          <w:color w:val="808080"/>
        </w:rPr>
        <w:t>]</w:t>
      </w:r>
      <w:r>
        <w:rPr/>
        <w:t xml:space="preserve">.{{field-off:bible}} </w:t>
        <w:br/>
        <w:t>[[@BibleTOBIBLE:1Ki 16:12]]</w:t>
      </w:r>
      <w:r>
        <w:rPr>
          <w:b/>
        </w:rPr>
        <w:t>12</w:t>
      </w:r>
      <w:r>
        <w:rPr/>
        <w:t xml:space="preserve"> {{field-on:bible}} </w:t>
      </w:r>
      <w:r>
        <w:rPr>
          <w:b/>
          <w:color w:val="808080"/>
        </w:rPr>
        <w:t>[</w:t>
      </w:r>
      <w:r>
        <w:rPr/>
        <w:t>So</w:t>
      </w:r>
      <w:r>
        <w:rPr>
          <w:b/>
          <w:color w:val="808080"/>
        </w:rPr>
        <w:t>]</w:t>
      </w:r>
      <w:r>
        <w:rPr/>
        <w:t xml:space="preserve"> löschte Simri das ganze Haus Baschas aus, gemäß dem Wort Jahwes, das er zu Bascha gesagt hatte durch den Propheten Jehu,{{field-off:bible}} </w:t>
        <w:br/>
        <w:t>[[@BibleTOBIBLE:1Ki 16:13]]</w:t>
      </w:r>
      <w:r>
        <w:rPr>
          <w:b/>
        </w:rPr>
        <w:t>13</w:t>
      </w:r>
      <w:r>
        <w:rPr/>
        <w:t xml:space="preserve"> {{field-on:bible}}wegen aller Sünden Baschas und der Sünden seines Sohnes Ela, die sie begangen </w:t>
      </w:r>
      <w:r>
        <w:rPr>
          <w:color w:val="808080"/>
        </w:rPr>
        <w:t>(wörtlich: gesündigt)</w:t>
      </w:r>
      <w:r>
        <w:rPr/>
        <w:t xml:space="preserve"> haben und </w:t>
      </w:r>
      <w:r>
        <w:rPr>
          <w:b/>
          <w:color w:val="808080"/>
        </w:rPr>
        <w:t>[</w:t>
      </w:r>
      <w:r>
        <w:rPr/>
        <w:t>mit denen</w:t>
      </w:r>
      <w:r>
        <w:rPr>
          <w:b/>
          <w:color w:val="808080"/>
        </w:rPr>
        <w:t>]</w:t>
      </w:r>
      <w:r>
        <w:rPr/>
        <w:t xml:space="preserve"> sie Israel zur Sünde verleitet haben, so dass sie Jahwe, den Gott Israels, wütend gemacht haben mit ihren Götzen </w:t>
      </w:r>
      <w:r>
        <w:rPr>
          <w:color w:val="808080"/>
        </w:rPr>
        <w:t>(wörtlich: Nichtigkeiten)</w:t>
      </w:r>
      <w:r>
        <w:rPr/>
        <w:t xml:space="preserve">.{{field-off:bible}} </w:t>
        <w:br/>
        <w:t>[[@BibleTOBIBLE:1Ki 16:14]]</w:t>
      </w:r>
      <w:r>
        <w:rPr>
          <w:b/>
        </w:rPr>
        <w:t>14</w:t>
      </w:r>
      <w:r>
        <w:rPr/>
        <w:t xml:space="preserve"> {{field-on:bible}}Und der Rest der Begebenheiten </w:t>
      </w:r>
      <w:r>
        <w:rPr>
          <w:color w:val="808080"/>
        </w:rPr>
        <w:t>(Ereignisse, Geschichte)</w:t>
      </w:r>
      <w:r>
        <w:rPr/>
        <w:t xml:space="preserve"> </w:t>
      </w:r>
      <w:r>
        <w:rPr>
          <w:b/>
          <w:color w:val="808080"/>
        </w:rPr>
        <w:t>[</w:t>
      </w:r>
      <w:r>
        <w:rPr/>
        <w:t>bezüglich</w:t>
      </w:r>
      <w:r>
        <w:rPr>
          <w:b/>
          <w:color w:val="808080"/>
        </w:rPr>
        <w:t>]</w:t>
      </w:r>
      <w:r>
        <w:rPr/>
        <w:t xml:space="preserve"> Elas und alles, was er getan hat, sind sie nicht geschrieben in der Chronik der Könige Israels?{{field-off:bible}} </w:t>
        <w:br/>
        <w:t>[[@BibleTOBIBLE:1Ki 16:15]]</w:t>
      </w:r>
      <w:r>
        <w:rPr>
          <w:b/>
        </w:rPr>
        <w:t>15</w:t>
      </w:r>
      <w:r>
        <w:rPr/>
        <w:t xml:space="preserve"> {{field-on:bible}}Im siebenundzwanzigsten Jahr </w:t>
      </w:r>
      <w:r>
        <w:rPr>
          <w:b/>
          <w:color w:val="808080"/>
        </w:rPr>
        <w:t>[</w:t>
      </w:r>
      <w:r>
        <w:rPr/>
        <w:t>der Herrschaft</w:t>
      </w:r>
      <w:r>
        <w:rPr>
          <w:b/>
          <w:color w:val="808080"/>
        </w:rPr>
        <w:t>]</w:t>
      </w:r>
      <w:r>
        <w:rPr/>
        <w:t xml:space="preserve"> von Asa, dem König Judas, herrschte Simri sieben Tage in Tirza. Das Volk aber belagerte </w:t>
      </w:r>
      <w:r>
        <w:rPr>
          <w:b/>
          <w:color w:val="808080"/>
        </w:rPr>
        <w:t>[</w:t>
      </w:r>
      <w:r>
        <w:rPr/>
        <w:t>zu der Zeit</w:t>
      </w:r>
      <w:r>
        <w:rPr>
          <w:b/>
          <w:color w:val="808080"/>
        </w:rPr>
        <w:t>]</w:t>
      </w:r>
      <w:r>
        <w:rPr/>
        <w:t xml:space="preserve"> Gibbeton, das den Philistern </w:t>
      </w:r>
      <w:r>
        <w:rPr>
          <w:b/>
          <w:color w:val="808080"/>
        </w:rPr>
        <w:t>[</w:t>
      </w:r>
      <w:r>
        <w:rPr/>
        <w:t>gehörte</w:t>
      </w:r>
      <w:r>
        <w:rPr>
          <w:b/>
          <w:color w:val="808080"/>
        </w:rPr>
        <w:t>]</w:t>
      </w:r>
      <w:r>
        <w:rPr/>
        <w:t xml:space="preserve">.{{field-off:bible}} </w:t>
        <w:br/>
        <w:t>[[@BibleTOBIBLE:1Ki 16:16]]</w:t>
      </w:r>
      <w:r>
        <w:rPr>
          <w:b/>
        </w:rPr>
        <w:t>16</w:t>
      </w:r>
      <w:r>
        <w:rPr/>
        <w:t xml:space="preserve"> {{field-on:bible}}Und das belagernde Volk hörte </w:t>
      </w:r>
      <w:r>
        <w:rPr>
          <w:strike/>
          <w:color w:val="808080"/>
        </w:rPr>
        <w:t>{Folgendes}</w:t>
      </w:r>
      <w:r>
        <w:rPr/>
        <w:t xml:space="preserve">, dass Simri sich verschworen und sogar </w:t>
      </w:r>
      <w:r>
        <w:rPr>
          <w:color w:val="808080"/>
        </w:rPr>
        <w:t>(auch)</w:t>
      </w:r>
      <w:r>
        <w:rPr/>
        <w:t xml:space="preserve"> den König erschlagen hatte. Und ganz Israel machte Omri, den Heerführer, zum König über Israel, an jedem Tag im Heerlager.{{field-off:bible}} </w:t>
        <w:br/>
        <w:t>[[@BibleTOBIBLE:1Ki 16:17]]</w:t>
      </w:r>
      <w:r>
        <w:rPr>
          <w:b/>
        </w:rPr>
        <w:t>17</w:t>
      </w:r>
      <w:r>
        <w:rPr/>
        <w:t xml:space="preserve"> {{field-on:bible}}Und Omri und mit ihm ganz Israel stieg hinauf aus Gibbeton und sie belagerten Tirza.{{field-off:bible}} </w:t>
        <w:br/>
        <w:t>[[@BibleTOBIBLE:1Ki 16:18]]</w:t>
      </w:r>
      <w:r>
        <w:rPr>
          <w:b/>
        </w:rPr>
        <w:t>18</w:t>
      </w:r>
      <w:r>
        <w:rPr/>
        <w:t xml:space="preserve"> {{field-on:bible}} </w:t>
      </w:r>
      <w:r>
        <w:rPr>
          <w:strike/>
          <w:color w:val="808080"/>
        </w:rPr>
        <w:t>{Und es geschah}</w:t>
      </w:r>
      <w:r>
        <w:rPr/>
        <w:t xml:space="preserve"> Als Simri sah, dass die Stadt eingenommen war, ging er in den Palast des Königshauses und verbrannte über ihm das Königshaus </w:t>
      </w:r>
      <w:r>
        <w:rPr>
          <w:strike/>
          <w:color w:val="808080"/>
        </w:rPr>
        <w:t>{mit dem Feuer}</w:t>
      </w:r>
      <w:r>
        <w:rPr/>
        <w:t xml:space="preserve"> und starb,{{field-off:bible}} </w:t>
        <w:br/>
        <w:t>[[@BibleTOBIBLE:1Ki 16:19]]</w:t>
      </w:r>
      <w:r>
        <w:rPr>
          <w:b/>
        </w:rPr>
        <w:t>19</w:t>
      </w:r>
      <w:r>
        <w:rPr/>
        <w:t xml:space="preserve"> {{field-on:bible}}wegen seiner Sünden, die er begangen </w:t>
      </w:r>
      <w:r>
        <w:rPr>
          <w:color w:val="808080"/>
        </w:rPr>
        <w:t>(wörtlich: gesündigt)</w:t>
      </w:r>
      <w:r>
        <w:rPr/>
        <w:t xml:space="preserve"> hatte, indem er Böses </w:t>
      </w:r>
      <w:r>
        <w:rPr>
          <w:color w:val="808080"/>
        </w:rPr>
        <w:t>(wörtlich: das Böse)</w:t>
      </w:r>
      <w:r>
        <w:rPr/>
        <w:t xml:space="preserve"> in den Augen Jahwes getan hatte </w:t>
      </w:r>
      <w:r>
        <w:rPr>
          <w:b/>
          <w:color w:val="808080"/>
        </w:rPr>
        <w:t>[</w:t>
      </w:r>
      <w:r>
        <w:rPr/>
        <w:t>und</w:t>
      </w:r>
      <w:r>
        <w:rPr>
          <w:b/>
          <w:color w:val="808080"/>
        </w:rPr>
        <w:t>]</w:t>
      </w:r>
      <w:r>
        <w:rPr/>
        <w:t xml:space="preserve"> indem er auf den Weg Jerobeams gegangen war, und wegen seiner Sünde, die er getan hatte, indem er Israel zur Sünde verleitet hatte.{{field-off:bible}} </w:t>
        <w:br/>
        <w:t>[[@BibleTOBIBLE:1Ki 16:20]]</w:t>
      </w:r>
      <w:r>
        <w:rPr>
          <w:b/>
        </w:rPr>
        <w:t>20</w:t>
      </w:r>
      <w:r>
        <w:rPr/>
        <w:t xml:space="preserve"> {{field-on:bible}}Und der Rest der Begebenheiten </w:t>
      </w:r>
      <w:r>
        <w:rPr>
          <w:b/>
          <w:color w:val="808080"/>
        </w:rPr>
        <w:t>[</w:t>
      </w:r>
      <w:r>
        <w:rPr/>
        <w:t>bezüglich</w:t>
      </w:r>
      <w:r>
        <w:rPr>
          <w:b/>
          <w:color w:val="808080"/>
        </w:rPr>
        <w:t>]</w:t>
      </w:r>
      <w:r>
        <w:rPr/>
        <w:t xml:space="preserve"> Simrisund seine Verschwörung, die er begangen </w:t>
      </w:r>
      <w:r>
        <w:rPr>
          <w:color w:val="808080"/>
        </w:rPr>
        <w:t>(wörtlich: verschworen)</w:t>
      </w:r>
      <w:r>
        <w:rPr/>
        <w:t xml:space="preserve"> hat, sind sie nicht geschrieben in der Chronik der Könige Israels?{{field-off:bible}} </w:t>
        <w:br/>
        <w:t>[[@BibleTOBIBLE:1Ki 16:21]]</w:t>
      </w:r>
      <w:r>
        <w:rPr>
          <w:b/>
        </w:rPr>
        <w:t>21</w:t>
      </w:r>
      <w:r>
        <w:rPr/>
        <w:t xml:space="preserve"> {{field-on:bible}}Damals war das Volk Israel in </w:t>
      </w:r>
      <w:r>
        <w:rPr>
          <w:b/>
          <w:color w:val="808080"/>
        </w:rPr>
        <w:t>[</w:t>
      </w:r>
      <w:r>
        <w:rPr/>
        <w:t>zwei</w:t>
      </w:r>
      <w:r>
        <w:rPr>
          <w:b/>
          <w:color w:val="808080"/>
        </w:rPr>
        <w:t>]</w:t>
      </w:r>
      <w:r>
        <w:rPr/>
        <w:t xml:space="preserve"> Hälften geteilt </w:t>
      </w:r>
      <w:r>
        <w:rPr>
          <w:color w:val="808080"/>
        </w:rPr>
        <w:t>(gespalten)</w:t>
      </w:r>
      <w:r>
        <w:rPr/>
        <w:t xml:space="preserve">: Eine Hälfte des Volkes war hinter Tibni, dem Sohn Ginats, </w:t>
      </w:r>
      <w:r>
        <w:rPr>
          <w:b/>
          <w:color w:val="808080"/>
        </w:rPr>
        <w:t>[</w:t>
      </w:r>
      <w:r>
        <w:rPr/>
        <w:t>und war dafür</w:t>
      </w:r>
      <w:r>
        <w:rPr>
          <w:b/>
          <w:color w:val="808080"/>
        </w:rPr>
        <w:t>]</w:t>
      </w:r>
      <w:r>
        <w:rPr/>
        <w:t xml:space="preserve"> ihn zum König zu machen; die </w:t>
      </w:r>
      <w:r>
        <w:rPr>
          <w:b/>
          <w:color w:val="808080"/>
        </w:rPr>
        <w:t>[</w:t>
      </w:r>
      <w:r>
        <w:rPr/>
        <w:t>andere</w:t>
      </w:r>
      <w:r>
        <w:rPr>
          <w:b/>
          <w:color w:val="808080"/>
        </w:rPr>
        <w:t>]</w:t>
      </w:r>
      <w:r>
        <w:rPr/>
        <w:t xml:space="preserve"> Hälfte </w:t>
      </w:r>
      <w:r>
        <w:rPr>
          <w:b/>
          <w:color w:val="808080"/>
        </w:rPr>
        <w:t>[</w:t>
      </w:r>
      <w:r>
        <w:rPr/>
        <w:t>war</w:t>
      </w:r>
      <w:r>
        <w:rPr>
          <w:b/>
          <w:color w:val="808080"/>
        </w:rPr>
        <w:t>]</w:t>
      </w:r>
      <w:r>
        <w:rPr/>
        <w:t xml:space="preserve"> hinter Omri.{{field-off:bible}} </w:t>
        <w:br/>
        <w:t>[[@BibleTOBIBLE:1Ki 16:22]]</w:t>
      </w:r>
      <w:r>
        <w:rPr>
          <w:b/>
        </w:rPr>
        <w:t>22</w:t>
      </w:r>
      <w:r>
        <w:rPr/>
        <w:t xml:space="preserve"> {{field-on:bible}}Und das Volk hinter Simri war stärker als das Volk hinter Tibni, dem Sohn Ginats, so dass Tibni starb und Omri König wurde.{{field-off:bible}} </w:t>
        <w:br/>
        <w:t>[[@BibleTOBIBLE:1Ki 16:23]]</w:t>
      </w:r>
      <w:r>
        <w:rPr>
          <w:b/>
        </w:rPr>
        <w:t>23</w:t>
      </w:r>
      <w:r>
        <w:rPr/>
        <w:t xml:space="preserve"> {{field-on:bible}}Im einunddreißigsten Jahr </w:t>
      </w:r>
      <w:r>
        <w:rPr>
          <w:b/>
          <w:color w:val="808080"/>
        </w:rPr>
        <w:t>[</w:t>
      </w:r>
      <w:r>
        <w:rPr/>
        <w:t>der Herrschaft</w:t>
      </w:r>
      <w:r>
        <w:rPr>
          <w:b/>
          <w:color w:val="808080"/>
        </w:rPr>
        <w:t>]</w:t>
      </w:r>
      <w:r>
        <w:rPr/>
        <w:t xml:space="preserve"> von Asa, dem König Judas, herrschte Omri über Israel </w:t>
      </w:r>
      <w:r>
        <w:rPr>
          <w:b/>
          <w:color w:val="808080"/>
        </w:rPr>
        <w:t>[</w:t>
      </w:r>
      <w:r>
        <w:rPr/>
        <w:t>und seine Herrschaft dauerte</w:t>
      </w:r>
      <w:r>
        <w:rPr>
          <w:b/>
          <w:color w:val="808080"/>
        </w:rPr>
        <w:t>]</w:t>
      </w:r>
      <w:r>
        <w:rPr/>
        <w:t xml:space="preserve"> zwölf Jahre. In Tirza herrschte er sechs Jahre.{{field-off:bible}} </w:t>
        <w:br/>
        <w:t>[[@BibleTOBIBLE:1Ki 16:24]]</w:t>
      </w:r>
      <w:r>
        <w:rPr>
          <w:b/>
        </w:rPr>
        <w:t>24</w:t>
      </w:r>
      <w:r>
        <w:rPr/>
        <w:t xml:space="preserve"> {{field-on:bible}}Und er kaufte den Berg Samaria von Schemer für zwei Talente Silber, und er bebaute den Berg. Und er nannte den Namen der Stadt, die er gebaut hatte, nach dem Namen Schemers, dem Herrn des Berges, Samaria.{{field-off:bible}} </w:t>
        <w:br/>
        <w:t>[[@BibleTOBIBLE:1Ki 16:25]]</w:t>
      </w:r>
      <w:r>
        <w:rPr>
          <w:b/>
        </w:rPr>
        <w:t>25</w:t>
      </w:r>
      <w:r>
        <w:rPr/>
        <w:t xml:space="preserve"> {{field-on:bible}}Und Omri tat, was böse war in den Augen Jahwes. Er war </w:t>
      </w:r>
      <w:r>
        <w:rPr>
          <w:b/>
          <w:color w:val="808080"/>
        </w:rPr>
        <w:t>[</w:t>
      </w:r>
      <w:r>
        <w:rPr/>
        <w:t>sogar</w:t>
      </w:r>
      <w:r>
        <w:rPr>
          <w:b/>
          <w:color w:val="808080"/>
        </w:rPr>
        <w:t>]</w:t>
      </w:r>
      <w:r>
        <w:rPr/>
        <w:t xml:space="preserve"> schlimmer als alle, die vor ihm </w:t>
      </w:r>
      <w:r>
        <w:rPr>
          <w:b/>
          <w:color w:val="808080"/>
        </w:rPr>
        <w:t>[</w:t>
      </w:r>
      <w:r>
        <w:rPr/>
        <w:t>gewesen waren</w:t>
      </w:r>
      <w:r>
        <w:rPr>
          <w:b/>
          <w:color w:val="808080"/>
        </w:rPr>
        <w:t>]</w:t>
      </w:r>
      <w:r>
        <w:rPr/>
        <w:t xml:space="preserve">.{{field-off:bible}} </w:t>
        <w:br/>
        <w:t>[[@BibleTOBIBLE:1Ki 16:26]]</w:t>
      </w:r>
      <w:r>
        <w:rPr>
          <w:b/>
        </w:rPr>
        <w:t>26</w:t>
      </w:r>
      <w:r>
        <w:rPr/>
        <w:t xml:space="preserve"> {{field-on:bible}}Und er ging auf dem ganzen Weg </w:t>
      </w:r>
      <w:r>
        <w:rPr>
          <w:color w:val="808080"/>
        </w:rPr>
        <w:t>(allen Wegen)</w:t>
      </w:r>
      <w:r>
        <w:rPr/>
        <w:t xml:space="preserve"> Jerobeams, des Sohnes Nebats, und in seiner Sünde, mit der er Israel zur Sünde verleitet hatte, so dass sie Jahwe, den Gott Israels, wütend gemacht hatten mit ihren Götzen </w:t>
      </w:r>
      <w:r>
        <w:rPr>
          <w:color w:val="808080"/>
        </w:rPr>
        <w:t>(wörtlich: Nichtigkeiten)</w:t>
      </w:r>
      <w:r>
        <w:rPr/>
        <w:t xml:space="preserve">.{{field-off:bible}} </w:t>
        <w:br/>
        <w:t>[[@BibleTOBIBLE:1Ki 16:27]]</w:t>
      </w:r>
      <w:r>
        <w:rPr>
          <w:b/>
        </w:rPr>
        <w:t>27</w:t>
      </w:r>
      <w:r>
        <w:rPr/>
        <w:t xml:space="preserve"> {{field-on:bible}}Und der Rest der Begebenheiten </w:t>
      </w:r>
      <w:r>
        <w:rPr>
          <w:b/>
          <w:color w:val="808080"/>
        </w:rPr>
        <w:t>[</w:t>
      </w:r>
      <w:r>
        <w:rPr/>
        <w:t>bezüglich</w:t>
      </w:r>
      <w:r>
        <w:rPr>
          <w:b/>
          <w:color w:val="808080"/>
        </w:rPr>
        <w:t>]</w:t>
      </w:r>
      <w:r>
        <w:rPr/>
        <w:t xml:space="preserve"> Omris, was er getan hat und seine Kriegserfolge </w:t>
      </w:r>
      <w:r>
        <w:rPr>
          <w:color w:val="808080"/>
        </w:rPr>
        <w:t>(kriegerischen Leistungen)</w:t>
      </w:r>
      <w:r>
        <w:rPr/>
        <w:t xml:space="preserve">, die er vollbracht hat, sind sie nicht geschrieben in der Chronik der Könige Israels?{{field-off:bible}} </w:t>
        <w:br/>
        <w:t>[[@BibleTOBIBLE:1Ki 16:28]]</w:t>
      </w:r>
      <w:r>
        <w:rPr>
          <w:b/>
        </w:rPr>
        <w:t>28</w:t>
      </w:r>
      <w:r>
        <w:rPr/>
        <w:t xml:space="preserve"> {{field-on:bible}}Und Omri legte sich zu seinen Vätern und er wurde in Samaria begraben. Und sein Sohn Ahab wurde König an seiner Stelle.{{field-off:bible}} </w:t>
        <w:br/>
        <w:t>[[@BibleTOBIBLE:1Ki 16:29]]</w:t>
      </w:r>
      <w:r>
        <w:rPr>
          <w:b/>
        </w:rPr>
        <w:t>29</w:t>
      </w:r>
      <w:r>
        <w:rPr/>
        <w:t xml:space="preserve"> {{field-on:bible}}Ahab, der Sohn Omris, wurde König über Israel im achtunddreißigsten Jahr </w:t>
      </w:r>
      <w:r>
        <w:rPr>
          <w:b/>
          <w:color w:val="808080"/>
        </w:rPr>
        <w:t>[</w:t>
      </w:r>
      <w:r>
        <w:rPr/>
        <w:t>der Herrschaft</w:t>
      </w:r>
      <w:r>
        <w:rPr>
          <w:b/>
          <w:color w:val="808080"/>
        </w:rPr>
        <w:t>]</w:t>
      </w:r>
      <w:r>
        <w:rPr/>
        <w:t xml:space="preserve"> von Asa, dem König Judas. Und Ahab, der Sohn Omris, herrschte 22 Jahre lang in Samaria über Israel.{{field-off:bible}} </w:t>
        <w:br/>
        <w:t>[[@BibleTOBIBLE:1Ki 16:30]]</w:t>
      </w:r>
      <w:r>
        <w:rPr>
          <w:b/>
        </w:rPr>
        <w:t>30</w:t>
      </w:r>
      <w:r>
        <w:rPr/>
        <w:t xml:space="preserve"> {{field-on:bible}}Und Ahab, der Sohn Omris, tat, was böse war in den Augen Jahwes, </w:t>
      </w:r>
      <w:r>
        <w:rPr>
          <w:b/>
          <w:color w:val="808080"/>
        </w:rPr>
        <w:t>[</w:t>
      </w:r>
      <w:r>
        <w:rPr/>
        <w:t>schlimmer</w:t>
      </w:r>
      <w:r>
        <w:rPr>
          <w:b/>
          <w:color w:val="808080"/>
        </w:rPr>
        <w:t>]</w:t>
      </w:r>
      <w:r>
        <w:rPr/>
        <w:t xml:space="preserve"> als alle, die vor ihm </w:t>
      </w:r>
      <w:r>
        <w:rPr>
          <w:b/>
          <w:color w:val="808080"/>
        </w:rPr>
        <w:t>[</w:t>
      </w:r>
      <w:r>
        <w:rPr/>
        <w:t>gewesen waren</w:t>
      </w:r>
      <w:r>
        <w:rPr>
          <w:b/>
          <w:color w:val="808080"/>
        </w:rPr>
        <w:t>]</w:t>
      </w:r>
      <w:r>
        <w:rPr/>
        <w:t xml:space="preserve">.{{field-off:bible}} </w:t>
        <w:br/>
        <w:t>[[@BibleTOBIBLE:1Ki 16:31]]</w:t>
      </w:r>
      <w:r>
        <w:rPr>
          <w:b/>
        </w:rPr>
        <w:t>31</w:t>
      </w:r>
      <w:r>
        <w:rPr/>
        <w:t xml:space="preserve"> {{field-on:bible}}Denn </w:t>
      </w:r>
      <w:r>
        <w:rPr>
          <w:color w:val="808080"/>
        </w:rPr>
        <w:t>(und)</w:t>
      </w:r>
      <w:r>
        <w:rPr/>
        <w:t xml:space="preserve"> es war </w:t>
      </w:r>
      <w:r>
        <w:rPr>
          <w:b/>
          <w:color w:val="808080"/>
        </w:rPr>
        <w:t>[</w:t>
      </w:r>
      <w:r>
        <w:rPr/>
        <w:t>noch</w:t>
      </w:r>
      <w:r>
        <w:rPr>
          <w:b/>
          <w:color w:val="808080"/>
        </w:rPr>
        <w:t>]</w:t>
      </w:r>
      <w:r>
        <w:rPr/>
        <w:t xml:space="preserve"> zu wenig </w:t>
      </w:r>
      <w:r>
        <w:rPr>
          <w:color w:val="808080"/>
        </w:rPr>
        <w:t>(nicht genug)</w:t>
      </w:r>
      <w:r>
        <w:rPr/>
        <w:t xml:space="preserve">, dass er in den Sünden Jerobeams, des Sohnes Nebats, ging. Er nahm </w:t>
      </w:r>
      <w:r>
        <w:rPr>
          <w:b/>
          <w:color w:val="808080"/>
        </w:rPr>
        <w:t>[</w:t>
      </w:r>
      <w:r>
        <w:rPr/>
        <w:t>auch noch</w:t>
      </w:r>
      <w:r>
        <w:rPr>
          <w:b/>
          <w:color w:val="808080"/>
        </w:rPr>
        <w:t>]</w:t>
      </w:r>
      <w:r>
        <w:rPr/>
        <w:t xml:space="preserve"> Isebel,</w:t>
      </w:r>
      <w:r>
        <w:rPr>
          <w:rStyle w:val="Funotenanker"/>
        </w:rPr>
        <w:footnoteReference w:customMarkFollows="1" w:id="1273"/>
        <w:t>e</w:t>
      </w:r>
      <w:r>
        <w:rPr/>
        <w:t xml:space="preserve"> die Tochter Etbaals,</w:t>
      </w:r>
      <w:r>
        <w:rPr>
          <w:rStyle w:val="Funotenanker"/>
        </w:rPr>
        <w:footnoteReference w:customMarkFollows="1" w:id="1274"/>
        <w:t>f</w:t>
      </w:r>
      <w:r>
        <w:rPr/>
        <w:t xml:space="preserve"> des Königs der Sidonier, zur Frau. Und er ging hin und diente dem Baal und betete ihn an </w:t>
      </w:r>
      <w:r>
        <w:rPr>
          <w:color w:val="808080"/>
        </w:rPr>
        <w:t>(warf sich vor ihm nieder)</w:t>
      </w:r>
      <w:r>
        <w:rPr/>
        <w:t xml:space="preserve">.{{field-off:bible}} </w:t>
        <w:br/>
        <w:t>[[@BibleTOBIBLE:1Ki 16:32]]</w:t>
      </w:r>
      <w:r>
        <w:rPr>
          <w:b/>
        </w:rPr>
        <w:t>32</w:t>
      </w:r>
      <w:r>
        <w:rPr/>
        <w:t xml:space="preserve"> {{field-on:bible}}Und er errichtete einen Altar für Baal </w:t>
      </w:r>
      <w:r>
        <w:rPr>
          <w:b/>
          <w:color w:val="808080"/>
        </w:rPr>
        <w:t>[</w:t>
      </w:r>
      <w:r>
        <w:rPr/>
        <w:t>im</w:t>
      </w:r>
      <w:r>
        <w:rPr>
          <w:b/>
          <w:color w:val="808080"/>
        </w:rPr>
        <w:t>]</w:t>
      </w:r>
      <w:r>
        <w:rPr/>
        <w:t xml:space="preserve"> Haus </w:t>
      </w:r>
      <w:r>
        <w:rPr>
          <w:color w:val="808080"/>
        </w:rPr>
        <w:t>(Tempel)</w:t>
      </w:r>
      <w:r>
        <w:rPr/>
        <w:t xml:space="preserve"> Baals, den er in Samaria gebaut hatte.{{field-off:bible}} </w:t>
        <w:br/>
        <w:t>[[@BibleTOBIBLE:1Ki 16:33]]</w:t>
      </w:r>
      <w:r>
        <w:rPr>
          <w:b/>
        </w:rPr>
        <w:t>33</w:t>
      </w:r>
      <w:r>
        <w:rPr/>
        <w:t xml:space="preserve"> {{field-on:bible}}Und Ahab machte die Aschera </w:t>
      </w:r>
      <w:r>
        <w:rPr>
          <w:color w:val="808080"/>
        </w:rPr>
        <w:t>(ein Aschera-Standbild)</w:t>
      </w:r>
      <w:r>
        <w:rPr/>
        <w:t xml:space="preserve">. Und er tat noch mehr, so dass er Jahwe, den Gott Israels, wütend machte, </w:t>
      </w:r>
      <w:r>
        <w:rPr>
          <w:b/>
          <w:color w:val="808080"/>
        </w:rPr>
        <w:t>[</w:t>
      </w:r>
      <w:r>
        <w:rPr/>
        <w:t>mehr</w:t>
      </w:r>
      <w:r>
        <w:rPr>
          <w:b/>
          <w:color w:val="808080"/>
        </w:rPr>
        <w:t>]</w:t>
      </w:r>
      <w:r>
        <w:rPr/>
        <w:t xml:space="preserve"> als alle Könige Israels, die vor ihm gewesen waren.{{field-off:bible}} </w:t>
        <w:br/>
        <w:t>[[@BibleTOBIBLE:1Ki 16:34]]</w:t>
      </w:r>
      <w:r>
        <w:rPr>
          <w:b/>
        </w:rPr>
        <w:t>34</w:t>
      </w:r>
      <w:r>
        <w:rPr/>
        <w:t xml:space="preserve"> {{field-on:bible}}In seinen Tagen baute Hiël der Bet-Eliter </w:t>
      </w:r>
      <w:r>
        <w:rPr>
          <w:b/>
          <w:color w:val="808080"/>
        </w:rPr>
        <w:t>[</w:t>
      </w:r>
      <w:r>
        <w:rPr/>
        <w:t>die Stadt</w:t>
      </w:r>
      <w:r>
        <w:rPr>
          <w:b/>
          <w:color w:val="808080"/>
        </w:rPr>
        <w:t>]</w:t>
      </w:r>
      <w:r>
        <w:rPr/>
        <w:t xml:space="preserve"> Jericho </w:t>
      </w:r>
      <w:r>
        <w:rPr>
          <w:b/>
          <w:color w:val="808080"/>
        </w:rPr>
        <w:t>[</w:t>
      </w:r>
      <w:r>
        <w:rPr/>
        <w:t>wieder auf</w:t>
      </w:r>
      <w:r>
        <w:rPr>
          <w:b/>
          <w:color w:val="808080"/>
        </w:rPr>
        <w:t>]</w:t>
      </w:r>
      <w:r>
        <w:rPr/>
        <w:t xml:space="preserve">. Um </w:t>
      </w:r>
      <w:r>
        <w:rPr>
          <w:b/>
          <w:color w:val="808080"/>
        </w:rPr>
        <w:t>[</w:t>
      </w:r>
      <w:r>
        <w:rPr/>
        <w:t>den Preis von</w:t>
      </w:r>
      <w:r>
        <w:rPr>
          <w:b/>
          <w:color w:val="808080"/>
        </w:rPr>
        <w:t>]</w:t>
      </w:r>
      <w:r>
        <w:rPr/>
        <w:t xml:space="preserve"> Abiram, seinem Erstgeborenen, legte er ihr Fundament und um </w:t>
      </w:r>
      <w:r>
        <w:rPr>
          <w:b/>
          <w:color w:val="808080"/>
        </w:rPr>
        <w:t>[</w:t>
      </w:r>
      <w:r>
        <w:rPr/>
        <w:t>den Preis von</w:t>
      </w:r>
      <w:r>
        <w:rPr>
          <w:b/>
          <w:color w:val="808080"/>
        </w:rPr>
        <w:t>]</w:t>
      </w:r>
      <w:r>
        <w:rPr/>
        <w:t xml:space="preserve"> Segub, seinem jüngsten </w:t>
      </w:r>
      <w:r>
        <w:rPr>
          <w:b/>
          <w:color w:val="808080"/>
        </w:rPr>
        <w:t>[</w:t>
      </w:r>
      <w:r>
        <w:rPr/>
        <w:t>Sohn</w:t>
      </w:r>
      <w:r>
        <w:rPr>
          <w:b/>
          <w:color w:val="808080"/>
        </w:rPr>
        <w:t>]</w:t>
      </w:r>
      <w:r>
        <w:rPr/>
        <w:t>, setzte er ihre Tore ein, gemäß dem Wort Jahwes, das er durch Josua, den Sohn Nuns, gesprochen hatte.</w:t>
      </w:r>
      <w:r>
        <w:rPr>
          <w:rStyle w:val="Funotenanker"/>
        </w:rPr>
        <w:footnoteReference w:customMarkFollows="1" w:id="1275"/>
        <w:t>g</w:t>
      </w:r>
      <w:r>
        <w:rPr/>
        <w:t xml:space="preserve"> {{field-off:bible}}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76"/>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77"/>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78"/>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79"/>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80"/>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81"/>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82"/>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83"/>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84"/>
        <w:t>h</w:t>
      </w:r>
      <w:r>
        <w:rPr/>
        <w:t xml:space="preserve"> auf zwei Kniekehlen?</w:t>
      </w:r>
      <w:r>
        <w:rPr>
          <w:rStyle w:val="Funotenanker"/>
        </w:rPr>
        <w:footnoteReference w:customMarkFollows="1" w:id="1285"/>
        <w:t>i</w:t>
      </w:r>
      <w:r>
        <w:rPr/>
        <w:t xml:space="preserve"> </w:t>
      </w:r>
      <w:r>
        <w:rPr>
          <w:rStyle w:val="Funotenanker"/>
        </w:rPr>
        <w:footnoteReference w:customMarkFollows="1" w:id="1286"/>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87"/>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88"/>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89"/>
        <w:t>m</w:t>
      </w:r>
      <w:r>
        <w:rPr/>
        <w:t xml:space="preserve"> oder </w:t>
      </w:r>
      <w:r>
        <w:rPr>
          <w:b/>
          <w:color w:val="808080"/>
        </w:rPr>
        <w:t>[</w:t>
      </w:r>
      <w:r>
        <w:rPr/>
        <w:t>auf dem</w:t>
      </w:r>
      <w:r>
        <w:rPr>
          <w:b/>
          <w:color w:val="808080"/>
        </w:rPr>
        <w:t>]</w:t>
      </w:r>
      <w:r>
        <w:rPr/>
        <w:t xml:space="preserve"> Weg </w:t>
      </w:r>
      <w:r>
        <w:rPr>
          <w:rStyle w:val="Funotenanker"/>
        </w:rPr>
        <w:footnoteReference w:customMarkFollows="1" w:id="1290"/>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91"/>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92"/>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93"/>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94"/>
        <w:t>a</w:t>
      </w:r>
      <w:r>
        <w:rPr/>
        <w:t>, dass dieser zu mir sendet, um einem Menschen seinen Aussatz wegzunehmen</w:t>
      </w:r>
      <w:r>
        <w:rPr>
          <w:rStyle w:val="Funotenanker"/>
        </w:rPr>
        <w:footnoteReference w:customMarkFollows="1" w:id="1295"/>
        <w:t>b</w:t>
      </w:r>
      <w:r>
        <w:rPr/>
        <w:t xml:space="preserve">? Denn gewiß </w:t>
      </w:r>
      <w:r>
        <w:rPr>
          <w:color w:val="808080"/>
        </w:rPr>
        <w:t>(ja)</w:t>
      </w:r>
      <w:r>
        <w:rPr/>
        <w:t>, erkennt doch, und seht, dass er eine Gelegenheit sucht</w:t>
      </w:r>
      <w:r>
        <w:rPr>
          <w:rStyle w:val="Funotenanker"/>
        </w:rPr>
        <w:footnoteReference w:customMarkFollows="1" w:id="1296"/>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97"/>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98"/>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99"/>
        <w:t>a</w:t>
      </w:r>
      <w:r>
        <w:rPr/>
        <w:t xml:space="preserve"> Sem, Ham und</w:t>
      </w:r>
      <w:r>
        <w:rPr>
          <w:rStyle w:val="Funotenanker"/>
        </w:rPr>
        <w:footnoteReference w:customMarkFollows="1" w:id="1300"/>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301"/>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302"/>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303"/>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304"/>
        <w:t>f</w:t>
      </w:r>
      <w:r>
        <w:rPr/>
        <w:t xml:space="preserve"> und </w:t>
      </w:r>
      <w:r>
        <w:rPr>
          <w:b/>
          <w:color w:val="808080"/>
        </w:rPr>
        <w:t>[</w:t>
      </w:r>
      <w:r>
        <w:rPr/>
        <w:t>die</w:t>
      </w:r>
      <w:r>
        <w:rPr>
          <w:b/>
          <w:color w:val="808080"/>
        </w:rPr>
        <w:t>]</w:t>
      </w:r>
      <w:r>
        <w:rPr/>
        <w:t xml:space="preserve"> Rodaniter</w:t>
      </w:r>
      <w:r>
        <w:rPr>
          <w:rStyle w:val="Funotenanker"/>
        </w:rPr>
        <w:footnoteReference w:customMarkFollows="1" w:id="1305"/>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306"/>
        <w:t>h</w:t>
      </w:r>
      <w:r>
        <w:rPr/>
        <w:t xml:space="preserve"> und Mizrajim,</w:t>
      </w:r>
      <w:r>
        <w:rPr>
          <w:rStyle w:val="Funotenanker"/>
        </w:rPr>
        <w:footnoteReference w:customMarkFollows="1" w:id="1307"/>
        <w:t>i</w:t>
      </w:r>
      <w:r>
        <w:rPr/>
        <w:t xml:space="preserve"> </w:t>
      </w:r>
      <w:r>
        <w:rPr>
          <w:rStyle w:val="Funotenanker"/>
        </w:rPr>
        <w:footnoteReference w:customMarkFollows="1" w:id="1308"/>
        <w:t>j</w:t>
      </w:r>
      <w:r>
        <w:rPr/>
        <w:t>Put</w:t>
      </w:r>
      <w:r>
        <w:rPr>
          <w:rStyle w:val="Funotenanker"/>
        </w:rPr>
        <w:footnoteReference w:customMarkFollows="1" w:id="1309"/>
        <w:t>k</w:t>
      </w:r>
      <w:r>
        <w:rPr/>
        <w:t xml:space="preserve"> und Kanaan</w:t>
      </w:r>
      <w:r>
        <w:rPr>
          <w:rStyle w:val="Funotenanker"/>
        </w:rPr>
        <w:footnoteReference w:customMarkFollows="1" w:id="1310"/>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311"/>
        <w:t>m</w:t>
      </w:r>
      <w:r>
        <w:rPr/>
        <w:t xml:space="preserve"> </w:t>
      </w:r>
      <w:r>
        <w:rPr>
          <w:color w:val="808080"/>
        </w:rPr>
        <w:t>(hat)</w:t>
      </w:r>
      <w:r>
        <w:rPr/>
        <w:t xml:space="preserve"> gezeugt den</w:t>
      </w:r>
      <w:r>
        <w:rPr>
          <w:rStyle w:val="Funotenanker"/>
        </w:rPr>
        <w:footnoteReference w:customMarkFollows="1" w:id="1312"/>
        <w:t>n</w:t>
      </w:r>
      <w:r>
        <w:rPr/>
        <w:t xml:space="preserve"> Nimrod, der</w:t>
      </w:r>
      <w:r>
        <w:rPr>
          <w:rStyle w:val="Funotenanker"/>
        </w:rPr>
        <w:footnoteReference w:customMarkFollows="1" w:id="1313"/>
        <w:t>o</w:t>
      </w:r>
      <w:r>
        <w:rPr/>
        <w:t xml:space="preserve"> </w:t>
      </w:r>
      <w:r>
        <w:rPr>
          <w:b/>
          <w:color w:val="808080"/>
        </w:rPr>
        <w:t>[</w:t>
      </w:r>
      <w:r>
        <w:rPr/>
        <w:t>dann</w:t>
      </w:r>
      <w:r>
        <w:rPr>
          <w:b/>
          <w:color w:val="808080"/>
        </w:rPr>
        <w:t>]</w:t>
      </w:r>
      <w:r>
        <w:rPr/>
        <w:t xml:space="preserve"> angefangen</w:t>
      </w:r>
      <w:r>
        <w:rPr>
          <w:rStyle w:val="Funotenanker"/>
        </w:rPr>
        <w:footnoteReference w:customMarkFollows="1" w:id="1314"/>
        <w:t>p</w:t>
      </w:r>
      <w:r>
        <w:rPr/>
        <w:t xml:space="preserve"> hat, zu werden ein Machthaber</w:t>
      </w:r>
      <w:r>
        <w:rPr>
          <w:rStyle w:val="Funotenanker"/>
        </w:rPr>
        <w:footnoteReference w:customMarkFollows="1" w:id="1315"/>
        <w:t>q</w:t>
      </w:r>
      <w:r>
        <w:rPr/>
        <w:t xml:space="preserve"> auf </w:t>
      </w:r>
      <w:r>
        <w:rPr>
          <w:b/>
          <w:color w:val="808080"/>
        </w:rPr>
        <w:t>[</w:t>
      </w:r>
      <w:r>
        <w:rPr/>
        <w:t>der</w:t>
      </w:r>
      <w:r>
        <w:rPr>
          <w:b/>
          <w:color w:val="808080"/>
        </w:rPr>
        <w:t>]</w:t>
      </w:r>
      <w:r>
        <w:rPr/>
        <w:t xml:space="preserve"> </w:t>
      </w:r>
      <w:r>
        <w:rPr>
          <w:rStyle w:val="Funotenanker"/>
        </w:rPr>
        <w:footnoteReference w:customMarkFollows="1" w:id="1316"/>
        <w:t>r</w:t>
      </w:r>
      <w:r>
        <w:rPr/>
        <w:t xml:space="preserve"> Erde.{{field-off:bible}} </w:t>
        <w:br/>
        <w:t>[[@BibleTOBIBLE:1Ch 1:11]]</w:t>
      </w:r>
      <w:r>
        <w:rPr>
          <w:b/>
        </w:rPr>
        <w:t>11</w:t>
      </w:r>
      <w:r>
        <w:rPr/>
        <w:t xml:space="preserve"> {{field-on:bible}}Und Mizrajim hat</w:t>
      </w:r>
      <w:r>
        <w:rPr>
          <w:rStyle w:val="Funotenanker"/>
        </w:rPr>
        <w:footnoteReference w:customMarkFollows="1" w:id="1317"/>
        <w:t>s</w:t>
      </w:r>
      <w:r>
        <w:rPr/>
        <w:t xml:space="preserve"> gezeugt die </w:t>
      </w:r>
      <w:r>
        <w:rPr>
          <w:rStyle w:val="Funotenanker"/>
        </w:rPr>
        <w:footnoteReference w:customMarkFollows="1" w:id="1318"/>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19"/>
        <w:t>u</w:t>
      </w:r>
      <w:r>
        <w:rPr/>
        <w:t xml:space="preserve"> ausgegangen sind</w:t>
      </w:r>
      <w:r>
        <w:rPr>
          <w:rStyle w:val="Funotenanker"/>
        </w:rPr>
        <w:footnoteReference w:customMarkFollows="1" w:id="1320"/>
        <w:t>v</w:t>
      </w:r>
      <w:r>
        <w:rPr/>
        <w:t xml:space="preserve"> von dort </w:t>
      </w:r>
      <w:r>
        <w:rPr>
          <w:b/>
          <w:color w:val="808080"/>
        </w:rPr>
        <w:t>[</w:t>
      </w:r>
      <w:r>
        <w:rPr/>
        <w:t>die</w:t>
      </w:r>
      <w:r>
        <w:rPr>
          <w:b/>
          <w:color w:val="808080"/>
        </w:rPr>
        <w:t>]</w:t>
      </w:r>
      <w:r>
        <w:rPr/>
        <w:t xml:space="preserve"> </w:t>
      </w:r>
      <w:r>
        <w:rPr>
          <w:rStyle w:val="Funotenanker"/>
        </w:rPr>
        <w:footnoteReference w:customMarkFollows="1" w:id="1321"/>
        <w:t>w</w:t>
      </w:r>
      <w:r>
        <w:rPr/>
        <w:t xml:space="preserve"> </w:t>
      </w:r>
      <w:r>
        <w:rPr>
          <w:rStyle w:val="Funotenanker"/>
        </w:rPr>
        <w:footnoteReference w:customMarkFollows="1" w:id="1322"/>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23"/>
        <w:t>y</w:t>
      </w:r>
      <w:r>
        <w:rPr/>
        <w:t xml:space="preserve"> </w:t>
      </w:r>
      <w:r>
        <w:rPr>
          <w:rStyle w:val="Funotenanker"/>
        </w:rPr>
        <w:footnoteReference w:customMarkFollows="1" w:id="1324"/>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25"/>
        <w:t>aa</w:t>
      </w:r>
      <w:r>
        <w:rPr/>
        <w:t xml:space="preserve"> </w:t>
      </w:r>
      <w:r>
        <w:rPr>
          <w:color w:val="808080"/>
        </w:rPr>
        <w:t>(Nachkommen)</w:t>
      </w:r>
      <w:r>
        <w:rPr/>
        <w:t xml:space="preserve"> </w:t>
      </w:r>
      <w:r>
        <w:rPr>
          <w:rStyle w:val="Funotenanker"/>
        </w:rPr>
        <w:footnoteReference w:customMarkFollows="1" w:id="1326"/>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27"/>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28"/>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29"/>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30"/>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31"/>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32"/>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33"/>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34"/>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35"/>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36"/>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37"/>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38"/>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39"/>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40"/>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{{field-on:bible}}Und </w:t>
      </w:r>
      <w:r>
        <w:rPr>
          <w:strike/>
          <w:color w:val="808080"/>
        </w:rPr>
        <w:t>{ein}</w:t>
      </w:r>
      <w:r>
        <w:rPr/>
        <w:t xml:space="preserve"> Satan</w:t>
      </w:r>
      <w:r>
        <w:rPr>
          <w:rStyle w:val="Funotenanker"/>
        </w:rPr>
        <w:footnoteReference w:customMarkFollows="1" w:id="1341"/>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42"/>
        <w:t>b</w:t>
      </w:r>
      <w:r>
        <w:rPr/>
        <w:t xml:space="preserve"> David, Israel zu zählen</w:t>
      </w:r>
      <w:r>
        <w:rPr>
          <w:rStyle w:val="Funotenanker"/>
        </w:rPr>
        <w:footnoteReference w:customMarkFollows="1" w:id="1343"/>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44"/>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45"/>
        <w:t>e</w:t>
      </w:r>
      <w:r>
        <w:rPr/>
        <w:t xml:space="preserve"> mir, dass ich kenne </w:t>
      </w:r>
      <w:r>
        <w:rPr>
          <w:color w:val="808080"/>
        </w:rPr>
        <w:t>(weiß)</w:t>
      </w:r>
      <w:r>
        <w:rPr/>
        <w:t xml:space="preserve"> </w:t>
      </w:r>
      <w:r>
        <w:rPr>
          <w:rStyle w:val="Funotenanker"/>
        </w:rPr>
        <w:footnoteReference w:customMarkFollows="1" w:id="1346"/>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347"/>
        <w:t>g</w:t>
      </w:r>
      <w:r>
        <w:rPr/>
        <w:t xml:space="preserve"> in den Augen Gottes diese Sache, und er schlug </w:t>
      </w:r>
      <w:r>
        <w:rPr>
          <w:color w:val="808080"/>
        </w:rPr>
        <w:t>(schädigte, verheerte)</w:t>
      </w:r>
      <w:r>
        <w:rPr/>
        <w:t xml:space="preserve"> </w:t>
      </w:r>
      <w:r>
        <w:rPr>
          <w:rStyle w:val="Funotenanker"/>
        </w:rPr>
        <w:footnoteReference w:customMarkFollows="1" w:id="1348"/>
        <w:t>h</w:t>
      </w:r>
      <w:r>
        <w:rPr/>
        <w:t xml:space="preserve"> Israel.</w:t>
      </w:r>
      <w:r>
        <w:rPr>
          <w:rStyle w:val="Funotenanker"/>
        </w:rPr>
        <w:footnoteReference w:customMarkFollows="1" w:id="1349"/>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50"/>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51"/>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52"/>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53"/>
        <w:t>a</w:t>
      </w:r>
      <w:r>
        <w:rPr/>
        <w:t>, für alle Gegenstände des Dienstes und den Dienst</w:t>
      </w:r>
      <w:r>
        <w:rPr>
          <w:rStyle w:val="Funotenanker"/>
        </w:rPr>
        <w:footnoteReference w:customMarkFollows="1" w:id="1354"/>
        <w:t>b</w:t>
      </w:r>
      <w:r>
        <w:rPr/>
        <w:t>, und für alle Gegenstände die Silber sind im Gewicht, für alle Gegenstände des Dienstes und den Dienst.</w:t>
      </w:r>
      <w:r>
        <w:rPr>
          <w:rStyle w:val="Funotenanker"/>
        </w:rPr>
        <w:footnoteReference w:customMarkFollows="1" w:id="1355"/>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56"/>
        <w:t>d</w:t>
      </w:r>
      <w:r>
        <w:rPr/>
        <w:t xml:space="preserve"> und seiner Lampen, und für die silbernen Leuchter im Gewicht für den Leuchter und seine Lampen, nach dem Dienst des Leuchters und des Leuchters. </w:t>
      </w:r>
      <w:r>
        <w:rPr>
          <w:rStyle w:val="Funotenanker"/>
        </w:rPr>
        <w:footnoteReference w:customMarkFollows="1" w:id="1357"/>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58"/>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59"/>
        <w:t>g</w:t>
      </w:r>
      <w:r>
        <w:rPr/>
        <w:t xml:space="preserve"> und für die silbernen Becher im Gewicht für den Becher und den Becher</w:t>
      </w:r>
      <w:r>
        <w:rPr>
          <w:rStyle w:val="Funotenanker"/>
        </w:rPr>
        <w:footnoteReference w:customMarkFollows="1" w:id="1360"/>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61"/>
        <w:t>Status</w:t>
      </w:r>
      <w:r>
        <w:rPr/>
        <w:t xml:space="preserve"> </w:t>
      </w:r>
      <w:r>
        <w:rPr>
          <w:rStyle w:val="Funotenanker"/>
        </w:rPr>
        <w:footnoteReference w:customMarkFollows="1" w:id="1362"/>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63"/>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64"/>
        <w:t>c</w:t>
      </w:r>
      <w:r>
        <w:rPr/>
        <w:t xml:space="preserve"> wie folgt:„{{field-off:bible}} </w:t>
        <w:br/>
        <w:t>[[@BibleTOBIBLE:Ezr 4:9]]</w:t>
      </w:r>
      <w:r>
        <w:rPr>
          <w:b/>
        </w:rPr>
        <w:t>9</w:t>
      </w:r>
      <w:r>
        <w:rPr/>
        <w:t xml:space="preserve"> {{field-on:bible}}Die Absender</w:t>
      </w:r>
      <w:r>
        <w:rPr>
          <w:rStyle w:val="Funotenanker"/>
        </w:rPr>
        <w:footnoteReference w:customMarkFollows="1" w:id="1365"/>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66"/>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67"/>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68"/>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69"/>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70"/>
        <w:t>i</w:t>
      </w:r>
      <w:r>
        <w:rPr/>
        <w:t xml:space="preserve"> angesiedelt hat. </w:t>
      </w:r>
      <w:r>
        <w:rPr>
          <w:strike/>
          <w:color w:val="808080"/>
        </w:rPr>
        <w:t>{Absatz}</w:t>
      </w:r>
      <w:r>
        <w:rPr/>
        <w:t xml:space="preserve"> </w:t>
      </w:r>
      <w:r>
        <w:rPr>
          <w:rStyle w:val="Funotenanker"/>
        </w:rPr>
        <w:footnoteReference w:customMarkFollows="1" w:id="1371"/>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72"/>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73"/>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74"/>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75"/>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76"/>
        <w:t>o</w:t>
      </w:r>
      <w:r>
        <w:rPr/>
        <w:t xml:space="preserve"> sicherlich </w:t>
      </w:r>
      <w:r>
        <w:rPr>
          <w:color w:val="808080"/>
        </w:rPr>
        <w:t>(schließlich; der Schatzkammer)</w:t>
      </w:r>
      <w:r>
        <w:rPr/>
        <w:t xml:space="preserve"> </w:t>
      </w:r>
      <w:r>
        <w:rPr>
          <w:rStyle w:val="Funotenanker"/>
        </w:rPr>
        <w:footnoteReference w:customMarkFollows="1" w:id="1377"/>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78"/>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79"/>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80"/>
        <w:t>s</w:t>
      </w:r>
      <w:r>
        <w:rPr/>
        <w:t xml:space="preserve"> deiner Väter zu veranlassen</w:t>
      </w:r>
      <w:r>
        <w:rPr>
          <w:rStyle w:val="Funotenanker"/>
        </w:rPr>
        <w:footnoteReference w:customMarkFollows="1" w:id="1381"/>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82"/>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83"/>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84"/>
        <w:t>w</w:t>
      </w:r>
      <w:r>
        <w:rPr/>
        <w:t xml:space="preserve"> „ An Rehum den Befehlshaber und Schimschai den Schreiber und ihre übrigen Amtskollegen </w:t>
      </w:r>
      <w:r>
        <w:rPr>
          <w:color w:val="808080"/>
        </w:rPr>
        <w:t>(Mitarbeiter)</w:t>
      </w:r>
      <w:r>
        <w:rPr/>
        <w:t>,</w:t>
      </w:r>
      <w:r>
        <w:rPr>
          <w:rStyle w:val="Funotenanker"/>
        </w:rPr>
        <w:footnoteReference w:customMarkFollows="1" w:id="1385"/>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86"/>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87"/>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88"/>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89"/>
        <w:t>ab</w:t>
      </w:r>
      <w:r>
        <w:rPr/>
        <w:t xml:space="preserve"> haben mächtige Könige über Jerusalem geherrscht</w:t>
      </w:r>
      <w:r>
        <w:rPr>
          <w:rStyle w:val="Funotenanker"/>
        </w:rPr>
        <w:footnoteReference w:customMarkFollows="1" w:id="1390"/>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91"/>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92"/>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93"/>
        <w:t>af</w:t>
      </w:r>
      <w:r>
        <w:rPr/>
        <w:t xml:space="preserve"> begaben </w:t>
      </w:r>
      <w:r>
        <w:rPr>
          <w:color w:val="808080"/>
        </w:rPr>
        <w:t>(gingen)</w:t>
      </w:r>
      <w:r>
        <w:rPr/>
        <w:t xml:space="preserve"> sie sich eiligst</w:t>
      </w:r>
      <w:r>
        <w:rPr>
          <w:rStyle w:val="Funotenanker"/>
        </w:rPr>
        <w:footnoteReference w:customMarkFollows="1" w:id="1394"/>
        <w:t>ag</w:t>
      </w:r>
      <w:r>
        <w:rPr/>
        <w:t xml:space="preserve"> nach Jerusalem zu </w:t>
      </w:r>
      <w:r>
        <w:rPr>
          <w:color w:val="808080"/>
        </w:rPr>
        <w:t>(gegen)</w:t>
      </w:r>
      <w:r>
        <w:rPr/>
        <w:t xml:space="preserve"> den Juden und zwangen sie mit Gewalt und Waffengewalt</w:t>
      </w:r>
      <w:r>
        <w:rPr>
          <w:rStyle w:val="Funotenanker"/>
        </w:rPr>
        <w:footnoteReference w:customMarkFollows="1" w:id="1395"/>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96"/>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97"/>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98"/>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99"/>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400"/>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401"/>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402"/>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403"/>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404"/>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405"/>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406"/>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07"/>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408"/>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409"/>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410"/>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11"/>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12"/>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13"/>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14"/>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15"/>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16"/>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17"/>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18"/>
        <w:t>d</w:t>
      </w:r>
      <w:r>
        <w:rPr/>
        <w:t xml:space="preserve"> und seine Fundamente sollen erhalten bleiben </w:t>
      </w:r>
      <w:r>
        <w:rPr>
          <w:color w:val="808080"/>
        </w:rPr>
        <w:t>(seine Brandopfer sollen dargebracht werden)</w:t>
      </w:r>
      <w:r>
        <w:rPr/>
        <w:t>.</w:t>
      </w:r>
      <w:r>
        <w:rPr>
          <w:rStyle w:val="Funotenanker"/>
        </w:rPr>
        <w:footnoteReference w:customMarkFollows="1" w:id="1419"/>
        <w:t>e</w:t>
      </w:r>
      <w:r>
        <w:rPr/>
        <w:t xml:space="preserve"> Seine Höhe: 60 Ellen, seine Breite: 60 </w:t>
      </w:r>
      <w:r>
        <w:rPr>
          <w:color w:val="808080"/>
        </w:rPr>
        <w:t>(20)</w:t>
      </w:r>
      <w:r>
        <w:rPr/>
        <w:t xml:space="preserve"> </w:t>
      </w:r>
      <w:r>
        <w:rPr>
          <w:rStyle w:val="Funotenanker"/>
        </w:rPr>
        <w:footnoteReference w:customMarkFollows="1" w:id="1420"/>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21"/>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22"/>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23"/>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24"/>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25"/>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26"/>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27"/>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28"/>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29"/>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30"/>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31"/>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32"/>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33"/>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34"/>
        <w:t>t</w:t>
      </w:r>
      <w:r>
        <w:rPr/>
        <w:t>.</w:t>
      </w:r>
      <w:r>
        <w:rPr>
          <w:rStyle w:val="Funotenanker"/>
        </w:rPr>
        <w:footnoteReference w:customMarkFollows="1" w:id="1435"/>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436"/>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37"/>
        <w:t>b</w:t>
      </w:r>
      <w:r>
        <w:rPr/>
        <w:t xml:space="preserve"> </w:t>
      </w:r>
      <w:r>
        <w:rPr>
          <w:strike/>
          <w:color w:val="808080"/>
        </w:rPr>
        <w:t>{Absatz}</w:t>
      </w:r>
      <w:r>
        <w:rPr/>
        <w:t xml:space="preserve"> </w:t>
      </w:r>
      <w:r>
        <w:rPr>
          <w:rStyle w:val="Funotenanker"/>
        </w:rPr>
        <w:footnoteReference w:customMarkFollows="1" w:id="1438"/>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39"/>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40"/>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41"/>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42"/>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43"/>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44"/>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45"/>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46"/>
        <w:t>k</w:t>
      </w:r>
      <w:r>
        <w:rPr/>
        <w:t xml:space="preserve"> </w:t>
      </w:r>
      <w:r>
        <w:rPr>
          <w:strike/>
          <w:color w:val="808080"/>
        </w:rPr>
        <w:t>{und}</w:t>
      </w:r>
      <w:r>
        <w:rPr/>
        <w:t xml:space="preserve"> bis zu 100 Kor Weizen,</w:t>
      </w:r>
      <w:r>
        <w:rPr>
          <w:rStyle w:val="Funotenanker"/>
        </w:rPr>
        <w:footnoteReference w:customMarkFollows="1" w:id="1447"/>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48"/>
        <w:t>m</w:t>
      </w:r>
      <w:r>
        <w:rPr/>
        <w:t xml:space="preserve"> und Salz ohne vorgeschriebene Menge.</w:t>
      </w:r>
      <w:r>
        <w:rPr>
          <w:rStyle w:val="Funotenanker"/>
        </w:rPr>
        <w:footnoteReference w:customMarkFollows="1" w:id="1449"/>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50"/>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51"/>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52"/>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53"/>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54"/>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{{field-on:bible}}Es war ein Mann im Land Uz, Ijob</w:t>
      </w:r>
      <w:r>
        <w:rPr>
          <w:rStyle w:val="Funotenanker"/>
        </w:rPr>
        <w:footnoteReference w:customMarkFollows="1" w:id="1455"/>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56"/>
        <w:t>b</w:t>
      </w:r>
      <w:r>
        <w:rPr/>
        <w:t>, dass die Söhne Gottes</w:t>
      </w:r>
      <w:r>
        <w:rPr>
          <w:rStyle w:val="Funotenanker"/>
        </w:rPr>
        <w:footnoteReference w:customMarkFollows="1" w:id="1457"/>
        <w:t>c</w:t>
      </w:r>
      <w:r>
        <w:rPr/>
        <w:t xml:space="preserve"> kamen um vor </w:t>
      </w:r>
      <w:r>
        <w:rPr>
          <w:smallCaps/>
          <w:color w:val="FF0000"/>
        </w:rPr>
        <w:t>JHWH</w:t>
      </w:r>
      <w:r>
        <w:rPr/>
        <w:t xml:space="preserve"> zu treten</w:t>
      </w:r>
      <w:r>
        <w:rPr>
          <w:rStyle w:val="Funotenanker"/>
        </w:rPr>
        <w:footnoteReference w:customMarkFollows="1" w:id="1458"/>
        <w:t>d</w:t>
      </w:r>
      <w:r>
        <w:rPr/>
        <w:t xml:space="preserve">. Und </w:t>
      </w:r>
      <w:r>
        <w:rPr>
          <w:strike/>
          <w:color w:val="808080"/>
        </w:rPr>
        <w:t>{der}</w:t>
      </w:r>
      <w:r>
        <w:rPr/>
        <w:t xml:space="preserve"> Satan</w:t>
      </w:r>
      <w:r>
        <w:rPr>
          <w:rStyle w:val="Funotenanker"/>
        </w:rPr>
        <w:footnoteReference w:customMarkFollows="1" w:id="1459"/>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60"/>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61"/>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62"/>
        <w:t>h</w:t>
      </w:r>
      <w:r>
        <w:rPr/>
        <w:t xml:space="preserve"> auf meinen Diener </w:t>
      </w:r>
      <w:r>
        <w:rPr>
          <w:color w:val="808080"/>
        </w:rPr>
        <w:t>(Knecht, Sklave)</w:t>
      </w:r>
      <w:r>
        <w:rPr/>
        <w:t xml:space="preserve"> Ijob? Denn niemand</w:t>
      </w:r>
      <w:r>
        <w:rPr>
          <w:rStyle w:val="Funotenanker"/>
        </w:rPr>
        <w:footnoteReference w:customMarkFollows="1" w:id="1463"/>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64"/>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65"/>
        <w:t>k</w:t>
      </w:r>
      <w:r>
        <w:rPr/>
        <w:t xml:space="preserve"> gottesfürchtig?{{field-off:bible}} </w:t>
        <w:br/>
        <w:t>[[@BibleTOBIBLE:Job 1:10]]</w:t>
      </w:r>
      <w:r>
        <w:rPr>
          <w:b/>
        </w:rPr>
        <w:t>10</w:t>
      </w:r>
      <w:r>
        <w:rPr/>
        <w:t xml:space="preserve"> {{field-on:bible}}Hast du</w:t>
      </w:r>
      <w:r>
        <w:rPr>
          <w:rStyle w:val="Funotenanker"/>
        </w:rPr>
        <w:footnoteReference w:customMarkFollows="1" w:id="1466"/>
        <w:t>l</w:t>
      </w:r>
      <w:r>
        <w:rPr/>
        <w:t xml:space="preserve"> nicht</w:t>
      </w:r>
      <w:r>
        <w:rPr>
          <w:rStyle w:val="Funotenanker"/>
        </w:rPr>
        <w:footnoteReference w:customMarkFollows="1" w:id="1467"/>
        <w:t>m</w:t>
      </w:r>
      <w:r>
        <w:rPr/>
        <w:t xml:space="preserve"> schützend ihn umhegt</w:t>
      </w:r>
      <w:r>
        <w:rPr>
          <w:rStyle w:val="Funotenanker"/>
        </w:rPr>
        <w:footnoteReference w:customMarkFollows="1" w:id="1468"/>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69"/>
        <w:t>o</w:t>
      </w:r>
      <w:r>
        <w:rPr/>
        <w:t xml:space="preserve">? Die Arbeit </w:t>
      </w:r>
      <w:r>
        <w:rPr>
          <w:color w:val="808080"/>
        </w:rPr>
        <w:t>(Tun, Machen, Werk)</w:t>
      </w:r>
      <w:r>
        <w:rPr/>
        <w:t xml:space="preserve"> </w:t>
      </w:r>
      <w:r>
        <w:rPr>
          <w:rStyle w:val="Funotenanker"/>
        </w:rPr>
        <w:footnoteReference w:customMarkFollows="1" w:id="1470"/>
        <w:t>p</w:t>
      </w:r>
      <w:r>
        <w:rPr/>
        <w:t xml:space="preserve"> seiner Hände hast du gesegnet</w:t>
      </w:r>
      <w:r>
        <w:rPr>
          <w:rStyle w:val="Funotenanker"/>
        </w:rPr>
        <w:footnoteReference w:customMarkFollows="1" w:id="1471"/>
        <w:t>q</w:t>
      </w:r>
      <w:r>
        <w:rPr/>
        <w:t xml:space="preserve"> und seinen Besitz vermehrt auf der Erde</w:t>
      </w:r>
      <w:r>
        <w:rPr>
          <w:rStyle w:val="Funotenanker"/>
        </w:rPr>
        <w:footnoteReference w:customMarkFollows="1" w:id="1472"/>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73"/>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74"/>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75"/>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76"/>
        <w:t>Status</w:t>
      </w:r>
      <w:r>
        <w:rPr/>
        <w:t xml:space="preserve"> Danach öffnete Hiob seinen Mund und verfluchte seinen Tag </w:t>
      </w:r>
      <w:r>
        <w:rPr>
          <w:rStyle w:val="Funotenanker"/>
        </w:rPr>
        <w:footnoteReference w:customMarkFollows="1" w:id="1477"/>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78"/>
        <w:t>b</w:t>
      </w:r>
      <w:r>
        <w:rPr/>
        <w:t xml:space="preserve"> Tag, </w:t>
      </w:r>
      <w:r>
        <w:rPr>
          <w:b/>
          <w:color w:val="808080"/>
        </w:rPr>
        <w:t>[</w:t>
      </w:r>
      <w:r>
        <w:rPr/>
        <w:t>an dem</w:t>
      </w:r>
      <w:r>
        <w:rPr>
          <w:b/>
          <w:color w:val="808080"/>
        </w:rPr>
        <w:t>]</w:t>
      </w:r>
      <w:r>
        <w:rPr/>
        <w:t xml:space="preserve"> </w:t>
      </w:r>
      <w:r>
        <w:rPr>
          <w:rStyle w:val="Funotenanker"/>
        </w:rPr>
        <w:footnoteReference w:customMarkFollows="1" w:id="1479"/>
        <w:t>c</w:t>
      </w:r>
      <w:r>
        <w:rPr/>
        <w:t xml:space="preserve"> ich geboren wurde</w:t>
      </w:r>
      <w:r>
        <w:rPr>
          <w:rStyle w:val="Funotenanker"/>
        </w:rPr>
        <w:footnoteReference w:customMarkFollows="1" w:id="1480"/>
        <w:t>d</w:t>
      </w:r>
      <w:r>
        <w:rPr/>
        <w:t xml:space="preserve">, und die Nacht, </w:t>
      </w:r>
      <w:r>
        <w:rPr>
          <w:b/>
          <w:color w:val="808080"/>
        </w:rPr>
        <w:t>[</w:t>
      </w:r>
      <w:r>
        <w:rPr/>
        <w:t>die</w:t>
      </w:r>
      <w:r>
        <w:rPr>
          <w:b/>
          <w:color w:val="808080"/>
        </w:rPr>
        <w:t>]</w:t>
      </w:r>
      <w:r>
        <w:rPr/>
        <w:t xml:space="preserve"> </w:t>
      </w:r>
      <w:r>
        <w:rPr>
          <w:rStyle w:val="Funotenanker"/>
        </w:rPr>
        <w:footnoteReference w:customMarkFollows="1" w:id="1481"/>
        <w:t>e</w:t>
      </w:r>
      <w:r>
        <w:rPr/>
        <w:t xml:space="preserve"> sprach: »ein starker Mann </w:t>
      </w:r>
      <w:r>
        <w:rPr>
          <w:rStyle w:val="Funotenanker"/>
        </w:rPr>
        <w:footnoteReference w:customMarkFollows="1" w:id="1482"/>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83"/>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84"/>
        <w:t>h</w:t>
      </w:r>
      <w:r>
        <w:rPr/>
        <w:t xml:space="preserve"> sollen ihn zurückfordern </w:t>
      </w:r>
      <w:r>
        <w:rPr>
          <w:rStyle w:val="Funotenanker"/>
        </w:rPr>
        <w:footnoteReference w:customMarkFollows="1" w:id="1485"/>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86"/>
        <w:t>j</w:t>
      </w:r>
      <w:r>
        <w:rPr/>
        <w:t xml:space="preserve"> ihn schrecken!{{field-off:bible}} </w:t>
        <w:br/>
        <w:t>[[@BibleTOBIBLE:Job 3:6]]</w:t>
      </w:r>
      <w:r>
        <w:rPr>
          <w:b/>
        </w:rPr>
        <w:t>6</w:t>
      </w:r>
      <w:r>
        <w:rPr/>
        <w:t xml:space="preserve"> {{field-on:bible}}Diese Nacht </w:t>
      </w:r>
      <w:r>
        <w:rPr>
          <w:rStyle w:val="Funotenanker"/>
        </w:rPr>
        <w:footnoteReference w:customMarkFollows="1" w:id="1487"/>
        <w:t>k</w:t>
      </w:r>
      <w:r>
        <w:rPr/>
        <w:t xml:space="preserve"> – Düsternis reiße sie hinweg, sie reihe </w:t>
      </w:r>
      <w:r>
        <w:rPr>
          <w:rStyle w:val="Funotenanker"/>
        </w:rPr>
        <w:footnoteReference w:customMarkFollows="1" w:id="1488"/>
        <w:t>l</w:t>
      </w:r>
      <w:r>
        <w:rPr/>
        <w:t xml:space="preserve"> sich nicht ein in die Tage des Jahres! In den Ablauf </w:t>
      </w:r>
      <w:r>
        <w:rPr>
          <w:rStyle w:val="Funotenanker"/>
        </w:rPr>
        <w:footnoteReference w:customMarkFollows="1" w:id="1489"/>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90"/>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91"/>
        <w:t>o</w:t>
      </w:r>
      <w:r>
        <w:rPr/>
        <w:t xml:space="preserve"> hat weder die Türen des Schoßes</w:t>
      </w:r>
      <w:r>
        <w:rPr>
          <w:rStyle w:val="Funotenanker"/>
        </w:rPr>
        <w:footnoteReference w:customMarkFollows="1" w:id="1492"/>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93"/>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94"/>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95"/>
        <w:t>s</w:t>
      </w:r>
      <w:r>
        <w:rPr/>
        <w:t xml:space="preserve"> könnte ich jetzt daliegen und ausruhen. Ich könnte schlafen und hätte dann meine Ruhe</w:t>
      </w:r>
      <w:r>
        <w:rPr>
          <w:rStyle w:val="Funotenanker"/>
        </w:rPr>
        <w:footnoteReference w:customMarkFollows="1" w:id="1496"/>
        <w:t>t</w:t>
      </w:r>
      <w:r>
        <w:rPr/>
        <w:t xml:space="preserve"> {{field-off:bible}} </w:t>
        <w:br/>
        <w:t>[[@BibleTOBIBLE:Job 3:14]]</w:t>
      </w:r>
      <w:r>
        <w:rPr>
          <w:b/>
        </w:rPr>
        <w:t>14</w:t>
      </w:r>
      <w:r>
        <w:rPr/>
        <w:t xml:space="preserve"> {{field-on:bible}}zusammen </w:t>
      </w:r>
      <w:r>
        <w:rPr>
          <w:rStyle w:val="Funotenanker"/>
        </w:rPr>
        <w:footnoteReference w:customMarkFollows="1" w:id="1497"/>
        <w:t>u</w:t>
      </w:r>
      <w:r>
        <w:rPr/>
        <w:t xml:space="preserve"> mit Königen und Reichsverwaltern, die zerstörte Denkstätten </w:t>
      </w:r>
      <w:r>
        <w:rPr>
          <w:rStyle w:val="Funotenanker"/>
        </w:rPr>
        <w:footnoteReference w:customMarkFollows="1" w:id="1498"/>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99"/>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500"/>
        <w:t>x</w:t>
      </w:r>
      <w:r>
        <w:rPr/>
        <w:t xml:space="preserve"> Gefangenen wohl; sie hören</w:t>
      </w:r>
      <w:r>
        <w:rPr>
          <w:rStyle w:val="Funotenanker"/>
        </w:rPr>
        <w:footnoteReference w:customMarkFollows="1" w:id="1501"/>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502"/>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503"/>
        <w:t>aa</w:t>
      </w:r>
      <w:r>
        <w:rPr/>
        <w:t xml:space="preserve"> einem Leidenden Licht und Leben denen, deren Seele </w:t>
      </w:r>
      <w:r>
        <w:rPr>
          <w:rStyle w:val="Funotenanker"/>
        </w:rPr>
        <w:footnoteReference w:customMarkFollows="1" w:id="1504"/>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505"/>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506"/>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507"/>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08"/>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09"/>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10"/>
        <w:t>b</w:t>
      </w:r>
      <w:r>
        <w:rPr/>
        <w:t xml:space="preserve">, </w:t>
        <w:br/>
        <w:t xml:space="preserve">der nicht dem Rat </w:t>
      </w:r>
      <w:r>
        <w:rPr>
          <w:color w:val="808080"/>
        </w:rPr>
        <w:t>(den Plänen)</w:t>
      </w:r>
      <w:r>
        <w:rPr/>
        <w:t xml:space="preserve"> </w:t>
      </w:r>
      <w:r>
        <w:rPr>
          <w:rStyle w:val="Funotenanker"/>
        </w:rPr>
        <w:footnoteReference w:customMarkFollows="1" w:id="1511"/>
        <w:t>c</w:t>
      </w:r>
      <w:r>
        <w:rPr/>
        <w:t xml:space="preserve"> der Gottlosen </w:t>
      </w:r>
      <w:r>
        <w:rPr>
          <w:color w:val="808080"/>
        </w:rPr>
        <w:t>(Übeltäter)</w:t>
      </w:r>
      <w:r>
        <w:rPr/>
        <w:t xml:space="preserve"> </w:t>
      </w:r>
      <w:r>
        <w:rPr>
          <w:rStyle w:val="Funotenanker"/>
        </w:rPr>
        <w:footnoteReference w:customMarkFollows="1" w:id="1512"/>
        <w:t>d</w:t>
      </w:r>
      <w:r>
        <w:rPr/>
        <w:t xml:space="preserve"> folgt </w:t>
      </w:r>
      <w:r>
        <w:rPr>
          <w:color w:val="808080"/>
        </w:rPr>
        <w:t>(gefolgt ist)</w:t>
      </w:r>
      <w:r>
        <w:rPr/>
        <w:t xml:space="preserve"> </w:t>
      </w:r>
      <w:r>
        <w:rPr>
          <w:rStyle w:val="Funotenanker"/>
        </w:rPr>
        <w:footnoteReference w:customMarkFollows="1" w:id="1513"/>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14"/>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15"/>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16"/>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17"/>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18"/>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19"/>
        <w:t>k</w:t>
      </w:r>
      <w:r>
        <w:rPr/>
        <w:t>.</w:t>
      </w:r>
      <w:r>
        <w:rPr>
          <w:rStyle w:val="Funotenanker"/>
        </w:rPr>
        <w:footnoteReference w:customMarkFollows="1" w:id="1520"/>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21"/>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22"/>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23"/>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24"/>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25"/>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26"/>
        <w:t>a</w:t>
      </w:r>
      <w:r>
        <w:rPr/>
        <w:t xml:space="preserve"> </w:t>
      </w:r>
      <w:r>
        <w:rPr>
          <w:rStyle w:val="Funotenanker"/>
        </w:rPr>
        <w:footnoteReference w:customMarkFollows="1" w:id="1527"/>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28"/>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29"/>
        <w:t>d</w:t>
      </w:r>
      <w:r>
        <w:rPr/>
        <w:t xml:space="preserve"> stellen die Könige der Erde </w:t>
      </w:r>
      <w:r>
        <w:rPr>
          <w:color w:val="808080"/>
        </w:rPr>
        <w:t>(des Landes; irdischen Könige)</w:t>
      </w:r>
      <w:r>
        <w:rPr/>
        <w:t xml:space="preserve"> </w:t>
      </w:r>
      <w:r>
        <w:rPr>
          <w:rStyle w:val="Funotenanker"/>
        </w:rPr>
        <w:footnoteReference w:customMarkFollows="1" w:id="1530"/>
        <w:t>e</w:t>
      </w:r>
      <w:r>
        <w:rPr/>
        <w:t xml:space="preserve"> sich </w:t>
      </w:r>
      <w:r>
        <w:rPr>
          <w:b/>
          <w:color w:val="808080"/>
        </w:rPr>
        <w:t>[</w:t>
      </w:r>
      <w:r>
        <w:rPr/>
        <w:t>zum Kampf</w:t>
      </w:r>
      <w:r>
        <w:rPr>
          <w:b/>
          <w:color w:val="808080"/>
        </w:rPr>
        <w:t>]</w:t>
      </w:r>
      <w:r>
        <w:rPr/>
        <w:t xml:space="preserve"> </w:t>
      </w:r>
      <w:r>
        <w:rPr>
          <w:rStyle w:val="Funotenanker"/>
        </w:rPr>
        <w:footnoteReference w:customMarkFollows="1" w:id="1531"/>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32"/>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33"/>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34"/>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35"/>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36"/>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37"/>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38"/>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39"/>
        <w:t>n</w:t>
      </w:r>
      <w:r>
        <w:rPr/>
        <w:t xml:space="preserve"> habe meinen König auf Zion, meinem heiligen Berg</w:t>
      </w:r>
      <w:r>
        <w:rPr>
          <w:rStyle w:val="Funotenanker"/>
        </w:rPr>
        <w:footnoteReference w:customMarkFollows="1" w:id="1540"/>
        <w:t>o</w:t>
      </w:r>
      <w:r>
        <w:rPr/>
        <w:t xml:space="preserve">, eingesetzt </w:t>
      </w:r>
      <w:r>
        <w:rPr>
          <w:color w:val="808080"/>
        </w:rPr>
        <w:t>(geweiht; setze ein)</w:t>
      </w:r>
      <w:r>
        <w:rPr/>
        <w:t xml:space="preserve"> </w:t>
      </w:r>
      <w:r>
        <w:rPr>
          <w:rStyle w:val="Funotenanker"/>
        </w:rPr>
        <w:footnoteReference w:customMarkFollows="1" w:id="1541"/>
        <w:t>p</w:t>
      </w:r>
      <w:r>
        <w:rPr/>
        <w:t>.“</w:t>
        <w:br/>
        <w:br/>
        <w:t xml:space="preserve">{{field-off:bible}} </w:t>
        <w:br/>
        <w:t>[[@BibleTOBIBLE:Ps 2:7]]</w:t>
      </w:r>
      <w:r>
        <w:rPr>
          <w:b/>
        </w:rPr>
        <w:t>7</w:t>
      </w:r>
      <w:r>
        <w:rPr/>
        <w:t xml:space="preserve"> {{field-on:bible}} </w:t>
        <w:br/>
      </w:r>
      <w:r>
        <w:rPr>
          <w:rStyle w:val="Funotenanker"/>
        </w:rPr>
        <w:footnoteReference w:customMarkFollows="1" w:id="1542"/>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43"/>
        <w:t>r</w:t>
      </w:r>
      <w:r>
        <w:rPr/>
        <w:t xml:space="preserve"> der Anordnung </w:t>
      </w:r>
      <w:r>
        <w:rPr>
          <w:color w:val="808080"/>
        </w:rPr>
        <w:t>(Einsetzungsurkunde, Königsprotokoll, Gesetz)</w:t>
      </w:r>
      <w:r>
        <w:rPr/>
        <w:t xml:space="preserve"> </w:t>
      </w:r>
      <w:r>
        <w:rPr>
          <w:rStyle w:val="Funotenanker"/>
        </w:rPr>
        <w:footnoteReference w:customMarkFollows="1" w:id="1544"/>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45"/>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46"/>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47"/>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48"/>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49"/>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50"/>
        <w:t>y</w:t>
      </w:r>
      <w:r>
        <w:rPr/>
        <w:t xml:space="preserve"> zerschmettern </w:t>
      </w:r>
      <w:r>
        <w:rPr>
          <w:color w:val="808080"/>
        </w:rPr>
        <w:t>(weiden)</w:t>
      </w:r>
      <w:r>
        <w:rPr/>
        <w:t xml:space="preserve"> </w:t>
      </w:r>
      <w:r>
        <w:rPr>
          <w:rStyle w:val="Funotenanker"/>
        </w:rPr>
        <w:footnoteReference w:customMarkFollows="1" w:id="1551"/>
        <w:t>z</w:t>
      </w:r>
      <w:r>
        <w:rPr/>
        <w:t>,</w:t>
        <w:br/>
        <w:t>wie Töpferware</w:t>
      </w:r>
      <w:r>
        <w:rPr>
          <w:rStyle w:val="Funotenanker"/>
        </w:rPr>
        <w:footnoteReference w:customMarkFollows="1" w:id="1552"/>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53"/>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54"/>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55"/>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56"/>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57"/>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58"/>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59"/>
        <w:t>e</w:t>
      </w:r>
      <w:r>
        <w:rPr/>
        <w:t xml:space="preserve">! ::: C': Zerschlage meinen Feinden Kiefer und Zähne! :::: D': Bei </w:t>
      </w:r>
      <w:r>
        <w:rPr>
          <w:rStyle w:val="Funotenanker"/>
        </w:rPr>
        <w:footnoteReference w:customMarkFollows="1" w:id="1560"/>
        <w:t>f</w:t>
      </w:r>
      <w:r>
        <w:rPr/>
        <w:t xml:space="preserve"> ist Rettung! </w:t>
        <w:br/>
        <w:br/>
        <w:t>[[@BibleTOBIBLE:Ps 3:1]]</w:t>
      </w:r>
      <w:r>
        <w:rPr>
          <w:b/>
        </w:rPr>
        <w:t>1</w:t>
      </w:r>
      <w:r>
        <w:rPr/>
        <w:t xml:space="preserve"> {{field-on:bible}} </w:t>
      </w:r>
      <w:r>
        <w:rPr>
          <w:rStyle w:val="Funotenanker"/>
        </w:rPr>
        <w:footnoteReference w:customMarkFollows="1" w:id="1561"/>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62"/>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63"/>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64"/>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65"/>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66"/>
        <w:t>k</w:t>
      </w:r>
      <w:r>
        <w:rPr/>
        <w:t xml:space="preserve"> </w:t>
      </w:r>
      <w:r>
        <w:rPr>
          <w:rStyle w:val="Funotenanker"/>
        </w:rPr>
        <w:footnoteReference w:customMarkFollows="1" w:id="1567"/>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68"/>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69"/>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70"/>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71"/>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72"/>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73"/>
        <w:t>r</w:t>
      </w:r>
      <w:r>
        <w:rPr/>
        <w:t xml:space="preserve"> </w:t>
      </w:r>
      <w:r>
        <w:rPr>
          <w:color w:val="808080"/>
        </w:rPr>
        <w:t>)</w:t>
      </w:r>
      <w:r>
        <w:rPr/>
        <w:t xml:space="preserve"> </w:t>
      </w:r>
      <w:r>
        <w:rPr>
          <w:rStyle w:val="Funotenanker"/>
        </w:rPr>
        <w:footnoteReference w:customMarkFollows="1" w:id="1574"/>
        <w:t>s</w:t>
      </w:r>
      <w:r>
        <w:rPr/>
        <w:t xml:space="preserve"> er mir von seinem heiligen Berg </w:t>
      </w:r>
      <w:r>
        <w:rPr>
          <w:color w:val="808080"/>
        </w:rPr>
        <w:t>(vom Berg seiner Heiligkeit)</w:t>
      </w:r>
      <w:r>
        <w:rPr/>
        <w:t>.</w:t>
      </w:r>
      <w:r>
        <w:rPr>
          <w:rStyle w:val="Funotenanker"/>
        </w:rPr>
        <w:footnoteReference w:customMarkFollows="1" w:id="1575"/>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76"/>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77"/>
        <w:t>v</w:t>
      </w:r>
      <w:r>
        <w:rPr/>
        <w:t xml:space="preserve"> Zerschlage</w:t>
      </w:r>
      <w:r>
        <w:rPr>
          <w:rStyle w:val="Funotenanker"/>
        </w:rPr>
        <w:footnoteReference w:customMarkFollows="1" w:id="1578"/>
        <w:t>w</w:t>
      </w:r>
      <w:r>
        <w:rPr/>
        <w:t xml:space="preserve"> </w:t>
      </w:r>
      <w:r>
        <w:rPr>
          <w:color w:val="808080"/>
        </w:rPr>
        <w:t>(Schlage auf)</w:t>
      </w:r>
      <w:r>
        <w:rPr/>
        <w:t xml:space="preserve"> </w:t>
      </w:r>
      <w:r>
        <w:rPr>
          <w:rStyle w:val="Funotenanker"/>
        </w:rPr>
        <w:footnoteReference w:customMarkFollows="1" w:id="1579"/>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80"/>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81"/>
        <w:t>Status</w:t>
      </w:r>
      <w:r>
        <w:rPr/>
        <w:t xml:space="preserve"> ''Für den Chorleiter </w:t>
      </w:r>
      <w:r>
        <w:rPr>
          <w:color w:val="808080"/>
        </w:rPr>
        <w:t>(Dirigenten, Singenden, Musizierenden)</w:t>
      </w:r>
      <w:r>
        <w:rPr/>
        <w:t xml:space="preserve">. Mit Saitenspiel </w:t>
      </w:r>
      <w:r>
        <w:rPr>
          <w:color w:val="808080"/>
        </w:rPr>
        <w:t>(Flötenspiel)</w:t>
      </w:r>
      <w:r>
        <w:rPr/>
        <w:t>''</w:t>
      </w:r>
      <w:r>
        <w:rPr>
          <w:rStyle w:val="Funotenanker"/>
        </w:rPr>
        <w:footnoteReference w:customMarkFollows="1" w:id="1582"/>
        <w:t>a</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83"/>
        <w:t>b</w:t>
      </w:r>
      <w:r>
        <w:rPr/>
        <w:t xml:space="preserve">, oh du mein wahrer Gott </w:t>
      </w:r>
      <w:r>
        <w:rPr>
          <w:color w:val="808080"/>
        </w:rPr>
        <w:t>(mein gerechter Gott, Gott meines Heils, Gott meiner Gerechtigkeit)</w:t>
      </w:r>
      <w:r>
        <w:rPr/>
        <w:t>!</w:t>
      </w:r>
      <w:r>
        <w:rPr>
          <w:rStyle w:val="Funotenanker"/>
        </w:rPr>
        <w:footnoteReference w:customMarkFollows="1" w:id="1584"/>
        <w:t>c</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85"/>
        <w:t>d</w:t>
      </w:r>
      <w:r>
        <w:rPr/>
        <w:t xml:space="preserve"> Weite </w:t>
      </w:r>
      <w:r>
        <w:rPr>
          <w:color w:val="808080"/>
        </w:rPr>
        <w:t>(hilf mir in meiner Not)</w:t>
      </w:r>
      <w:r>
        <w:rPr/>
        <w:t xml:space="preserve"> </w:t>
      </w:r>
      <w:r>
        <w:rPr>
          <w:rStyle w:val="Funotenanker"/>
        </w:rPr>
        <w:footnoteReference w:customMarkFollows="1" w:id="1586"/>
        <w:t>e</w:t>
      </w:r>
      <w:r>
        <w:rPr/>
        <w:t xml:space="preserve"> Erbarme dich meiner und höre </w:t>
      </w:r>
      <w:r>
        <w:rPr>
          <w:color w:val="808080"/>
        </w:rPr>
        <w:t>(erhöre)</w:t>
      </w:r>
      <w:r>
        <w:rPr/>
        <w:t xml:space="preserve"> </w:t>
      </w:r>
      <w:r>
        <w:rPr>
          <w:rStyle w:val="Funotenanker"/>
        </w:rPr>
        <w:footnoteReference w:customMarkFollows="1" w:id="1587"/>
        <w:t>f</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88"/>
        <w:t>g</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89"/>
        <w:t>h</w:t>
      </w:r>
      <w:r>
        <w:rPr/>
        <w:t xml:space="preserve"> geschmäht </w:t>
      </w:r>
      <w:r>
        <w:rPr>
          <w:color w:val="808080"/>
        </w:rPr>
        <w:t>(zum Schimpf)</w:t>
      </w:r>
      <w:r>
        <w:rPr/>
        <w:t>?</w:t>
      </w:r>
      <w:r>
        <w:rPr>
          <w:rStyle w:val="Funotenanker"/>
        </w:rPr>
        <w:footnoteReference w:customMarkFollows="1" w:id="1590"/>
        <w:t>i</w:t>
      </w:r>
      <w:r>
        <w:rPr/>
        <w:t xml:space="preserve"> </w:t>
      </w:r>
      <w:r>
        <w:rPr>
          <w:b/>
          <w:color w:val="808080"/>
        </w:rPr>
        <w:t>[</w:t>
      </w:r>
      <w:r>
        <w:rPr/>
        <w:t>Wie lange</w:t>
      </w:r>
      <w:r>
        <w:rPr>
          <w:b/>
          <w:color w:val="808080"/>
        </w:rPr>
        <w:t>]</w:t>
      </w:r>
      <w:r>
        <w:rPr/>
        <w:t xml:space="preserve"> wollt ihr Nichtiges </w:t>
      </w:r>
      <w:r>
        <w:rPr>
          <w:color w:val="808080"/>
        </w:rPr>
        <w:t>(Leeres, Abgötter)</w:t>
      </w:r>
      <w:r>
        <w:rPr/>
        <w:t xml:space="preserve"> </w:t>
      </w:r>
      <w:r>
        <w:rPr>
          <w:rStyle w:val="Funotenanker"/>
        </w:rPr>
        <w:footnoteReference w:customMarkFollows="1" w:id="1591"/>
        <w:t>j</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92"/>
        <w:t>k</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93"/>
        <w:t>l</w:t>
      </w:r>
      <w:r>
        <w:rPr/>
        <w:t xml:space="preserve"> den ihm Frommen </w:t>
      </w:r>
      <w:r>
        <w:rPr>
          <w:color w:val="808080"/>
        </w:rPr>
        <w:t>(seinem Frommen)</w:t>
      </w:r>
      <w:r>
        <w:rPr/>
        <w:t>;</w:t>
      </w:r>
      <w:r>
        <w:rPr>
          <w:rStyle w:val="Funotenanker"/>
        </w:rPr>
        <w:footnoteReference w:customMarkFollows="1" w:id="1594"/>
        <w:t>m</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95"/>
        <w:t>n</w:t>
      </w:r>
      <w:r>
        <w:rPr/>
        <w:t xml:space="preserve"> unruhig seid </w:t>
      </w:r>
      <w:r>
        <w:rPr>
          <w:color w:val="808080"/>
        </w:rPr>
        <w:t>(seid unruhig!, Zittert!)</w:t>
      </w:r>
      <w:r>
        <w:rPr/>
        <w:t>:</w:t>
      </w:r>
      <w:r>
        <w:rPr>
          <w:rStyle w:val="Funotenanker"/>
        </w:rPr>
        <w:footnoteReference w:customMarkFollows="1" w:id="1596"/>
        <w:t>o</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97"/>
        <w:t>p</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98"/>
        <w:t>q</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99"/>
        <w:t>r</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600"/>
        <w:t>s</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601"/>
        <w:t>t</w:t>
      </w:r>
      <w:r>
        <w:rPr/>
        <w:t xml:space="preserve"> geflohen ist</w:t>
      </w:r>
      <w:r>
        <w:rPr>
          <w:rStyle w:val="Funotenanker"/>
        </w:rPr>
        <w:footnoteReference w:customMarkFollows="1" w:id="1602"/>
        <w:t>u</w:t>
      </w:r>
      <w:r>
        <w:rPr/>
        <w:t xml:space="preserve"> von über</w:t>
      </w:r>
      <w:r>
        <w:rPr>
          <w:rStyle w:val="Funotenanker"/>
        </w:rPr>
        <w:footnoteReference w:customMarkFollows="1" w:id="1603"/>
        <w:t>v</w:t>
      </w:r>
      <w:r>
        <w:rPr/>
        <w:t xml:space="preserve"> uns das Licht deines Angesichts</w:t>
      </w:r>
      <w:r>
        <w:rPr>
          <w:rStyle w:val="Funotenanker"/>
        </w:rPr>
        <w:footnoteReference w:customMarkFollows="1" w:id="1604"/>
        <w:t>w</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Freude in mein HerzZur Zeit </w:t>
      </w:r>
      <w:r>
        <w:rPr>
          <w:color w:val="808080"/>
        </w:rPr>
        <w:t>(mehr als zur Zeit)</w:t>
      </w:r>
      <w:r>
        <w:rPr/>
        <w:t xml:space="preserve">, als </w:t>
      </w:r>
      <w:r>
        <w:rPr>
          <w:strike/>
          <w:color w:val="808080"/>
        </w:rPr>
        <w:t>{ihr}</w:t>
      </w:r>
      <w:r>
        <w:rPr/>
        <w:t xml:space="preserve"> </w:t>
      </w:r>
      <w:r>
        <w:rPr>
          <w:rStyle w:val="Funotenanker"/>
        </w:rPr>
        <w:footnoteReference w:customMarkFollows="1" w:id="1605"/>
        <w:t>x</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06"/>
        <w:t>y</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07"/>
        <w:t>z</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Weil ihr Inneres durch und durch verdorben ist, sollen sie bestraft werden, untergehen und fortgetrieben werden. Ähnlich wie Vv. 5-7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08"/>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09"/>
        <w:t>Status</w:t>
      </w:r>
      <w:r>
        <w:rPr/>
        <w:t xml:space="preserve"> ''Für den Chorleiter </w:t>
      </w:r>
      <w:r>
        <w:rPr>
          <w:color w:val="808080"/>
        </w:rPr>
        <w:t>(Dirigenten, Singenden, Musizierenden)</w:t>
      </w:r>
      <w:r>
        <w:rPr/>
        <w:t xml:space="preserve">. Zu Flötenspiel </w:t>
      </w:r>
      <w:r>
        <w:rPr>
          <w:color w:val="808080"/>
        </w:rPr>
        <w:t>(nach „das Erbe“)</w:t>
      </w:r>
      <w:r>
        <w:rPr/>
        <w:t>.''</w:t>
      </w:r>
      <w:r>
        <w:rPr>
          <w:rStyle w:val="Funotenanker"/>
        </w:rPr>
        <w:footnoteReference w:customMarkFollows="1" w:id="1610"/>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11"/>
        <w:t>c</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12"/>
        <w:t>d</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13"/>
        <w:t>e</w:t>
      </w:r>
      <w:r>
        <w:rPr/>
        <w:t xml:space="preserve"> und </w:t>
      </w:r>
      <w:r>
        <w:rPr>
          <w:b/>
          <w:color w:val="808080"/>
        </w:rPr>
        <w:t>[</w:t>
      </w:r>
      <w:r>
        <w:rPr/>
        <w:t>auf dich</w:t>
      </w:r>
      <w:r>
        <w:rPr>
          <w:b/>
          <w:color w:val="808080"/>
        </w:rPr>
        <w:t>]</w:t>
      </w:r>
      <w:r>
        <w:rPr/>
        <w:t xml:space="preserve"> </w:t>
      </w:r>
      <w:r>
        <w:rPr>
          <w:rStyle w:val="Funotenanker"/>
        </w:rPr>
        <w:footnoteReference w:customMarkFollows="1" w:id="1614"/>
        <w:t>f</w:t>
      </w:r>
      <w:r>
        <w:rPr/>
        <w:t xml:space="preserve"> warten.</w:t>
        <w:br/>
        <w:br/>
        <w:t xml:space="preserve">{{field-off:bible}} </w:t>
        <w:br/>
        <w:t>[[@BibleTOBIBLE:Ps 5:5]]</w:t>
      </w:r>
      <w:r>
        <w:rPr>
          <w:b/>
        </w:rPr>
        <w:t>5</w:t>
      </w:r>
      <w:r>
        <w:rPr/>
        <w:t xml:space="preserve"> {{field-on:bible}} </w:t>
        <w:br/>
      </w:r>
      <w:r>
        <w:rPr>
          <w:strike/>
          <w:color w:val="808080"/>
        </w:rPr>
        <w:t>{Oh!}</w:t>
      </w:r>
      <w:r>
        <w:rPr/>
        <w:t xml:space="preserve"> </w:t>
      </w:r>
      <w:r>
        <w:rPr>
          <w:rStyle w:val="Funotenanker"/>
        </w:rPr>
        <w:footnoteReference w:customMarkFollows="1" w:id="1615"/>
        <w:t>g</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16"/>
        <w:t>h</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17"/>
        <w:t>i</w:t>
      </w:r>
      <w:r>
        <w:rPr/>
        <w:t xml:space="preserve"> vor deinen Augen.</w:t>
      </w:r>
      <w:r>
        <w:rPr>
          <w:rStyle w:val="Funotenanker"/>
        </w:rPr>
        <w:footnoteReference w:customMarkFollows="1" w:id="1618"/>
        <w:t>j</w:t>
      </w:r>
      <w:r>
        <w:rPr/>
        <w:t xml:space="preserve"> </w:t>
        <w:br/>
      </w:r>
      <w:r>
        <w:rPr>
          <w:color w:val="808080"/>
        </w:rPr>
        <w:t>(Weil)</w:t>
      </w:r>
      <w:r>
        <w:rPr/>
        <w:t xml:space="preserve"> Du hasst alle Tuer von Unheil </w:t>
      </w:r>
      <w:r>
        <w:rPr>
          <w:color w:val="808080"/>
        </w:rPr>
        <w:t>(Unholde)</w:t>
      </w:r>
      <w:r>
        <w:rPr/>
        <w:t>:</w:t>
      </w:r>
      <w:r>
        <w:rPr>
          <w:rStyle w:val="Funotenanker"/>
        </w:rPr>
        <w:footnoteReference w:customMarkFollows="1" w:id="1619"/>
        <w:t>k</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smallCaps/>
          <w:color w:val="FF0000"/>
        </w:rPr>
        <w:t>JHWH</w:t>
      </w:r>
      <w:r>
        <w:rPr/>
        <w:t>.</w:t>
      </w:r>
      <w:r>
        <w:rPr>
          <w:rStyle w:val="Funotenanker"/>
        </w:rPr>
        <w:footnoteReference w:customMarkFollows="1" w:id="1620"/>
        <w:t>l</w:t>
      </w:r>
      <w:r>
        <w:rPr/>
        <w:t xml:space="preserve"> </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21"/>
        <w:t>m</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22"/>
        <w:t>n</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23"/>
        <w:t>o</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24"/>
        <w:t>p</w:t>
      </w:r>
      <w:r>
        <w:rPr/>
        <w:t xml:space="preserve"> </w:t>
        <w:br/>
        <w:br/>
        <w:t xml:space="preserve">{{field-off:bible}} </w:t>
        <w:br/>
        <w:t>[[@BibleTOBIBLE:Ps 5:10]]</w:t>
      </w:r>
      <w:r>
        <w:rPr>
          <w:b/>
        </w:rPr>
        <w:t>10</w:t>
      </w:r>
      <w:r>
        <w:rPr/>
        <w:t xml:space="preserve"> {{field-on:bible}} </w:t>
        <w:br/>
        <w:t xml:space="preserve">Weil in seinem </w:t>
      </w:r>
      <w:r>
        <w:rPr>
          <w:color w:val="808080"/>
        </w:rPr>
        <w:t>(ihrem)</w:t>
      </w:r>
      <w:r>
        <w:rPr/>
        <w:t xml:space="preserve"> </w:t>
      </w:r>
      <w:r>
        <w:rPr>
          <w:rStyle w:val="Funotenanker"/>
        </w:rPr>
        <w:footnoteReference w:customMarkFollows="1" w:id="1625"/>
        <w:t>q</w:t>
      </w:r>
      <w:r>
        <w:rPr/>
        <w:t xml:space="preserve"> Reden </w:t>
      </w:r>
      <w:r>
        <w:rPr>
          <w:color w:val="808080"/>
        </w:rPr>
        <w:t>(Mund)</w:t>
      </w:r>
      <w:r>
        <w:rPr/>
        <w:t xml:space="preserve"> nichts Aufrichtiges ist, </w:t>
      </w:r>
      <w:r>
        <w:rPr>
          <w:b/>
          <w:color w:val="808080"/>
        </w:rPr>
        <w:t>[</w:t>
      </w:r>
      <w:r>
        <w:rPr/>
        <w:t>Sei</w:t>
      </w:r>
      <w:r>
        <w:rPr>
          <w:b/>
          <w:color w:val="808080"/>
        </w:rPr>
        <w:t>]</w:t>
      </w:r>
      <w:r>
        <w:rPr/>
        <w:t xml:space="preserve"> ihr Inneres </w:t>
      </w:r>
      <w:r>
        <w:rPr>
          <w:b/>
          <w:color w:val="808080"/>
        </w:rPr>
        <w:t>[</w:t>
      </w:r>
      <w:r>
        <w:rPr/>
        <w:t>ihr</w:t>
      </w:r>
      <w:r>
        <w:rPr>
          <w:b/>
          <w:color w:val="808080"/>
        </w:rPr>
        <w:t>]</w:t>
      </w:r>
      <w:r>
        <w:rPr/>
        <w:t xml:space="preserve"> Verderben </w:t>
      </w:r>
      <w:r>
        <w:rPr>
          <w:color w:val="808080"/>
        </w:rPr>
        <w:t>(Böses, sie sind verdorben/böse</w:t>
      </w:r>
      <w:r>
        <w:rPr/>
        <w:t xml:space="preserve"> </w:t>
      </w:r>
      <w:r>
        <w:rPr>
          <w:rStyle w:val="Funotenanker"/>
        </w:rPr>
        <w:footnoteReference w:customMarkFollows="1" w:id="1626"/>
        <w:t>r</w:t>
      </w:r>
      <w:r>
        <w:rPr/>
        <w:t xml:space="preserve"> </w:t>
      </w:r>
      <w:r>
        <w:rPr>
          <w:color w:val="808080"/>
        </w:rPr>
        <w:t>)</w:t>
      </w:r>
      <w:r>
        <w:rPr/>
        <w:t>.</w:t>
        <w:br/>
      </w:r>
      <w:r>
        <w:rPr>
          <w:b/>
          <w:color w:val="808080"/>
        </w:rPr>
        <w:t>[</w:t>
      </w:r>
      <w:r>
        <w:rPr/>
        <w:t>Ihr</w:t>
      </w:r>
      <w:r>
        <w:rPr>
          <w:b/>
          <w:color w:val="808080"/>
        </w:rPr>
        <w:t>]</w:t>
      </w:r>
      <w:r>
        <w:rPr/>
        <w:t xml:space="preserve"> </w:t>
      </w:r>
      <w:r>
        <w:rPr>
          <w:color w:val="808080"/>
        </w:rPr>
        <w:t>(ein)</w:t>
      </w:r>
      <w:r>
        <w:rPr/>
        <w:t xml:space="preserve"> offenes Grab </w:t>
      </w:r>
      <w:r>
        <w:rPr>
          <w:color w:val="808080"/>
        </w:rPr>
        <w:t>(Tod)</w:t>
      </w:r>
      <w:r>
        <w:rPr/>
        <w:t xml:space="preserve"> </w:t>
      </w:r>
      <w:r>
        <w:rPr>
          <w:rStyle w:val="Funotenanker"/>
        </w:rPr>
        <w:footnoteReference w:customMarkFollows="1" w:id="1627"/>
        <w:t>s</w:t>
      </w:r>
      <w:r>
        <w:rPr/>
        <w:t xml:space="preserve"> </w:t>
      </w:r>
      <w:r>
        <w:rPr>
          <w:b/>
          <w:color w:val="808080"/>
        </w:rPr>
        <w:t>[</w:t>
      </w:r>
      <w:r>
        <w:rPr/>
        <w:t xml:space="preserve">sei </w:t>
      </w:r>
      <w:r>
        <w:rPr>
          <w:color w:val="808080"/>
        </w:rPr>
        <w:t>(ist)</w:t>
      </w:r>
      <w:r>
        <w:rPr>
          <w:b/>
          <w:color w:val="808080"/>
        </w:rPr>
        <w:t>]</w:t>
      </w:r>
      <w:r>
        <w:rPr/>
        <w:t xml:space="preserve"> ihre Kehle, </w:t>
      </w:r>
      <w:r>
        <w:rPr>
          <w:b/>
          <w:color w:val="808080"/>
        </w:rPr>
        <w:t>[</w:t>
      </w:r>
      <w:r>
        <w:rPr/>
        <w:t>Weil</w:t>
      </w:r>
      <w:r>
        <w:rPr>
          <w:b/>
          <w:color w:val="808080"/>
        </w:rPr>
        <w:t>]</w:t>
      </w:r>
      <w:r>
        <w:rPr/>
        <w:t xml:space="preserve"> sie ihre Zunge glätten</w:t>
      </w:r>
      <w:r>
        <w:rPr>
          <w:rStyle w:val="Funotenanker"/>
        </w:rPr>
        <w:footnoteReference w:customMarkFollows="1" w:id="1628"/>
        <w:t>t</w:t>
      </w:r>
      <w:r>
        <w:rPr/>
        <w:t xml:space="preserve"> </w:t>
      </w:r>
      <w:r>
        <w:rPr>
          <w:color w:val="808080"/>
        </w:rPr>
        <w:t>(Mit ihrer Zunge sind sie heuchlerisch, sie sind Heuchler)</w:t>
      </w:r>
      <w:r>
        <w:rPr/>
        <w:t>.</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29"/>
        <w:t>u</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30"/>
        <w:t>v</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31"/>
        <w:t>w</w:t>
      </w:r>
      <w:r>
        <w:rPr/>
        <w:t xml:space="preserve"> den Gerechten </w:t>
      </w:r>
      <w:r>
        <w:rPr>
          <w:color w:val="808080"/>
        </w:rPr>
        <w:t>(die Gerechten)</w:t>
      </w:r>
      <w:r>
        <w:rPr/>
        <w:t xml:space="preserve"> </w:t>
      </w:r>
      <w:r>
        <w:rPr>
          <w:rStyle w:val="Funotenanker"/>
        </w:rPr>
        <w:footnoteReference w:customMarkFollows="1" w:id="1632"/>
        <w:t>x</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33"/>
        <w:t>y</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34"/>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35"/>
        <w:t>b</w:t>
      </w:r>
      <w:r>
        <w:rPr/>
        <w:t xml:space="preserve"> möge den Psalmisten „nicht strafen“, „nicht züchtigen“, ihm „gnädig sein“ und ihn „retten“. Daran schließen sich drei Gründe an, mit denen an </w:t>
      </w:r>
      <w:r>
        <w:rPr>
          <w:rStyle w:val="Funotenanker"/>
        </w:rPr>
        <w:footnoteReference w:customMarkFollows="1" w:id="1636"/>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37"/>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38"/>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39"/>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40"/>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41"/>
        <w:t>Status</w:t>
      </w:r>
      <w:r>
        <w:rPr/>
        <w:t xml:space="preserve"> ''Für den Chorleiter </w:t>
      </w:r>
      <w:r>
        <w:rPr>
          <w:color w:val="808080"/>
        </w:rPr>
        <w:t>(Dirigenten, Singenden, Musizierenden)</w:t>
      </w:r>
      <w:r>
        <w:rPr/>
        <w:t xml:space="preserve">''. ''Zum Saitenspiel </w:t>
      </w:r>
      <w:r>
        <w:rPr>
          <w:color w:val="808080"/>
        </w:rPr>
        <w:t>(auf Saiteninstrumenten)</w:t>
      </w:r>
      <w:r>
        <w:rPr/>
        <w:t xml:space="preserve"> </w:t>
      </w:r>
      <w:r>
        <w:rPr>
          <w:b/>
          <w:color w:val="808080"/>
        </w:rPr>
        <w:t>[</w:t>
      </w:r>
      <w:r>
        <w:rPr/>
        <w:t>vorzutragen</w:t>
      </w:r>
      <w:r>
        <w:rPr>
          <w:b/>
          <w:color w:val="808080"/>
        </w:rPr>
        <w:t>]</w:t>
      </w:r>
      <w:r>
        <w:rPr/>
        <w:t xml:space="preserve"> von Basstimmen''</w:t>
      </w:r>
      <w:r>
        <w:rPr>
          <w:rStyle w:val="Funotenanker"/>
        </w:rPr>
        <w:footnoteReference w:customMarkFollows="1" w:id="1642"/>
        <w:t>h</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43"/>
        <w:t>i</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44"/>
        <w:t>j</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45"/>
        <w:t>k</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46"/>
        <w:t>l</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47"/>
        <w:t>m</w:t>
      </w:r>
      <w:r>
        <w:rPr/>
        <w:t xml:space="preserve"> Rette</w:t>
      </w:r>
      <w:r>
        <w:rPr>
          <w:rStyle w:val="Funotenanker"/>
        </w:rPr>
        <w:footnoteReference w:customMarkFollows="1" w:id="1648"/>
        <w:t>n</w:t>
      </w:r>
      <w:r>
        <w:rPr/>
        <w:t xml:space="preserve"> meine Seele </w:t>
      </w:r>
      <w:r>
        <w:rPr>
          <w:color w:val="808080"/>
        </w:rPr>
        <w:t>(mich)</w:t>
      </w:r>
      <w:r>
        <w:rPr/>
        <w:t xml:space="preserve"> </w:t>
      </w:r>
      <w:r>
        <w:rPr>
          <w:rStyle w:val="Funotenanker"/>
        </w:rPr>
        <w:footnoteReference w:customMarkFollows="1" w:id="1649"/>
        <w:t>o</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50"/>
        <w:t>p</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51"/>
        <w:t>q</w:t>
      </w:r>
      <w:r>
        <w:rPr/>
        <w:t>Und wer wird dich preisen im Scheol?</w:t>
      </w:r>
      <w:r>
        <w:rPr>
          <w:rStyle w:val="Funotenanker"/>
        </w:rPr>
        <w:footnoteReference w:customMarkFollows="1" w:id="1652"/>
        <w:t>r</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w:t>
      </w:r>
      <w:r>
        <w:rPr>
          <w:rStyle w:val="Funotenanker"/>
        </w:rPr>
        <w:footnoteReference w:customMarkFollows="1" w:id="1653"/>
        <w:t>s</w:t>
      </w:r>
      <w:r>
        <w:rPr/>
        <w:t xml:space="preserve"> </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54"/>
        <w:t>t</w:t>
      </w:r>
      <w:r>
        <w:rPr/>
        <w:t xml:space="preserve"> jede Nacht</w:t>
      </w:r>
      <w:r>
        <w:rPr>
          <w:rStyle w:val="Funotenanker"/>
        </w:rPr>
        <w:footnoteReference w:customMarkFollows="1" w:id="1655"/>
        <w:t>u</w:t>
      </w:r>
      <w:r>
        <w:rPr/>
        <w:t xml:space="preserve"> </w:t>
      </w:r>
      <w:r>
        <w:rPr>
          <w:b/>
          <w:color w:val="808080"/>
        </w:rPr>
        <w:t>[</w:t>
      </w:r>
      <w:r>
        <w:rPr/>
        <w:t>mit meinen Tränen</w:t>
      </w:r>
      <w:r>
        <w:rPr>
          <w:b/>
          <w:color w:val="808080"/>
        </w:rPr>
        <w:t>]</w:t>
      </w:r>
      <w:r>
        <w:rPr/>
        <w:t xml:space="preserve"> </w:t>
      </w:r>
      <w:r>
        <w:rPr>
          <w:rStyle w:val="Funotenanker"/>
        </w:rPr>
        <w:footnoteReference w:customMarkFollows="1" w:id="1656"/>
        <w:t>v</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57"/>
        <w:t>w</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58"/>
        <w:t>x</w:t>
      </w:r>
      <w:r>
        <w:rPr/>
        <w:t xml:space="preserve"> vor Kummer </w:t>
      </w:r>
      <w:r>
        <w:rPr>
          <w:color w:val="808080"/>
        </w:rPr>
        <w:t>(Gram)</w:t>
      </w:r>
      <w:r>
        <w:rPr/>
        <w:t xml:space="preserve"> sind meine Augen,</w:t>
      </w:r>
      <w:r>
        <w:rPr>
          <w:rStyle w:val="Funotenanker"/>
        </w:rPr>
        <w:footnoteReference w:customMarkFollows="1" w:id="1659"/>
        <w:t>y</w:t>
      </w:r>
      <w:r>
        <w:rPr/>
        <w:t xml:space="preserve"> </w:t>
      </w:r>
      <w:r>
        <w:rPr>
          <w:position w:val="8"/>
          <w:sz w:val="19"/>
        </w:rPr>
        <w:t>[[ ℘ &gt;&gt; BibleTOBIBLE:Job 17:7]][[ ℘ &gt;&gt; BibleTOBIBLE:Ps 31:10]][[ ℘ &gt;&gt; BibleTOBIBLE:Ps 69:4]][[ ℘ &gt;&gt; BibleTOBIBLE:Ps 88:10]]</w:t>
      </w:r>
      <w:r>
        <w:rPr/>
        <w:t xml:space="preserve">Ich bin gealtert wegen </w:t>
      </w:r>
      <w:r>
        <w:rPr>
          <w:color w:val="808080"/>
        </w:rPr>
        <w:t>(sie sind gealtert wegen)</w:t>
      </w:r>
      <w:r>
        <w:rPr/>
        <w:t xml:space="preserve"> </w:t>
      </w:r>
      <w:r>
        <w:rPr>
          <w:rStyle w:val="Funotenanker"/>
        </w:rPr>
        <w:footnoteReference w:customMarkFollows="1" w:id="1660"/>
        <w:t>z</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61"/>
        <w:t>aa</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62"/>
        <w:t>ab</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63"/>
        <w:t>ac</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64"/>
        <w:t>ad</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65"/>
        <w:t>ae</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66"/>
        <w:t>a</w:t>
      </w:r>
      <w:r>
        <w:rPr/>
        <w:t>.</w:t>
      </w:r>
      <w:r>
        <w:rPr>
          <w:rStyle w:val="Funotenanker"/>
        </w:rPr>
        <w:footnoteReference w:customMarkFollows="1" w:id="1667"/>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68"/>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69"/>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70"/>
        <w:t>Status</w:t>
      </w:r>
      <w:r>
        <w:rPr/>
        <w:t xml:space="preserve"> Ein ''Shiggajon''</w:t>
      </w:r>
      <w:r>
        <w:rPr>
          <w:rStyle w:val="Funotenanker"/>
        </w:rPr>
        <w:footnoteReference w:customMarkFollows="1" w:id="1671"/>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72"/>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73"/>
        <w:t>g</w:t>
      </w:r>
      <w:r>
        <w:rPr/>
        <w:t xml:space="preserve"> nicht meine Seele </w:t>
      </w:r>
      <w:r>
        <w:rPr>
          <w:color w:val="808080"/>
        </w:rPr>
        <w:t>(mich)</w:t>
      </w:r>
      <w:r>
        <w:rPr/>
        <w:t xml:space="preserve"> </w:t>
      </w:r>
      <w:r>
        <w:rPr>
          <w:rStyle w:val="Funotenanker"/>
        </w:rPr>
        <w:footnoteReference w:customMarkFollows="1" w:id="1674"/>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75"/>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76"/>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77"/>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78"/>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79"/>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80"/>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81"/>
        <w:t>o</w:t>
      </w:r>
      <w:r>
        <w:rPr/>
        <w:t xml:space="preserve"> </w:t>
      </w:r>
      <w:r>
        <w:rPr>
          <w:strike/>
          <w:color w:val="808080"/>
        </w:rPr>
        <w:t>{Selah}</w:t>
      </w:r>
      <w:r>
        <w:rPr/>
        <w:t xml:space="preserve"> </w:t>
      </w:r>
      <w:r>
        <w:rPr>
          <w:rStyle w:val="Funotenanker"/>
        </w:rPr>
        <w:footnoteReference w:customMarkFollows="1" w:id="1682"/>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83"/>
        <w:t>q</w:t>
      </w:r>
      <w:r>
        <w:rPr/>
        <w:t xml:space="preserve">, mein Gott </w:t>
      </w:r>
      <w:r>
        <w:rPr>
          <w:color w:val="808080"/>
        </w:rPr>
        <w:t>(Und erwache zu mir hin?)</w:t>
      </w:r>
      <w:r>
        <w:rPr/>
        <w:t xml:space="preserve"> </w:t>
      </w:r>
      <w:r>
        <w:rPr>
          <w:rStyle w:val="Funotenanker"/>
        </w:rPr>
        <w:footnoteReference w:customMarkFollows="1" w:id="1684"/>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85"/>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86"/>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87"/>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88"/>
        <w:t>v</w:t>
      </w:r>
      <w:r>
        <w:rPr/>
        <w:t xml:space="preserve">, </w:t>
      </w:r>
      <w:r>
        <w:rPr>
          <w:smallCaps/>
          <w:color w:val="FF0000"/>
        </w:rPr>
        <w:t>JHWH</w:t>
      </w:r>
      <w:r>
        <w:rPr/>
        <w:t>, gemäß meiner Gerechtigkeit</w:t>
      </w:r>
      <w:r>
        <w:rPr>
          <w:rStyle w:val="Funotenanker"/>
        </w:rPr>
        <w:footnoteReference w:customMarkFollows="1" w:id="1689"/>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90"/>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91"/>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92"/>
        <w:t>z</w:t>
      </w:r>
      <w:r>
        <w:rPr/>
        <w:t>.</w:t>
        <w:br/>
        <w:br/>
        <w:t>Der gerechte Gott prüft Herz und Nieren</w:t>
      </w:r>
      <w:r>
        <w:rPr>
          <w:rStyle w:val="Funotenanker"/>
        </w:rPr>
        <w:footnoteReference w:customMarkFollows="1" w:id="1693"/>
        <w:t>aa</w:t>
      </w:r>
      <w:r>
        <w:rPr/>
        <w:t xml:space="preserve"> </w:t>
      </w:r>
      <w:r>
        <w:rPr>
          <w:rStyle w:val="Funotenanker"/>
        </w:rPr>
        <w:footnoteReference w:customMarkFollows="1" w:id="1694"/>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95"/>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96"/>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97"/>
        <w:t>ae</w:t>
      </w:r>
      <w:r>
        <w:rPr/>
        <w:t>Seinen Bogen spannt und ihn aufrichtet</w:t>
      </w:r>
      <w:r>
        <w:rPr>
          <w:rStyle w:val="Funotenanker"/>
        </w:rPr>
        <w:footnoteReference w:customMarkFollows="1" w:id="1698"/>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99"/>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00"/>
        <w:t>ah</w:t>
      </w:r>
      <w:r>
        <w:rPr/>
        <w:t xml:space="preserve"> man Frevel empfängt,Geht man mit Bosheit schwanger und gebiert - Trug </w:t>
      </w:r>
      <w:r>
        <w:rPr>
          <w:color w:val="808080"/>
        </w:rPr>
        <w:t>(und gebiert Lügen)</w:t>
      </w:r>
      <w:r>
        <w:rPr/>
        <w:t>.</w:t>
      </w:r>
      <w:r>
        <w:rPr>
          <w:rStyle w:val="Funotenanker"/>
        </w:rPr>
        <w:footnoteReference w:customMarkFollows="1" w:id="1701"/>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02"/>
        <w:t>Status</w:t>
      </w:r>
      <w:r>
        <w:rPr/>
        <w:t xml:space="preserve"> Für den Chorleiter </w:t>
      </w:r>
      <w:r>
        <w:rPr>
          <w:color w:val="808080"/>
        </w:rPr>
        <w:t>(Dirigenten, Singenden, Musizierenden)</w:t>
      </w:r>
      <w:r>
        <w:rPr/>
        <w:t xml:space="preserve"> </w:t>
      </w:r>
      <w:r>
        <w:rPr>
          <w:rStyle w:val="Funotenanker"/>
        </w:rPr>
        <w:footnoteReference w:customMarkFollows="1" w:id="1703"/>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04"/>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05"/>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06"/>
        <w:t>d</w:t>
      </w:r>
      <w:r>
        <w:rPr/>
        <w:t xml:space="preserve"> wird gepriesen</w:t>
      </w:r>
      <w:r>
        <w:rPr>
          <w:rStyle w:val="Funotenanker"/>
        </w:rPr>
        <w:footnoteReference w:customMarkFollows="1" w:id="1707"/>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08"/>
        <w:t>f</w:t>
      </w:r>
      <w:r>
        <w:rPr/>
        <w:t xml:space="preserve"> Babies</w:t>
      </w:r>
      <w:r>
        <w:rPr>
          <w:rStyle w:val="Funotenanker"/>
        </w:rPr>
        <w:footnoteReference w:customMarkFollows="1" w:id="1709"/>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10"/>
        <w:t>h</w:t>
      </w:r>
      <w:r>
        <w:rPr/>
        <w:t xml:space="preserve"> errichtet </w:t>
      </w:r>
      <w:r>
        <w:rPr>
          <w:color w:val="808080"/>
        </w:rPr>
        <w:t>(grundgelegt)</w:t>
      </w:r>
      <w:r>
        <w:rPr/>
        <w:t xml:space="preserve"> um deiner Gegner willen</w:t>
      </w:r>
      <w:r>
        <w:rPr>
          <w:rStyle w:val="Funotenanker"/>
        </w:rPr>
        <w:footnoteReference w:customMarkFollows="1" w:id="1711"/>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12"/>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13"/>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14"/>
        <w:t>l</w:t>
      </w:r>
      <w:r>
        <w:rPr/>
        <w:t xml:space="preserve">, dass du dich seiner erinnerst </w:t>
      </w:r>
      <w:r>
        <w:rPr>
          <w:color w:val="808080"/>
        </w:rPr>
        <w:t>(dich um es kümmerst)</w:t>
      </w:r>
      <w:r>
        <w:rPr/>
        <w:t xml:space="preserve"> </w:t>
      </w:r>
      <w:r>
        <w:rPr>
          <w:rStyle w:val="Funotenanker"/>
        </w:rPr>
        <w:footnoteReference w:customMarkFollows="1" w:id="1715"/>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16"/>
        <w:t>n</w:t>
      </w:r>
      <w:r>
        <w:rPr/>
        <w:t xml:space="preserve"> </w:t>
      </w:r>
      <w:r>
        <w:rPr>
          <w:color w:val="808080"/>
        </w:rPr>
        <w:t>(der Mensch, der Sohn des Menschen, das Kind des Menschen, der Menschensohn)</w:t>
      </w:r>
      <w:r>
        <w:rPr/>
        <w:t xml:space="preserve"> </w:t>
      </w:r>
      <w:r>
        <w:rPr>
          <w:rStyle w:val="Funotenanker"/>
        </w:rPr>
        <w:footnoteReference w:customMarkFollows="1" w:id="1717"/>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18"/>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19"/>
        <w:t>q</w:t>
      </w:r>
      <w:r>
        <w:rPr/>
        <w:t xml:space="preserve"> um ihn mit Herrlichkeit </w:t>
      </w:r>
      <w:r>
        <w:rPr>
          <w:color w:val="808080"/>
        </w:rPr>
        <w:t>(Hoheit, Würde, Ehre)</w:t>
      </w:r>
      <w:r>
        <w:rPr/>
        <w:t xml:space="preserve"> und Pracht</w:t>
      </w:r>
      <w:r>
        <w:rPr>
          <w:rStyle w:val="Funotenanker"/>
        </w:rPr>
        <w:footnoteReference w:customMarkFollows="1" w:id="1720"/>
        <w:t>r</w:t>
      </w:r>
      <w:r>
        <w:rPr/>
        <w:t xml:space="preserve"> zu krönen </w:t>
      </w:r>
      <w:r>
        <w:rPr>
          <w:color w:val="808080"/>
        </w:rPr>
        <w:t>(segnen, hast ihn mit Herrlichkeit und Pracht gekrönt)</w:t>
      </w:r>
      <w:r>
        <w:rPr/>
        <w:t>.</w:t>
      </w:r>
      <w:r>
        <w:rPr>
          <w:rStyle w:val="Funotenanker"/>
        </w:rPr>
        <w:footnoteReference w:customMarkFollows="1" w:id="1721"/>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22"/>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23"/>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24"/>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25"/>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26"/>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27"/>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28"/>
        <w:t>Status</w:t>
      </w:r>
      <w:r>
        <w:rPr/>
        <w:t xml:space="preserve"> ''Für den Chorleiter </w:t>
      </w:r>
      <w:r>
        <w:rPr>
          <w:color w:val="808080"/>
        </w:rPr>
        <w:t>(Dirigenten, Singenden, Musizierenden)</w:t>
      </w:r>
      <w:r>
        <w:rPr/>
        <w:t>''.</w:t>
      </w:r>
      <w:r>
        <w:rPr>
          <w:rStyle w:val="Funotenanker"/>
        </w:rPr>
        <w:footnoteReference w:customMarkFollows="1" w:id="1729"/>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30"/>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31"/>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32"/>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33"/>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34"/>
        <w:t>h</w:t>
      </w:r>
      <w:r>
        <w:rPr/>
        <w:t xml:space="preserve"> </w:t>
      </w:r>
      <w:r>
        <w:rPr>
          <w:rStyle w:val="Funotenanker"/>
        </w:rPr>
        <w:footnoteReference w:customMarkFollows="1" w:id="1735"/>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36"/>
        <w:t>j</w:t>
      </w:r>
      <w:r>
        <w:rPr/>
        <w:t xml:space="preserve"> und vor dir</w:t>
      </w:r>
      <w:r>
        <w:rPr>
          <w:rStyle w:val="Funotenanker"/>
        </w:rPr>
        <w:footnoteReference w:customMarkFollows="1" w:id="1737"/>
        <w:t>k</w:t>
      </w:r>
      <w:r>
        <w:rPr/>
        <w:t xml:space="preserve"> zugrunde gehen,</w:t>
      </w:r>
      <w:r>
        <w:rPr>
          <w:rStyle w:val="Funotenanker"/>
        </w:rPr>
        <w:footnoteReference w:customMarkFollows="1" w:id="1738"/>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39"/>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40"/>
        <w:t>n</w:t>
      </w:r>
      <w:r>
        <w:rPr/>
        <w:t xml:space="preserve"> niedergemacht </w:t>
      </w:r>
      <w:r>
        <w:rPr>
          <w:color w:val="808080"/>
        </w:rPr>
        <w:t>(gescholten)</w:t>
      </w:r>
      <w:r>
        <w:rPr/>
        <w:t>:</w:t>
      </w:r>
      <w:r>
        <w:rPr>
          <w:rStyle w:val="Funotenanker"/>
        </w:rPr>
        <w:footnoteReference w:customMarkFollows="1" w:id="1741"/>
        <w:t>o</w:t>
      </w:r>
      <w:r>
        <w:rPr/>
        <w:t xml:space="preserve"> Einen Schlechten </w:t>
      </w:r>
      <w:r>
        <w:rPr>
          <w:color w:val="808080"/>
        </w:rPr>
        <w:t>(Schlechte)</w:t>
      </w:r>
      <w:r>
        <w:rPr/>
        <w:t xml:space="preserve"> </w:t>
      </w:r>
      <w:r>
        <w:rPr>
          <w:rStyle w:val="Funotenanker"/>
        </w:rPr>
        <w:footnoteReference w:customMarkFollows="1" w:id="1742"/>
        <w:t>p</w:t>
      </w:r>
      <w:r>
        <w:rPr/>
        <w:t xml:space="preserve"> ließest du zugrunde gehen,Ihren Namen hast du ausgelöscht</w:t>
      </w:r>
      <w:r>
        <w:rPr>
          <w:rStyle w:val="Funotenanker"/>
        </w:rPr>
        <w:footnoteReference w:customMarkFollows="1" w:id="1743"/>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44"/>
        <w:t>r</w:t>
      </w:r>
      <w:r>
        <w:rPr/>
        <w:t xml:space="preserve">auf ewig;Und Gegner </w:t>
      </w:r>
      <w:r>
        <w:rPr>
          <w:color w:val="808080"/>
        </w:rPr>
        <w:t>(Städte)</w:t>
      </w:r>
      <w:r>
        <w:rPr/>
        <w:t xml:space="preserve"> </w:t>
      </w:r>
      <w:r>
        <w:rPr>
          <w:rStyle w:val="Funotenanker"/>
        </w:rPr>
        <w:footnoteReference w:customMarkFollows="1" w:id="1745"/>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46"/>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47"/>
        <w:t>u</w:t>
      </w:r>
      <w:r>
        <w:rPr/>
        <w:t>Weil du nicht im Stich lässt, die dich suchen,</w:t>
      </w:r>
      <w:r>
        <w:rPr>
          <w:rStyle w:val="Funotenanker"/>
        </w:rPr>
        <w:footnoteReference w:customMarkFollows="1" w:id="1748"/>
        <w:t>v</w:t>
      </w:r>
      <w:r>
        <w:rPr/>
        <w:t xml:space="preserve"> </w:t>
      </w:r>
      <w:r>
        <w:rPr>
          <w:smallCaps/>
          <w:color w:val="FF0000"/>
        </w:rPr>
        <w:t>JHWH</w:t>
      </w:r>
      <w:r>
        <w:rPr/>
        <w:t>.</w:t>
      </w:r>
      <w:r>
        <w:rPr>
          <w:rStyle w:val="Funotenanker"/>
        </w:rPr>
        <w:footnoteReference w:customMarkFollows="1" w:id="1749"/>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50"/>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51"/>
        <w:t>y</w:t>
      </w:r>
      <w:r>
        <w:rPr/>
        <w:t xml:space="preserve"> </w:t>
      </w:r>
      <w:r>
        <w:rPr>
          <w:color w:val="808080"/>
        </w:rPr>
        <w:t>(Denn er sucht Blut,)</w:t>
      </w:r>
      <w:r>
        <w:rPr/>
        <w:t xml:space="preserve"> denkt er an sie,</w:t>
      </w:r>
      <w:r>
        <w:rPr>
          <w:rStyle w:val="Funotenanker"/>
        </w:rPr>
        <w:footnoteReference w:customMarkFollows="1" w:id="1752"/>
        <w:t>z</w:t>
      </w:r>
      <w:r>
        <w:rPr/>
        <w:t>Er vergisst nicht</w:t>
      </w:r>
      <w:r>
        <w:rPr>
          <w:rStyle w:val="Funotenanker"/>
        </w:rPr>
        <w:footnoteReference w:customMarkFollows="1" w:id="1753"/>
        <w:t>aa</w:t>
      </w:r>
      <w:r>
        <w:rPr/>
        <w:t xml:space="preserve"> das Rufen der Elenden </w:t>
      </w:r>
      <w:r>
        <w:rPr>
          <w:color w:val="808080"/>
        </w:rPr>
        <w:t>(Armen)</w:t>
      </w:r>
      <w:r>
        <w:rPr/>
        <w:t>.“</w:t>
      </w:r>
      <w:r>
        <w:rPr>
          <w:rStyle w:val="Funotenanker"/>
        </w:rPr>
        <w:footnoteReference w:customMarkFollows="1" w:id="1754"/>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55"/>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56"/>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57"/>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58"/>
        <w:t>af</w:t>
      </w:r>
      <w:r>
        <w:rPr/>
        <w:t xml:space="preserve"> verstrickt!“ </w:t>
      </w:r>
      <w:r>
        <w:rPr>
          <w:strike/>
          <w:color w:val="808080"/>
        </w:rPr>
        <w:t>{Higgaion Selah}</w:t>
      </w:r>
      <w:r>
        <w:rPr/>
        <w:t xml:space="preserve"> </w:t>
      </w:r>
      <w:r>
        <w:rPr>
          <w:rStyle w:val="Funotenanker"/>
        </w:rPr>
        <w:footnoteReference w:customMarkFollows="1" w:id="1759"/>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60"/>
        <w:t>ah</w:t>
      </w:r>
      <w:r>
        <w:rPr/>
        <w:t xml:space="preserve"> Scheol</w:t>
      </w:r>
      <w:r>
        <w:rPr>
          <w:rStyle w:val="Funotenanker"/>
        </w:rPr>
        <w:footnoteReference w:customMarkFollows="1" w:id="1761"/>
        <w:t>ai</w:t>
      </w:r>
      <w:r>
        <w:rPr/>
        <w:t xml:space="preserve"> zurückkehren,</w:t>
      </w:r>
      <w:r>
        <w:rPr>
          <w:rStyle w:val="Funotenanker"/>
        </w:rPr>
        <w:footnoteReference w:customMarkFollows="1" w:id="1762"/>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63"/>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64"/>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65"/>
        <w:t>am</w:t>
      </w:r>
      <w:r>
        <w:rPr/>
        <w:t xml:space="preserve"> sollen nicht stark sein!</w:t>
      </w:r>
      <w:r>
        <w:rPr>
          <w:rStyle w:val="Funotenanker"/>
        </w:rPr>
        <w:footnoteReference w:customMarkFollows="1" w:id="1766"/>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67"/>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68"/>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69"/>
        <w:t>b</w:t>
      </w:r>
      <w:r>
        <w:rPr/>
        <w:t xml:space="preserve">! ... Vergiss die Elenden doch nicht!“ wieder </w:t>
      </w:r>
      <w:r>
        <w:rPr>
          <w:rStyle w:val="Funotenanker"/>
        </w:rPr>
        <w:footnoteReference w:customMarkFollows="1" w:id="1770"/>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71"/>
        <w:t>Status</w:t>
      </w:r>
      <w:r>
        <w:rPr/>
        <w:t xml:space="preserve"> </w:t>
      </w:r>
      <w:r>
        <w:rPr>
          <w:b/>
          <w:color w:val="808080"/>
        </w:rPr>
        <w:t>[</w:t>
      </w:r>
      <w:r>
        <w:rPr/>
        <w:t>'''L'''</w:t>
      </w:r>
      <w:r>
        <w:rPr>
          <w:b/>
          <w:color w:val="808080"/>
        </w:rPr>
        <w:t>]</w:t>
      </w:r>
      <w:r>
        <w:rPr/>
        <w:t xml:space="preserve"> </w:t>
      </w:r>
      <w:r>
        <w:rPr>
          <w:rStyle w:val="Funotenanker"/>
        </w:rPr>
        <w:footnoteReference w:customMarkFollows="1" w:id="1772"/>
        <w:t>d</w:t>
      </w:r>
      <w:r>
        <w:rPr/>
        <w:t xml:space="preserve"> Warum, o </w:t>
      </w:r>
      <w:r>
        <w:rPr>
          <w:smallCaps/>
          <w:color w:val="FF0000"/>
        </w:rPr>
        <w:t>JHWH</w:t>
      </w:r>
      <w:r>
        <w:rPr/>
        <w:t>, willst du fern stehen,</w:t>
      </w:r>
      <w:r>
        <w:rPr>
          <w:rStyle w:val="Funotenanker"/>
        </w:rPr>
        <w:footnoteReference w:customMarkFollows="1" w:id="1773"/>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74"/>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75"/>
        <w:t>g</w:t>
      </w:r>
      <w:r>
        <w:rPr/>
        <w:t>Sie werden gefangen durch die Ränke, die sie erdacht haben.</w:t>
      </w:r>
      <w:r>
        <w:rPr>
          <w:rStyle w:val="Funotenanker"/>
        </w:rPr>
        <w:footnoteReference w:customMarkFollows="1" w:id="1776"/>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77"/>
        <w:t>i</w:t>
      </w:r>
      <w:r>
        <w:rPr/>
        <w:t>Und der Abschneider</w:t>
      </w:r>
      <w:r>
        <w:rPr>
          <w:rStyle w:val="Funotenanker"/>
        </w:rPr>
        <w:footnoteReference w:customMarkFollows="1" w:id="1778"/>
        <w:t>j</w:t>
      </w:r>
      <w:r>
        <w:rPr/>
        <w:t xml:space="preserve"> flucht,</w:t>
      </w:r>
      <w:r>
        <w:rPr>
          <w:rStyle w:val="Funotenanker"/>
        </w:rPr>
        <w:footnoteReference w:customMarkFollows="1" w:id="1779"/>
        <w:t>k</w:t>
      </w:r>
      <w:r>
        <w:rPr/>
        <w:t xml:space="preserve"> verachtet</w:t>
      </w:r>
      <w:r>
        <w:rPr>
          <w:rStyle w:val="Funotenanker"/>
        </w:rPr>
        <w:footnoteReference w:customMarkFollows="1" w:id="1780"/>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81"/>
        <w:t>m</w:t>
      </w:r>
      <w:r>
        <w:rPr/>
        <w:t xml:space="preserve"> „Er sucht nicht!“</w:t>
      </w:r>
      <w:r>
        <w:rPr>
          <w:rStyle w:val="Funotenanker"/>
        </w:rPr>
        <w:footnoteReference w:customMarkFollows="1" w:id="1782"/>
        <w:t>n</w:t>
      </w:r>
      <w:r>
        <w:rPr/>
        <w:t xml:space="preserve">„Es </w:t>
      </w:r>
      <w:r>
        <w:rPr>
          <w:b/>
          <w:color w:val="808080"/>
        </w:rPr>
        <w:t>[</w:t>
      </w:r>
      <w:r>
        <w:rPr/>
        <w:t>gibt</w:t>
      </w:r>
      <w:r>
        <w:rPr>
          <w:b/>
          <w:color w:val="808080"/>
        </w:rPr>
        <w:t>]</w:t>
      </w:r>
      <w:r>
        <w:rPr/>
        <w:t xml:space="preserve"> keinen Gott“</w:t>
      </w:r>
      <w:r>
        <w:rPr>
          <w:rStyle w:val="Funotenanker"/>
        </w:rPr>
        <w:footnoteReference w:customMarkFollows="1" w:id="1783"/>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84"/>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85"/>
        <w:t>q</w:t>
      </w:r>
      <w:r>
        <w:rPr/>
        <w:t>All' seine Gegner, die schnaubt er an.</w:t>
      </w:r>
      <w:r>
        <w:rPr>
          <w:rStyle w:val="Funotenanker"/>
        </w:rPr>
        <w:footnoteReference w:customMarkFollows="1" w:id="1786"/>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87"/>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88"/>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89"/>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90"/>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91"/>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92"/>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93"/>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94"/>
        <w:t>z</w:t>
      </w:r>
      <w:r>
        <w:rPr/>
        <w:t>Verbirgt sein Gesicht,</w:t>
      </w:r>
      <w:r>
        <w:rPr>
          <w:rStyle w:val="Funotenanker"/>
        </w:rPr>
        <w:footnoteReference w:customMarkFollows="1" w:id="1795"/>
        <w:t>aa</w:t>
      </w:r>
      <w:r>
        <w:rPr/>
        <w:t xml:space="preserve"> Sieht nicht auf immer!“</w:t>
      </w:r>
      <w:r>
        <w:rPr>
          <w:rStyle w:val="Funotenanker"/>
        </w:rPr>
        <w:footnoteReference w:customMarkFollows="1" w:id="1796"/>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97"/>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98"/>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99"/>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00"/>
        <w:t>af</w:t>
      </w:r>
      <w:r>
        <w:rPr/>
        <w:t xml:space="preserve"> sein</w:t>
      </w:r>
      <w:r>
        <w:rPr>
          <w:rStyle w:val="Funotenanker"/>
        </w:rPr>
        <w:footnoteReference w:customMarkFollows="1" w:id="1801"/>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02"/>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03"/>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04"/>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05"/>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06"/>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07"/>
        <w:t>b</w:t>
      </w:r>
      <w:r>
        <w:rPr/>
        <w:t xml:space="preserve"> vertraue ich“ den Grundton des Psalms an. Kontrastiert wird diese Vertrauenshaltung in Vv. 1c-3 mit einer fingierten Anfrage von Feinden der </w:t>
      </w:r>
      <w:r>
        <w:rPr>
          <w:rStyle w:val="Funotenanker"/>
        </w:rPr>
        <w:footnoteReference w:customMarkFollows="1" w:id="1808"/>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09"/>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10"/>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11"/>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12"/>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w:t>
        <w:br/>
        <w:t xml:space="preserve">Wie </w:t>
      </w:r>
      <w:r>
        <w:rPr>
          <w:b/>
          <w:color w:val="808080"/>
        </w:rPr>
        <w:t>[</w:t>
      </w:r>
      <w:r>
        <w:rPr/>
        <w:t>könnt</w:t>
      </w:r>
      <w:r>
        <w:rPr>
          <w:b/>
          <w:color w:val="808080"/>
        </w:rPr>
        <w:t>]</w:t>
      </w:r>
      <w:r>
        <w:rPr/>
        <w:t xml:space="preserve"> ihr</w:t>
      </w:r>
      <w:r>
        <w:rPr>
          <w:rStyle w:val="Funotenanker"/>
        </w:rPr>
        <w:footnoteReference w:customMarkFollows="1" w:id="1813"/>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14"/>
        <w:t>h</w:t>
      </w:r>
      <w:r>
        <w:rPr/>
        <w:t xml:space="preserve"> sagen:</w:t>
      </w:r>
      <w:r>
        <w:rPr>
          <w:rStyle w:val="Funotenanker"/>
        </w:rPr>
        <w:footnoteReference w:customMarkFollows="1" w:id="1815"/>
        <w:t>i</w:t>
      </w:r>
      <w:r>
        <w:rPr/>
        <w:t>„Flieht auf euren Berg</w:t>
      </w:r>
      <w:r>
        <w:rPr>
          <w:rStyle w:val="Funotenanker"/>
        </w:rPr>
        <w:footnoteReference w:customMarkFollows="1" w:id="1816"/>
        <w:t>j</w:t>
      </w:r>
      <w:r>
        <w:rPr/>
        <w:t xml:space="preserve"> </w:t>
      </w:r>
      <w:r>
        <w:rPr>
          <w:b/>
          <w:color w:val="808080"/>
        </w:rPr>
        <w:t>[</w:t>
      </w:r>
      <w:r>
        <w:rPr/>
        <w:t>wie</w:t>
      </w:r>
      <w:r>
        <w:rPr>
          <w:b/>
          <w:color w:val="808080"/>
        </w:rPr>
        <w:t>]</w:t>
      </w:r>
      <w:r>
        <w:rPr/>
        <w:t xml:space="preserve"> ein Vogel!</w:t>
      </w:r>
      <w:r>
        <w:rPr>
          <w:rStyle w:val="Funotenanker"/>
        </w:rPr>
        <w:footnoteReference w:customMarkFollows="1" w:id="1817"/>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18"/>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19"/>
        <w:t>m</w:t>
      </w:r>
      <w:r>
        <w:rPr/>
        <w:t xml:space="preserve"> die Bösen wollen den Bogen spannen,Sie wollen den Pfeil auf die Sehne legen</w:t>
      </w:r>
      <w:r>
        <w:rPr>
          <w:rStyle w:val="Funotenanker"/>
        </w:rPr>
        <w:footnoteReference w:customMarkFollows="1" w:id="1820"/>
        <w:t>n</w:t>
      </w:r>
      <w:r>
        <w:rPr/>
        <w:t>Um im Dunkel</w:t>
      </w:r>
      <w:r>
        <w:rPr>
          <w:rStyle w:val="Funotenanker"/>
        </w:rPr>
        <w:footnoteReference w:customMarkFollows="1" w:id="1821"/>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22"/>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23"/>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24"/>
        <w:t>r</w:t>
      </w:r>
      <w:r>
        <w:rPr/>
        <w:t xml:space="preserve"> </w:t>
        <w:br/>
        <w:t>Seine Augen blicken,</w:t>
      </w:r>
      <w:r>
        <w:rPr>
          <w:rStyle w:val="Funotenanker"/>
        </w:rPr>
        <w:footnoteReference w:customMarkFollows="1" w:id="1825"/>
        <w:t>s</w:t>
      </w:r>
      <w:r>
        <w:rPr/>
        <w:t>Seine Augen</w:t>
      </w:r>
      <w:r>
        <w:rPr>
          <w:rStyle w:val="Funotenanker"/>
        </w:rPr>
        <w:footnoteReference w:customMarkFollows="1" w:id="1826"/>
        <w:t>t</w:t>
      </w:r>
      <w:r>
        <w:rPr/>
        <w:t xml:space="preserve"> prüfen die Menschensöhne.</w:t>
      </w:r>
      <w:r>
        <w:rPr>
          <w:rStyle w:val="Funotenanker"/>
        </w:rPr>
        <w:footnoteReference w:customMarkFollows="1" w:id="1827"/>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28"/>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29"/>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30"/>
        <w:t>x</w:t>
      </w:r>
      <w:r>
        <w:rPr/>
        <w:t>Feuer, Schwefel</w:t>
      </w:r>
      <w:r>
        <w:rPr>
          <w:rStyle w:val="Funotenanker"/>
        </w:rPr>
        <w:footnoteReference w:customMarkFollows="1" w:id="1831"/>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32"/>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33"/>
        <w:t>aa</w:t>
      </w:r>
      <w:r>
        <w:rPr/>
        <w:t xml:space="preserve"> ein Aufrechter sein Gesicht sehen </w:t>
      </w:r>
      <w:r>
        <w:rPr>
          <w:color w:val="808080"/>
        </w:rPr>
        <w:t>(wird sein Gesicht auf einen Aufrechten sehen?)</w:t>
      </w:r>
      <w:r>
        <w:rPr/>
        <w:t>.</w:t>
      </w:r>
      <w:r>
        <w:rPr>
          <w:rStyle w:val="Funotenanker"/>
        </w:rPr>
        <w:footnoteReference w:customMarkFollows="1" w:id="1834"/>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35"/>
        <w:t>a</w:t>
      </w:r>
      <w:r>
        <w:rPr/>
        <w:t xml:space="preserve">s Aufmerksamkeit auf den Beter lenken soll. Darauf folgt eine „Klage“: Die Frommen und Treuen, d.h. (auch): die </w:t>
      </w:r>
      <w:r>
        <w:rPr>
          <w:rStyle w:val="Funotenanker"/>
        </w:rPr>
        <w:footnoteReference w:customMarkFollows="1" w:id="1836"/>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37"/>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38"/>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39"/>
        <w:t>e</w:t>
      </w:r>
      <w:r>
        <w:rPr/>
        <w:t xml:space="preserve">, willst du mich so gänzlich vergessen?“ Wann endlich ändert sich der Status Quo? Hilf doch, </w:t>
      </w:r>
      <w:r>
        <w:rPr>
          <w:rStyle w:val="Funotenanker"/>
        </w:rPr>
        <w:footnoteReference w:customMarkFollows="1" w:id="1840"/>
        <w:t>f</w:t>
      </w:r>
      <w:r>
        <w:rPr/>
        <w:t xml:space="preserve">! </w:t>
        <w:br/>
        <w:br/>
        <w:t>[[@BibleTOBIBLE:Ps 12:1]]</w:t>
      </w:r>
      <w:r>
        <w:rPr>
          <w:b/>
        </w:rPr>
        <w:t>1</w:t>
      </w:r>
      <w:r>
        <w:rPr/>
        <w:t xml:space="preserve"> {{field-on:bible}} </w:t>
      </w:r>
      <w:r>
        <w:rPr>
          <w:rStyle w:val="Funotenanker"/>
        </w:rPr>
        <w:footnoteReference w:customMarkFollows="1" w:id="1841"/>
        <w:t>Status</w:t>
      </w:r>
      <w:r>
        <w:rPr/>
        <w:t xml:space="preserve"> ''Für den Chorleiter </w:t>
      </w:r>
      <w:r>
        <w:rPr>
          <w:color w:val="808080"/>
        </w:rPr>
        <w:t>(Dirigenten, Singenden, Musizierenden)</w:t>
      </w:r>
      <w:r>
        <w:rPr/>
        <w:t>''.</w:t>
      </w:r>
      <w:r>
        <w:rPr>
          <w:rStyle w:val="Funotenanker"/>
        </w:rPr>
        <w:footnoteReference w:customMarkFollows="1" w:id="1842"/>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43"/>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44"/>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45"/>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46"/>
        <w:t>k</w:t>
      </w:r>
      <w:r>
        <w:rPr/>
        <w:t xml:space="preserve"> </w:t>
      </w:r>
      <w:r>
        <w:rPr>
          <w:b/>
          <w:color w:val="808080"/>
        </w:rPr>
        <w:t>[</w:t>
      </w:r>
      <w:r>
        <w:rPr/>
        <w:t>Mit</w:t>
      </w:r>
      <w:r>
        <w:rPr>
          <w:b/>
          <w:color w:val="808080"/>
        </w:rPr>
        <w:t>]</w:t>
      </w:r>
      <w:r>
        <w:rPr/>
        <w:t xml:space="preserve"> glatter Lippe,</w:t>
      </w:r>
      <w:r>
        <w:rPr>
          <w:rStyle w:val="Funotenanker"/>
        </w:rPr>
        <w:footnoteReference w:customMarkFollows="1" w:id="1847"/>
        <w:t>l</w:t>
      </w:r>
      <w:r>
        <w:rPr/>
        <w:t xml:space="preserve"> mit Herz und Herz</w:t>
      </w:r>
      <w:r>
        <w:rPr>
          <w:rStyle w:val="Funotenanker"/>
        </w:rPr>
        <w:footnoteReference w:customMarkFollows="1" w:id="1848"/>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49"/>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50"/>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51"/>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52"/>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53"/>
        <w:t>r</w:t>
      </w:r>
      <w:r>
        <w:rPr/>
        <w:t xml:space="preserve"> mögest </w:t>
      </w:r>
      <w:r>
        <w:rPr>
          <w:color w:val="808080"/>
        </w:rPr>
        <w:t>(wirst)</w:t>
      </w:r>
      <w:r>
        <w:rPr/>
        <w:t xml:space="preserve"> sie</w:t>
      </w:r>
      <w:r>
        <w:rPr>
          <w:rStyle w:val="Funotenanker"/>
        </w:rPr>
        <w:footnoteReference w:customMarkFollows="1" w:id="1854"/>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55"/>
        <w:t>t</w:t>
      </w:r>
      <w:r>
        <w:rPr/>
        <w:t xml:space="preserve"> bei den Menschenkindern.</w:t>
      </w:r>
      <w:r>
        <w:rPr>
          <w:rStyle w:val="Funotenanker"/>
        </w:rPr>
        <w:footnoteReference w:customMarkFollows="1" w:id="1856"/>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57"/>
        <w:t>Status</w:t>
      </w:r>
      <w:r>
        <w:rPr/>
        <w:t xml:space="preserve"> Für den den Chorleiter </w:t>
      </w:r>
      <w:r>
        <w:rPr>
          <w:color w:val="808080"/>
        </w:rPr>
        <w:t>(Dirigenten, Singenden, Musizierenden)</w:t>
      </w:r>
      <w:r>
        <w:rPr/>
        <w:t>.</w:t>
      </w:r>
      <w:r>
        <w:rPr>
          <w:rStyle w:val="Funotenanker"/>
        </w:rPr>
        <w:footnoteReference w:customMarkFollows="1" w:id="1858"/>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59"/>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60"/>
        <w:t>c</w:t>
      </w:r>
      <w:r>
        <w:rPr/>
        <w:t xml:space="preserve"> vergessen</w:t>
      </w:r>
      <w:r>
        <w:rPr>
          <w:rStyle w:val="Funotenanker"/>
        </w:rPr>
        <w:footnoteReference w:customMarkFollows="1" w:id="1861"/>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62"/>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63"/>
        <w:t>f</w:t>
      </w:r>
      <w:r>
        <w:rPr/>
        <w:t xml:space="preserve"> in meine Seele</w:t>
      </w:r>
      <w:r>
        <w:rPr>
          <w:rStyle w:val="Funotenanker"/>
        </w:rPr>
        <w:footnoteReference w:customMarkFollows="1" w:id="1864"/>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65"/>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66"/>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67"/>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68"/>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69"/>
        <w:t>l</w:t>
      </w:r>
      <w:r>
        <w:rPr/>
        <w:t xml:space="preserve">, antworte mir, </w:t>
      </w:r>
      <w:r>
        <w:rPr>
          <w:smallCaps/>
          <w:color w:val="FF0000"/>
        </w:rPr>
        <w:t>JHWH</w:t>
      </w:r>
      <w:r>
        <w:rPr/>
        <w:t>!</w:t>
      </w:r>
      <w:r>
        <w:rPr>
          <w:rStyle w:val="Funotenanker"/>
        </w:rPr>
        <w:footnoteReference w:customMarkFollows="1" w:id="1870"/>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71"/>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72"/>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73"/>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74"/>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75"/>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76"/>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77"/>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78"/>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79"/>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880"/>
        <w:t>c</w:t>
      </w:r>
      <w:r>
        <w:rPr/>
        <w:t xml:space="preserve"> </w:t>
        <w:br/>
        <w:t xml:space="preserve">Sie begehen, verbrechen </w:t>
      </w:r>
      <w:r>
        <w:rPr>
          <w:color w:val="808080"/>
        </w:rPr>
        <w:t>(begingen, verbrachen)</w:t>
      </w:r>
      <w:r>
        <w:rPr/>
        <w:t xml:space="preserve"> Übeltat</w:t>
      </w:r>
      <w:r>
        <w:rPr>
          <w:rStyle w:val="Funotenanker"/>
        </w:rPr>
        <w:footnoteReference w:customMarkFollows="1" w:id="1881"/>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882"/>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883"/>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884"/>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885"/>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886"/>
        <w:t>i</w:t>
      </w:r>
      <w:r>
        <w:rPr/>
        <w:t xml:space="preserve"> Rettung für Israel geben!</w:t>
      </w:r>
      <w:r>
        <w:rPr>
          <w:rStyle w:val="Funotenanker"/>
        </w:rPr>
        <w:footnoteReference w:customMarkFollows="1" w:id="1887"/>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888"/>
        <w:t>k</w:t>
      </w:r>
      <w:r>
        <w:rPr/>
        <w:t xml:space="preserve"> jubeln, Israel sich freuen!</w:t>
        <w:br/>
        <w:t xml:space="preserve">{{field-off:bible}} </w:t>
      </w:r>
    </w:p>
    <w:p>
      <w:pPr>
        <w:pStyle w:val="Berschrift3"/>
        <w:rPr/>
      </w:pPr>
      <w:r>
        <w:rPr/>
        <w:t>[[@BibleTOBIBLE:Ps 15]]Kapitel 15</w:t>
      </w:r>
    </w:p>
    <w:p>
      <w:pPr>
        <w:pStyle w:val="Textkrper"/>
        <w:rPr/>
      </w:pPr>
      <w:r>
        <w:rPr/>
        <w:t>„</w:t>
      </w:r>
      <w:r>
        <w:rPr/>
        <w:t>Rabbi Simlai lehrte: ‚613 Gebote wurden dem Mose gesagt.‘“, heißt es im Talmud (b.Mak 23b). Gemeint ist das Gesamt aller jüdischen Vorschriften, die nach alter Vorstellung sämtlich von Gott an Mose weitergegeben wurden. Der Talmud fährt fort: „Rabbi Hamnuna sagte: ‚David kam und ließ [diese 613 Gebote] auf elf [Geboten] stehen.‘“ (b.Mak 24a). Gemeint ist Psalm 15, von dem hier also gesagt wird, dass er die elf fundamentalen Gebote enthält, auf denen alle 613 Gebote aufbauen und basieren.</w:t>
      </w:r>
      <w:r>
        <w:rPr>
          <w:rStyle w:val="Funotenanker"/>
        </w:rPr>
        <w:footnoteReference w:customMarkFollows="1" w:id="1889"/>
        <w:t>a</w:t>
      </w:r>
      <w:r>
        <w:rPr/>
        <w:t xml:space="preserve"> Ps 15 wird schon hier gesehen als weisheitlicher Psalm, der belehrt über den rechten Lebensweg: „Wer darf wohnen auf deinem heiligen Berg“, wird eingangs gefragt und damit ein Motiv aufgegriffen, das sich auch findet in Ps 23,6; 27,4f.; 61,5; 65,5; 84,4: Wer „im Haus Gottes wohnt“ – in seinem Zelt, auf seinem Berg – steht so unter dem Schutz dieses Hausherrn und darf sich daher sicher wissen vor jeder Gefahr (vgl. Ps 23,4f.; 27,1-3; 61,3f.; auch 5,5). So auch hier: Gebeten wird nicht um eine tatsächliche „Bleibe“, sondern um Gottes Segen und Schutz, für das auch hier symbolisch das „Wohnen im Hause Gottes“ steht (V. 1). Gottes Schutz – das Wohnrecht in seinem Tempel – wird aber nur jenen zuteil, die bestimmte Gebote befolgen und Verbote beachten, die in Vv. 2-5b aufgelistet werden; für diese aber gilt: „Wer dies tut, wird auf ewig nicht wanken“, „nie in Gefahr geraten“ (V. 5cd).</w:t>
      </w:r>
      <w:r>
        <w:rPr>
          <w:rStyle w:val="Funotenanker"/>
        </w:rPr>
        <w:footnoteReference w:customMarkFollows="1" w:id="1890"/>
        <w:t>b</w:t>
      </w:r>
      <w:r>
        <w:rPr/>
        <w:t xml:space="preserve">Weil sie so zentral sind, seien die 11 „Fundamentalgebote“ hier noch einmal gesammelt: # Sei redlich! (2a) # Sei gerecht! (2b) # Sei offen für die Wahrheit! (2c) # Verleumde andere nicht! (3a) # Füge anderen keinen Schaden zu! (3b) # Leiste keine Beihilfe! (3c) # Verachte die, die Gott verachtet! (4a) # Ehre die, die Gott ehren! (4b) # Halte deine Schwüre! (4cd) # Verleihe nicht gegen Zins! (5a) # Sei nicht bestechlich! (5b) </w:t>
        <w:br/>
        <w:br/>
        <w:t>[[@BibleTOBIBLE:Ps 15:1]]</w:t>
      </w:r>
      <w:r>
        <w:rPr>
          <w:b/>
        </w:rPr>
        <w:t>1</w:t>
      </w:r>
      <w:r>
        <w:rPr/>
        <w:t xml:space="preserve"> {{field-on:bible}} </w:t>
      </w:r>
      <w:r>
        <w:rPr>
          <w:rStyle w:val="Funotenanker"/>
        </w:rPr>
        <w:footnoteReference w:customMarkFollows="1" w:id="1891"/>
        <w:t>Status</w:t>
      </w:r>
      <w:r>
        <w:rPr/>
        <w:t xml:space="preserve"> Ein Lied von </w:t>
      </w:r>
      <w:r>
        <w:rPr>
          <w:color w:val="808080"/>
        </w:rPr>
        <w:t>(für, über, nach Art von)</w:t>
      </w:r>
      <w:r>
        <w:rPr/>
        <w:t xml:space="preserve"> David. </w:t>
        <w:br/>
      </w:r>
      <w:r>
        <w:rPr>
          <w:smallCaps/>
          <w:color w:val="FF0000"/>
        </w:rPr>
        <w:t>JHWH</w:t>
      </w:r>
      <w:r>
        <w:rPr/>
        <w:t xml:space="preserve">, wer darf </w:t>
      </w:r>
      <w:r>
        <w:rPr>
          <w:color w:val="808080"/>
        </w:rPr>
        <w:t>(wird)</w:t>
      </w:r>
      <w:r>
        <w:rPr/>
        <w:t xml:space="preserve"> gasten </w:t>
      </w:r>
      <w:r>
        <w:rPr>
          <w:color w:val="808080"/>
        </w:rPr>
        <w:t>(Gast sein)</w:t>
      </w:r>
      <w:r>
        <w:rPr/>
        <w:t xml:space="preserve"> in deinem Zelt </w:t>
      </w:r>
      <w:r>
        <w:rPr>
          <w:color w:val="808080"/>
        </w:rPr>
        <w:t>(in deinen Zelten)</w:t>
      </w:r>
      <w:r>
        <w:rPr/>
        <w:t xml:space="preserve"> </w:t>
      </w:r>
      <w:r>
        <w:rPr>
          <w:rStyle w:val="Funotenanker"/>
        </w:rPr>
        <w:footnoteReference w:customMarkFollows="1" w:id="1892"/>
        <w:t>c</w:t>
      </w:r>
      <w:r>
        <w:rPr/>
        <w:t xml:space="preserve">Und </w:t>
      </w:r>
      <w:r>
        <w:rPr>
          <w:color w:val="808080"/>
        </w:rPr>
        <w:t>(</w:t>
      </w:r>
      <w:r>
        <w:rPr>
          <w:strike/>
          <w:color w:val="808080"/>
        </w:rPr>
        <w:t>{und}</w:t>
      </w:r>
      <w:r>
        <w:rPr>
          <w:color w:val="808080"/>
        </w:rPr>
        <w:t>)</w:t>
      </w:r>
      <w:r>
        <w:rPr/>
        <w:t xml:space="preserve"> </w:t>
      </w:r>
      <w:r>
        <w:rPr>
          <w:rStyle w:val="Funotenanker"/>
        </w:rPr>
        <w:footnoteReference w:customMarkFollows="1" w:id="1893"/>
        <w:t>d</w:t>
      </w:r>
      <w:r>
        <w:rPr/>
        <w:t xml:space="preserve"> wer darf </w:t>
      </w:r>
      <w:r>
        <w:rPr>
          <w:color w:val="808080"/>
        </w:rPr>
        <w:t>(wird)</w:t>
      </w:r>
      <w:r>
        <w:rPr/>
        <w:t xml:space="preserve"> wohnen auf deinem heiligen Berg </w:t>
      </w:r>
      <w:r>
        <w:rPr>
          <w:color w:val="808080"/>
        </w:rPr>
        <w:t>(auf dem Berg deiner Heiligkeit)</w:t>
      </w:r>
      <w:r>
        <w:rPr/>
        <w:t>?</w:t>
        <w:br/>
        <w:br/>
        <w:t xml:space="preserve">{{field-off:bible}} </w:t>
        <w:br/>
        <w:t>[[@BibleTOBIBLE:Ps 15:2]]</w:t>
      </w:r>
      <w:r>
        <w:rPr>
          <w:b/>
        </w:rPr>
        <w:t>2</w:t>
      </w:r>
      <w:r>
        <w:rPr/>
        <w:t xml:space="preserve"> {{field-on:bible}} </w:t>
        <w:br/>
        <w:t>„</w:t>
      </w:r>
      <w:r>
        <w:rPr>
          <w:b/>
          <w:color w:val="808080"/>
        </w:rPr>
        <w:t>[</w:t>
      </w:r>
      <w:r>
        <w:rPr/>
        <w:t>Wer</w:t>
      </w:r>
      <w:r>
        <w:rPr>
          <w:b/>
          <w:color w:val="808080"/>
        </w:rPr>
        <w:t>]</w:t>
      </w:r>
      <w:r>
        <w:rPr/>
        <w:t xml:space="preserve"> redlich wandelt Und Gerechtes </w:t>
      </w:r>
      <w:r>
        <w:rPr>
          <w:color w:val="808080"/>
        </w:rPr>
        <w:t>(recht)</w:t>
      </w:r>
      <w:r>
        <w:rPr/>
        <w:t xml:space="preserve"> tut Und Wahres sagt </w:t>
      </w:r>
      <w:r>
        <w:rPr>
          <w:color w:val="808080"/>
        </w:rPr>
        <w:t>(denkt)</w:t>
      </w:r>
      <w:r>
        <w:rPr/>
        <w:t xml:space="preserve"> in seinem Herzen </w:t>
      </w:r>
      <w:r>
        <w:rPr>
          <w:color w:val="808080"/>
        </w:rPr>
        <w:t xml:space="preserve">(ausspricht, </w:t>
      </w:r>
      <w:r>
        <w:rPr>
          <w:b/>
          <w:color w:val="808080"/>
        </w:rPr>
        <w:t>[</w:t>
      </w:r>
      <w:r>
        <w:rPr>
          <w:color w:val="808080"/>
        </w:rPr>
        <w:t>was</w:t>
      </w:r>
      <w:r>
        <w:rPr>
          <w:b/>
          <w:color w:val="808080"/>
        </w:rPr>
        <w:t>]</w:t>
      </w:r>
      <w:r>
        <w:rPr>
          <w:color w:val="808080"/>
        </w:rPr>
        <w:t xml:space="preserve"> wahrhaft in seinem Herzen </w:t>
      </w:r>
      <w:r>
        <w:rPr>
          <w:b/>
          <w:color w:val="808080"/>
        </w:rPr>
        <w:t>[</w:t>
      </w:r>
      <w:r>
        <w:rPr>
          <w:color w:val="808080"/>
        </w:rPr>
        <w:t>ist</w:t>
      </w:r>
      <w:r>
        <w:rPr>
          <w:b/>
          <w:color w:val="808080"/>
        </w:rPr>
        <w:t>]</w:t>
      </w:r>
      <w:r>
        <w:rPr>
          <w:color w:val="808080"/>
        </w:rPr>
        <w:t>)</w:t>
      </w:r>
      <w:r>
        <w:rPr/>
        <w:t>,</w:t>
      </w:r>
      <w:r>
        <w:rPr>
          <w:rStyle w:val="Funotenanker"/>
        </w:rPr>
        <w:footnoteReference w:customMarkFollows="1" w:id="1894"/>
        <w:t>e</w:t>
      </w:r>
      <w:r>
        <w:rPr/>
        <w:t xml:space="preserve"> </w:t>
        <w:br/>
        <w:t xml:space="preserve">{{field-off:bible}} </w:t>
        <w:br/>
        <w:t>[[@BibleTOBIBLE:Ps 15:3]]</w:t>
      </w:r>
      <w:r>
        <w:rPr>
          <w:b/>
        </w:rPr>
        <w:t>3</w:t>
      </w:r>
      <w:r>
        <w:rPr/>
        <w:t xml:space="preserve"> {{field-on:bible}} </w:t>
        <w:br/>
        <w:t xml:space="preserve">Nicht Verleumdung auf seiner Zunge </w:t>
      </w:r>
      <w:r>
        <w:rPr>
          <w:b/>
          <w:color w:val="808080"/>
        </w:rPr>
        <w:t>[</w:t>
      </w:r>
      <w:r>
        <w:rPr/>
        <w:t>hatte</w:t>
      </w:r>
      <w:r>
        <w:rPr>
          <w:b/>
          <w:color w:val="808080"/>
        </w:rPr>
        <w:t>]</w:t>
      </w:r>
      <w:r>
        <w:rPr/>
        <w:t>,</w:t>
      </w:r>
      <w:r>
        <w:rPr>
          <w:rStyle w:val="Funotenanker"/>
        </w:rPr>
        <w:footnoteReference w:customMarkFollows="1" w:id="1895"/>
        <w:t>f</w:t>
      </w:r>
      <w:r>
        <w:rPr/>
        <w:t xml:space="preserve"> </w:t>
      </w:r>
      <w:r>
        <w:rPr>
          <w:color w:val="808080"/>
        </w:rPr>
        <w:t>(</w:t>
      </w:r>
      <w:r>
        <w:rPr>
          <w:b/>
          <w:color w:val="808080"/>
        </w:rPr>
        <w:t>[</w:t>
      </w:r>
      <w:r>
        <w:rPr>
          <w:color w:val="808080"/>
        </w:rPr>
        <w:t>Und</w:t>
      </w:r>
      <w:r>
        <w:rPr>
          <w:b/>
          <w:color w:val="808080"/>
        </w:rPr>
        <w:t>]</w:t>
      </w:r>
      <w:r>
        <w:rPr>
          <w:color w:val="808080"/>
        </w:rPr>
        <w:t>)</w:t>
      </w:r>
      <w:r>
        <w:rPr/>
        <w:t xml:space="preserve"> </w:t>
      </w:r>
      <w:r>
        <w:rPr>
          <w:rStyle w:val="Funotenanker"/>
        </w:rPr>
        <w:footnoteReference w:customMarkFollows="1" w:id="1896"/>
        <w:t>g</w:t>
      </w:r>
      <w:r>
        <w:rPr/>
        <w:t xml:space="preserve"> Nicht tat seinem Genossen Schaden </w:t>
      </w:r>
      <w:r>
        <w:rPr>
          <w:color w:val="808080"/>
        </w:rPr>
        <w:t>(Böses)</w:t>
      </w:r>
      <w:r>
        <w:rPr/>
        <w:t xml:space="preserve"> </w:t>
      </w:r>
      <w:r>
        <w:rPr>
          <w:rStyle w:val="Funotenanker"/>
        </w:rPr>
        <w:footnoteReference w:customMarkFollows="1" w:id="1897"/>
        <w:t>h</w:t>
      </w:r>
      <w:r>
        <w:rPr/>
        <w:t xml:space="preserve">Und Schande nicht trug wegen seinem Nächsten </w:t>
      </w:r>
      <w:r>
        <w:rPr>
          <w:color w:val="808080"/>
        </w:rPr>
        <w:t>(nicht lud auf seinen Nächsten?)</w:t>
      </w:r>
      <w:r>
        <w:rPr/>
        <w:t>,</w:t>
      </w:r>
      <w:r>
        <w:rPr>
          <w:rStyle w:val="Funotenanker"/>
        </w:rPr>
        <w:footnoteReference w:customMarkFollows="1" w:id="1898"/>
        <w:t>i</w:t>
      </w:r>
      <w:r>
        <w:rPr/>
        <w:t xml:space="preserve"> </w:t>
        <w:br/>
        <w:t xml:space="preserve">{{field-off:bible}} </w:t>
        <w:br/>
        <w:t>[[@BibleTOBIBLE:Ps 15:4]]</w:t>
      </w:r>
      <w:r>
        <w:rPr>
          <w:b/>
        </w:rPr>
        <w:t>4</w:t>
      </w:r>
      <w:r>
        <w:rPr/>
        <w:t xml:space="preserve"> {{field-on:bible}} </w:t>
        <w:br/>
        <w:t xml:space="preserve">Verachtet </w:t>
      </w:r>
      <w:r>
        <w:rPr>
          <w:b/>
          <w:color w:val="808080"/>
        </w:rPr>
        <w:t>[</w:t>
      </w:r>
      <w:r>
        <w:rPr/>
        <w:t>den</w:t>
      </w:r>
      <w:r>
        <w:rPr>
          <w:b/>
          <w:color w:val="808080"/>
        </w:rPr>
        <w:t>]</w:t>
      </w:r>
      <w:r>
        <w:rPr/>
        <w:t xml:space="preserve"> in seinen Augen Verworfenen </w:t>
      </w:r>
      <w:r>
        <w:rPr>
          <w:color w:val="808080"/>
        </w:rPr>
        <w:t>(</w:t>
      </w:r>
      <w:r>
        <w:rPr>
          <w:b/>
          <w:color w:val="808080"/>
        </w:rPr>
        <w:t>[</w:t>
      </w:r>
      <w:r>
        <w:rPr>
          <w:color w:val="808080"/>
        </w:rPr>
        <w:t>bei dem</w:t>
      </w:r>
      <w:r>
        <w:rPr>
          <w:b/>
          <w:color w:val="808080"/>
        </w:rPr>
        <w:t>]</w:t>
      </w:r>
      <w:r>
        <w:rPr>
          <w:color w:val="808080"/>
        </w:rPr>
        <w:t xml:space="preserve"> verachtet </w:t>
      </w:r>
      <w:r>
        <w:rPr>
          <w:b/>
          <w:color w:val="808080"/>
        </w:rPr>
        <w:t>[</w:t>
      </w:r>
      <w:r>
        <w:rPr>
          <w:color w:val="808080"/>
        </w:rPr>
        <w:t>ist der</w:t>
      </w:r>
      <w:r>
        <w:rPr>
          <w:b/>
          <w:color w:val="808080"/>
        </w:rPr>
        <w:t>]</w:t>
      </w:r>
      <w:r>
        <w:rPr>
          <w:color w:val="808080"/>
        </w:rPr>
        <w:t xml:space="preserve"> in seinen Augen Verworfene; in seinen </w:t>
      </w:r>
      <w:r>
        <w:rPr>
          <w:b/>
          <w:color w:val="808080"/>
        </w:rPr>
        <w:t>[</w:t>
      </w:r>
      <w:r>
        <w:rPr>
          <w:color w:val="808080"/>
        </w:rPr>
        <w:t>eigenen</w:t>
      </w:r>
      <w:r>
        <w:rPr>
          <w:b/>
          <w:color w:val="808080"/>
        </w:rPr>
        <w:t>]</w:t>
      </w:r>
      <w:r>
        <w:rPr>
          <w:color w:val="808080"/>
        </w:rPr>
        <w:t xml:space="preserve"> Augen verachtet, verworfen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1899"/>
        <w:t>j</w:t>
      </w:r>
      <w:r>
        <w:rPr/>
        <w:t xml:space="preserve">Und </w:t>
      </w:r>
      <w:r>
        <w:rPr>
          <w:color w:val="808080"/>
        </w:rPr>
        <w:t>(aber)</w:t>
      </w:r>
      <w:r>
        <w:rPr/>
        <w:t xml:space="preserve"> den </w:t>
      </w:r>
      <w:r>
        <w:rPr>
          <w:smallCaps/>
          <w:color w:val="FF0000"/>
        </w:rPr>
        <w:t>JHWH</w:t>
      </w:r>
      <w:r>
        <w:rPr/>
        <w:t>-fürchtigen ehrt,</w:t>
        <w:br/>
        <w:t xml:space="preserve">Schwor dem Genossen </w:t>
      </w:r>
      <w:r>
        <w:rPr>
          <w:color w:val="808080"/>
        </w:rPr>
        <w:t>(zu schaden, zum Schaden?)</w:t>
      </w:r>
      <w:r>
        <w:rPr/>
        <w:t xml:space="preserve"> </w:t>
      </w:r>
      <w:r>
        <w:rPr>
          <w:rStyle w:val="Funotenanker"/>
        </w:rPr>
        <w:footnoteReference w:customMarkFollows="1" w:id="1900"/>
        <w:t>k</w:t>
      </w:r>
      <w:r>
        <w:rPr/>
        <w:t>Und nicht ändert,</w:t>
        <w:br/>
        <w:t xml:space="preserve">{{field-off:bible}} </w:t>
        <w:br/>
        <w:t>[[@BibleTOBIBLE:Ps 15:5]]</w:t>
      </w:r>
      <w:r>
        <w:rPr>
          <w:b/>
        </w:rPr>
        <w:t>5</w:t>
      </w:r>
      <w:r>
        <w:rPr/>
        <w:t xml:space="preserve"> {{field-on:bible}} </w:t>
        <w:br/>
        <w:t xml:space="preserve">Sein Geld nicht verliehen </w:t>
      </w:r>
      <w:r>
        <w:rPr>
          <w:color w:val="808080"/>
        </w:rPr>
        <w:t>(gegeben)</w:t>
      </w:r>
      <w:r>
        <w:rPr/>
        <w:t xml:space="preserve"> hat gegen ZinsUnd Geschenke </w:t>
      </w:r>
      <w:r>
        <w:rPr>
          <w:color w:val="808080"/>
        </w:rPr>
        <w:t>(Bestechungsgelder)</w:t>
      </w:r>
      <w:r>
        <w:rPr/>
        <w:t xml:space="preserve"> gegen einen Unschuldigen nicht genommen hat.</w:t>
      </w:r>
      <w:r>
        <w:rPr>
          <w:rStyle w:val="Funotenanker"/>
        </w:rPr>
        <w:footnoteReference w:customMarkFollows="1" w:id="1901"/>
        <w:t>l</w:t>
      </w:r>
      <w:r>
        <w:rPr/>
        <w:t xml:space="preserve"> </w:t>
        <w:br/>
        <w:br/>
      </w:r>
      <w:r>
        <w:rPr>
          <w:b/>
          <w:color w:val="808080"/>
        </w:rPr>
        <w:t>[</w:t>
      </w:r>
      <w:r>
        <w:rPr/>
        <w:t>Wer</w:t>
      </w:r>
      <w:r>
        <w:rPr>
          <w:b/>
          <w:color w:val="808080"/>
        </w:rPr>
        <w:t>]</w:t>
      </w:r>
      <w:r>
        <w:rPr/>
        <w:t xml:space="preserve"> dies tut, Wird auf ewig nicht wanken.“</w:t>
      </w:r>
      <w:r>
        <w:rPr>
          <w:rStyle w:val="Funotenanker"/>
        </w:rPr>
        <w:footnoteReference w:customMarkFollows="1" w:id="1902"/>
        <w:t>m</w:t>
      </w:r>
      <w:r>
        <w:rPr/>
        <w:t xml:space="preserve"> </w:t>
        <w:br/>
        <w:t xml:space="preserve">{{field-off:bible}} </w:t>
      </w:r>
    </w:p>
    <w:p>
      <w:pPr>
        <w:pStyle w:val="Berschrift3"/>
        <w:rPr/>
      </w:pPr>
      <w:r>
        <w:rPr/>
        <w:t>[[@BibleTOBIBLE:Ps 16]]Kapitel 16</w:t>
      </w:r>
    </w:p>
    <w:p>
      <w:pPr>
        <w:pStyle w:val="Textkrper"/>
        <w:rPr/>
      </w:pPr>
      <w:r>
        <w:rPr/>
        <w:t>Psalm 16 ist ein Bittpsalm eines einzelnen Beters. Doch ist er von einer solchen Erhörungsgewissheit durchdrungen, dass die eigentliche Bitte in V. 1 ganz an den Rand gedrängt wird, stattdessen ist der ganze Psalm vollständig bestimmt von einer Grundstimmung der Hoffnung und des Vertrauens, so dass man ihn gut auch als einen „Vertrauenspsalm“ bezeichnen kann. Die einzelnen Abschnitte sind gut erkennbar:V. 1a ist die Überschrift. Diese Überschriften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aus.In V. 1bc folgt die Bitte, an die sich in Vv. 2-4 direkt ein Bekenntnis anschließt, das Gott wohl auch zum Handeln bewegen soll: Der Beter ist ein Gottgläubiger (V. 2) und führt sein Wohlergehen ganz auf diesen zurück, und er hält sich ganz an die Anhänger dieses Gottes (V. 3). Nicht dagegen hält er sich an die Anhänger anderer Götter (V. 4a) und an diese Götter selbst erst recht nicht (V. 4bc).Aus diesem Grund kann er in den Vv. 5-11 sprechen von den vergangenen, aktuellen und zukünftigen Segnungen durch diesen guten Gott: In Vv. 5-6 nämlich von den Wohltaten, die er ihm schon erwiesen hat, in Vv. 7-8 von seinem aktuellen segensreichen Verhältnis zu Gott und in Vv. 9-11 von den Segnungen, die er von ihm noch erwarten darf.Vv. 5f. werden dabei ganz durchwaltet von der Metapher der Landverlosung. Im Hintergrund steht die in Jos 13 berichtete Verlosung des Landes an die Israeliten, wo es das Schicksal war, das jedem Menschen den (dann je weiterzuvererbenden) Landbesitz zukommen ließ. Ebenso, sagt der Dichter, ist sein Schicksal – Gott.</w:t>
      </w:r>
      <w:r>
        <w:rPr>
          <w:rStyle w:val="Funotenanker"/>
        </w:rPr>
        <w:footnoteReference w:customMarkFollows="1" w:id="1903"/>
        <w:t>a</w:t>
      </w:r>
      <w:r>
        <w:rPr/>
        <w:t xml:space="preserve">Vv. 7f. thematisieren sein Verhältnis zu </w:t>
      </w:r>
      <w:r>
        <w:rPr>
          <w:rStyle w:val="Funotenanker"/>
        </w:rPr>
        <w:footnoteReference w:customMarkFollows="1" w:id="1904"/>
        <w:t>b</w:t>
      </w:r>
      <w:r>
        <w:rPr/>
        <w:t xml:space="preserve">. Er will JHWH preisen, denn: Tag und nacht spricht Gott zu seinem Verstand und seinem Herzen (V. 7), und entsprechend hält auch sich unaufhörlich Gott bewusst (V. 8a). Die Folge dieses unaufhörlichen Miteinanders ist klar: Nie wird ihm Schlimmes widerfahren (V. 8b).Diese beiden Verse werden in Vv. 9-11 gespiegelt und in die Zukunft fortgeführt: Er kann sich freuen, denn: Nie wird ihm Schlimmes widerfahren (V. 9b-10) und er wird stets auf dem rechten – nämlich dem von Gott gelehrten – Pfad wandeln (V. 11). Psalm 16,8-11 wird in Apg 2,26-36 und 13,32-39 als Prophetie über das Schicksal Jesu ausgelegt und im Erlass De falsa duorum textum biblicorum interpretatione („Über die falsche Interpretation von Bibeltexten“) von 1933 hat die päpstliche Bibelkommission „bestimmt“, dass dies in der Tat die richtige Bedeutung dieser Verse sei. Vv. 9-10 sprechen nach dieser Auslegung tatsächlich davon, dass Jesus nicht im Reich der Toten bleiben, sondern auferstehen wird. Das ist nicht die nächstliegende Bedeutung dieser Verse – der Glaube an die Auferstehung hatte sich zur Abfassungszeit des Psalms vermutlich noch gar nicht entwickelt –, an sich ist es aber nicht unmöglich, die Verse auch in diese Richtung auszulegen. Mindestens lässt sich gut mit Weiser 1973, S. 119f. sagen: „[Apg 2,26-36 und Apg 13,32-39 stehen auf demselben] Boden, der durch den ganzen Psalm hindurch als die Grundlage des starken Glaubensoptimismus beim Dichter sichtbar geworden ist: Die Lebensgemeinschaft mit Gott. Wo dieses Leben mit Gott den ganzen Menschen erfasst, verliert der Tod praktisch jenes furchtbare Gewicht, das er für den Menschen [...] besitzt. Dies ist der Weg der Überwindung des Todes, den der Psalm beschreitet: Für die Lebensmacht Gottes, an der der Dichter teilhaben darf, ist Tod und Unterwelt kein unüberschreitbares Hindernis mehr, woran jene Lebensgemeinschaft zerbrechen müsste. [...] Gewiß ist V. 10 [ursprünglich] nicht als weisagende Ankündigung der Auferstehung Jesu gemeint, aber der neutestamentliche Auferstehungsglaube und das, was den Psalmisten hier bewegt, stehen auf dem gleichen Grunde, nämlich auf dem unerschütterlichen Glauben an die Lebensmacht Gottes, die in der Auferstehung des Christus den Tod endgültig überwunden hat.“ </w:t>
        <w:br/>
        <w:br/>
        <w:t>[[@BibleTOBIBLE:Ps 16:1]]</w:t>
      </w:r>
      <w:r>
        <w:rPr>
          <w:b/>
        </w:rPr>
        <w:t>1</w:t>
      </w:r>
      <w:r>
        <w:rPr/>
        <w:t xml:space="preserve"> {{field-on:bible}} </w:t>
      </w:r>
      <w:r>
        <w:rPr>
          <w:rStyle w:val="Funotenanker"/>
        </w:rPr>
        <w:footnoteReference w:customMarkFollows="1" w:id="1905"/>
        <w:t>Status</w:t>
      </w:r>
      <w:r>
        <w:rPr/>
        <w:t xml:space="preserve"> ''miktam''</w:t>
      </w:r>
      <w:r>
        <w:rPr>
          <w:rStyle w:val="Funotenanker"/>
        </w:rPr>
        <w:footnoteReference w:customMarkFollows="1" w:id="1906"/>
        <w:t>c</w:t>
      </w:r>
      <w:r>
        <w:rPr/>
        <w:t xml:space="preserve"> von </w:t>
      </w:r>
      <w:r>
        <w:rPr>
          <w:color w:val="808080"/>
        </w:rPr>
        <w:t>(für, über, nach Art von )</w:t>
      </w:r>
      <w:r>
        <w:rPr/>
        <w:t xml:space="preserve"> David. </w:t>
        <w:br/>
        <w:t xml:space="preserve">Schütze mich, Gott,denn ich berge mich bei dir </w:t>
      </w:r>
      <w:r>
        <w:rPr>
          <w:color w:val="808080"/>
        </w:rPr>
        <w:t>(vertraue dir)</w:t>
      </w:r>
      <w:r>
        <w:rPr/>
        <w:t>!</w:t>
        <w:br/>
        <w:br/>
        <w:t xml:space="preserve">{{field-off:bible}} </w:t>
        <w:br/>
        <w:t>[[@BibleTOBIBLE:Ps 16:2]]</w:t>
      </w:r>
      <w:r>
        <w:rPr>
          <w:b/>
        </w:rPr>
        <w:t>2</w:t>
      </w:r>
      <w:r>
        <w:rPr/>
        <w:t xml:space="preserve"> {{field-on:bible}} </w:t>
        <w:br/>
        <w:t xml:space="preserve">Ich sage </w:t>
      </w:r>
      <w:r>
        <w:rPr>
          <w:color w:val="808080"/>
        </w:rPr>
        <w:t>(du sagst)</w:t>
      </w:r>
      <w:r>
        <w:rPr/>
        <w:t xml:space="preserve"> </w:t>
      </w:r>
      <w:r>
        <w:rPr>
          <w:rStyle w:val="Funotenanker"/>
        </w:rPr>
        <w:footnoteReference w:customMarkFollows="1" w:id="1907"/>
        <w:t>d</w:t>
      </w:r>
      <w:r>
        <w:rPr/>
        <w:t xml:space="preserve"> zu </w:t>
      </w:r>
      <w:r>
        <w:rPr>
          <w:color w:val="808080"/>
        </w:rPr>
        <w:t>(über, was ... angeht)</w:t>
      </w:r>
      <w:r>
        <w:rPr/>
        <w:t xml:space="preserve"> </w:t>
      </w:r>
      <w:r>
        <w:rPr>
          <w:smallCaps/>
          <w:color w:val="FF0000"/>
        </w:rPr>
        <w:t>JHWH</w:t>
      </w:r>
      <w:r>
        <w:rPr/>
        <w:t xml:space="preserve">: „Mein </w:t>
      </w:r>
      <w:r>
        <w:rPr>
          <w:color w:val="808080"/>
        </w:rPr>
        <w:t>(</w:t>
      </w:r>
      <w:r>
        <w:rPr>
          <w:strike/>
          <w:color w:val="808080"/>
        </w:rPr>
        <w:t>{Mein}</w:t>
      </w:r>
      <w:r>
        <w:rPr>
          <w:color w:val="808080"/>
        </w:rPr>
        <w:t>)</w:t>
      </w:r>
      <w:r>
        <w:rPr/>
        <w:t xml:space="preserve"> Herr </w:t>
      </w:r>
      <w:r>
        <w:rPr>
          <w:b/>
          <w:color w:val="808080"/>
        </w:rPr>
        <w:t>[</w:t>
      </w:r>
      <w:r>
        <w:rPr/>
        <w:t>bist</w:t>
      </w:r>
      <w:r>
        <w:rPr>
          <w:b/>
          <w:color w:val="808080"/>
        </w:rPr>
        <w:t>]</w:t>
      </w:r>
      <w:r>
        <w:rPr/>
        <w:t xml:space="preserve"> du!Mein Wohlergehen </w:t>
      </w:r>
      <w:r>
        <w:rPr>
          <w:color w:val="808080"/>
        </w:rPr>
        <w:t>(Glück)</w:t>
      </w:r>
      <w:r>
        <w:rPr/>
        <w:t xml:space="preserve"> </w:t>
      </w:r>
      <w:r>
        <w:rPr>
          <w:b/>
          <w:color w:val="808080"/>
        </w:rPr>
        <w:t>[</w:t>
      </w:r>
      <w:r>
        <w:rPr/>
        <w:t>ist</w:t>
      </w:r>
      <w:r>
        <w:rPr>
          <w:b/>
          <w:color w:val="808080"/>
        </w:rPr>
        <w:t>]</w:t>
      </w:r>
      <w:r>
        <w:rPr/>
        <w:t xml:space="preserve"> nicht außer durch dich </w:t>
      </w:r>
      <w:r>
        <w:rPr>
          <w:color w:val="808080"/>
        </w:rPr>
        <w:t>(nicht über dir?)</w:t>
      </w:r>
      <w:r>
        <w:rPr/>
        <w:t>!“,</w:t>
        <w:br/>
        <w:t xml:space="preserve">{{field-off:bible}} </w:t>
        <w:br/>
        <w:t>[[@BibleTOBIBLE:Ps 16:3]]</w:t>
      </w:r>
      <w:r>
        <w:rPr>
          <w:b/>
        </w:rPr>
        <w:t>3</w:t>
      </w:r>
      <w:r>
        <w:rPr/>
        <w:t xml:space="preserve"> {{field-on:bible}} </w:t>
        <w:br/>
        <w:t xml:space="preserve">Zu den </w:t>
      </w:r>
      <w:r>
        <w:rPr>
          <w:color w:val="808080"/>
        </w:rPr>
        <w:t>(über die, was ... angeht)</w:t>
      </w:r>
      <w:r>
        <w:rPr/>
        <w:t xml:space="preserve"> Heiligen,</w:t>
      </w:r>
      <w:r>
        <w:rPr>
          <w:rStyle w:val="Funotenanker"/>
        </w:rPr>
        <w:footnoteReference w:customMarkFollows="1" w:id="1908"/>
        <w:t>e</w:t>
      </w:r>
      <w:r>
        <w:rPr/>
        <w:t xml:space="preserve"> die im Land </w:t>
      </w:r>
      <w:r>
        <w:rPr>
          <w:color w:val="808080"/>
        </w:rPr>
        <w:t>(auf der Erde)</w:t>
      </w:r>
      <w:r>
        <w:rPr/>
        <w:t xml:space="preserve"> </w:t>
      </w:r>
      <w:r>
        <w:rPr>
          <w:b/>
          <w:color w:val="808080"/>
        </w:rPr>
        <w:t>[</w:t>
      </w:r>
      <w:r>
        <w:rPr/>
        <w:t>sind</w:t>
      </w:r>
      <w:r>
        <w:rPr>
          <w:b/>
          <w:color w:val="808080"/>
        </w:rPr>
        <w:t>]</w:t>
      </w:r>
      <w:r>
        <w:rPr/>
        <w:t>: „Diese,</w:t>
      </w:r>
      <w:r>
        <w:rPr>
          <w:rStyle w:val="Funotenanker"/>
        </w:rPr>
        <w:footnoteReference w:customMarkFollows="1" w:id="1909"/>
        <w:t>f</w:t>
      </w:r>
      <w:r>
        <w:rPr/>
        <w:t xml:space="preserve"> die </w:t>
      </w:r>
      <w:r>
        <w:rPr>
          <w:color w:val="808080"/>
        </w:rPr>
        <w:t>(meine)</w:t>
      </w:r>
      <w:r>
        <w:rPr/>
        <w:t xml:space="preserve"> Herrlichen: Mein ganzes Wohlgefallen </w:t>
      </w:r>
      <w:r>
        <w:rPr>
          <w:b/>
          <w:color w:val="808080"/>
        </w:rPr>
        <w:t>[</w:t>
      </w:r>
      <w:r>
        <w:rPr/>
        <w:t>richtet sich</w:t>
      </w:r>
      <w:r>
        <w:rPr>
          <w:b/>
          <w:color w:val="808080"/>
        </w:rPr>
        <w:t>]</w:t>
      </w:r>
      <w:r>
        <w:rPr/>
        <w:t xml:space="preserve"> auf sie!“</w:t>
      </w:r>
      <w:r>
        <w:rPr>
          <w:rStyle w:val="Funotenanker"/>
        </w:rPr>
        <w:footnoteReference w:customMarkFollows="1" w:id="1910"/>
        <w:t>g</w:t>
      </w:r>
      <w:r>
        <w:rPr/>
        <w:t xml:space="preserve"> </w:t>
        <w:br/>
        <w:t xml:space="preserve">{{field-off:bible}} </w:t>
        <w:br/>
        <w:t>[[@BibleTOBIBLE:Ps 16:4]]</w:t>
      </w:r>
      <w:r>
        <w:rPr>
          <w:b/>
        </w:rPr>
        <w:t>4</w:t>
      </w:r>
      <w:r>
        <w:rPr/>
        <w:t xml:space="preserve"> {{field-on:bible}} </w:t>
        <w:br/>
        <w:t xml:space="preserve">Es sollen </w:t>
      </w:r>
      <w:r>
        <w:rPr>
          <w:color w:val="808080"/>
        </w:rPr>
        <w:t>(werden)</w:t>
      </w:r>
      <w:r>
        <w:rPr/>
        <w:t xml:space="preserve"> sich vermehren die Schmerzen</w:t>
      </w:r>
      <w:r>
        <w:rPr>
          <w:rStyle w:val="Funotenanker"/>
        </w:rPr>
        <w:footnoteReference w:customMarkFollows="1" w:id="1911"/>
        <w:t>h</w:t>
      </w:r>
      <w:r>
        <w:rPr/>
        <w:t xml:space="preserve"> </w:t>
      </w:r>
      <w:r>
        <w:rPr>
          <w:color w:val="808080"/>
        </w:rPr>
        <w:t>(Götzenbilder)</w:t>
      </w:r>
      <w:r>
        <w:rPr/>
        <w:t xml:space="preserve"> derer </w:t>
      </w:r>
      <w:r>
        <w:rPr>
          <w:color w:val="808080"/>
        </w:rPr>
        <w:t>(es vermehren sich ihre Schmerzen die)</w:t>
      </w:r>
      <w:r>
        <w:rPr/>
        <w:t xml:space="preserve">, die einem anderen </w:t>
      </w:r>
      <w:r>
        <w:rPr>
          <w:color w:val="808080"/>
        </w:rPr>
        <w:t>(die anderen)</w:t>
      </w:r>
      <w:r>
        <w:rPr/>
        <w:t xml:space="preserve"> nacheilen </w:t>
      </w:r>
      <w:r>
        <w:rPr>
          <w:color w:val="808080"/>
        </w:rPr>
        <w:t>(?, umwerben?)</w:t>
      </w:r>
      <w:r>
        <w:rPr/>
        <w:t>,</w:t>
      </w:r>
      <w:r>
        <w:rPr>
          <w:rStyle w:val="Funotenanker"/>
        </w:rPr>
        <w:footnoteReference w:customMarkFollows="1" w:id="1912"/>
        <w:t>i</w:t>
      </w:r>
      <w:r>
        <w:rPr/>
        <w:t xml:space="preserve">Nicht werde ich libieren ihre Blutlibationen </w:t>
      </w:r>
      <w:r>
        <w:rPr>
          <w:color w:val="808080"/>
        </w:rPr>
        <w:t xml:space="preserve">(ihre Libationen mit </w:t>
      </w:r>
      <w:r>
        <w:rPr>
          <w:b/>
          <w:color w:val="808080"/>
        </w:rPr>
        <w:t>[</w:t>
      </w:r>
      <w:r>
        <w:rPr>
          <w:color w:val="808080"/>
        </w:rPr>
        <w:t>meiner</w:t>
      </w:r>
      <w:r>
        <w:rPr>
          <w:b/>
          <w:color w:val="808080"/>
        </w:rPr>
        <w:t>]</w:t>
      </w:r>
      <w:r>
        <w:rPr>
          <w:color w:val="808080"/>
        </w:rPr>
        <w:t xml:space="preserve"> Hand)</w:t>
      </w:r>
      <w:r>
        <w:rPr/>
        <w:t>,</w:t>
      </w:r>
      <w:r>
        <w:rPr>
          <w:rStyle w:val="Funotenanker"/>
        </w:rPr>
        <w:footnoteReference w:customMarkFollows="1" w:id="1913"/>
        <w:t>j</w:t>
      </w:r>
      <w:r>
        <w:rPr/>
        <w:t>Nicht werde ich heben ihre Namen auf meine Lippen!</w:t>
      </w:r>
      <w:r>
        <w:rPr>
          <w:rStyle w:val="Funotenanker"/>
        </w:rPr>
        <w:footnoteReference w:customMarkFollows="1" w:id="1914"/>
        <w:t>k</w:t>
      </w:r>
      <w:r>
        <w:rPr/>
        <w:t xml:space="preserve"> </w:t>
        <w:br/>
        <w:br/>
        <w:t xml:space="preserve">{{field-off:bible}} </w:t>
        <w:br/>
        <w:t>[[@BibleTOBIBLE:Ps 16:5]]</w:t>
      </w:r>
      <w:r>
        <w:rPr>
          <w:b/>
        </w:rPr>
        <w:t>5</w:t>
      </w:r>
      <w:r>
        <w:rPr/>
        <w:t xml:space="preserve"> {{field-on:bible}} </w:t>
        <w:br/>
      </w:r>
      <w:r>
        <w:rPr>
          <w:smallCaps/>
          <w:color w:val="FF0000"/>
        </w:rPr>
        <w:t>JHWH</w:t>
      </w:r>
      <w:r>
        <w:rPr/>
        <w:t xml:space="preserve"> </w:t>
      </w:r>
      <w:r>
        <w:rPr>
          <w:b/>
          <w:color w:val="808080"/>
        </w:rPr>
        <w:t>[</w:t>
      </w:r>
      <w:r>
        <w:rPr/>
        <w:t>ist</w:t>
      </w:r>
      <w:r>
        <w:rPr>
          <w:b/>
          <w:color w:val="808080"/>
        </w:rPr>
        <w:t>]</w:t>
      </w:r>
      <w:r>
        <w:rPr/>
        <w:t xml:space="preserve"> das Teil meiner Zuteilung und meines Bechers,Zieher meines Lossteins </w:t>
      </w:r>
      <w:r>
        <w:rPr>
          <w:color w:val="808080"/>
        </w:rPr>
        <w:t>(Erhalter meines Loses)</w:t>
      </w:r>
      <w:r>
        <w:rPr/>
        <w:t>.</w:t>
      </w:r>
      <w:r>
        <w:rPr>
          <w:rStyle w:val="Funotenanker"/>
        </w:rPr>
        <w:footnoteReference w:customMarkFollows="1" w:id="1915"/>
        <w:t>l</w:t>
      </w:r>
      <w:r>
        <w:rPr/>
        <w:t xml:space="preserve"> </w:t>
        <w:br/>
        <w:t xml:space="preserve">{{field-off:bible}} </w:t>
        <w:br/>
        <w:t>[[@BibleTOBIBLE:Ps 16:6]]</w:t>
      </w:r>
      <w:r>
        <w:rPr>
          <w:b/>
        </w:rPr>
        <w:t>6</w:t>
      </w:r>
      <w:r>
        <w:rPr/>
        <w:t xml:space="preserve"> {{field-on:bible}} </w:t>
        <w:br/>
        <w:t xml:space="preserve">Schnüre fielen mir auf Liebliches </w:t>
      </w:r>
      <w:r>
        <w:rPr>
          <w:color w:val="808080"/>
        </w:rPr>
        <w:t xml:space="preserve">(liebliches </w:t>
      </w:r>
      <w:r>
        <w:rPr>
          <w:b/>
          <w:color w:val="808080"/>
        </w:rPr>
        <w:t>[</w:t>
      </w:r>
      <w:r>
        <w:rPr>
          <w:color w:val="808080"/>
        </w:rPr>
        <w:t>Land</w:t>
      </w:r>
      <w:r>
        <w:rPr>
          <w:b/>
          <w:color w:val="808080"/>
        </w:rPr>
        <w:t>]</w:t>
      </w:r>
      <w:r>
        <w:rPr>
          <w:color w:val="808080"/>
        </w:rPr>
        <w:t>)</w:t>
      </w:r>
      <w:r>
        <w:rPr/>
        <w:t>,</w:t>
      </w:r>
      <w:r>
        <w:rPr>
          <w:rStyle w:val="Funotenanker"/>
        </w:rPr>
        <w:footnoteReference w:customMarkFollows="1" w:id="1916"/>
        <w:t>m</w:t>
      </w:r>
      <w:r>
        <w:rPr/>
        <w:t xml:space="preserve">ja, mein Erbbesitz </w:t>
      </w:r>
      <w:r>
        <w:rPr>
          <w:color w:val="808080"/>
        </w:rPr>
        <w:t>(der Erbbesitz)</w:t>
      </w:r>
      <w:r>
        <w:rPr/>
        <w:t xml:space="preserve"> </w:t>
      </w:r>
      <w:r>
        <w:rPr>
          <w:rStyle w:val="Funotenanker"/>
        </w:rPr>
        <w:footnoteReference w:customMarkFollows="1" w:id="1917"/>
        <w:t>n</w:t>
      </w:r>
      <w:r>
        <w:rPr/>
        <w:t xml:space="preserve"> dünkt mich schön!</w:t>
      </w:r>
      <w:r>
        <w:rPr>
          <w:rStyle w:val="Funotenanker"/>
        </w:rPr>
        <w:footnoteReference w:customMarkFollows="1" w:id="1918"/>
        <w:t>o</w:t>
      </w:r>
      <w:r>
        <w:rPr/>
        <w:t xml:space="preserve"> </w:t>
      </w:r>
      <w:r>
        <w:rPr>
          <w:position w:val="8"/>
          <w:sz w:val="19"/>
        </w:rPr>
        <w:t>[[ ℘ &gt;&gt; BibleTOBIBLE:Je 3:19]]</w:t>
      </w:r>
      <w:r>
        <w:rPr/>
        <w:t xml:space="preserve"> </w:t>
        <w:br/>
        <w:br/>
        <w:t xml:space="preserve">{{field-off:bible}} </w:t>
        <w:br/>
        <w:t>[[@BibleTOBIBLE:Ps 16:7]]</w:t>
      </w:r>
      <w:r>
        <w:rPr>
          <w:b/>
        </w:rPr>
        <w:t>7</w:t>
      </w:r>
      <w:r>
        <w:rPr/>
        <w:t xml:space="preserve"> {{field-on:bible}} </w:t>
        <w:br/>
        <w:t xml:space="preserve">Ich will preisen </w:t>
      </w:r>
      <w:r>
        <w:rPr>
          <w:smallCaps/>
          <w:color w:val="FF0000"/>
        </w:rPr>
        <w:t>JHWH</w:t>
      </w:r>
      <w:r>
        <w:rPr/>
        <w:t xml:space="preserve">, der mich berät,ja, </w:t>
      </w:r>
      <w:r>
        <w:rPr>
          <w:b/>
          <w:color w:val="808080"/>
        </w:rPr>
        <w:t>[</w:t>
      </w:r>
      <w:r>
        <w:rPr/>
        <w:t>selbst</w:t>
      </w:r>
      <w:r>
        <w:rPr>
          <w:b/>
          <w:color w:val="808080"/>
        </w:rPr>
        <w:t>]</w:t>
      </w:r>
      <w:r>
        <w:rPr/>
        <w:t xml:space="preserve"> in den Nächten belehren </w:t>
      </w:r>
      <w:r>
        <w:rPr>
          <w:color w:val="808080"/>
        </w:rPr>
        <w:t>(züchtigen)</w:t>
      </w:r>
      <w:r>
        <w:rPr/>
        <w:t xml:space="preserve"> mich meine Nieren.</w:t>
      </w:r>
      <w:r>
        <w:rPr>
          <w:rStyle w:val="Funotenanker"/>
        </w:rPr>
        <w:footnoteReference w:customMarkFollows="1" w:id="1919"/>
        <w:t>p</w:t>
      </w:r>
      <w:r>
        <w:rPr/>
        <w:t xml:space="preserve"> </w:t>
        <w:br/>
        <w:t xml:space="preserve">{{field-off:bible}} </w:t>
        <w:br/>
        <w:t>[[@BibleTOBIBLE:Ps 16:8]]</w:t>
      </w:r>
      <w:r>
        <w:rPr>
          <w:b/>
        </w:rPr>
        <w:t>8</w:t>
      </w:r>
      <w:r>
        <w:rPr/>
        <w:t xml:space="preserve"> {{field-on:bible}} </w:t>
        <w:br/>
        <w:t xml:space="preserve">Ich setze mir </w:t>
      </w:r>
      <w:r>
        <w:rPr>
          <w:smallCaps/>
          <w:color w:val="FF0000"/>
        </w:rPr>
        <w:t>JHWH</w:t>
      </w:r>
      <w:r>
        <w:rPr/>
        <w:t xml:space="preserve"> vor mich beständig;</w:t>
      </w:r>
      <w:r>
        <w:rPr>
          <w:rStyle w:val="Funotenanker"/>
        </w:rPr>
        <w:footnoteReference w:customMarkFollows="1" w:id="1920"/>
        <w:t>q</w:t>
      </w:r>
      <w:r>
        <w:rPr/>
        <w:t xml:space="preserve">Denn </w:t>
      </w:r>
      <w:r>
        <w:rPr>
          <w:b/>
          <w:color w:val="808080"/>
        </w:rPr>
        <w:t>[</w:t>
      </w:r>
      <w:r>
        <w:rPr/>
        <w:t>ist er</w:t>
      </w:r>
      <w:r>
        <w:rPr>
          <w:b/>
          <w:color w:val="808080"/>
        </w:rPr>
        <w:t>]</w:t>
      </w:r>
      <w:r>
        <w:rPr/>
        <w:t xml:space="preserve"> zu meiner Rechten, werde ich </w:t>
      </w:r>
      <w:r>
        <w:rPr>
          <w:color w:val="808080"/>
        </w:rPr>
        <w:t xml:space="preserve">(ja, </w:t>
      </w:r>
      <w:r>
        <w:rPr>
          <w:b/>
          <w:color w:val="808080"/>
        </w:rPr>
        <w:t>[</w:t>
      </w:r>
      <w:r>
        <w:rPr>
          <w:color w:val="808080"/>
        </w:rPr>
        <w:t>ich setze ihn</w:t>
      </w:r>
      <w:r>
        <w:rPr>
          <w:b/>
          <w:color w:val="808080"/>
        </w:rPr>
        <w:t>]</w:t>
      </w:r>
      <w:r>
        <w:rPr>
          <w:color w:val="808080"/>
        </w:rPr>
        <w:t xml:space="preserve"> zu meiner Rechten, ich werde; weil er zu meiner Rechten ist. Ich werde)</w:t>
      </w:r>
      <w:r>
        <w:rPr/>
        <w:t xml:space="preserve"> nicht wanken.</w:t>
      </w:r>
      <w:r>
        <w:rPr>
          <w:rStyle w:val="Funotenanker"/>
        </w:rPr>
        <w:footnoteReference w:customMarkFollows="1" w:id="1921"/>
        <w:t>r</w:t>
      </w:r>
      <w:r>
        <w:rPr/>
        <w:t xml:space="preserve"> </w:t>
        <w:br/>
        <w:br/>
        <w:t xml:space="preserve">{{field-off:bible}} </w:t>
        <w:br/>
        <w:t>[[@BibleTOBIBLE:Ps 16:9]]</w:t>
      </w:r>
      <w:r>
        <w:rPr>
          <w:b/>
        </w:rPr>
        <w:t>9</w:t>
      </w:r>
      <w:r>
        <w:rPr/>
        <w:t xml:space="preserve"> {{field-on:bible}} </w:t>
        <w:br/>
        <w:t xml:space="preserve">Darum freut sich mein Herz und jubelt meine Leber </w:t>
      </w:r>
      <w:r>
        <w:rPr>
          <w:color w:val="808080"/>
        </w:rPr>
        <w:t>(Herrlichkeit)</w:t>
      </w:r>
      <w:r>
        <w:rPr/>
        <w:t>,</w:t>
      </w:r>
      <w:r>
        <w:rPr>
          <w:rStyle w:val="Funotenanker"/>
        </w:rPr>
        <w:footnoteReference w:customMarkFollows="1" w:id="1922"/>
        <w:t>s</w:t>
      </w:r>
      <w:r>
        <w:rPr/>
        <w:t xml:space="preserve">Ja, </w:t>
      </w:r>
      <w:r>
        <w:rPr>
          <w:b/>
          <w:color w:val="808080"/>
        </w:rPr>
        <w:t>[</w:t>
      </w:r>
      <w:r>
        <w:rPr/>
        <w:t>selbst</w:t>
      </w:r>
      <w:r>
        <w:rPr>
          <w:b/>
          <w:color w:val="808080"/>
        </w:rPr>
        <w:t>]</w:t>
      </w:r>
      <w:r>
        <w:rPr/>
        <w:t xml:space="preserve"> mein Fleisch wird wohnen </w:t>
      </w:r>
      <w:r>
        <w:rPr>
          <w:color w:val="808080"/>
        </w:rPr>
        <w:t>(ruhen)</w:t>
      </w:r>
      <w:r>
        <w:rPr/>
        <w:t xml:space="preserve"> in Sicherheit.</w:t>
      </w:r>
      <w:r>
        <w:rPr>
          <w:rStyle w:val="Funotenanker"/>
        </w:rPr>
        <w:footnoteReference w:customMarkFollows="1" w:id="1923"/>
        <w:t>t</w:t>
      </w:r>
      <w:r>
        <w:rPr/>
        <w:t xml:space="preserve"> </w:t>
        <w:br/>
        <w:t xml:space="preserve">{{field-off:bible}} </w:t>
        <w:br/>
        <w:t>[[@BibleTOBIBLE:Ps 16:10]]</w:t>
      </w:r>
      <w:r>
        <w:rPr>
          <w:b/>
        </w:rPr>
        <w:t>10</w:t>
      </w:r>
      <w:r>
        <w:rPr/>
        <w:t xml:space="preserve"> {{field-on:bible}} </w:t>
        <w:br/>
        <w:t xml:space="preserve">Denn du wirst meine Seele </w:t>
      </w:r>
      <w:r>
        <w:rPr>
          <w:color w:val="808080"/>
        </w:rPr>
        <w:t>(mich)</w:t>
      </w:r>
      <w:r>
        <w:rPr/>
        <w:t xml:space="preserve"> nicht dem Scheol</w:t>
      </w:r>
      <w:r>
        <w:rPr>
          <w:rStyle w:val="Funotenanker"/>
        </w:rPr>
        <w:footnoteReference w:customMarkFollows="1" w:id="1924"/>
        <w:t>u</w:t>
      </w:r>
      <w:r>
        <w:rPr/>
        <w:t xml:space="preserve"> überlassen </w:t>
      </w:r>
      <w:r>
        <w:rPr>
          <w:color w:val="808080"/>
        </w:rPr>
        <w:t>(im Scheol lassen)</w:t>
      </w:r>
      <w:r>
        <w:rPr/>
        <w:t>,Du wirst nicht erlauben, dass</w:t>
      </w:r>
      <w:r>
        <w:rPr>
          <w:rStyle w:val="Funotenanker"/>
        </w:rPr>
        <w:footnoteReference w:customMarkFollows="1" w:id="1925"/>
        <w:t>v</w:t>
      </w:r>
      <w:r>
        <w:rPr/>
        <w:t xml:space="preserve"> dein Frommer </w:t>
      </w:r>
      <w:r>
        <w:rPr>
          <w:color w:val="808080"/>
        </w:rPr>
        <w:t>(deine Frommen)</w:t>
      </w:r>
      <w:r>
        <w:rPr/>
        <w:t xml:space="preserve"> </w:t>
      </w:r>
      <w:r>
        <w:rPr>
          <w:rStyle w:val="Funotenanker"/>
        </w:rPr>
        <w:footnoteReference w:customMarkFollows="1" w:id="1926"/>
        <w:t>w</w:t>
      </w:r>
      <w:r>
        <w:rPr/>
        <w:t xml:space="preserve"> die Grube </w:t>
      </w:r>
      <w:r>
        <w:rPr>
          <w:color w:val="808080"/>
        </w:rPr>
        <w:t>(die Verwesung)</w:t>
      </w:r>
      <w:r>
        <w:rPr/>
        <w:t xml:space="preserve"> </w:t>
      </w:r>
      <w:r>
        <w:rPr>
          <w:rStyle w:val="Funotenanker"/>
        </w:rPr>
        <w:footnoteReference w:customMarkFollows="1" w:id="1927"/>
        <w:t>x</w:t>
      </w:r>
      <w:r>
        <w:rPr/>
        <w:t xml:space="preserve"> sieht.</w:t>
        <w:br/>
        <w:t xml:space="preserve">{{field-off:bible}} </w:t>
        <w:br/>
        <w:t>[[@BibleTOBIBLE:Ps 16:11]]</w:t>
      </w:r>
      <w:r>
        <w:rPr>
          <w:b/>
        </w:rPr>
        <w:t>11</w:t>
      </w:r>
      <w:r>
        <w:rPr/>
        <w:t xml:space="preserve"> {{field-on:bible}} </w:t>
        <w:br/>
        <w:t xml:space="preserve">Du wirst </w:t>
      </w:r>
      <w:r>
        <w:rPr>
          <w:color w:val="808080"/>
        </w:rPr>
        <w:t>(sollst)</w:t>
      </w:r>
      <w:r>
        <w:rPr/>
        <w:t xml:space="preserve"> mir kundtun </w:t>
      </w:r>
      <w:r>
        <w:rPr>
          <w:color w:val="808080"/>
        </w:rPr>
        <w:t>(mich erkennen lassen)</w:t>
      </w:r>
      <w:r>
        <w:rPr/>
        <w:t xml:space="preserve"> den Weg des Lebens </w:t>
      </w:r>
      <w:r>
        <w:rPr>
          <w:color w:val="808080"/>
        </w:rPr>
        <w:t>(zum Leben)</w:t>
      </w:r>
      <w:r>
        <w:rPr/>
        <w:t>:</w:t>
      </w:r>
      <w:r>
        <w:rPr>
          <w:rStyle w:val="Funotenanker"/>
        </w:rPr>
        <w:footnoteReference w:customMarkFollows="1" w:id="1928"/>
        <w:t>y</w:t>
      </w:r>
      <w:r>
        <w:rPr/>
        <w:t xml:space="preserve"> </w:t>
      </w:r>
      <w:r>
        <w:rPr>
          <w:b/>
          <w:color w:val="808080"/>
        </w:rPr>
        <w:t>[</w:t>
      </w:r>
      <w:r>
        <w:rPr/>
        <w:t>Die</w:t>
      </w:r>
      <w:r>
        <w:rPr>
          <w:b/>
          <w:color w:val="808080"/>
        </w:rPr>
        <w:t>]</w:t>
      </w:r>
      <w:r>
        <w:rPr/>
        <w:t xml:space="preserve"> Fülle </w:t>
      </w:r>
      <w:r>
        <w:rPr>
          <w:color w:val="808080"/>
        </w:rPr>
        <w:t>(Sättigung)</w:t>
      </w:r>
      <w:r>
        <w:rPr/>
        <w:t xml:space="preserve"> der Freuden </w:t>
      </w:r>
      <w:r>
        <w:rPr>
          <w:color w:val="808080"/>
        </w:rPr>
        <w:t>(</w:t>
      </w:r>
      <w:r>
        <w:rPr>
          <w:b/>
          <w:color w:val="808080"/>
        </w:rPr>
        <w:t>[</w:t>
      </w:r>
      <w:r>
        <w:rPr>
          <w:color w:val="808080"/>
        </w:rPr>
        <w:t>ist</w:t>
      </w:r>
      <w:r>
        <w:rPr>
          <w:b/>
          <w:color w:val="808080"/>
        </w:rPr>
        <w:t>]</w:t>
      </w:r>
      <w:r>
        <w:rPr>
          <w:color w:val="808080"/>
        </w:rPr>
        <w:t>)</w:t>
      </w:r>
      <w:r>
        <w:rPr/>
        <w:t xml:space="preserve"> bei deinem Angesicht, </w:t>
      </w:r>
      <w:r>
        <w:rPr>
          <w:b/>
          <w:color w:val="808080"/>
        </w:rPr>
        <w:t>[</w:t>
      </w:r>
      <w:r>
        <w:rPr/>
        <w:t>Die</w:t>
      </w:r>
      <w:r>
        <w:rPr>
          <w:b/>
          <w:color w:val="808080"/>
        </w:rPr>
        <w:t>]</w:t>
      </w:r>
      <w:r>
        <w:rPr/>
        <w:t xml:space="preserve"> Lieblichkeiten </w:t>
      </w:r>
      <w:r>
        <w:rPr>
          <w:color w:val="808080"/>
        </w:rPr>
        <w:t>(Freuden, Annehmlichkeiten)</w:t>
      </w:r>
      <w:r>
        <w:rPr/>
        <w:t xml:space="preserve"> </w:t>
      </w:r>
      <w:r>
        <w:rPr>
          <w:color w:val="808080"/>
        </w:rPr>
        <w:t>(</w:t>
      </w:r>
      <w:r>
        <w:rPr>
          <w:b/>
          <w:color w:val="808080"/>
        </w:rPr>
        <w:t>[</w:t>
      </w:r>
      <w:r>
        <w:rPr>
          <w:color w:val="808080"/>
        </w:rPr>
        <w:t>sind</w:t>
      </w:r>
      <w:r>
        <w:rPr>
          <w:b/>
          <w:color w:val="808080"/>
        </w:rPr>
        <w:t>]</w:t>
      </w:r>
      <w:r>
        <w:rPr>
          <w:color w:val="808080"/>
        </w:rPr>
        <w:t>)</w:t>
      </w:r>
      <w:r>
        <w:rPr/>
        <w:t xml:space="preserve"> in deiner Rechten allezeit!</w:t>
      </w:r>
      <w:r>
        <w:rPr>
          <w:rStyle w:val="Funotenanker"/>
        </w:rPr>
        <w:footnoteReference w:customMarkFollows="1" w:id="1929"/>
        <w:t>z</w:t>
      </w:r>
      <w:r>
        <w:rPr/>
        <w:t xml:space="preserve"> </w:t>
        <w:br/>
        <w:t xml:space="preserve">{{field-off:bible}} </w:t>
      </w:r>
    </w:p>
    <w:p>
      <w:pPr>
        <w:pStyle w:val="Berschrift3"/>
        <w:rPr/>
      </w:pPr>
      <w:r>
        <w:rPr/>
        <w:t>[[@BibleTOBIBLE:Ps 17]]Kapitel 17</w:t>
      </w:r>
    </w:p>
    <w:p>
      <w:pPr>
        <w:pStyle w:val="Textkrper"/>
        <w:rPr/>
      </w:pPr>
      <w:r>
        <w:rPr/>
        <w:t xml:space="preserve">Psalm 17 ist ein Bittpsalm eines einzelnen Beters, bei dem so stark die Unschuld des Beters betont wird, dass er manchmal auch als „Unschuldspsalm“ klassifiziert wird. Der Text des Psalms ist so schwierig, dass häufig übersehen wird, wie schön er strukturiert ist; konzentrieren wir uns daher im Folgenden auch ein wenig auf seine Struktur.V. 1a ist die Überschrift, wie sie über den meisten Psalmen steht. Diese Überschriften sind allerdings nicht historisch, sondern wurden nachträglich von Redaktoren hinzugefügt. In V. 1b-e folgt die Invokatio, mit der Gott zum Hören auf das folgende Gebet bewegt werden soll. Sie schließt mit einem Hinweis auf die „Nicht-trug-Lippen“ des Beters, und damit ist bereits der erste Teil der Unschuldserklärung abgehandelt: Er sündigt nicht im Sprechen.V. 2 deutet in Zeile a bereits die Bitte an, die aber erst später folgen wird; Z. b leitet dann den zweiten und dritten Teil der Unschuldserklärung ein: Nicht nur im Sprechen ist der Beter schuldfrei, sondern auch im Denken (3) und Handeln (4f.). Ziel dieser Unschuldserklärung ist es, Gott zum Handeln zu bewegen: Gott ist ein gerechter Richter, der Psalmist ist unschuldig, also steht ihm doch zu, dass ihm vonseiten Gottes Recht widerfährt. Derart sein eigentliches Anliegen vorbereitet habend, greift er in V. 6 noch einmal seine Invokatio aus V. 1 auf: Höre mich, Gott, lausche mir! In Vv. 7-12 kann daher nun die eigentliche Bitte folgen, die in V. 7 zunächst sehr allgemein und mit Fokus auf Gott, in Vv. 8f. dann konkreter und mit Fokus auf den Beter geäußert wird: Gott möge seine Huld an „sich (zu ihm) Flüchtenden“ erweisen (7a) – d.h. , er möge den Beter behüten (V. 8) – und zwar vor „sich gegen Gott Erhebenden“ (7b) – d.h. vor Frevlern, die den Beter bedrängen (V. 9).Ebenso, wie in Vv. 2-5 der Beter sich selbst beschrieben hat, folgt in Vv. 10-12 die Beschreibung der Not in Form einer Beschreibung der Frevler. Auch hier werden die drei Ebenen des menschlichen Tuns abgehandelt: Sie sind verderbt im Denken (10a), Sprechen (10b) und Handeln (11f.). V. 10 entfaltet dabei wieder zunächst allgemein das Wort „Frevler“ in 9a, Vv. 11f. mit dem Bild des lauernden Löwen konkret die Rede von den den Beter gierig umzingelnden Feinden in 9b.Diese übrigens heißen „Frevler“ (rescha`im), das „wichtigste Oppositum“ (THAT II, Sp. 814) zu den „Gerechten“ (tsadiqim), als welcher sich der Beter in Vv. 2.15 selbst bezeichnt (tsedeq). Wie ohnehin im Gegenüber der Selbstbeschreibung des Beters und der Fremdbeschreibung der Feinde wird auch auf Wortebene klar: Diese sind sozusagen das „moralische Negativ“ des Psalmisten. Vv. 13-15 wird die Bitte aus Vv. 7-9 noch einmal weitergeführt. 13a greift dabei mit „Erheben“ V. 7 auf, 13b („Rette mich vor dem Frever“) Vv. 8f. („Behüte mich ... vor Frevlern“) und in V. 14 folgt ebenso wie in Vv. 10-12 ein kurzer Abschnitt mit Fokus auf die Feinde.Dieser ist in unserer Zeit etwas schwer verständlich: Nach alttestamentlicher Vorstellung ist Gottes Zorn und Gottes Strafhandeln erblich. „Ich bin ein eifernder Gott“, heißt es in Ex 20,5, „der für die Sünden der Väter büßen lässt die Kinder, die Enkel und die Urenkel!“ (ebenso Ex 34,7 und Num 14,18; s. außerdem Lev 26,39; Ps 79,8; 109,11-15; Jes 14,20f.; Jer 2,9; 32,18). Die Verwünschung über die Frevler ist beinahe exakt dieselbe, die auch in Ps 109,13f. ausgesprochen wird: Der Beter wünscht dieses schon seit der Zeit der Vorfahren der Frevler „aufgesparte“ Strafhandeln nun als „Erbteil“ auf ihre Kinder, Enkel und Urenkel herab und verwendet dafür das Bild der „Sättigung“ mit Unheil (wie z.B. auch in Ps 88,4; 123,3f.; Klg 3,30). Der Beter dagegen, V. 15 will damit „gesättigt“ werden, „Gott zu schauen“. Was damit gemeint ist, ist zunächst etwas unklar, Aufschluss gibt aber die Struktur des Psalms: „Ich will als Gerechter dein Gesicht schauen“ in 15a korrespondiert stark mit dem „Höre, </w:t>
      </w:r>
      <w:r>
        <w:rPr>
          <w:rStyle w:val="Funotenanker"/>
        </w:rPr>
        <w:footnoteReference w:customMarkFollows="1" w:id="1930"/>
        <w:t>a</w:t>
      </w:r>
      <w:r>
        <w:rPr/>
        <w:t>, Gerechtigkeit...: Von vor deinem Gesicht möge Recht ausgehen, deine Augen mögen schauen Aufrichtigkeit“ aus Vv. 1f., „ich will mich sättigen an deinem Bild“ (vgl. ähnlich ) steht klar im Gegensatz zur „Sättigung“ mit Strafe in 14d-f. Beides meint daher wohl nicht das tatsächliche Anblicken von Gott oder eines Götterbildes, sondern (wie auch der „Durst nach Gott“ in Ps 42,2f. ein „Dürsten nach Heil“ ist, s. V. 4 und vgl. Ps 90,14; 103,4f.) eine Metapher für die Erfahrung heilvollen Handelns vonseiten Gottes. Vergleichbar sind daher die häufigen Metaphern „Gott lässt sein Gesicht über jemandem leuchten“ und „Gott verbirgt sein Gesicht vor jemandem“, die ebenfalls für Gottes Heilshandeln resp. für seinen Gnadenentzug stehen. mini</w:t>
      </w:r>
      <w:r>
        <w:rPr>
          <w:rStyle w:val="Funotenanker"/>
        </w:rPr>
        <w:footnoteReference w:customMarkFollows="1" w:id="1931"/>
        <w:t>b</w:t>
      </w:r>
      <w:r>
        <w:rPr/>
        <w:t>Die geflügelte Göttin Ischtar mit Waffenarsenal und einem gebändigten Löwen, (c) IPIAO I 258&lt;div class="tright" style="clear:none;"&gt;miniatur</w:t>
      </w:r>
      <w:r>
        <w:rPr>
          <w:rStyle w:val="Funotenanker"/>
        </w:rPr>
        <w:footnoteReference w:customMarkFollows="1" w:id="1932"/>
        <w:t>c</w:t>
      </w:r>
      <w:r>
        <w:rPr/>
        <w:t xml:space="preserve">Geflügelte Gottheit kämpft mit Schwert gegen Löwen, (c) LeMon 2009, S. 157&lt;/div&gt;Bei dieser Gelegenheit sei abschließend noch auf zwei charakteristische Züge des Psalms hingewiesen. Das erste ist die Betonung des Sehens und sich-Ansehens von Gott, Beter und Frevlern, die sich durch den ganzen Psalm zieht: Gott möge die Aufrichtigkeit des Beters „schauen“, wenn er sein Inneres prüft (Vv. 2f.). In der Folge möge er so sehr behütend auf ihn blicken, dass das Bild des Beters geradezu zum Ehemann von Gottes Pupille wird (V. 8); worin dann natürlich auch liegt, dass der Beter Gottes Gesicht „schauen“ kann (V. 15). Die Frevler dagegen sehen niemanden an; sie haben ihre „Augen darauf gesetzt“, den Beter niederzustrecken (V. 11), darum soll von Gottes „Gesicht“ (V. 2) auch nicht ihr Recht ausgehen, sondern er soll „ihrem Gesicht entgegentreten“ (V. 13).Das zweite: Nicht nur von Augen und Gesicht Gottes spricht der Beter, sondern so sehr auch von seinen anderen Körperteilen, dass man hieraus sehr gut das Gottesbild seiner Zeit rekonstruieren kann. Gott hat ein Gesicht (V. 2), hat Ohren (V. 6), mit denen er hören kann (V. 2) und Augen (V. 2) mit Pupillen (V. 8), mit denen er sehen kann (V. 3). Er hinterlässt Spuren (V. 5), hat also offenbar Beine, außerdem Flügel (V. 8), Hände (V. 14) und darin ein Schwert (V. 13). Das (metaphorische?) Gottesbild entspricht damit einem Gottesbild, das sich im Alten Orient recht häufig findet; s. rechts. </w:t>
        <w:br/>
        <w:br/>
        <w:t>[[@BibleTOBIBLE:Ps 17:1]]</w:t>
      </w:r>
      <w:r>
        <w:rPr>
          <w:b/>
        </w:rPr>
        <w:t>1</w:t>
      </w:r>
      <w:r>
        <w:rPr/>
        <w:t xml:space="preserve"> {{field-on:bible}} </w:t>
      </w:r>
      <w:r>
        <w:rPr>
          <w:rStyle w:val="Funotenanker"/>
        </w:rPr>
        <w:footnoteReference w:customMarkFollows="1" w:id="1933"/>
        <w:t>Status</w:t>
      </w:r>
      <w:r>
        <w:rPr/>
        <w:t xml:space="preserve"> ''Ein Bittgebet. Von </w:t>
      </w:r>
      <w:r>
        <w:rPr>
          <w:color w:val="808080"/>
        </w:rPr>
        <w:t>(für, über, nach Art von)</w:t>
      </w:r>
      <w:r>
        <w:rPr/>
        <w:t xml:space="preserve"> David.'' </w:t>
        <w:br/>
        <w:t xml:space="preserve">Höre, </w:t>
      </w:r>
      <w:r>
        <w:rPr>
          <w:smallCaps/>
          <w:color w:val="FF0000"/>
        </w:rPr>
        <w:t>JHWH</w:t>
      </w:r>
      <w:r>
        <w:rPr/>
        <w:t>, Gerechtigkeit:</w:t>
      </w:r>
      <w:r>
        <w:rPr>
          <w:rStyle w:val="Funotenanker"/>
        </w:rPr>
        <w:footnoteReference w:customMarkFollows="1" w:id="1934"/>
        <w:t>d</w:t>
      </w:r>
      <w:r>
        <w:rPr/>
        <w:t>Horch mein Schreien,</w:t>
        <w:br/>
        <w:t>Lausche meinem BittgebetVon Nicht-Trug-Lippen!</w:t>
        <w:br/>
        <w:br/>
        <w:t xml:space="preserve">{{field-off:bible}} </w:t>
        <w:br/>
        <w:t>[[@BibleTOBIBLE:Ps 17:2]]</w:t>
      </w:r>
      <w:r>
        <w:rPr>
          <w:b/>
        </w:rPr>
        <w:t>2</w:t>
      </w:r>
      <w:r>
        <w:rPr/>
        <w:t xml:space="preserve"> {{field-on:bible}} </w:t>
        <w:br/>
        <w:t xml:space="preserve">Von dir </w:t>
      </w:r>
      <w:r>
        <w:rPr>
          <w:color w:val="808080"/>
        </w:rPr>
        <w:t>(von vor deinem Gesicht)</w:t>
      </w:r>
      <w:r>
        <w:rPr/>
        <w:t xml:space="preserve"> möge </w:t>
      </w:r>
      <w:r>
        <w:rPr>
          <w:color w:val="808080"/>
        </w:rPr>
        <w:t>(wird)</w:t>
      </w:r>
      <w:r>
        <w:rPr/>
        <w:t xml:space="preserve"> mein Recht ausgehen </w:t>
      </w:r>
      <w:r>
        <w:rPr>
          <w:color w:val="808080"/>
        </w:rPr>
        <w:t>(aufstrahlen)</w:t>
      </w:r>
      <w:r>
        <w:rPr/>
        <w:t>,</w:t>
      </w:r>
      <w:r>
        <w:rPr>
          <w:rStyle w:val="Funotenanker"/>
        </w:rPr>
        <w:footnoteReference w:customMarkFollows="1" w:id="1935"/>
        <w:t>e</w:t>
      </w:r>
      <w:r>
        <w:rPr/>
        <w:t xml:space="preserve">Deine Augen mögen </w:t>
      </w:r>
      <w:r>
        <w:rPr>
          <w:color w:val="808080"/>
        </w:rPr>
        <w:t>(werden)</w:t>
      </w:r>
      <w:r>
        <w:rPr/>
        <w:t xml:space="preserve"> schauen Aufrichtigkeit</w:t>
      </w:r>
      <w:r>
        <w:rPr>
          <w:strike/>
          <w:color w:val="808080"/>
        </w:rPr>
        <w:t>{en}</w:t>
      </w:r>
      <w:r>
        <w:rPr/>
        <w:t xml:space="preserve"> </w:t>
      </w:r>
      <w:r>
        <w:rPr>
          <w:color w:val="808080"/>
        </w:rPr>
        <w:t>(richtig, unparteiisch)</w:t>
      </w:r>
      <w:r>
        <w:rPr/>
        <w:t>:</w:t>
        <w:br/>
        <w:t xml:space="preserve">{{field-off:bible}} </w:t>
        <w:br/>
        <w:t>[[@BibleTOBIBLE:Ps 17:3]]</w:t>
      </w:r>
      <w:r>
        <w:rPr>
          <w:b/>
        </w:rPr>
        <w:t>3</w:t>
      </w:r>
      <w:r>
        <w:rPr/>
        <w:t xml:space="preserve"> {{field-on:bible}} </w:t>
        <w:br/>
        <w:t xml:space="preserve">Testestest du </w:t>
      </w:r>
      <w:r>
        <w:rPr>
          <w:color w:val="808080"/>
        </w:rPr>
        <w:t>(du testestest)</w:t>
      </w:r>
      <w:r>
        <w:rPr/>
        <w:t xml:space="preserve"> mein Herz, Prüftest du </w:t>
      </w:r>
      <w:r>
        <w:rPr>
          <w:color w:val="808080"/>
        </w:rPr>
        <w:t>(du prüftest)</w:t>
      </w:r>
      <w:r>
        <w:rPr/>
        <w:t xml:space="preserve"> </w:t>
      </w:r>
      <w:r>
        <w:rPr>
          <w:b/>
          <w:color w:val="808080"/>
        </w:rPr>
        <w:t>[</w:t>
      </w:r>
      <w:r>
        <w:rPr/>
        <w:t xml:space="preserve">mich </w:t>
      </w:r>
      <w:r>
        <w:rPr>
          <w:color w:val="808080"/>
        </w:rPr>
        <w:t>(es)</w:t>
      </w:r>
      <w:r>
        <w:rPr>
          <w:b/>
          <w:color w:val="808080"/>
        </w:rPr>
        <w:t>]</w:t>
      </w:r>
      <w:r>
        <w:rPr/>
        <w:t xml:space="preserve"> </w:t>
      </w:r>
      <w:r>
        <w:rPr>
          <w:rStyle w:val="Funotenanker"/>
        </w:rPr>
        <w:footnoteReference w:customMarkFollows="1" w:id="1936"/>
        <w:t>f</w:t>
      </w:r>
      <w:r>
        <w:rPr/>
        <w:t xml:space="preserve"> </w:t>
      </w:r>
      <w:r>
        <w:rPr>
          <w:b/>
          <w:color w:val="808080"/>
        </w:rPr>
        <w:t>[</w:t>
      </w:r>
      <w:r>
        <w:rPr/>
        <w:t>selbst</w:t>
      </w:r>
      <w:r>
        <w:rPr>
          <w:b/>
          <w:color w:val="808080"/>
        </w:rPr>
        <w:t>]</w:t>
      </w:r>
      <w:r>
        <w:rPr/>
        <w:t xml:space="preserve"> </w:t>
      </w:r>
      <w:r>
        <w:rPr>
          <w:rStyle w:val="Funotenanker"/>
        </w:rPr>
        <w:footnoteReference w:customMarkFollows="1" w:id="1937"/>
        <w:t>g</w:t>
      </w:r>
      <w:r>
        <w:rPr/>
        <w:t xml:space="preserve"> bei Nacht, probtest du </w:t>
      </w:r>
      <w:r>
        <w:rPr>
          <w:color w:val="808080"/>
        </w:rPr>
        <w:t>(du probtest)</w:t>
      </w:r>
      <w:r>
        <w:rPr/>
        <w:t xml:space="preserve"> </w:t>
      </w:r>
      <w:r>
        <w:rPr>
          <w:rStyle w:val="Funotenanker"/>
        </w:rPr>
        <w:footnoteReference w:customMarkFollows="1" w:id="1938"/>
        <w:t>h</w:t>
      </w:r>
      <w:r>
        <w:rPr/>
        <w:t xml:space="preserve"> mich, </w:t>
        <w:br/>
        <w:t xml:space="preserve">Würdest </w:t>
      </w:r>
      <w:r>
        <w:rPr>
          <w:color w:val="808080"/>
        </w:rPr>
        <w:t>(wirst, könntest)</w:t>
      </w:r>
      <w:r>
        <w:rPr/>
        <w:t xml:space="preserve"> du nicht finden Ränke an mir </w:t>
      </w:r>
      <w:r>
        <w:rPr>
          <w:color w:val="808080"/>
        </w:rPr>
        <w:t>(Plan, Schandtat, ich habe geplant)</w:t>
      </w:r>
      <w:r>
        <w:rPr/>
        <w:t>,</w:t>
      </w:r>
      <w:r>
        <w:rPr>
          <w:rStyle w:val="Funotenanker"/>
        </w:rPr>
        <w:footnoteReference w:customMarkFollows="1" w:id="1939"/>
        <w:t>i</w:t>
      </w:r>
      <w:r>
        <w:rPr/>
        <w:t xml:space="preserve"> </w:t>
      </w:r>
      <w:r>
        <w:rPr>
          <w:b/>
          <w:color w:val="808080"/>
        </w:rPr>
        <w:t>[</w:t>
      </w:r>
      <w:r>
        <w:rPr/>
        <w:t>die</w:t>
      </w:r>
      <w:r>
        <w:rPr>
          <w:b/>
          <w:color w:val="808080"/>
        </w:rPr>
        <w:t>]</w:t>
      </w:r>
      <w:r>
        <w:rPr/>
        <w:t xml:space="preserve"> nicht meinen Mund überschreiten dürfte.</w:t>
      </w:r>
      <w:r>
        <w:rPr>
          <w:rStyle w:val="Funotenanker"/>
        </w:rPr>
        <w:footnoteReference w:customMarkFollows="1" w:id="1940"/>
        <w:t>j</w:t>
      </w:r>
      <w:r>
        <w:rPr/>
        <w:t xml:space="preserve"> </w:t>
        <w:br/>
        <w:br/>
        <w:t xml:space="preserve">{{field-off:bible}} </w:t>
        <w:br/>
        <w:t>[[@BibleTOBIBLE:Ps 17:4]]</w:t>
      </w:r>
      <w:r>
        <w:rPr>
          <w:b/>
        </w:rPr>
        <w:t>4</w:t>
      </w:r>
      <w:r>
        <w:rPr/>
        <w:t xml:space="preserve"> {{field-on:bible}} </w:t>
        <w:br/>
        <w:t xml:space="preserve">Was die Taten </w:t>
      </w:r>
      <w:r>
        <w:rPr>
          <w:color w:val="808080"/>
        </w:rPr>
        <w:t>(das Tun)</w:t>
      </w:r>
      <w:r>
        <w:rPr/>
        <w:t xml:space="preserve"> des Menschen gegen das Wort deiner Lippen angeht:</w:t>
      </w:r>
      <w:r>
        <w:rPr>
          <w:rStyle w:val="Funotenanker"/>
        </w:rPr>
        <w:footnoteReference w:customMarkFollows="1" w:id="1941"/>
        <w:t>k</w:t>
      </w:r>
      <w:r>
        <w:rPr/>
        <w:t xml:space="preserve">''Ich'' habe geachtet die Wege des Gebots </w:t>
      </w:r>
      <w:r>
        <w:rPr>
          <w:color w:val="808080"/>
        </w:rPr>
        <w:t>(Gewalttätigen)</w:t>
      </w:r>
      <w:r>
        <w:rPr/>
        <w:t>,</w:t>
      </w:r>
      <w:r>
        <w:rPr>
          <w:rStyle w:val="Funotenanker"/>
        </w:rPr>
        <w:footnoteReference w:customMarkFollows="1" w:id="1942"/>
        <w:t>l</w:t>
      </w:r>
      <w:r>
        <w:rPr/>
        <w:t xml:space="preserve"> </w:t>
        <w:br/>
        <w:t xml:space="preserve">{{field-off:bible}} </w:t>
        <w:br/>
        <w:t>[[@BibleTOBIBLE:Ps 17:5]]</w:t>
      </w:r>
      <w:r>
        <w:rPr>
          <w:b/>
        </w:rPr>
        <w:t>5</w:t>
      </w:r>
      <w:r>
        <w:rPr/>
        <w:t xml:space="preserve"> {{field-on:bible}} </w:t>
        <w:br/>
        <w:t>Es hielten meine Schritte sich in deinen SpurenNicht wankten meine Tritte.</w:t>
      </w:r>
      <w:r>
        <w:rPr>
          <w:rStyle w:val="Funotenanker"/>
        </w:rPr>
        <w:footnoteReference w:customMarkFollows="1" w:id="1943"/>
        <w:t>m</w:t>
      </w:r>
      <w:r>
        <w:rPr/>
        <w:t xml:space="preserve"> </w:t>
        <w:br/>
        <w:br/>
        <w:t xml:space="preserve">{{field-off:bible}} </w:t>
        <w:br/>
        <w:t>[[@BibleTOBIBLE:Ps 17:6]]</w:t>
      </w:r>
      <w:r>
        <w:rPr>
          <w:b/>
        </w:rPr>
        <w:t>6</w:t>
      </w:r>
      <w:r>
        <w:rPr/>
        <w:t xml:space="preserve"> {{field-on:bible}} </w:t>
        <w:br/>
        <w:t xml:space="preserve">Ich rufe zu dir, damit du mich erhörst </w:t>
      </w:r>
      <w:r>
        <w:rPr>
          <w:color w:val="808080"/>
        </w:rPr>
        <w:t>(denn du wirst mich erhören)</w:t>
      </w:r>
      <w:r>
        <w:rPr/>
        <w:t xml:space="preserve">, Gott!Neige dein Ohr </w:t>
      </w:r>
      <w:r>
        <w:rPr>
          <w:color w:val="808080"/>
        </w:rPr>
        <w:t>(dein Lauscher)</w:t>
      </w:r>
      <w:r>
        <w:rPr/>
        <w:t xml:space="preserve"> zu mir, höre meine Rede!</w:t>
        <w:br/>
        <w:br/>
        <w:t xml:space="preserve">{{field-off:bible}} </w:t>
        <w:br/>
        <w:t>[[@BibleTOBIBLE:Ps 17:7]]</w:t>
      </w:r>
      <w:r>
        <w:rPr>
          <w:b/>
        </w:rPr>
        <w:t>7</w:t>
      </w:r>
      <w:r>
        <w:rPr/>
        <w:t xml:space="preserve"> {{field-on:bible}} </w:t>
        <w:br/>
        <w:t xml:space="preserve">Wirke wunderbar </w:t>
      </w:r>
      <w:r>
        <w:rPr>
          <w:color w:val="808080"/>
        </w:rPr>
        <w:t>(erweise)</w:t>
      </w:r>
      <w:r>
        <w:rPr/>
        <w:t xml:space="preserve"> </w:t>
      </w:r>
      <w:r>
        <w:rPr>
          <w:rStyle w:val="Funotenanker"/>
        </w:rPr>
        <w:footnoteReference w:customMarkFollows="1" w:id="1944"/>
        <w:t>n</w:t>
      </w:r>
      <w:r>
        <w:rPr/>
        <w:t xml:space="preserve"> deine Huld, </w:t>
      </w:r>
      <w:r>
        <w:rPr>
          <w:b/>
          <w:color w:val="808080"/>
        </w:rPr>
        <w:t>[</w:t>
      </w:r>
      <w:r>
        <w:rPr/>
        <w:t>oh</w:t>
      </w:r>
      <w:r>
        <w:rPr>
          <w:b/>
          <w:color w:val="808080"/>
        </w:rPr>
        <w:t>]</w:t>
      </w:r>
      <w:r>
        <w:rPr/>
        <w:t xml:space="preserve"> Retter </w:t>
      </w:r>
      <w:r>
        <w:rPr>
          <w:color w:val="808080"/>
        </w:rPr>
        <w:t>(Heiland)</w:t>
      </w:r>
      <w:r>
        <w:rPr/>
        <w:t xml:space="preserve"> der sich </w:t>
      </w:r>
      <w:r>
        <w:rPr>
          <w:color w:val="808080"/>
        </w:rPr>
        <w:t>(</w:t>
      </w:r>
      <w:r>
        <w:rPr>
          <w:b/>
          <w:color w:val="808080"/>
        </w:rPr>
        <w:t>[</w:t>
      </w:r>
      <w:r>
        <w:rPr>
          <w:color w:val="808080"/>
        </w:rPr>
        <w:t>zu dir</w:t>
      </w:r>
      <w:r>
        <w:rPr>
          <w:b/>
          <w:color w:val="808080"/>
        </w:rPr>
        <w:t>]</w:t>
      </w:r>
      <w:r>
        <w:rPr>
          <w:color w:val="808080"/>
        </w:rPr>
        <w:t>)</w:t>
      </w:r>
      <w:r>
        <w:rPr/>
        <w:t xml:space="preserve"> </w:t>
      </w:r>
      <w:r>
        <w:rPr>
          <w:rStyle w:val="Funotenanker"/>
        </w:rPr>
        <w:footnoteReference w:customMarkFollows="1" w:id="1945"/>
        <w:t>o</w:t>
      </w:r>
      <w:r>
        <w:rPr/>
        <w:t xml:space="preserve"> Flüchtenden </w:t>
      </w:r>
      <w:r>
        <w:rPr>
          <w:color w:val="808080"/>
        </w:rPr>
        <w:t>(der (</w:t>
      </w:r>
      <w:r>
        <w:rPr>
          <w:b/>
          <w:color w:val="808080"/>
        </w:rPr>
        <w:t>[</w:t>
      </w:r>
      <w:r>
        <w:rPr>
          <w:color w:val="808080"/>
        </w:rPr>
        <w:t>auf dich</w:t>
      </w:r>
      <w:r>
        <w:rPr>
          <w:b/>
          <w:color w:val="808080"/>
        </w:rPr>
        <w:t>]</w:t>
      </w:r>
      <w:r>
        <w:rPr>
          <w:color w:val="808080"/>
        </w:rPr>
        <w:t>) Hoffenden)</w:t>
      </w:r>
      <w:r>
        <w:rPr/>
        <w:t>Vor sich Erhebenden wider deine rechte Hand!</w:t>
      </w:r>
      <w:r>
        <w:rPr>
          <w:rStyle w:val="Funotenanker"/>
        </w:rPr>
        <w:footnoteReference w:customMarkFollows="1" w:id="1946"/>
        <w:t>p</w:t>
      </w:r>
      <w:r>
        <w:rPr/>
        <w:t xml:space="preserve"> </w:t>
        <w:br/>
        <w:t xml:space="preserve">{{field-off:bible}} </w:t>
        <w:br/>
        <w:t>[[@BibleTOBIBLE:Ps 17:8]]</w:t>
      </w:r>
      <w:r>
        <w:rPr>
          <w:b/>
        </w:rPr>
        <w:t>8</w:t>
      </w:r>
      <w:r>
        <w:rPr/>
        <w:t xml:space="preserve"> {{field-on:bible}} </w:t>
        <w:br/>
        <w:t xml:space="preserve">Behüte mich wie ein Augenmännlein </w:t>
      </w:r>
      <w:r>
        <w:rPr>
          <w:color w:val="808080"/>
        </w:rPr>
        <w:t>(die Pupille)</w:t>
      </w:r>
      <w:r>
        <w:rPr/>
        <w:t xml:space="preserve"> des Augenmädchens </w:t>
      </w:r>
      <w:r>
        <w:rPr>
          <w:color w:val="808080"/>
        </w:rPr>
        <w:t>(, die Pupille)</w:t>
      </w:r>
      <w:r>
        <w:rPr/>
        <w:t>,</w:t>
      </w:r>
      <w:r>
        <w:rPr>
          <w:rStyle w:val="Funotenanker"/>
        </w:rPr>
        <w:footnoteReference w:customMarkFollows="1" w:id="1947"/>
        <w:t>q</w:t>
      </w:r>
      <w:r>
        <w:rPr/>
        <w:t>Im Schatten deiner Flügel birg mich</w:t>
      </w:r>
      <w:r>
        <w:rPr>
          <w:rStyle w:val="Funotenanker"/>
        </w:rPr>
        <w:footnoteReference w:customMarkFollows="1" w:id="1948"/>
        <w:t>r</w:t>
      </w:r>
      <w:r>
        <w:rPr/>
        <w:t xml:space="preserve"> </w:t>
        <w:br/>
        <w:t xml:space="preserve">{{field-off:bible}} </w:t>
        <w:br/>
        <w:t>[[@BibleTOBIBLE:Ps 17:9]]</w:t>
      </w:r>
      <w:r>
        <w:rPr>
          <w:b/>
        </w:rPr>
        <w:t>9</w:t>
      </w:r>
      <w:r>
        <w:rPr/>
        <w:t xml:space="preserve"> {{field-on:bible}} </w:t>
        <w:br/>
        <w:t>Vor Frevlern, die mir Gewalt antun,</w:t>
      </w:r>
      <w:r>
        <w:rPr>
          <w:b/>
          <w:color w:val="808080"/>
        </w:rPr>
        <w:t>[</w:t>
      </w:r>
      <w:r>
        <w:rPr/>
        <w:t>Vor</w:t>
      </w:r>
      <w:r>
        <w:rPr>
          <w:b/>
          <w:color w:val="808080"/>
        </w:rPr>
        <w:t>]</w:t>
      </w:r>
      <w:r>
        <w:rPr/>
        <w:t xml:space="preserve"> meinen Feinden, die gierig </w:t>
      </w:r>
      <w:r>
        <w:rPr>
          <w:color w:val="808080"/>
        </w:rPr>
        <w:t>(vor meinen Todfeinden, die?)</w:t>
      </w:r>
      <w:r>
        <w:rPr/>
        <w:t xml:space="preserve"> mich umzingeln </w:t>
      </w:r>
      <w:r>
        <w:rPr>
          <w:strike/>
          <w:color w:val="808080"/>
        </w:rPr>
        <w:t>{wollen}</w:t>
      </w:r>
      <w:r>
        <w:rPr/>
        <w:t>!</w:t>
      </w:r>
      <w:r>
        <w:rPr>
          <w:rStyle w:val="Funotenanker"/>
        </w:rPr>
        <w:footnoteReference w:customMarkFollows="1" w:id="1949"/>
        <w:t>s</w:t>
      </w:r>
      <w:r>
        <w:rPr/>
        <w:t xml:space="preserve"> </w:t>
        <w:br/>
        <w:br/>
        <w:t xml:space="preserve">{{field-off:bible}} </w:t>
        <w:br/>
        <w:t>[[@BibleTOBIBLE:Ps 17:10]]</w:t>
      </w:r>
      <w:r>
        <w:rPr>
          <w:b/>
        </w:rPr>
        <w:t>10</w:t>
      </w:r>
      <w:r>
        <w:rPr/>
        <w:t xml:space="preserve"> {{field-on:bible}} </w:t>
        <w:br/>
      </w:r>
      <w:r>
        <w:rPr>
          <w:b/>
          <w:color w:val="808080"/>
        </w:rPr>
        <w:t>[</w:t>
      </w:r>
      <w:r>
        <w:rPr/>
        <w:t>Mit</w:t>
      </w:r>
      <w:r>
        <w:rPr>
          <w:b/>
          <w:color w:val="808080"/>
        </w:rPr>
        <w:t>]</w:t>
      </w:r>
      <w:r>
        <w:rPr/>
        <w:t xml:space="preserve"> Fett verschließen sie </w:t>
      </w:r>
      <w:r>
        <w:rPr>
          <w:b/>
          <w:color w:val="808080"/>
        </w:rPr>
        <w:t>[</w:t>
      </w:r>
      <w:r>
        <w:rPr/>
        <w:t>ihr Herz</w:t>
      </w:r>
      <w:r>
        <w:rPr>
          <w:b/>
          <w:color w:val="808080"/>
        </w:rPr>
        <w:t>]</w:t>
      </w:r>
      <w:r>
        <w:rPr/>
        <w:t>,</w:t>
      </w:r>
      <w:r>
        <w:rPr>
          <w:rStyle w:val="Funotenanker"/>
        </w:rPr>
        <w:footnoteReference w:customMarkFollows="1" w:id="1950"/>
        <w:t>t</w:t>
      </w:r>
      <w:r>
        <w:rPr/>
        <w:t xml:space="preserve"> </w:t>
      </w:r>
      <w:r>
        <w:rPr>
          <w:b/>
          <w:color w:val="808080"/>
        </w:rPr>
        <w:t>[</w:t>
      </w:r>
      <w:r>
        <w:rPr/>
        <w:t>Mit</w:t>
      </w:r>
      <w:r>
        <w:rPr>
          <w:b/>
          <w:color w:val="808080"/>
        </w:rPr>
        <w:t>]</w:t>
      </w:r>
      <w:r>
        <w:rPr/>
        <w:t xml:space="preserve"> ihrem Mund</w:t>
      </w:r>
      <w:r>
        <w:rPr>
          <w:rStyle w:val="Funotenanker"/>
        </w:rPr>
        <w:footnoteReference w:customMarkFollows="1" w:id="1951"/>
        <w:t>u</w:t>
      </w:r>
      <w:r>
        <w:rPr/>
        <w:t xml:space="preserve"> reden sie stolz.</w:t>
        <w:br/>
        <w:t xml:space="preserve">{{field-off:bible}} </w:t>
        <w:br/>
        <w:t>[[@BibleTOBIBLE:Ps 17:11]]</w:t>
      </w:r>
      <w:r>
        <w:rPr>
          <w:b/>
        </w:rPr>
        <w:t>11</w:t>
      </w:r>
      <w:r>
        <w:rPr/>
        <w:t xml:space="preserve"> {{field-on:bible}} </w:t>
        <w:br/>
        <w:t xml:space="preserve">Sie verfolgen mich </w:t>
      </w:r>
      <w:r>
        <w:rPr>
          <w:color w:val="808080"/>
        </w:rPr>
        <w:t>(unsere Schritte, sie warfen mich hinaus, sie tadelten mich)</w:t>
      </w:r>
      <w:r>
        <w:rPr/>
        <w:t>,</w:t>
      </w:r>
      <w:r>
        <w:rPr>
          <w:rStyle w:val="Funotenanker"/>
        </w:rPr>
        <w:footnoteReference w:customMarkFollows="1" w:id="1952"/>
        <w:t>v</w:t>
      </w:r>
      <w:r>
        <w:rPr/>
        <w:t xml:space="preserve"> jetzt umgeben sie mich,Ihre Augen setzen sie </w:t>
      </w:r>
      <w:r>
        <w:rPr>
          <w:b/>
          <w:color w:val="808080"/>
        </w:rPr>
        <w:t>[</w:t>
      </w:r>
      <w:r>
        <w:rPr/>
        <w:t>darauf</w:t>
      </w:r>
      <w:r>
        <w:rPr>
          <w:b/>
          <w:color w:val="808080"/>
        </w:rPr>
        <w:t>]</w:t>
      </w:r>
      <w:r>
        <w:rPr/>
        <w:t xml:space="preserve">, </w:t>
      </w:r>
      <w:r>
        <w:rPr>
          <w:b/>
          <w:color w:val="808080"/>
        </w:rPr>
        <w:t>[</w:t>
      </w:r>
      <w:r>
        <w:rPr/>
        <w:t>mich</w:t>
      </w:r>
      <w:r>
        <w:rPr>
          <w:b/>
          <w:color w:val="808080"/>
        </w:rPr>
        <w:t>]</w:t>
      </w:r>
      <w:r>
        <w:rPr/>
        <w:t xml:space="preserve"> zur Erde niederzustrecken;</w:t>
        <w:br/>
        <w:t xml:space="preserve">{{field-off:bible}} </w:t>
        <w:br/>
        <w:t>[[@BibleTOBIBLE:Ps 17:12]]</w:t>
      </w:r>
      <w:r>
        <w:rPr>
          <w:b/>
        </w:rPr>
        <w:t>12</w:t>
      </w:r>
      <w:r>
        <w:rPr/>
        <w:t xml:space="preserve"> {{field-on:bible}} </w:t>
        <w:br/>
        <w:t xml:space="preserve">Sie sinnen gegen mich </w:t>
      </w:r>
      <w:r>
        <w:rPr>
          <w:color w:val="808080"/>
        </w:rPr>
        <w:t>(sein Aussehen ist wie das eines)</w:t>
      </w:r>
      <w:r>
        <w:rPr/>
        <w:t xml:space="preserve"> </w:t>
      </w:r>
      <w:r>
        <w:rPr>
          <w:rStyle w:val="Funotenanker"/>
        </w:rPr>
        <w:footnoteReference w:customMarkFollows="1" w:id="1953"/>
        <w:t>w</w:t>
      </w:r>
      <w:r>
        <w:rPr/>
        <w:t xml:space="preserve"> wie ein Löwe, </w:t>
      </w:r>
      <w:r>
        <w:rPr>
          <w:b/>
          <w:color w:val="808080"/>
        </w:rPr>
        <w:t>[</w:t>
      </w:r>
      <w:r>
        <w:rPr/>
        <w:t>der</w:t>
      </w:r>
      <w:r>
        <w:rPr>
          <w:b/>
          <w:color w:val="808080"/>
        </w:rPr>
        <w:t>]</w:t>
      </w:r>
      <w:r>
        <w:rPr/>
        <w:t xml:space="preserve"> zu reißen giert,Ein Junglöwe, </w:t>
      </w:r>
      <w:r>
        <w:rPr>
          <w:b/>
          <w:color w:val="808080"/>
        </w:rPr>
        <w:t>[</w:t>
      </w:r>
      <w:r>
        <w:rPr/>
        <w:t>der</w:t>
      </w:r>
      <w:r>
        <w:rPr>
          <w:b/>
          <w:color w:val="808080"/>
        </w:rPr>
        <w:t>]</w:t>
      </w:r>
      <w:r>
        <w:rPr/>
        <w:t xml:space="preserve"> im Versteck sitzt </w:t>
      </w:r>
      <w:r>
        <w:rPr>
          <w:color w:val="808080"/>
        </w:rPr>
        <w:t>(auf der Lauer liegt)</w:t>
      </w:r>
      <w:r>
        <w:rPr/>
        <w:t xml:space="preserve">! </w:t>
      </w:r>
      <w:r>
        <w:rPr>
          <w:position w:val="8"/>
          <w:sz w:val="19"/>
        </w:rPr>
        <w:t>[[ ℘ &gt;&gt; BibleTOBIBLE:Ps 10:8]]</w:t>
      </w:r>
      <w:r>
        <w:rPr/>
        <w:t xml:space="preserve"> </w:t>
        <w:br/>
        <w:br/>
        <w:t xml:space="preserve">{{field-off:bible}} </w:t>
        <w:br/>
        <w:t>[[@BibleTOBIBLE:Ps 17:13]]</w:t>
      </w:r>
      <w:r>
        <w:rPr>
          <w:b/>
        </w:rPr>
        <w:t>13</w:t>
      </w:r>
      <w:r>
        <w:rPr/>
        <w:t xml:space="preserve"> {{field-on:bible}} </w:t>
        <w:br/>
        <w:t xml:space="preserve">Erhebe dich, </w:t>
      </w:r>
      <w:r>
        <w:rPr>
          <w:smallCaps/>
          <w:color w:val="FF0000"/>
        </w:rPr>
        <w:t>JHWH</w:t>
      </w:r>
      <w:r>
        <w:rPr/>
        <w:t xml:space="preserve">, tritt ihm </w:t>
      </w:r>
      <w:r>
        <w:rPr>
          <w:color w:val="808080"/>
        </w:rPr>
        <w:t>(seinem Gesicht)</w:t>
      </w:r>
      <w:r>
        <w:rPr/>
        <w:t xml:space="preserve"> entgegen,Rette </w:t>
      </w:r>
      <w:r>
        <w:rPr>
          <w:color w:val="808080"/>
        </w:rPr>
        <w:t>(befreie)</w:t>
      </w:r>
      <w:r>
        <w:rPr/>
        <w:t xml:space="preserve"> meine Seele </w:t>
      </w:r>
      <w:r>
        <w:rPr>
          <w:color w:val="808080"/>
        </w:rPr>
        <w:t>(mich)</w:t>
      </w:r>
      <w:r>
        <w:rPr/>
        <w:t xml:space="preserve"> vor dem Frevler!</w:t>
        <w:br/>
        <w:t xml:space="preserve">Dein Schwert </w:t>
      </w:r>
      <w:r>
        <w:rPr>
          <w:b/>
          <w:color w:val="808080"/>
        </w:rPr>
        <w:t>[</w:t>
      </w:r>
      <w:r>
        <w:rPr/>
        <w:t>sei</w:t>
      </w:r>
      <w:r>
        <w:rPr>
          <w:b/>
          <w:color w:val="808080"/>
        </w:rPr>
        <w:t>]</w:t>
      </w:r>
      <w:r>
        <w:rPr/>
        <w:t xml:space="preserve"> </w:t>
        <w:br/>
        <w:t xml:space="preserve">{{field-off:bible}} </w:t>
        <w:br/>
        <w:t>[[@BibleTOBIBLE:Ps 17:14]]</w:t>
      </w:r>
      <w:r>
        <w:rPr>
          <w:b/>
        </w:rPr>
        <w:t>14</w:t>
      </w:r>
      <w:r>
        <w:rPr/>
        <w:t xml:space="preserve"> {{field-on:bible}} </w:t>
        <w:br/>
        <w:t xml:space="preserve">von den Toten </w:t>
      </w:r>
      <w:r>
        <w:rPr>
          <w:color w:val="808080"/>
        </w:rPr>
        <w:t>(Männern)</w:t>
      </w:r>
      <w:r>
        <w:rPr/>
        <w:t>,</w:t>
      </w:r>
      <w:r>
        <w:rPr>
          <w:rStyle w:val="Funotenanker"/>
        </w:rPr>
        <w:footnoteReference w:customMarkFollows="1" w:id="1954"/>
        <w:t>x</w:t>
      </w:r>
      <w:r>
        <w:rPr/>
        <w:t xml:space="preserve">Deine Hand, </w:t>
      </w:r>
      <w:r>
        <w:rPr>
          <w:smallCaps/>
          <w:color w:val="FF0000"/>
        </w:rPr>
        <w:t>JHWH</w:t>
      </w:r>
      <w:r>
        <w:rPr/>
        <w:t xml:space="preserve">, </w:t>
      </w:r>
      <w:r>
        <w:rPr>
          <w:b/>
          <w:color w:val="808080"/>
        </w:rPr>
        <w:t>[</w:t>
      </w:r>
      <w:r>
        <w:rPr/>
        <w:t>sei</w:t>
      </w:r>
      <w:r>
        <w:rPr>
          <w:b/>
          <w:color w:val="808080"/>
        </w:rPr>
        <w:t>]</w:t>
      </w:r>
      <w:r>
        <w:rPr/>
        <w:t xml:space="preserve"> von den Toten</w:t>
      </w:r>
      <w:r>
        <w:rPr>
          <w:color w:val="808080"/>
        </w:rPr>
        <w:t>(Männern)</w:t>
      </w:r>
      <w:r>
        <w:rPr/>
        <w:t xml:space="preserve">, </w:t>
      </w:r>
      <w:r>
        <w:rPr>
          <w:b/>
          <w:color w:val="808080"/>
        </w:rPr>
        <w:t>[</w:t>
      </w:r>
      <w:r>
        <w:rPr/>
        <w:t>die</w:t>
      </w:r>
      <w:r>
        <w:rPr>
          <w:b/>
          <w:color w:val="808080"/>
        </w:rPr>
        <w:t>]</w:t>
      </w:r>
      <w:r>
        <w:rPr/>
        <w:t xml:space="preserve"> ohne Dauer </w:t>
      </w:r>
      <w:r>
        <w:rPr>
          <w:color w:val="808080"/>
        </w:rPr>
        <w:t>(Welt)</w:t>
      </w:r>
      <w:r>
        <w:rPr/>
        <w:t xml:space="preserve"> </w:t>
      </w:r>
      <w:r>
        <w:rPr>
          <w:b/>
          <w:color w:val="808080"/>
        </w:rPr>
        <w:t>[</w:t>
      </w:r>
      <w:r>
        <w:rPr/>
        <w:t>waren</w:t>
      </w:r>
      <w:r>
        <w:rPr>
          <w:b/>
          <w:color w:val="808080"/>
        </w:rPr>
        <w:t>]</w:t>
      </w:r>
      <w:r>
        <w:rPr/>
        <w:t>,Ihr Teil</w:t>
      </w:r>
      <w:r>
        <w:rPr>
          <w:rStyle w:val="Funotenanker"/>
        </w:rPr>
        <w:footnoteReference w:customMarkFollows="1" w:id="1955"/>
        <w:t>y</w:t>
      </w:r>
      <w:r>
        <w:rPr/>
        <w:t xml:space="preserve"> im Leben!</w:t>
        <w:br/>
      </w:r>
      <w:r>
        <w:rPr>
          <w:b/>
          <w:color w:val="808080"/>
        </w:rPr>
        <w:t>[</w:t>
      </w:r>
      <w:r>
        <w:rPr/>
        <w:t>Mit</w:t>
      </w:r>
      <w:r>
        <w:rPr>
          <w:b/>
          <w:color w:val="808080"/>
        </w:rPr>
        <w:t>]</w:t>
      </w:r>
      <w:r>
        <w:rPr/>
        <w:t xml:space="preserve"> deinem Aufgesparten</w:t>
      </w:r>
      <w:r>
        <w:rPr>
          <w:rStyle w:val="Funotenanker"/>
        </w:rPr>
        <w:footnoteReference w:customMarkFollows="1" w:id="1956"/>
        <w:t>z</w:t>
      </w:r>
      <w:r>
        <w:rPr/>
        <w:t xml:space="preserve"> fülle ihren MagenSättigen sollen sich </w:t>
      </w:r>
      <w:r>
        <w:rPr>
          <w:b/>
          <w:color w:val="808080"/>
        </w:rPr>
        <w:t>[</w:t>
      </w:r>
      <w:r>
        <w:rPr/>
        <w:t>auch</w:t>
      </w:r>
      <w:r>
        <w:rPr>
          <w:b/>
          <w:color w:val="808080"/>
        </w:rPr>
        <w:t>]</w:t>
      </w:r>
      <w:r>
        <w:rPr/>
        <w:t xml:space="preserve"> ihre Kinder,Und diese </w:t>
      </w:r>
      <w:r>
        <w:rPr>
          <w:color w:val="808080"/>
        </w:rPr>
        <w:t>(ja, sie)</w:t>
      </w:r>
      <w:r>
        <w:rPr/>
        <w:t xml:space="preserve"> sollen überlassen ihren Rest ihren Säuglingen!</w:t>
        <w:br/>
        <w:t xml:space="preserve">{{field-off:bible}} </w:t>
        <w:br/>
        <w:t>[[@BibleTOBIBLE:Ps 17:15]]</w:t>
      </w:r>
      <w:r>
        <w:rPr>
          <w:b/>
        </w:rPr>
        <w:t>15</w:t>
      </w:r>
      <w:r>
        <w:rPr/>
        <w:t xml:space="preserve"> {{field-on:bible}} </w:t>
        <w:br/>
        <w:t xml:space="preserve">''Ich'' </w:t>
      </w:r>
      <w:r>
        <w:rPr>
          <w:b/>
          <w:color w:val="808080"/>
        </w:rPr>
        <w:t>[</w:t>
      </w:r>
      <w:r>
        <w:rPr/>
        <w:t>aber</w:t>
      </w:r>
      <w:r>
        <w:rPr>
          <w:b/>
          <w:color w:val="808080"/>
        </w:rPr>
        <w:t>]</w:t>
      </w:r>
      <w:r>
        <w:rPr/>
        <w:t xml:space="preserve"> will </w:t>
      </w:r>
      <w:r>
        <w:rPr>
          <w:color w:val="808080"/>
        </w:rPr>
        <w:t>(werde)</w:t>
      </w:r>
      <w:r>
        <w:rPr/>
        <w:t xml:space="preserve"> als Gerechter </w:t>
      </w:r>
      <w:r>
        <w:rPr>
          <w:color w:val="808080"/>
        </w:rPr>
        <w:t>(Gerechtfertigter, in/durch Gerechtigkeit</w:t>
      </w:r>
      <w:r>
        <w:rPr/>
        <w:t xml:space="preserve"> </w:t>
      </w:r>
      <w:r>
        <w:rPr>
          <w:rStyle w:val="Funotenanker"/>
        </w:rPr>
        <w:footnoteReference w:customMarkFollows="1" w:id="1957"/>
        <w:t>aa</w:t>
      </w:r>
      <w:r>
        <w:rPr/>
        <w:t xml:space="preserve"> </w:t>
      </w:r>
      <w:r>
        <w:rPr>
          <w:color w:val="808080"/>
        </w:rPr>
        <w:t>)</w:t>
      </w:r>
      <w:r>
        <w:rPr/>
        <w:t xml:space="preserve"> dein Gesicht schauen,Will mich sättigen beim Aufwachen</w:t>
      </w:r>
      <w:r>
        <w:rPr>
          <w:rStyle w:val="Funotenanker"/>
        </w:rPr>
        <w:footnoteReference w:customMarkFollows="1" w:id="1958"/>
        <w:t>ab</w:t>
      </w:r>
      <w:r>
        <w:rPr/>
        <w:t xml:space="preserve"> an deinem Bild.</w:t>
      </w:r>
      <w:r>
        <w:rPr>
          <w:rStyle w:val="Funotenanker"/>
        </w:rPr>
        <w:footnoteReference w:customMarkFollows="1" w:id="1959"/>
        <w:t>ac</w:t>
      </w:r>
      <w:r>
        <w:rPr/>
        <w:t xml:space="preserve"> </w:t>
        <w:br/>
        <w:t xml:space="preserve">{{field-off:bible}} </w:t>
      </w:r>
    </w:p>
    <w:p>
      <w:pPr>
        <w:pStyle w:val="Berschrift3"/>
        <w:rPr/>
      </w:pPr>
      <w:r>
        <w:rPr/>
        <w:t>[[@BibleTOBIBLE:Ps 18]]Kapitel 18</w:t>
      </w:r>
    </w:p>
    <w:p>
      <w:pPr>
        <w:pStyle w:val="Textkrper"/>
        <w:rPr/>
      </w:pPr>
      <w:r>
        <w:rPr/>
        <w:t xml:space="preserve">Psalm 18 ist ein recht langes Danklied eines einzelnen Beters. Die Logik ist klar erkennbar: Strophe 1 (Vv. 2-4) berichtet von einer vergangenen Bitte, die nötig war aufgrund einer vergangenen Not, die in Strophe 2 (Vv. 5-7) sehr metaphorisch beschrieben wird. Strophen 3 und 4 (Vv. 8-16) schildern das Rettungshandeln Gottes. Strophe 5 (Vv. 17-20a) fasst noch einmal in Vv. 17-19a die Bitte und in Vv. 19b-20a die Rettung zusammen. Ab Strophe 6 wird von hier aus verallgemeinert: Wie Gott damals handelte, so wird er auch künftig handeln, weil der Beter sich stets an Gottes Gebote hielt (Vv. 20b-25). Strophe 7 (Vv. 26-30) verallgemeinert noch weiter: Ganz grundsätzlich handelt Gott so. Denn, Strophe 8 (Vv. 31-37): So ist Gott eben: Er ist einer, der vollkommen ist (Vv. 31f.) und daher einer, der auch den Beter unterstützte und weiterhin unterstützen wird (Vv. 33-37), weshalb dieser sich dann in Strophen 9 und 10 (Vv. 38-46) sogar Weltherrschaftsfantasien hingeben kann. Für dieses rettende und unterstützende Handeln in Vergangenheit, Gegenwart und Zukunft schließt der Beter mit einer zweistrophigen Danksagung mit einem Gelübde, auch künftig danken und preisen zu wollen (Vv. 47-51). Der Psalm ist in der Bibel doppelt überliefert und findet sich noch mal in 2 Sam 22, wo er ebenso wie in der Psalmüberschrift David in den Mund gelegt wird (das macht den Text übrigens auch textkritisch sehr komplex, weshalb in der Befußnotung die Textkritik ausgelagert wurde auf die Seite 2 Sam 22, Ps 18 und die Textkritik des Alten Testaments). Sehr viele Psalmen werden in ihrer Überschrift David in den Mund gelegt; in den meisten Fällen ist dies sehr unwahrscheinlich - und auch hier macht es der letzte Vers, in dem von „David“ in der 3. Person und danach dann auch noch von seinen Nachfahren gesprochen wird, wahrscheinlicher, dass die Zuschreibung an David eine Fiktion ist und der Psalm ursprünglich einen anderen Verfasser hatte. </w:t>
        <w:br/>
        <w:br/>
        <w:t>[[@BibleTOBIBLE:Ps 18:1]]</w:t>
      </w:r>
      <w:r>
        <w:rPr>
          <w:b/>
        </w:rPr>
        <w:t>1</w:t>
      </w:r>
      <w:r>
        <w:rPr/>
        <w:t xml:space="preserve"> {{field-on:bible}} </w:t>
      </w:r>
      <w:r>
        <w:rPr>
          <w:rStyle w:val="Funotenanker"/>
        </w:rPr>
        <w:footnoteReference w:customMarkFollows="1" w:id="1960"/>
        <w:t>Status</w:t>
      </w:r>
      <w:r>
        <w:rPr/>
        <w:t xml:space="preserve"> ''Für den Chorleiter. Vom Diener </w:t>
      </w:r>
      <w:r>
        <w:rPr>
          <w:smallCaps/>
          <w:color w:val="FF0000"/>
        </w:rPr>
        <w:t>JHWH</w:t>
      </w:r>
      <w:r>
        <w:rPr/>
        <w:t>s, von David, welcher sprach zu JHWH die Worte dieses Lieds am Tag, als JHWH ihn rettete aus der Handfläche all seiner Feinde und aus der Hand</w:t>
      </w:r>
      <w:r>
        <w:rPr>
          <w:rStyle w:val="Funotenanker"/>
        </w:rPr>
        <w:footnoteReference w:customMarkFollows="1" w:id="1961"/>
        <w:t>a</w:t>
      </w:r>
      <w:r>
        <w:rPr/>
        <w:t xml:space="preserve"> Sauls.''{{field-off:bible}} </w:t>
        <w:br/>
        <w:t>[[@BibleTOBIBLE:Ps 18:2]]</w:t>
      </w:r>
      <w:r>
        <w:rPr>
          <w:b/>
        </w:rPr>
        <w:t>2</w:t>
      </w:r>
      <w:r>
        <w:rPr/>
        <w:t xml:space="preserve"> {{field-on:bible}}''Und er sagte:'' </w:t>
        <w:br/>
        <w:t xml:space="preserve">„Ich will dich lieben, </w:t>
      </w:r>
      <w:r>
        <w:rPr>
          <w:smallCaps/>
          <w:color w:val="FF0000"/>
        </w:rPr>
        <w:t>JHWH</w:t>
      </w:r>
      <w:r>
        <w:rPr/>
        <w:t>, meine Stärke!</w:t>
        <w:br/>
        <w:t xml:space="preserve">{{field-off:bible}} </w:t>
        <w:br/>
        <w:t>[[@BibleTOBIBLE:Ps 18:3]]</w:t>
      </w:r>
      <w:r>
        <w:rPr>
          <w:b/>
        </w:rPr>
        <w:t>3</w:t>
      </w:r>
      <w:r>
        <w:rPr/>
        <w:t xml:space="preserve"> {{field-on:bible}} </w:t>
        <w:br/>
      </w:r>
      <w:r>
        <w:rPr>
          <w:smallCaps/>
          <w:color w:val="FF0000"/>
        </w:rPr>
        <w:t>JHWH</w:t>
      </w:r>
      <w:r>
        <w:rPr/>
        <w:t xml:space="preserve"> </w:t>
      </w:r>
      <w:r>
        <w:rPr>
          <w:b/>
          <w:color w:val="808080"/>
        </w:rPr>
        <w:t>[</w:t>
      </w:r>
      <w:r>
        <w:rPr/>
        <w:t>ist</w:t>
      </w:r>
      <w:r>
        <w:rPr>
          <w:b/>
          <w:color w:val="808080"/>
        </w:rPr>
        <w:t>]</w:t>
      </w:r>
      <w:r>
        <w:rPr/>
        <w:t xml:space="preserve"> mein Fels und meine Burg und mein Retter,Mein Gott </w:t>
      </w:r>
      <w:r>
        <w:rPr>
          <w:b/>
          <w:color w:val="808080"/>
        </w:rPr>
        <w:t>[</w:t>
      </w:r>
      <w:r>
        <w:rPr/>
        <w:t>ist</w:t>
      </w:r>
      <w:r>
        <w:rPr>
          <w:b/>
          <w:color w:val="808080"/>
        </w:rPr>
        <w:t>]</w:t>
      </w:r>
      <w:r>
        <w:rPr/>
        <w:t xml:space="preserve"> </w:t>
      </w:r>
      <w:r>
        <w:rPr>
          <w:color w:val="808080"/>
        </w:rPr>
        <w:t>(,)</w:t>
      </w:r>
      <w:r>
        <w:rPr/>
        <w:t xml:space="preserve"> mein Berg, zu dem ich fliehe </w:t>
      </w:r>
      <w:r>
        <w:rPr>
          <w:color w:val="808080"/>
        </w:rPr>
        <w:t>(auf den ich vertraue)</w:t>
      </w:r>
      <w:r>
        <w:rPr/>
        <w:t xml:space="preserve">,Mein Schild, das Horn meiner Rettung, meine Klippe </w:t>
      </w:r>
      <w:r>
        <w:rPr>
          <w:color w:val="808080"/>
        </w:rPr>
        <w:t>(Festung)</w:t>
      </w:r>
      <w:r>
        <w:rPr/>
        <w:t>!</w:t>
        <w:br/>
        <w:t xml:space="preserve">{{field-off:bible}} </w:t>
        <w:br/>
        <w:t>[[@BibleTOBIBLE:Ps 18:4]]</w:t>
      </w:r>
      <w:r>
        <w:rPr>
          <w:b/>
        </w:rPr>
        <w:t>4</w:t>
      </w:r>
      <w:r>
        <w:rPr/>
        <w:t xml:space="preserve"> {{field-on:bible}} </w:t>
        <w:br/>
        <w:t xml:space="preserve">Als Lobenswerten will ich anrufen </w:t>
      </w:r>
      <w:r>
        <w:rPr>
          <w:smallCaps/>
          <w:color w:val="FF0000"/>
        </w:rPr>
        <w:t>JHWH</w:t>
      </w:r>
      <w:r>
        <w:rPr/>
        <w:t xml:space="preserve">Und von meinen Feinden will </w:t>
      </w:r>
      <w:r>
        <w:rPr>
          <w:color w:val="808080"/>
        </w:rPr>
        <w:t>(werde)</w:t>
      </w:r>
      <w:r>
        <w:rPr/>
        <w:t xml:space="preserve"> ich gerettet werden.</w:t>
        <w:br/>
        <w:br/>
        <w:t xml:space="preserve">{{field-off:bible}} </w:t>
        <w:br/>
        <w:t>[[@BibleTOBIBLE:Ps 18:5]]</w:t>
      </w:r>
      <w:r>
        <w:rPr>
          <w:b/>
        </w:rPr>
        <w:t>5</w:t>
      </w:r>
      <w:r>
        <w:rPr/>
        <w:t xml:space="preserve"> {{field-on:bible}} </w:t>
        <w:br/>
        <w:t>Es umgaben mich Wogen des Todes,Die Flüsse Belias werden mich erschrecken!</w:t>
      </w:r>
      <w:r>
        <w:rPr>
          <w:rStyle w:val="Funotenanker"/>
        </w:rPr>
        <w:footnoteReference w:customMarkFollows="1" w:id="1962"/>
        <w:t>b</w:t>
      </w:r>
      <w:r>
        <w:rPr/>
        <w:t xml:space="preserve"> </w:t>
        <w:br/>
        <w:t xml:space="preserve">{{field-off:bible}} </w:t>
        <w:br/>
        <w:t>[[@BibleTOBIBLE:Ps 18:6]]</w:t>
      </w:r>
      <w:r>
        <w:rPr>
          <w:b/>
        </w:rPr>
        <w:t>6</w:t>
      </w:r>
      <w:r>
        <w:rPr/>
        <w:t xml:space="preserve"> {{field-on:bible}} </w:t>
        <w:br/>
        <w:t>Die Stricke des Scheol</w:t>
      </w:r>
      <w:r>
        <w:rPr>
          <w:rStyle w:val="Funotenanker"/>
        </w:rPr>
        <w:footnoteReference w:customMarkFollows="1" w:id="1963"/>
        <w:t>c</w:t>
      </w:r>
      <w:r>
        <w:rPr/>
        <w:t xml:space="preserve"> umfingen mich, Es ereilten mich die Schlingen des Todes.</w:t>
        <w:br/>
        <w:t xml:space="preserve">{{field-off:bible}} </w:t>
        <w:br/>
        <w:t>[[@BibleTOBIBLE:Ps 18:7]]</w:t>
      </w:r>
      <w:r>
        <w:rPr>
          <w:b/>
        </w:rPr>
        <w:t>7</w:t>
      </w:r>
      <w:r>
        <w:rPr/>
        <w:t xml:space="preserve"> {{field-on:bible}} </w:t>
        <w:br/>
      </w:r>
      <w:r>
        <w:rPr>
          <w:b/>
          <w:color w:val="808080"/>
        </w:rPr>
        <w:t>[</w:t>
      </w:r>
      <w:r>
        <w:rPr/>
        <w:t>Ich sprach:</w:t>
      </w:r>
      <w:r>
        <w:rPr>
          <w:b/>
          <w:color w:val="808080"/>
        </w:rPr>
        <w:t>]</w:t>
      </w:r>
      <w:r>
        <w:rPr/>
        <w:t xml:space="preserve"> »In meiner Not will ich anrufen </w:t>
      </w:r>
      <w:r>
        <w:rPr>
          <w:smallCaps/>
          <w:color w:val="FF0000"/>
        </w:rPr>
        <w:t>JHWH</w:t>
      </w:r>
      <w:r>
        <w:rPr/>
        <w:t>Und zu meinem Gott will ich schreien.</w:t>
        <w:br/>
        <w:t>Er soll hören in seinem Tempel meine StimmeUnd mein Schreien soll kommen in seinem Ohr!«</w:t>
        <w:br/>
        <w:br/>
        <w:t xml:space="preserve">{{field-off:bible}} </w:t>
        <w:br/>
        <w:t>[[@BibleTOBIBLE:Ps 18:8]]</w:t>
      </w:r>
      <w:r>
        <w:rPr>
          <w:b/>
        </w:rPr>
        <w:t>8</w:t>
      </w:r>
      <w:r>
        <w:rPr/>
        <w:t xml:space="preserve"> {{field-on:bible}} </w:t>
        <w:br/>
        <w:t>Da wankte und schwankte die ErdeUnd die Pfeiler der Berge</w:t>
      </w:r>
      <w:r>
        <w:rPr>
          <w:rStyle w:val="Funotenanker"/>
        </w:rPr>
        <w:footnoteReference w:customMarkFollows="1" w:id="1964"/>
        <w:t>d</w:t>
      </w:r>
      <w:r>
        <w:rPr/>
        <w:t xml:space="preserve"> bebten und wanktenDenn es loderte in ihm.</w:t>
        <w:br/>
        <w:t xml:space="preserve">{{field-off:bible}} </w:t>
        <w:br/>
        <w:t>[[@BibleTOBIBLE:Ps 18:9]]</w:t>
      </w:r>
      <w:r>
        <w:rPr>
          <w:b/>
        </w:rPr>
        <w:t>9</w:t>
      </w:r>
      <w:r>
        <w:rPr/>
        <w:t xml:space="preserve"> {{field-on:bible}} </w:t>
        <w:br/>
        <w:t xml:space="preserve">Es stieg Rauch aus seiner NaseUnd Feuer fraß aus seinem Mund;Kohlen brannten aus ihm hervor </w:t>
      </w:r>
      <w:r>
        <w:rPr>
          <w:color w:val="808080"/>
        </w:rPr>
        <w:t>(entbrannten durch es)</w:t>
      </w:r>
      <w:r>
        <w:rPr/>
        <w:t>.</w:t>
        <w:br/>
        <w:t xml:space="preserve">{{field-off:bible}} </w:t>
        <w:br/>
        <w:t>[[@BibleTOBIBLE:Ps 18:10]]</w:t>
      </w:r>
      <w:r>
        <w:rPr>
          <w:b/>
        </w:rPr>
        <w:t>10</w:t>
      </w:r>
      <w:r>
        <w:rPr/>
        <w:t xml:space="preserve"> {{field-on:bible}} </w:t>
        <w:br/>
        <w:t xml:space="preserve">Und er öffnete </w:t>
      </w:r>
      <w:r>
        <w:rPr>
          <w:color w:val="808080"/>
        </w:rPr>
        <w:t>(neigte)</w:t>
      </w:r>
      <w:r>
        <w:rPr/>
        <w:t xml:space="preserve"> den Himmel</w:t>
      </w:r>
      <w:r>
        <w:rPr>
          <w:rStyle w:val="Funotenanker"/>
        </w:rPr>
        <w:footnoteReference w:customMarkFollows="1" w:id="1965"/>
        <w:t>e</w:t>
      </w:r>
      <w:r>
        <w:rPr/>
        <w:t xml:space="preserve"> und stieg herabUnd eine Wolke </w:t>
      </w:r>
      <w:r>
        <w:rPr>
          <w:color w:val="808080"/>
        </w:rPr>
        <w:t>(Dunkelheit)</w:t>
      </w:r>
      <w:r>
        <w:rPr/>
        <w:t xml:space="preserve"> </w:t>
      </w:r>
      <w:r>
        <w:rPr>
          <w:b/>
          <w:color w:val="808080"/>
        </w:rPr>
        <w:t>[</w:t>
      </w:r>
      <w:r>
        <w:rPr/>
        <w:t>war</w:t>
      </w:r>
      <w:r>
        <w:rPr>
          <w:b/>
          <w:color w:val="808080"/>
        </w:rPr>
        <w:t>]</w:t>
      </w:r>
      <w:r>
        <w:rPr/>
        <w:t xml:space="preserve"> unter seinen Füßen.</w:t>
        <w:br/>
        <w:t xml:space="preserve">{{field-off:bible}} </w:t>
        <w:br/>
        <w:t>[[@BibleTOBIBLE:Ps 18:11]]</w:t>
      </w:r>
      <w:r>
        <w:rPr>
          <w:b/>
        </w:rPr>
        <w:t>11</w:t>
      </w:r>
      <w:r>
        <w:rPr/>
        <w:t xml:space="preserve"> {{field-on:bible}} </w:t>
        <w:br/>
        <w:t>Und er ritt auf einem Kerub</w:t>
      </w:r>
      <w:r>
        <w:rPr>
          <w:rStyle w:val="Funotenanker"/>
        </w:rPr>
        <w:footnoteReference w:customMarkFollows="1" w:id="1966"/>
        <w:t>f</w:t>
      </w:r>
      <w:r>
        <w:rPr/>
        <w:t xml:space="preserve"> und flogUnd schoß herab auf den Flügeln des Windes.</w:t>
        <w:br/>
        <w:br/>
        <w:t xml:space="preserve">{{field-off:bible}} </w:t>
        <w:br/>
        <w:t>[[@BibleTOBIBLE:Ps 18:12]]</w:t>
      </w:r>
      <w:r>
        <w:rPr>
          <w:b/>
        </w:rPr>
        <w:t>12</w:t>
      </w:r>
      <w:r>
        <w:rPr/>
        <w:t xml:space="preserve"> {{field-on:bible}} </w:t>
        <w:br/>
        <w:t xml:space="preserve">Und er setzte Dunkelheit als seine Bedeckung um sich,Seine Hütte </w:t>
      </w:r>
      <w:r>
        <w:rPr>
          <w:b/>
          <w:color w:val="808080"/>
        </w:rPr>
        <w:t>[</w:t>
      </w:r>
      <w:r>
        <w:rPr/>
        <w:t>waren aus</w:t>
      </w:r>
      <w:r>
        <w:rPr>
          <w:b/>
          <w:color w:val="808080"/>
        </w:rPr>
        <w:t>]</w:t>
      </w:r>
      <w:r>
        <w:rPr/>
        <w:t xml:space="preserve"> Massen von Wassern in den Wolken des Himmels.</w:t>
        <w:br/>
        <w:t xml:space="preserve">{{field-off:bible}} </w:t>
        <w:br/>
        <w:t>[[@BibleTOBIBLE:Ps 18:13]]</w:t>
      </w:r>
      <w:r>
        <w:rPr>
          <w:b/>
        </w:rPr>
        <w:t>13</w:t>
      </w:r>
      <w:r>
        <w:rPr/>
        <w:t xml:space="preserve"> {{field-on:bible}} </w:t>
        <w:br/>
        <w:t>Aus dem Glanz vor ihm gingen ausHagel und Kohlen von Feuer.</w:t>
        <w:br/>
        <w:t xml:space="preserve">{{field-off:bible}} </w:t>
        <w:br/>
        <w:t>[[@BibleTOBIBLE:Ps 18:14]]</w:t>
      </w:r>
      <w:r>
        <w:rPr>
          <w:b/>
        </w:rPr>
        <w:t>14</w:t>
      </w:r>
      <w:r>
        <w:rPr/>
        <w:t xml:space="preserve"> {{field-on:bible}} </w:t>
        <w:br/>
        <w:t xml:space="preserve">Und es donnerte aus dem Himmel </w:t>
      </w:r>
      <w:r>
        <w:rPr>
          <w:smallCaps/>
          <w:color w:val="FF0000"/>
        </w:rPr>
        <w:t>JHWH</w:t>
      </w:r>
      <w:r>
        <w:rPr/>
        <w:t xml:space="preserve"> Und Eljon wird geben</w:t>
      </w:r>
      <w:r>
        <w:rPr>
          <w:rStyle w:val="Funotenanker"/>
        </w:rPr>
        <w:footnoteReference w:customMarkFollows="1" w:id="1967"/>
        <w:t>g</w:t>
      </w:r>
      <w:r>
        <w:rPr/>
        <w:t xml:space="preserve"> seine Stimme.</w:t>
        <w:br/>
        <w:t xml:space="preserve">{{field-off:bible}} </w:t>
        <w:br/>
        <w:t>[[@BibleTOBIBLE:Ps 18:15]]</w:t>
      </w:r>
      <w:r>
        <w:rPr>
          <w:b/>
        </w:rPr>
        <w:t>15</w:t>
      </w:r>
      <w:r>
        <w:rPr/>
        <w:t xml:space="preserve"> {{field-on:bible}} </w:t>
        <w:br/>
        <w:t>Und er warf seine Pfeile und zerstreute diese,Einen Blitz schoß er und verwirrte er.</w:t>
      </w:r>
      <w:r>
        <w:rPr>
          <w:rStyle w:val="Funotenanker"/>
        </w:rPr>
        <w:footnoteReference w:customMarkFollows="1" w:id="1968"/>
        <w:t>h</w:t>
      </w:r>
      <w:r>
        <w:rPr/>
        <w:t xml:space="preserve"> </w:t>
        <w:br/>
        <w:t xml:space="preserve">{{field-off:bible}} </w:t>
        <w:br/>
        <w:t>[[@BibleTOBIBLE:Ps 18:16]]</w:t>
      </w:r>
      <w:r>
        <w:rPr>
          <w:b/>
        </w:rPr>
        <w:t>16</w:t>
      </w:r>
      <w:r>
        <w:rPr/>
        <w:t xml:space="preserve"> {{field-on:bible}} </w:t>
        <w:br/>
        <w:t>Und es wurden gesehen die Betten der Wasser,Es werden bloßgelegt werden</w:t>
      </w:r>
      <w:r>
        <w:rPr>
          <w:rStyle w:val="Funotenanker"/>
        </w:rPr>
        <w:footnoteReference w:customMarkFollows="1" w:id="1969"/>
        <w:t>i</w:t>
      </w:r>
      <w:r>
        <w:rPr/>
        <w:t xml:space="preserve"> die Fundamente der Erde.</w:t>
      </w:r>
      <w:r>
        <w:rPr>
          <w:rStyle w:val="Funotenanker"/>
        </w:rPr>
        <w:footnoteReference w:customMarkFollows="1" w:id="1970"/>
        <w:t>j</w:t>
      </w:r>
      <w:r>
        <w:rPr/>
        <w:t xml:space="preserve"> </w:t>
        <w:br/>
        <w:t xml:space="preserve">Durch dein Schelten, </w:t>
      </w:r>
      <w:r>
        <w:rPr>
          <w:smallCaps/>
          <w:color w:val="FF0000"/>
        </w:rPr>
        <w:t>JHWH</w:t>
      </w:r>
      <w:r>
        <w:rPr/>
        <w:t>,Durch das Schnauben des Windes deiner Nase.</w:t>
        <w:br/>
        <w:br/>
        <w:t xml:space="preserve">{{field-off:bible}} </w:t>
        <w:br/>
        <w:t>[[@BibleTOBIBLE:Ps 18:17]]</w:t>
      </w:r>
      <w:r>
        <w:rPr>
          <w:b/>
        </w:rPr>
        <w:t>17</w:t>
      </w:r>
      <w:r>
        <w:rPr/>
        <w:t xml:space="preserve"> {{field-on:bible}} </w:t>
        <w:br/>
      </w:r>
      <w:r>
        <w:rPr>
          <w:b/>
          <w:color w:val="808080"/>
        </w:rPr>
        <w:t>[</w:t>
      </w:r>
      <w:r>
        <w:rPr/>
        <w:t>Ich sprach:</w:t>
      </w:r>
      <w:r>
        <w:rPr>
          <w:b/>
          <w:color w:val="808080"/>
        </w:rPr>
        <w:t>]</w:t>
      </w:r>
      <w:r>
        <w:rPr/>
        <w:t xml:space="preserve"> »Er möge </w:t>
      </w:r>
      <w:r>
        <w:rPr>
          <w:color w:val="808080"/>
        </w:rPr>
        <w:t>(wird)</w:t>
      </w:r>
      <w:r>
        <w:rPr/>
        <w:t xml:space="preserve"> senden aus der Höhe,</w:t>
      </w:r>
      <w:r>
        <w:rPr>
          <w:rStyle w:val="Funotenanker"/>
        </w:rPr>
        <w:footnoteReference w:customMarkFollows="1" w:id="1971"/>
        <w:t>k</w:t>
      </w:r>
      <w:r>
        <w:rPr/>
        <w:t xml:space="preserve"> mich ergreifen,Mich herausziehen aus vielen Wassern,</w:t>
      </w:r>
      <w:r>
        <w:rPr>
          <w:rStyle w:val="Funotenanker"/>
        </w:rPr>
        <w:footnoteReference w:customMarkFollows="1" w:id="1972"/>
        <w:t>l</w:t>
      </w:r>
      <w:r>
        <w:rPr/>
        <w:t xml:space="preserve"> </w:t>
        <w:br/>
        <w:t xml:space="preserve">{{field-off:bible}} </w:t>
        <w:br/>
        <w:t>[[@BibleTOBIBLE:Ps 18:18]]</w:t>
      </w:r>
      <w:r>
        <w:rPr>
          <w:b/>
        </w:rPr>
        <w:t>18</w:t>
      </w:r>
      <w:r>
        <w:rPr/>
        <w:t xml:space="preserve"> {{field-on:bible}} </w:t>
        <w:br/>
        <w:t>Es möge mich retten vor meinem Feind der Starke Und vor meinen Hassern, weil sie kräftiger sind als ich!</w:t>
        <w:br/>
        <w:t xml:space="preserve">{{field-off:bible}} </w:t>
        <w:br/>
        <w:t>[[@BibleTOBIBLE:Ps 18:19]]</w:t>
      </w:r>
      <w:r>
        <w:rPr>
          <w:b/>
        </w:rPr>
        <w:t>19</w:t>
      </w:r>
      <w:r>
        <w:rPr/>
        <w:t xml:space="preserve"> {{field-on:bible}} </w:t>
        <w:br/>
        <w:t>Sie werden mir entgegentreten am Tag meines Unglücks!«</w:t>
        <w:br/>
        <w:t xml:space="preserve">Da wurde </w:t>
      </w:r>
      <w:r>
        <w:rPr>
          <w:smallCaps/>
          <w:color w:val="FF0000"/>
        </w:rPr>
        <w:t>JHWH</w:t>
      </w:r>
      <w:r>
        <w:rPr/>
        <w:t xml:space="preserve"> zu meiner Stütze:</w:t>
        <w:br/>
        <w:t xml:space="preserve">{{field-off:bible}} </w:t>
        <w:br/>
        <w:t>[[@BibleTOBIBLE:Ps 18:20]]</w:t>
      </w:r>
      <w:r>
        <w:rPr>
          <w:b/>
        </w:rPr>
        <w:t>20</w:t>
      </w:r>
      <w:r>
        <w:rPr/>
        <w:t xml:space="preserve"> {{field-on:bible}} </w:t>
        <w:br/>
        <w:t>Er führte mich ins Weite.</w:t>
        <w:br/>
        <w:br/>
      </w:r>
      <w:r>
        <w:rPr>
          <w:b/>
          <w:color w:val="808080"/>
        </w:rPr>
        <w:t>[</w:t>
      </w:r>
      <w:r>
        <w:rPr/>
        <w:t>Ich wusste:</w:t>
      </w:r>
      <w:r>
        <w:rPr>
          <w:b/>
          <w:color w:val="808080"/>
        </w:rPr>
        <w:t>]</w:t>
      </w:r>
      <w:r>
        <w:rPr/>
        <w:t xml:space="preserve"> »Er wird mich retten, weil er Gefallen hat an mir:</w:t>
        <w:br/>
        <w:t xml:space="preserve">{{field-off:bible}} </w:t>
        <w:br/>
        <w:t>[[@BibleTOBIBLE:Ps 18:21]]</w:t>
      </w:r>
      <w:r>
        <w:rPr>
          <w:b/>
        </w:rPr>
        <w:t>21</w:t>
      </w:r>
      <w:r>
        <w:rPr/>
        <w:t xml:space="preserve"> {{field-on:bible}} </w:t>
        <w:br/>
        <w:t xml:space="preserve">Es wird mich belohnen </w:t>
      </w:r>
      <w:r>
        <w:rPr>
          <w:smallCaps/>
          <w:color w:val="FF0000"/>
        </w:rPr>
        <w:t>JHWH</w:t>
      </w:r>
      <w:r>
        <w:rPr/>
        <w:t xml:space="preserve"> entsprechend meiner Gerechtigkeit,Entsprechend der Reinheit meiner Hände wird er mir zurückgeben,</w:t>
        <w:br/>
        <w:t xml:space="preserve">{{field-off:bible}} </w:t>
        <w:br/>
        <w:t>[[@BibleTOBIBLE:Ps 18:22]]</w:t>
      </w:r>
      <w:r>
        <w:rPr>
          <w:b/>
        </w:rPr>
        <w:t>22</w:t>
      </w:r>
      <w:r>
        <w:rPr/>
        <w:t xml:space="preserve"> {{field-on:bible}} </w:t>
        <w:br/>
        <w:t xml:space="preserve">Denn ich wahrte die Wege </w:t>
      </w:r>
      <w:r>
        <w:rPr>
          <w:smallCaps/>
          <w:color w:val="FF0000"/>
        </w:rPr>
        <w:t>JHWH</w:t>
      </w:r>
      <w:r>
        <w:rPr/>
        <w:t>sUnd handelte nicht böse von</w:t>
      </w:r>
      <w:r>
        <w:rPr>
          <w:rStyle w:val="Funotenanker"/>
        </w:rPr>
        <w:footnoteReference w:customMarkFollows="1" w:id="1973"/>
        <w:t>m</w:t>
      </w:r>
      <w:r>
        <w:rPr/>
        <w:t xml:space="preserve"> meinem Gott,</w:t>
        <w:br/>
        <w:t xml:space="preserve">{{field-off:bible}} </w:t>
        <w:br/>
        <w:t>[[@BibleTOBIBLE:Ps 18:23]]</w:t>
      </w:r>
      <w:r>
        <w:rPr>
          <w:b/>
        </w:rPr>
        <w:t>23</w:t>
      </w:r>
      <w:r>
        <w:rPr/>
        <w:t xml:space="preserve"> {{field-on:bible}} </w:t>
        <w:br/>
        <w:t xml:space="preserve">Denn all seine Gesetze </w:t>
      </w:r>
      <w:r>
        <w:rPr>
          <w:b/>
          <w:color w:val="808080"/>
        </w:rPr>
        <w:t>[</w:t>
      </w:r>
      <w:r>
        <w:rPr/>
        <w:t>waren</w:t>
      </w:r>
      <w:r>
        <w:rPr>
          <w:b/>
          <w:color w:val="808080"/>
        </w:rPr>
        <w:t>]</w:t>
      </w:r>
      <w:r>
        <w:rPr/>
        <w:t xml:space="preserve"> vor mir</w:t>
      </w:r>
      <w:r>
        <w:rPr>
          <w:rStyle w:val="Funotenanker"/>
        </w:rPr>
        <w:footnoteReference w:customMarkFollows="1" w:id="1974"/>
        <w:t>n</w:t>
      </w:r>
      <w:r>
        <w:rPr/>
        <w:t>Und seine Satzungen werde ich nicht von mir stoßen</w:t>
        <w:br/>
        <w:t xml:space="preserve">{{field-off:bible}} </w:t>
        <w:br/>
        <w:t>[[@BibleTOBIBLE:Ps 18:24]]</w:t>
      </w:r>
      <w:r>
        <w:rPr>
          <w:b/>
        </w:rPr>
        <w:t>24</w:t>
      </w:r>
      <w:r>
        <w:rPr/>
        <w:t xml:space="preserve"> {{field-on:bible}} </w:t>
        <w:br/>
        <w:t>Und ich verhielt mich gegen ihn perfektUnd ich hütete mich vor meinen Fehlern.</w:t>
        <w:br/>
        <w:t xml:space="preserve">{{field-off:bible}} </w:t>
        <w:br/>
        <w:t>[[@BibleTOBIBLE:Ps 18:25]]</w:t>
      </w:r>
      <w:r>
        <w:rPr>
          <w:b/>
        </w:rPr>
        <w:t>25</w:t>
      </w:r>
      <w:r>
        <w:rPr/>
        <w:t xml:space="preserve"> {{field-on:bible}} </w:t>
        <w:br/>
        <w:t xml:space="preserve">Und es gab </w:t>
      </w:r>
      <w:r>
        <w:rPr>
          <w:smallCaps/>
          <w:color w:val="FF0000"/>
        </w:rPr>
        <w:t>JHWH</w:t>
      </w:r>
      <w:r>
        <w:rPr/>
        <w:t xml:space="preserve"> mir zurück entsprechend meiner Gerechtigkeit,Entsprechend meiner Reinheit vor seinen Augen.«</w:t>
        <w:br/>
        <w:br/>
        <w:t xml:space="preserve">{{field-off:bible}} </w:t>
        <w:br/>
        <w:t>[[@BibleTOBIBLE:Ps 18:26]]</w:t>
      </w:r>
      <w:r>
        <w:rPr>
          <w:b/>
        </w:rPr>
        <w:t>26</w:t>
      </w:r>
      <w:r>
        <w:rPr/>
        <w:t xml:space="preserve"> {{field-on:bible}} </w:t>
        <w:br/>
      </w:r>
      <w:r>
        <w:rPr>
          <w:b/>
          <w:color w:val="808080"/>
        </w:rPr>
        <w:t>[</w:t>
      </w:r>
      <w:r>
        <w:rPr/>
        <w:t>Dem</w:t>
      </w:r>
      <w:r>
        <w:rPr>
          <w:b/>
          <w:color w:val="808080"/>
        </w:rPr>
        <w:t>]</w:t>
      </w:r>
      <w:r>
        <w:rPr/>
        <w:t xml:space="preserve"> Bundestreuen gegenüber wirst du dich bundestreu erweisen,Und </w:t>
      </w:r>
      <w:r>
        <w:rPr>
          <w:b/>
          <w:color w:val="808080"/>
        </w:rPr>
        <w:t>[</w:t>
      </w:r>
      <w:r>
        <w:rPr/>
        <w:t>dem</w:t>
      </w:r>
      <w:r>
        <w:rPr>
          <w:b/>
          <w:color w:val="808080"/>
        </w:rPr>
        <w:t>]</w:t>
      </w:r>
      <w:r>
        <w:rPr/>
        <w:t xml:space="preserve"> perfekten Mann gegenüber wirst du dich perfekt erweisen,</w:t>
        <w:br/>
        <w:t xml:space="preserve">{{field-off:bible}} </w:t>
        <w:br/>
        <w:t>[[@BibleTOBIBLE:Ps 18:27]]</w:t>
      </w:r>
      <w:r>
        <w:rPr>
          <w:b/>
        </w:rPr>
        <w:t>27</w:t>
      </w:r>
      <w:r>
        <w:rPr/>
        <w:t xml:space="preserve"> {{field-on:bible}} </w:t>
        <w:br/>
      </w:r>
      <w:r>
        <w:rPr>
          <w:b/>
          <w:color w:val="808080"/>
        </w:rPr>
        <w:t>[</w:t>
      </w:r>
      <w:r>
        <w:rPr/>
        <w:t>Dem</w:t>
      </w:r>
      <w:r>
        <w:rPr>
          <w:b/>
          <w:color w:val="808080"/>
        </w:rPr>
        <w:t>]</w:t>
      </w:r>
      <w:r>
        <w:rPr/>
        <w:t xml:space="preserve"> Reinen gegenüber wirst du dich rein erweisen,Dem Falschen gegenüber wirst du dich verkehrt erweisen.</w:t>
        <w:br/>
        <w:t xml:space="preserve">{{field-off:bible}} </w:t>
        <w:br/>
        <w:t>[[@BibleTOBIBLE:Ps 18:28]]</w:t>
      </w:r>
      <w:r>
        <w:rPr>
          <w:b/>
        </w:rPr>
        <w:t>28</w:t>
      </w:r>
      <w:r>
        <w:rPr/>
        <w:t xml:space="preserve"> {{field-on:bible}} </w:t>
        <w:br/>
        <w:t>Du rettest das arme Volk,Doch die Augen Hochmütiger beugst du nieder.</w:t>
        <w:br/>
        <w:t xml:space="preserve">{{field-off:bible}} </w:t>
        <w:br/>
        <w:t>[[@BibleTOBIBLE:Ps 18:29]]</w:t>
      </w:r>
      <w:r>
        <w:rPr>
          <w:b/>
        </w:rPr>
        <w:t>29</w:t>
      </w:r>
      <w:r>
        <w:rPr/>
        <w:t xml:space="preserve"> {{field-on:bible}} </w:t>
        <w:br/>
        <w:t xml:space="preserve">Ja, du bist meine Lampe, </w:t>
      </w:r>
      <w:r>
        <w:rPr>
          <w:smallCaps/>
          <w:color w:val="FF0000"/>
        </w:rPr>
        <w:t>JHWH</w:t>
      </w:r>
      <w:r>
        <w:rPr/>
        <w:t>,Mein Gott wird erhellen meine Dunkelheit.</w:t>
        <w:br/>
        <w:t xml:space="preserve">{{field-off:bible}} </w:t>
        <w:br/>
        <w:t>[[@BibleTOBIBLE:Ps 18:30]]</w:t>
      </w:r>
      <w:r>
        <w:rPr>
          <w:b/>
        </w:rPr>
        <w:t>30</w:t>
      </w:r>
      <w:r>
        <w:rPr/>
        <w:t xml:space="preserve"> {{field-on:bible}} </w:t>
        <w:br/>
        <w:t xml:space="preserve">Ja, mit dir werde </w:t>
      </w:r>
      <w:r>
        <w:rPr>
          <w:color w:val="808080"/>
        </w:rPr>
        <w:t>(kann)</w:t>
      </w:r>
      <w:r>
        <w:rPr/>
        <w:t xml:space="preserve"> ich überrennen </w:t>
      </w:r>
      <w:r>
        <w:rPr>
          <w:color w:val="808080"/>
        </w:rPr>
        <w:t>(zerschmettern)</w:t>
      </w:r>
      <w:r>
        <w:rPr/>
        <w:t xml:space="preserve"> eine TruppeUnd mit meinem Gott werde </w:t>
      </w:r>
      <w:r>
        <w:rPr>
          <w:color w:val="808080"/>
        </w:rPr>
        <w:t>(kann)</w:t>
      </w:r>
      <w:r>
        <w:rPr/>
        <w:t xml:space="preserve"> ich eine Mauer überspringen.</w:t>
        <w:br/>
        <w:br/>
        <w:t xml:space="preserve">{{field-off:bible}} </w:t>
        <w:br/>
        <w:t>[[@BibleTOBIBLE:Ps 18:31]]</w:t>
      </w:r>
      <w:r>
        <w:rPr>
          <w:b/>
        </w:rPr>
        <w:t>31</w:t>
      </w:r>
      <w:r>
        <w:rPr/>
        <w:t xml:space="preserve"> {{field-on:bible}} </w:t>
        <w:br/>
        <w:t xml:space="preserve">Gott - vollkommen </w:t>
      </w:r>
      <w:r>
        <w:rPr>
          <w:b/>
          <w:color w:val="808080"/>
        </w:rPr>
        <w:t>[</w:t>
      </w:r>
      <w:r>
        <w:rPr/>
        <w:t>ist</w:t>
      </w:r>
      <w:r>
        <w:rPr>
          <w:b/>
          <w:color w:val="808080"/>
        </w:rPr>
        <w:t>]</w:t>
      </w:r>
      <w:r>
        <w:rPr/>
        <w:t xml:space="preserve"> sein Weg. Das Wort </w:t>
      </w:r>
      <w:r>
        <w:rPr>
          <w:smallCaps/>
          <w:color w:val="FF0000"/>
        </w:rPr>
        <w:t>JHWH</w:t>
      </w:r>
      <w:r>
        <w:rPr/>
        <w:t xml:space="preserve">s ist erprobt, Ein Schild </w:t>
      </w:r>
      <w:r>
        <w:rPr>
          <w:b/>
          <w:color w:val="808080"/>
        </w:rPr>
        <w:t>[</w:t>
      </w:r>
      <w:r>
        <w:rPr/>
        <w:t>ist</w:t>
      </w:r>
      <w:r>
        <w:rPr>
          <w:b/>
          <w:color w:val="808080"/>
        </w:rPr>
        <w:t>]</w:t>
      </w:r>
      <w:r>
        <w:rPr/>
        <w:t xml:space="preserve"> er für alle, die auf ihn vertrauen </w:t>
      </w:r>
      <w:r>
        <w:rPr>
          <w:color w:val="808080"/>
        </w:rPr>
        <w:t>(die zu ihm flüchten)</w:t>
      </w:r>
      <w:r>
        <w:rPr/>
        <w:t>.</w:t>
        <w:br/>
        <w:t xml:space="preserve">{{field-off:bible}} </w:t>
        <w:br/>
        <w:t>[[@BibleTOBIBLE:Ps 18:32]]</w:t>
      </w:r>
      <w:r>
        <w:rPr>
          <w:b/>
        </w:rPr>
        <w:t>32</w:t>
      </w:r>
      <w:r>
        <w:rPr/>
        <w:t xml:space="preserve"> {{field-on:bible}} </w:t>
        <w:br/>
        <w:t xml:space="preserve">Ja, wer ist Gott außer </w:t>
      </w:r>
      <w:r>
        <w:rPr>
          <w:smallCaps/>
          <w:color w:val="FF0000"/>
        </w:rPr>
        <w:t>JHWH</w:t>
      </w:r>
      <w:r>
        <w:rPr/>
        <w:t>Und wer ein Berg außer unserem Gott –</w:t>
        <w:br/>
        <w:t xml:space="preserve">{{field-off:bible}} </w:t>
        <w:br/>
        <w:t>[[@BibleTOBIBLE:Ps 18:33]]</w:t>
      </w:r>
      <w:r>
        <w:rPr>
          <w:b/>
        </w:rPr>
        <w:t>33</w:t>
      </w:r>
      <w:r>
        <w:rPr/>
        <w:t xml:space="preserve"> {{field-on:bible}} </w:t>
        <w:br/>
        <w:t xml:space="preserve">Dem Gott, </w:t>
      </w:r>
      <w:r>
        <w:rPr>
          <w:b/>
          <w:color w:val="808080"/>
        </w:rPr>
        <w:t>[</w:t>
      </w:r>
      <w:r>
        <w:rPr/>
        <w:t>der</w:t>
      </w:r>
      <w:r>
        <w:rPr>
          <w:b/>
          <w:color w:val="808080"/>
        </w:rPr>
        <w:t>]</w:t>
      </w:r>
      <w:r>
        <w:rPr/>
        <w:t xml:space="preserve"> mich stärkt </w:t>
      </w:r>
      <w:r>
        <w:rPr>
          <w:b/>
          <w:color w:val="808080"/>
        </w:rPr>
        <w:t>[</w:t>
      </w:r>
      <w:r>
        <w:rPr/>
        <w:t>mit</w:t>
      </w:r>
      <w:r>
        <w:rPr>
          <w:b/>
          <w:color w:val="808080"/>
        </w:rPr>
        <w:t>]</w:t>
      </w:r>
      <w:r>
        <w:rPr/>
        <w:t xml:space="preserve"> KraftUnd der meinen Weg perfekt machte,</w:t>
        <w:br/>
        <w:t xml:space="preserve">{{field-off:bible}} </w:t>
        <w:br/>
        <w:t>[[@BibleTOBIBLE:Ps 18:34]]</w:t>
      </w:r>
      <w:r>
        <w:rPr>
          <w:b/>
        </w:rPr>
        <w:t>34</w:t>
      </w:r>
      <w:r>
        <w:rPr/>
        <w:t xml:space="preserve"> {{field-on:bible}} </w:t>
        <w:br/>
        <w:t>Der meinen Fuß einer Gazelle gleich machteUnd mich auf meine Höhen stellte,</w:t>
        <w:br/>
        <w:t xml:space="preserve">{{field-off:bible}} </w:t>
        <w:br/>
        <w:t>[[@BibleTOBIBLE:Ps 18:35]]</w:t>
      </w:r>
      <w:r>
        <w:rPr>
          <w:b/>
        </w:rPr>
        <w:t>35</w:t>
      </w:r>
      <w:r>
        <w:rPr/>
        <w:t xml:space="preserve"> {{field-on:bible}} </w:t>
        <w:br/>
        <w:t>Der meine Hände für den Kampf trainierte,Um zu stärken</w:t>
      </w:r>
      <w:r>
        <w:rPr>
          <w:rStyle w:val="Funotenanker"/>
        </w:rPr>
        <w:footnoteReference w:customMarkFollows="1" w:id="1975"/>
        <w:t>o</w:t>
      </w:r>
      <w:r>
        <w:rPr/>
        <w:t xml:space="preserve"> </w:t>
      </w:r>
      <w:r>
        <w:rPr>
          <w:b/>
          <w:color w:val="808080"/>
        </w:rPr>
        <w:t>[</w:t>
      </w:r>
      <w:r>
        <w:rPr/>
        <w:t>wie</w:t>
      </w:r>
      <w:r>
        <w:rPr>
          <w:b/>
          <w:color w:val="808080"/>
        </w:rPr>
        <w:t>]</w:t>
      </w:r>
      <w:r>
        <w:rPr/>
        <w:t xml:space="preserve"> einen Kupferbogen meine Arme!?</w:t>
        <w:br/>
        <w:t xml:space="preserve">{{field-off:bible}} </w:t>
        <w:br/>
        <w:t>[[@BibleTOBIBLE:Ps 18:36]]</w:t>
      </w:r>
      <w:r>
        <w:rPr>
          <w:b/>
        </w:rPr>
        <w:t>36</w:t>
      </w:r>
      <w:r>
        <w:rPr/>
        <w:t xml:space="preserve"> {{field-on:bible}} </w:t>
        <w:br/>
        <w:t>Und du gabst mir den Schild der Rettung Und deine rechte Hand wird mich stützenUnd deine Erhörung wird mich vergrößern.</w:t>
        <w:br/>
        <w:t xml:space="preserve">{{field-off:bible}} </w:t>
        <w:br/>
        <w:t>[[@BibleTOBIBLE:Ps 18:37]]</w:t>
      </w:r>
      <w:r>
        <w:rPr>
          <w:b/>
        </w:rPr>
        <w:t>37</w:t>
      </w:r>
      <w:r>
        <w:rPr/>
        <w:t xml:space="preserve"> {{field-on:bible}} </w:t>
        <w:br/>
        <w:t>Du wirst weit machen meine Schritte unter mirUnd meine Knöchel wanken nicht.</w:t>
        <w:br/>
        <w:br/>
        <w:t xml:space="preserve">{{field-off:bible}} </w:t>
        <w:br/>
        <w:t>[[@BibleTOBIBLE:Ps 18:38]]</w:t>
      </w:r>
      <w:r>
        <w:rPr>
          <w:b/>
        </w:rPr>
        <w:t>38</w:t>
      </w:r>
      <w:r>
        <w:rPr/>
        <w:t xml:space="preserve"> {{field-on:bible}} </w:t>
        <w:br/>
        <w:t>Ich werde nachjagen meinen Feinden und sie erreichenUnd werde nicht umkehren, bis ich sie zerstört habe.</w:t>
        <w:br/>
        <w:t xml:space="preserve">{{field-off:bible}} </w:t>
        <w:br/>
        <w:t>[[@BibleTOBIBLE:Ps 18:39]]</w:t>
      </w:r>
      <w:r>
        <w:rPr>
          <w:b/>
        </w:rPr>
        <w:t>39</w:t>
      </w:r>
      <w:r>
        <w:rPr/>
        <w:t xml:space="preserve"> {{field-on:bible}} </w:t>
        <w:br/>
        <w:t>Ich werde sie zerschmettern und sie werden sich nicht erheben können,Sie werden unter meine Füße fallen!</w:t>
        <w:br/>
        <w:t xml:space="preserve">{{field-off:bible}} </w:t>
        <w:br/>
        <w:t>[[@BibleTOBIBLE:Ps 18:40]]</w:t>
      </w:r>
      <w:r>
        <w:rPr>
          <w:b/>
        </w:rPr>
        <w:t>40</w:t>
      </w:r>
      <w:r>
        <w:rPr/>
        <w:t xml:space="preserve"> {{field-on:bible}} </w:t>
        <w:br/>
        <w:t xml:space="preserve">Und du gürtetest mich mit Kraft für den Kampf,Du wirst beugen </w:t>
      </w:r>
      <w:r>
        <w:rPr>
          <w:b/>
          <w:color w:val="808080"/>
        </w:rPr>
        <w:t>[</w:t>
      </w:r>
      <w:r>
        <w:rPr/>
        <w:t>die</w:t>
      </w:r>
      <w:r>
        <w:rPr>
          <w:b/>
          <w:color w:val="808080"/>
        </w:rPr>
        <w:t>]</w:t>
      </w:r>
      <w:r>
        <w:rPr/>
        <w:t xml:space="preserve">, die sich </w:t>
      </w:r>
      <w:r>
        <w:rPr>
          <w:b/>
          <w:color w:val="808080"/>
        </w:rPr>
        <w:t>[</w:t>
      </w:r>
      <w:r>
        <w:rPr/>
        <w:t>gegen</w:t>
      </w:r>
      <w:r>
        <w:rPr>
          <w:b/>
          <w:color w:val="808080"/>
        </w:rPr>
        <w:t>]</w:t>
      </w:r>
      <w:r>
        <w:rPr/>
        <w:t xml:space="preserve"> mich erheben, unter mich!</w:t>
        <w:br/>
        <w:t xml:space="preserve">{{field-off:bible}} </w:t>
        <w:br/>
        <w:t>[[@BibleTOBIBLE:Ps 18:41]]</w:t>
      </w:r>
      <w:r>
        <w:rPr>
          <w:b/>
        </w:rPr>
        <w:t>41</w:t>
      </w:r>
      <w:r>
        <w:rPr/>
        <w:t xml:space="preserve"> {{field-on:bible}} </w:t>
        <w:br/>
        <w:t xml:space="preserve">Und meine Feinde – du gabst mir </w:t>
      </w:r>
      <w:r>
        <w:rPr>
          <w:b/>
          <w:color w:val="808080"/>
        </w:rPr>
        <w:t>[</w:t>
      </w:r>
      <w:r>
        <w:rPr/>
        <w:t>ihren</w:t>
      </w:r>
      <w:r>
        <w:rPr>
          <w:b/>
          <w:color w:val="808080"/>
        </w:rPr>
        <w:t>]</w:t>
      </w:r>
      <w:r>
        <w:rPr/>
        <w:t xml:space="preserve"> Rücken;</w:t>
      </w:r>
      <w:r>
        <w:rPr>
          <w:rStyle w:val="Funotenanker"/>
        </w:rPr>
        <w:footnoteReference w:customMarkFollows="1" w:id="1976"/>
        <w:t>p</w:t>
      </w:r>
      <w:r>
        <w:rPr/>
        <w:t>Meine Hasser werde ich vernichten.</w:t>
        <w:br/>
        <w:t xml:space="preserve">{{field-off:bible}} </w:t>
        <w:br/>
        <w:t>[[@BibleTOBIBLE:Ps 18:42]]</w:t>
      </w:r>
      <w:r>
        <w:rPr>
          <w:b/>
        </w:rPr>
        <w:t>42</w:t>
      </w:r>
      <w:r>
        <w:rPr/>
        <w:t xml:space="preserve"> {{field-on:bible}} </w:t>
        <w:br/>
        <w:t xml:space="preserve">Sie werden schreien, doch es </w:t>
      </w:r>
      <w:r>
        <w:rPr>
          <w:b/>
          <w:color w:val="808080"/>
        </w:rPr>
        <w:t>[</w:t>
      </w:r>
      <w:r>
        <w:rPr/>
        <w:t>wird für sie</w:t>
      </w:r>
      <w:r>
        <w:rPr>
          <w:b/>
          <w:color w:val="808080"/>
        </w:rPr>
        <w:t>]</w:t>
      </w:r>
      <w:r>
        <w:rPr/>
        <w:t xml:space="preserve"> nicht geben einen Retter,Zu </w:t>
      </w:r>
      <w:r>
        <w:rPr>
          <w:smallCaps/>
          <w:color w:val="FF0000"/>
        </w:rPr>
        <w:t>JHWH</w:t>
      </w:r>
      <w:r>
        <w:rPr/>
        <w:t>,</w:t>
      </w:r>
      <w:r>
        <w:rPr>
          <w:rStyle w:val="Funotenanker"/>
        </w:rPr>
        <w:footnoteReference w:customMarkFollows="1" w:id="1977"/>
        <w:t>q</w:t>
      </w:r>
      <w:r>
        <w:rPr/>
        <w:t xml:space="preserve"> aber er antwortete ihnen nicht.</w:t>
      </w:r>
      <w:r>
        <w:rPr>
          <w:rStyle w:val="Funotenanker"/>
        </w:rPr>
        <w:footnoteReference w:customMarkFollows="1" w:id="1978"/>
        <w:t>r</w:t>
      </w:r>
      <w:r>
        <w:rPr/>
        <w:t xml:space="preserve"> </w:t>
        <w:br/>
        <w:t xml:space="preserve">{{field-off:bible}} </w:t>
        <w:br/>
        <w:t>[[@BibleTOBIBLE:Ps 18:43]]</w:t>
      </w:r>
      <w:r>
        <w:rPr>
          <w:b/>
        </w:rPr>
        <w:t>43</w:t>
      </w:r>
      <w:r>
        <w:rPr/>
        <w:t xml:space="preserve"> {{field-on:bible}} </w:t>
        <w:br/>
        <w:t xml:space="preserve">Ich werde sie zermalmen wie Staub auf dem </w:t>
      </w:r>
      <w:r>
        <w:rPr>
          <w:strike/>
          <w:color w:val="808080"/>
        </w:rPr>
        <w:t>{Gesicht des}</w:t>
      </w:r>
      <w:r>
        <w:rPr/>
        <w:t xml:space="preserve"> Weg</w:t>
      </w:r>
      <w:r>
        <w:rPr>
          <w:strike/>
          <w:color w:val="808080"/>
        </w:rPr>
        <w:t>{es}</w:t>
      </w:r>
      <w:r>
        <w:rPr/>
        <w:t xml:space="preserve">,Wie Kot </w:t>
      </w:r>
      <w:r>
        <w:rPr>
          <w:b/>
          <w:color w:val="808080"/>
        </w:rPr>
        <w:t>[</w:t>
      </w:r>
      <w:r>
        <w:rPr/>
        <w:t>auf</w:t>
      </w:r>
      <w:r>
        <w:rPr>
          <w:b/>
          <w:color w:val="808080"/>
        </w:rPr>
        <w:t>]</w:t>
      </w:r>
      <w:r>
        <w:rPr/>
        <w:t xml:space="preserve"> der Straße werde ich sie ausschütten!</w:t>
        <w:br/>
        <w:br/>
        <w:t xml:space="preserve">{{field-off:bible}} </w:t>
        <w:br/>
        <w:t>[[@BibleTOBIBLE:Ps 18:44]]</w:t>
      </w:r>
      <w:r>
        <w:rPr>
          <w:b/>
        </w:rPr>
        <w:t>44</w:t>
      </w:r>
      <w:r>
        <w:rPr/>
        <w:t xml:space="preserve"> {{field-on:bible}} </w:t>
        <w:br/>
        <w:t xml:space="preserve">Du wirst mich retten aus den Auseinandersetzungen des Volkes,Du wirst mich einsetzen als Haupt der Heiden,Ein Volk, </w:t>
      </w:r>
      <w:r>
        <w:rPr>
          <w:b/>
          <w:color w:val="808080"/>
        </w:rPr>
        <w:t>[</w:t>
      </w:r>
      <w:r>
        <w:rPr/>
        <w:t>das</w:t>
      </w:r>
      <w:r>
        <w:rPr>
          <w:b/>
          <w:color w:val="808080"/>
        </w:rPr>
        <w:t>]</w:t>
      </w:r>
      <w:r>
        <w:rPr/>
        <w:t xml:space="preserve"> ich nicht kenne </w:t>
      </w:r>
      <w:r>
        <w:rPr>
          <w:color w:val="808080"/>
        </w:rPr>
        <w:t>(kannte)</w:t>
      </w:r>
      <w:r>
        <w:rPr/>
        <w:t>, wird mir dienen.</w:t>
        <w:br/>
        <w:t xml:space="preserve">{{field-off:bible}} </w:t>
        <w:br/>
        <w:t>[[@BibleTOBIBLE:Ps 18:45]]</w:t>
      </w:r>
      <w:r>
        <w:rPr>
          <w:b/>
        </w:rPr>
        <w:t>45</w:t>
      </w:r>
      <w:r>
        <w:rPr/>
        <w:t xml:space="preserve"> {{field-on:bible}} </w:t>
        <w:br/>
        <w:t xml:space="preserve">Auf Gehörtes des Ohrs </w:t>
      </w:r>
      <w:r>
        <w:rPr>
          <w:b/>
          <w:color w:val="808080"/>
        </w:rPr>
        <w:t>[</w:t>
      </w:r>
      <w:r>
        <w:rPr/>
        <w:t>hin</w:t>
      </w:r>
      <w:r>
        <w:rPr>
          <w:b/>
          <w:color w:val="808080"/>
        </w:rPr>
        <w:t>]</w:t>
      </w:r>
      <w:r>
        <w:rPr/>
        <w:t xml:space="preserve"> werden sie auf mich hören,</w:t>
      </w:r>
      <w:r>
        <w:rPr>
          <w:strike/>
          <w:color w:val="808080"/>
        </w:rPr>
        <w:t>{Kinder von }</w:t>
      </w:r>
      <w:r>
        <w:rPr/>
        <w:t>Ausländer</w:t>
      </w:r>
      <w:r>
        <w:rPr>
          <w:strike/>
          <w:color w:val="808080"/>
        </w:rPr>
        <w:t>{n}</w:t>
      </w:r>
      <w:r>
        <w:rPr/>
        <w:t xml:space="preserve"> werden mir </w:t>
      </w:r>
      <w:r>
        <w:rPr>
          <w:b/>
          <w:color w:val="808080"/>
        </w:rPr>
        <w:t>[</w:t>
      </w:r>
      <w:r>
        <w:rPr/>
        <w:t>Ergebung</w:t>
      </w:r>
      <w:r>
        <w:rPr>
          <w:b/>
          <w:color w:val="808080"/>
        </w:rPr>
        <w:t>]</w:t>
      </w:r>
      <w:r>
        <w:rPr/>
        <w:t xml:space="preserve"> heucheln </w:t>
      </w:r>
      <w:r>
        <w:rPr>
          <w:color w:val="808080"/>
        </w:rPr>
        <w:t>(mir schmeicheln)</w:t>
      </w:r>
      <w:r>
        <w:rPr/>
        <w:t>,</w:t>
        <w:br/>
        <w:t xml:space="preserve">{{field-off:bible}} </w:t>
        <w:br/>
        <w:t>[[@BibleTOBIBLE:Ps 18:46]]</w:t>
      </w:r>
      <w:r>
        <w:rPr>
          <w:b/>
        </w:rPr>
        <w:t>46</w:t>
      </w:r>
      <w:r>
        <w:rPr/>
        <w:t xml:space="preserve"> {{field-on:bible}} </w:t>
        <w:br/>
      </w:r>
      <w:r>
        <w:rPr>
          <w:strike/>
          <w:color w:val="808080"/>
        </w:rPr>
        <w:t>{Kinder von }</w:t>
      </w:r>
      <w:r>
        <w:rPr/>
        <w:t>Ausländer</w:t>
      </w:r>
      <w:r>
        <w:rPr>
          <w:strike/>
          <w:color w:val="808080"/>
        </w:rPr>
        <w:t>{n}</w:t>
      </w:r>
      <w:r>
        <w:rPr/>
        <w:t xml:space="preserve"> werden vergehen</w:t>
        <w:br/>
        <w:t xml:space="preserve">Und sich </w:t>
      </w:r>
      <w:r>
        <w:rPr>
          <w:b/>
          <w:color w:val="808080"/>
        </w:rPr>
        <w:t>[</w:t>
      </w:r>
      <w:r>
        <w:rPr/>
        <w:t>selbst</w:t>
      </w:r>
      <w:r>
        <w:rPr>
          <w:b/>
          <w:color w:val="808080"/>
        </w:rPr>
        <w:t>]</w:t>
      </w:r>
      <w:r>
        <w:rPr/>
        <w:t xml:space="preserve"> gürten mit ihren Banden.</w:t>
        <w:br/>
        <w:br/>
        <w:t xml:space="preserve">{{field-off:bible}} </w:t>
        <w:br/>
        <w:t>[[@BibleTOBIBLE:Ps 18:47]]</w:t>
      </w:r>
      <w:r>
        <w:rPr>
          <w:b/>
        </w:rPr>
        <w:t>47</w:t>
      </w:r>
      <w:r>
        <w:rPr/>
        <w:t xml:space="preserve"> {{field-on:bible}} </w:t>
        <w:br/>
      </w:r>
      <w:r>
        <w:rPr>
          <w:b/>
          <w:color w:val="808080"/>
        </w:rPr>
        <w:t>[</w:t>
      </w:r>
      <w:r>
        <w:rPr/>
        <w:t>So wahr</w:t>
      </w:r>
      <w:r>
        <w:rPr>
          <w:b/>
          <w:color w:val="808080"/>
        </w:rPr>
        <w:t>]</w:t>
      </w:r>
      <w:r>
        <w:rPr/>
        <w:t xml:space="preserve"> Gott lebt: Gesegnet </w:t>
      </w:r>
      <w:r>
        <w:rPr>
          <w:b/>
          <w:color w:val="808080"/>
        </w:rPr>
        <w:t>[</w:t>
      </w:r>
      <w:r>
        <w:rPr/>
        <w:t>sei</w:t>
      </w:r>
      <w:r>
        <w:rPr>
          <w:b/>
          <w:color w:val="808080"/>
        </w:rPr>
        <w:t>]</w:t>
      </w:r>
      <w:r>
        <w:rPr/>
        <w:t xml:space="preserve"> mein FelsUnd erhoben werden soll der Gott meiner Rettung,</w:t>
        <w:br/>
        <w:t xml:space="preserve">{{field-off:bible}} </w:t>
        <w:br/>
        <w:t>[[@BibleTOBIBLE:Ps 18:48]]</w:t>
      </w:r>
      <w:r>
        <w:rPr>
          <w:b/>
        </w:rPr>
        <w:t>48</w:t>
      </w:r>
      <w:r>
        <w:rPr/>
        <w:t xml:space="preserve"> {{field-on:bible}} </w:t>
        <w:br/>
        <w:t xml:space="preserve">Der Gott, </w:t>
      </w:r>
      <w:r>
        <w:rPr>
          <w:b/>
          <w:color w:val="808080"/>
        </w:rPr>
        <w:t>[</w:t>
      </w:r>
      <w:r>
        <w:rPr/>
        <w:t>der</w:t>
      </w:r>
      <w:r>
        <w:rPr>
          <w:b/>
          <w:color w:val="808080"/>
        </w:rPr>
        <w:t>]</w:t>
      </w:r>
      <w:r>
        <w:rPr/>
        <w:t xml:space="preserve"> mir Rache gab </w:t>
      </w:r>
      <w:r>
        <w:rPr>
          <w:color w:val="808080"/>
        </w:rPr>
        <w:t>(gibt)</w:t>
      </w:r>
      <w:r>
        <w:rPr/>
        <w:t>Und Völker unter mich unterjocht hat,</w:t>
        <w:br/>
        <w:t xml:space="preserve">{{field-off:bible}} </w:t>
        <w:br/>
        <w:t>[[@BibleTOBIBLE:Ps 18:49]]</w:t>
      </w:r>
      <w:r>
        <w:rPr>
          <w:b/>
        </w:rPr>
        <w:t>49</w:t>
      </w:r>
      <w:r>
        <w:rPr/>
        <w:t xml:space="preserve"> {{field-on:bible}} </w:t>
        <w:br/>
        <w:t xml:space="preserve">Der mich meinen Feinden rettet </w:t>
      </w:r>
      <w:r>
        <w:rPr>
          <w:color w:val="808080"/>
        </w:rPr>
        <w:t>(entkommen lässt)</w:t>
      </w:r>
      <w:r>
        <w:rPr/>
        <w:t>,Mich erhöhen wird über die, die sich gegen mich erheben,Der du mich von dem gewalttätigen Mann befreien wirst.</w:t>
        <w:br/>
        <w:br/>
        <w:t xml:space="preserve">{{field-off:bible}} </w:t>
        <w:br/>
        <w:t>[[@BibleTOBIBLE:Ps 18:50]]</w:t>
      </w:r>
      <w:r>
        <w:rPr>
          <w:b/>
        </w:rPr>
        <w:t>50</w:t>
      </w:r>
      <w:r>
        <w:rPr/>
        <w:t xml:space="preserve"> {{field-on:bible}} </w:t>
        <w:br/>
        <w:t xml:space="preserve">Darum will ich dich preisen, </w:t>
      </w:r>
      <w:r>
        <w:rPr>
          <w:smallCaps/>
          <w:color w:val="FF0000"/>
        </w:rPr>
        <w:t>JHWH</w:t>
      </w:r>
      <w:r>
        <w:rPr/>
        <w:t xml:space="preserve">, </w:t>
      </w:r>
      <w:r>
        <w:rPr>
          <w:b/>
          <w:color w:val="808080"/>
        </w:rPr>
        <w:t>[</w:t>
      </w:r>
      <w:r>
        <w:rPr/>
        <w:t>mitten</w:t>
      </w:r>
      <w:r>
        <w:rPr>
          <w:b/>
          <w:color w:val="808080"/>
        </w:rPr>
        <w:t>]</w:t>
      </w:r>
      <w:r>
        <w:rPr/>
        <w:t xml:space="preserve"> unter den Heiden,Und deinem Namen singen,</w:t>
        <w:br/>
        <w:t xml:space="preserve">{{field-off:bible}} </w:t>
        <w:br/>
        <w:t>[[@BibleTOBIBLE:Ps 18:51]]</w:t>
      </w:r>
      <w:r>
        <w:rPr>
          <w:b/>
        </w:rPr>
        <w:t>51</w:t>
      </w:r>
      <w:r>
        <w:rPr/>
        <w:t xml:space="preserve"> {{field-on:bible}} </w:t>
        <w:br/>
        <w:t>Der groß macht das Heil seines KönigsUnd seinem Gesalbten Bundestreue erweist,David und seinen Nachkommen auf ewig.</w:t>
        <w:br/>
        <w:t xml:space="preserve">“{{field-off:bible}}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979"/>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980"/>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981"/>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982"/>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983"/>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984"/>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985"/>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986"/>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987"/>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988"/>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989"/>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990"/>
        <w:t>Status</w:t>
      </w:r>
      <w:r>
        <w:rPr/>
        <w:t xml:space="preserve"> Für den Chorleiter </w:t>
      </w:r>
      <w:r>
        <w:rPr>
          <w:color w:val="808080"/>
        </w:rPr>
        <w:t>(Dirigenten, Singenden, Musizierenden)</w:t>
      </w:r>
      <w:r>
        <w:rPr/>
        <w:t>.</w:t>
      </w:r>
      <w:r>
        <w:rPr>
          <w:rStyle w:val="Funotenanker"/>
        </w:rPr>
        <w:footnoteReference w:customMarkFollows="1" w:id="1991"/>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992"/>
        <w:t>m</w:t>
      </w:r>
      <w:r>
        <w:rPr/>
        <w:t xml:space="preserve"> </w:t>
      </w:r>
      <w:r>
        <w:rPr>
          <w:color w:val="808080"/>
        </w:rPr>
        <w:t>(Die Himmel verkünden)</w:t>
      </w:r>
      <w:r>
        <w:rPr/>
        <w:t xml:space="preserve"> </w:t>
      </w:r>
      <w:r>
        <w:rPr>
          <w:rStyle w:val="Funotenanker"/>
        </w:rPr>
        <w:footnoteReference w:customMarkFollows="1" w:id="1993"/>
        <w:t>n</w:t>
      </w:r>
      <w:r>
        <w:rPr/>
        <w:t xml:space="preserve"> die Herrlichkeit </w:t>
      </w:r>
      <w:r>
        <w:rPr>
          <w:color w:val="808080"/>
        </w:rPr>
        <w:t>(Lichtglanz, Glorie)</w:t>
      </w:r>
      <w:r>
        <w:rPr/>
        <w:t xml:space="preserve"> </w:t>
      </w:r>
      <w:r>
        <w:rPr>
          <w:rStyle w:val="Funotenanker"/>
        </w:rPr>
        <w:footnoteReference w:customMarkFollows="1" w:id="1994"/>
        <w:t>o</w:t>
      </w:r>
      <w:r>
        <w:rPr/>
        <w:t xml:space="preserve"> Gottes„ und das Walten </w:t>
      </w:r>
      <w:r>
        <w:rPr>
          <w:color w:val="808080"/>
        </w:rPr>
        <w:t>(Werk)</w:t>
      </w:r>
      <w:r>
        <w:rPr/>
        <w:t xml:space="preserve"> </w:t>
      </w:r>
      <w:r>
        <w:rPr>
          <w:rStyle w:val="Funotenanker"/>
        </w:rPr>
        <w:footnoteReference w:customMarkFollows="1" w:id="1995"/>
        <w:t>p</w:t>
      </w:r>
      <w:r>
        <w:rPr/>
        <w:t xml:space="preserve"> seiner Hände </w:t>
      </w:r>
      <w:r>
        <w:rPr>
          <w:color w:val="808080"/>
        </w:rPr>
        <w:t>(sein Walten)</w:t>
      </w:r>
      <w:r>
        <w:rPr/>
        <w:t xml:space="preserve"> </w:t>
      </w:r>
      <w:r>
        <w:rPr>
          <w:rStyle w:val="Funotenanker"/>
        </w:rPr>
        <w:footnoteReference w:customMarkFollows="1" w:id="1996"/>
        <w:t>q</w:t>
      </w:r>
      <w:r>
        <w:rPr/>
        <w:t xml:space="preserve"> macht kund das Firmament </w:t>
      </w:r>
      <w:r>
        <w:rPr>
          <w:color w:val="808080"/>
        </w:rPr>
        <w:t>(Himmelsgewölbe)</w:t>
      </w:r>
      <w:r>
        <w:rPr/>
        <w:t xml:space="preserve"> </w:t>
      </w:r>
      <w:r>
        <w:rPr>
          <w:rStyle w:val="Funotenanker"/>
        </w:rPr>
        <w:footnoteReference w:customMarkFollows="1" w:id="1997"/>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98"/>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99"/>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2000"/>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2001"/>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2002"/>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2003"/>
        <w:t>x</w:t>
      </w:r>
      <w:r>
        <w:rPr/>
        <w:t xml:space="preserve"> ihr Reden.“Der Sonne </w:t>
      </w:r>
      <w:r>
        <w:rPr>
          <w:color w:val="808080"/>
        </w:rPr>
        <w:t>(dem Sonnenball)</w:t>
      </w:r>
      <w:r>
        <w:rPr/>
        <w:t xml:space="preserve"> </w:t>
      </w:r>
      <w:r>
        <w:rPr>
          <w:rStyle w:val="Funotenanker"/>
        </w:rPr>
        <w:footnoteReference w:customMarkFollows="1" w:id="2004"/>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2005"/>
        <w:t>z</w:t>
      </w:r>
      <w:r>
        <w:rPr/>
        <w:t xml:space="preserve"> ein Zelt aus </w:t>
      </w:r>
      <w:r>
        <w:rPr>
          <w:color w:val="808080"/>
        </w:rPr>
        <w:t>(an)</w:t>
      </w:r>
      <w:r>
        <w:rPr/>
        <w:t xml:space="preserve"> ihm</w:t>
      </w:r>
      <w:r>
        <w:rPr>
          <w:rStyle w:val="Funotenanker"/>
        </w:rPr>
        <w:footnoteReference w:customMarkFollows="1" w:id="2006"/>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2007"/>
        <w:t>ab</w:t>
      </w:r>
      <w:r>
        <w:rPr/>
        <w:t xml:space="preserve"> aus seinem Brautzelt </w:t>
      </w:r>
      <w:r>
        <w:rPr>
          <w:color w:val="808080"/>
        </w:rPr>
        <w:t>(Zelt)</w:t>
      </w:r>
      <w:r>
        <w:rPr/>
        <w:t xml:space="preserve"> </w:t>
      </w:r>
      <w:r>
        <w:rPr>
          <w:rStyle w:val="Funotenanker"/>
        </w:rPr>
        <w:footnoteReference w:customMarkFollows="1" w:id="2008"/>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2009"/>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2010"/>
        <w:t>ae</w:t>
      </w:r>
      <w:r>
        <w:rPr/>
        <w:t xml:space="preserve"> des Himmels </w:t>
      </w:r>
      <w:r>
        <w:rPr>
          <w:color w:val="808080"/>
        </w:rPr>
        <w:t>(der Himmel</w:t>
      </w:r>
      <w:r>
        <w:rPr/>
        <w:t xml:space="preserve"> </w:t>
      </w:r>
      <w:r>
        <w:rPr>
          <w:rStyle w:val="Funotenanker"/>
        </w:rPr>
        <w:footnoteReference w:customMarkFollows="1" w:id="2011"/>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2012"/>
        <w:t>ag</w:t>
      </w:r>
      <w:r>
        <w:rPr/>
        <w:t xml:space="preserve"> verborgen.“{{field-off:bible}} </w:t>
        <w:br/>
        <w:t>[[@BibleTOBIBLE:Ps 19:8]]</w:t>
      </w:r>
      <w:r>
        <w:rPr>
          <w:b/>
        </w:rPr>
        <w:t>8</w:t>
      </w:r>
      <w:r>
        <w:rPr/>
        <w:t xml:space="preserve"> {{field-on:bible}}Das Gesetz</w:t>
      </w:r>
      <w:r>
        <w:rPr>
          <w:rStyle w:val="Funotenanker"/>
        </w:rPr>
        <w:footnoteReference w:customMarkFollows="1" w:id="2013"/>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2014"/>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2015"/>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2016"/>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2017"/>
        <w:t>al</w:t>
      </w:r>
      <w:r>
        <w:rPr/>
        <w:t xml:space="preserve"> - macht die Augen hell</w:t>
      </w:r>
      <w:r>
        <w:rPr>
          <w:rStyle w:val="Funotenanker"/>
        </w:rPr>
        <w:footnoteReference w:customMarkFollows="1" w:id="2018"/>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2019"/>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2020"/>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2021"/>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2022"/>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2023"/>
        <w:t>ar</w:t>
      </w:r>
      <w:r>
        <w:rPr/>
        <w:t xml:space="preserve">,“{{field-off:bible}} </w:t>
        <w:br/>
        <w:t>[[@BibleTOBIBLE:Ps 19:12]]</w:t>
      </w:r>
      <w:r>
        <w:rPr>
          <w:b/>
        </w:rPr>
        <w:t>12</w:t>
      </w:r>
      <w:r>
        <w:rPr/>
        <w:t xml:space="preserve"> {{field-on:bible}}wird auch</w:t>
      </w:r>
      <w:r>
        <w:rPr>
          <w:rStyle w:val="Funotenanker"/>
        </w:rPr>
        <w:footnoteReference w:customMarkFollows="1" w:id="2024"/>
        <w:t>as</w:t>
      </w:r>
      <w:r>
        <w:rPr/>
        <w:t xml:space="preserve"> dein Sklave</w:t>
      </w:r>
      <w:r>
        <w:rPr>
          <w:rStyle w:val="Funotenanker"/>
        </w:rPr>
        <w:footnoteReference w:customMarkFollows="1" w:id="2025"/>
        <w:t>at</w:t>
      </w:r>
      <w:r>
        <w:rPr/>
        <w:t xml:space="preserve"> gewarnt </w:t>
      </w:r>
      <w:r>
        <w:rPr>
          <w:color w:val="808080"/>
        </w:rPr>
        <w:t>(erleuchtet)</w:t>
      </w:r>
      <w:r>
        <w:rPr/>
        <w:t xml:space="preserve"> </w:t>
      </w:r>
      <w:r>
        <w:rPr>
          <w:rStyle w:val="Funotenanker"/>
        </w:rPr>
        <w:footnoteReference w:customMarkFollows="1" w:id="2026"/>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2027"/>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2028"/>
        <w:t>aw</w:t>
      </w:r>
      <w:r>
        <w:rPr/>
        <w:t xml:space="preserve"> Versehen </w:t>
      </w:r>
      <w:r>
        <w:rPr>
          <w:color w:val="808080"/>
        </w:rPr>
        <w:t>(versehentliche Fehler)</w:t>
      </w:r>
      <w:r>
        <w:rPr/>
        <w:t xml:space="preserve"> </w:t>
      </w:r>
      <w:r>
        <w:rPr>
          <w:rStyle w:val="Funotenanker"/>
        </w:rPr>
        <w:footnoteReference w:customMarkFollows="1" w:id="2029"/>
        <w:t>ax</w:t>
      </w:r>
      <w:r>
        <w:rPr/>
        <w:t xml:space="preserve"> - wer bemerkt sie</w:t>
      </w:r>
      <w:r>
        <w:rPr>
          <w:rStyle w:val="Funotenanker"/>
        </w:rPr>
        <w:footnoteReference w:customMarkFollows="1" w:id="2030"/>
        <w:t>ay</w:t>
      </w:r>
      <w:r>
        <w:rPr/>
        <w:t xml:space="preserve">?„ Von den Verborgenen </w:t>
      </w:r>
      <w:r>
        <w:rPr>
          <w:color w:val="808080"/>
        </w:rPr>
        <w:t>(ungewollte Sünden)</w:t>
      </w:r>
      <w:r>
        <w:rPr/>
        <w:t xml:space="preserve"> </w:t>
      </w:r>
      <w:r>
        <w:rPr>
          <w:rStyle w:val="Funotenanker"/>
        </w:rPr>
        <w:footnoteReference w:customMarkFollows="1" w:id="2031"/>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2032"/>
        <w:t>ba</w:t>
      </w:r>
      <w:r>
        <w:rPr/>
        <w:t xml:space="preserve"> halte zurück deinen Sklaven,</w:t>
      </w:r>
      <w:r>
        <w:rPr>
          <w:rStyle w:val="Funotenanker"/>
        </w:rPr>
        <w:footnoteReference w:customMarkFollows="1" w:id="2033"/>
        <w:t>bb</w:t>
      </w:r>
      <w:r>
        <w:rPr/>
        <w:t xml:space="preserve">„ Lass sie mich nicht beherrschen!“Dann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2034"/>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2035"/>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2036"/>
        <w:t>Status</w:t>
      </w:r>
      <w:r>
        <w:rPr/>
        <w:t xml:space="preserve"> ''Für den Chorleiter </w:t>
      </w:r>
      <w:r>
        <w:rPr>
          <w:color w:val="808080"/>
        </w:rPr>
        <w:t>(Dirigenten, Singenden, Musizierenden)</w:t>
      </w:r>
      <w:r>
        <w:rPr/>
        <w:t>''.</w:t>
      </w:r>
      <w:r>
        <w:rPr>
          <w:rStyle w:val="Funotenanker"/>
        </w:rPr>
        <w:footnoteReference w:customMarkFollows="1" w:id="2037"/>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2038"/>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2039"/>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2040"/>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2041"/>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2042"/>
        <w:t>f</w:t>
      </w:r>
      <w:r>
        <w:rPr/>
        <w:t xml:space="preserve"> dich - den Heiligen,Der du thronst über den Lobgesängen Israels</w:t>
      </w:r>
      <w:r>
        <w:rPr>
          <w:rStyle w:val="Funotenanker"/>
        </w:rPr>
        <w:footnoteReference w:customMarkFollows="1" w:id="2043"/>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2044"/>
        <w:t>h</w:t>
      </w:r>
      <w:r>
        <w:rPr/>
        <w:t xml:space="preserve"> </w:t>
      </w:r>
      <w:r>
        <w:rPr>
          <w:b/>
          <w:color w:val="808080"/>
        </w:rPr>
        <w:t>[</w:t>
      </w:r>
      <w:r>
        <w:rPr/>
        <w:t>und spotten:</w:t>
      </w:r>
      <w:r>
        <w:rPr>
          <w:b/>
          <w:color w:val="808080"/>
        </w:rPr>
        <w:t>]</w:t>
      </w:r>
      <w:r>
        <w:rPr/>
        <w:t xml:space="preserve"> </w:t>
      </w:r>
      <w:r>
        <w:rPr>
          <w:rStyle w:val="Funotenanker"/>
        </w:rPr>
        <w:footnoteReference w:customMarkFollows="1" w:id="2045"/>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2046"/>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2047"/>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2048"/>
        <w:t>l</w:t>
      </w:r>
      <w:r>
        <w:rPr/>
        <w:t xml:space="preserve">Der mir Vertrauen einflößte </w:t>
      </w:r>
      <w:r>
        <w:rPr>
          <w:color w:val="808080"/>
        </w:rPr>
        <w:t>(dem ich vertraute)</w:t>
      </w:r>
      <w:r>
        <w:rPr/>
        <w:t xml:space="preserve"> </w:t>
      </w:r>
      <w:r>
        <w:rPr>
          <w:rStyle w:val="Funotenanker"/>
        </w:rPr>
        <w:footnoteReference w:customMarkFollows="1" w:id="2049"/>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2050"/>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2051"/>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2052"/>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2053"/>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2054"/>
        <w:t>r</w:t>
      </w:r>
      <w:r>
        <w:rPr/>
        <w:t xml:space="preserve"> Wachs -Es zerschmilzt in meiner Brust.</w:t>
      </w:r>
      <w:r>
        <w:rPr>
          <w:rStyle w:val="Funotenanker"/>
        </w:rPr>
        <w:footnoteReference w:customMarkFollows="1" w:id="2055"/>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2056"/>
        <w:t>t</w:t>
      </w:r>
      <w:r>
        <w:rPr/>
        <w:t xml:space="preserve"> Meine Zunge klebt mir am Gaumen.</w:t>
      </w:r>
      <w:r>
        <w:rPr>
          <w:rStyle w:val="Funotenanker"/>
        </w:rPr>
        <w:footnoteReference w:customMarkFollows="1" w:id="2057"/>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2058"/>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2059"/>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2060"/>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2061"/>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2062"/>
        <w:t>z</w:t>
      </w:r>
      <w:r>
        <w:rPr/>
        <w:t>Meine Hilfe, eile zu meiner Hilfe!</w:t>
      </w:r>
      <w:r>
        <w:rPr>
          <w:rStyle w:val="Funotenanker"/>
        </w:rPr>
        <w:footnoteReference w:customMarkFollows="1" w:id="2063"/>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2064"/>
        <w:t>ab</w:t>
      </w:r>
      <w:r>
        <w:rPr/>
        <w:t xml:space="preserve"> mein Einziges!</w:t>
      </w:r>
      <w:r>
        <w:rPr>
          <w:rStyle w:val="Funotenanker"/>
        </w:rPr>
        <w:footnoteReference w:customMarkFollows="1" w:id="2065"/>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2066"/>
        <w:t>ad</w:t>
      </w:r>
      <w:r>
        <w:rPr/>
        <w:t xml:space="preserve"> Vor den Hörnern der Wildstiere mein Elendes </w:t>
      </w:r>
      <w:r>
        <w:rPr>
          <w:color w:val="808080"/>
        </w:rPr>
        <w:t>(erhöre mich, du erhörst mich/hast mich erhört)</w:t>
      </w:r>
      <w:r>
        <w:rPr/>
        <w:t>.</w:t>
      </w:r>
      <w:r>
        <w:rPr>
          <w:rStyle w:val="Funotenanker"/>
        </w:rPr>
        <w:footnoteReference w:customMarkFollows="1" w:id="2067"/>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2068"/>
        <w:t>af</w:t>
      </w:r>
      <w:r>
        <w:rPr/>
        <w:t xml:space="preserve"> meinen Brüdern verkünden, In der Kultgemeinde will ich dich preisen:</w:t>
      </w:r>
      <w:r>
        <w:rPr>
          <w:rStyle w:val="Funotenanker"/>
        </w:rPr>
        <w:footnoteReference w:customMarkFollows="1" w:id="2069"/>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2070"/>
        <w:t>ah</w:t>
      </w:r>
      <w:r>
        <w:rPr/>
        <w:t xml:space="preserve"> ehret ihn, Erschauert</w:t>
      </w:r>
      <w:r>
        <w:rPr>
          <w:rStyle w:val="Funotenanker"/>
        </w:rPr>
        <w:footnoteReference w:customMarkFollows="1" w:id="2071"/>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2072"/>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2073"/>
        <w:t>ak</w:t>
      </w:r>
      <w:r>
        <w:rPr/>
        <w:t xml:space="preserve"> Meine Gelübde werde ich vor denen erfüllen, die ihn fürchten </w:t>
      </w:r>
      <w:r>
        <w:rPr>
          <w:color w:val="808080"/>
        </w:rPr>
        <w:t>(verehren)</w:t>
      </w:r>
      <w:r>
        <w:rPr/>
        <w:t>:</w:t>
      </w:r>
      <w:r>
        <w:rPr>
          <w:rStyle w:val="Funotenanker"/>
        </w:rPr>
        <w:footnoteReference w:customMarkFollows="1" w:id="2074"/>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2075"/>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2076"/>
        <w:t>an</w:t>
      </w:r>
      <w:r>
        <w:rPr/>
        <w:t xml:space="preserve"> </w:t>
        <w:br/>
        <w:t>Aufleben soll euer Herz für immer!“</w:t>
      </w:r>
      <w:r>
        <w:rPr>
          <w:rStyle w:val="Funotenanker"/>
        </w:rPr>
        <w:footnoteReference w:customMarkFollows="1" w:id="2077"/>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2078"/>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2079"/>
        <w:t>aq</w:t>
      </w:r>
      <w:r>
        <w:rPr/>
        <w:t xml:space="preserve"> </w:t>
        <w:br/>
        <w:t xml:space="preserve">Und vor dir </w:t>
      </w:r>
      <w:r>
        <w:rPr>
          <w:color w:val="808080"/>
        </w:rPr>
        <w:t>(vor ihm)</w:t>
      </w:r>
      <w:r>
        <w:rPr/>
        <w:t xml:space="preserve"> </w:t>
      </w:r>
      <w:r>
        <w:rPr>
          <w:rStyle w:val="Funotenanker"/>
        </w:rPr>
        <w:footnoteReference w:customMarkFollows="1" w:id="2080"/>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2081"/>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2082"/>
        <w:t>at</w:t>
      </w:r>
      <w:r>
        <w:rPr/>
        <w:t xml:space="preserve"> alle Fetten der Erde,Vor seinem Gesicht</w:t>
      </w:r>
      <w:r>
        <w:rPr>
          <w:rStyle w:val="Funotenanker"/>
        </w:rPr>
        <w:footnoteReference w:customMarkFollows="1" w:id="2083"/>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2084"/>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2085"/>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2086"/>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2087"/>
        <w:t>a</w:t>
      </w:r>
      <w:r>
        <w:rPr/>
        <w:t xml:space="preserve"> Nichts fehlt mir </w:t>
      </w:r>
      <w:r>
        <w:rPr>
          <w:color w:val="808080"/>
        </w:rPr>
        <w:t>(wird mir fehlen)</w:t>
      </w:r>
      <w:r>
        <w:rPr/>
        <w:t xml:space="preserve"> </w:t>
      </w:r>
      <w:r>
        <w:rPr>
          <w:rStyle w:val="Funotenanker"/>
        </w:rPr>
        <w:footnoteReference w:customMarkFollows="1" w:id="2088"/>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2089"/>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2090"/>
        <w:t>d</w:t>
      </w:r>
      <w:r>
        <w:rPr/>
        <w:t xml:space="preserve"> ausruhen </w:t>
      </w:r>
      <w:r>
        <w:rPr>
          <w:color w:val="808080"/>
        </w:rPr>
        <w:t>(hinlegen, rasten)</w:t>
      </w:r>
      <w:r>
        <w:rPr/>
        <w:t xml:space="preserve"> kann</w:t>
      </w:r>
      <w:r>
        <w:rPr>
          <w:rStyle w:val="Funotenanker"/>
        </w:rPr>
        <w:footnoteReference w:customMarkFollows="1" w:id="2091"/>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2092"/>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2093"/>
        <w:t>g</w:t>
      </w:r>
      <w:r>
        <w:rPr/>
        <w:t xml:space="preserve"> bringt er zurück </w:t>
      </w:r>
      <w:r>
        <w:rPr>
          <w:color w:val="808080"/>
        </w:rPr>
        <w:t>(wird er erneuern, erfrischt er)</w:t>
      </w:r>
      <w:r>
        <w:rPr/>
        <w:t xml:space="preserve"> </w:t>
      </w:r>
      <w:r>
        <w:rPr>
          <w:rStyle w:val="Funotenanker"/>
        </w:rPr>
        <w:footnoteReference w:customMarkFollows="1" w:id="2094"/>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2095"/>
        <w:t>i</w:t>
      </w:r>
      <w:r>
        <w:rPr/>
        <w:t xml:space="preserve"> gehe </w:t>
      </w:r>
      <w:r>
        <w:rPr>
          <w:color w:val="808080"/>
        </w:rPr>
        <w:t>(gehen werde/muss/sollte, gerate</w:t>
      </w:r>
      <w:r>
        <w:rPr/>
        <w:t xml:space="preserve"> </w:t>
      </w:r>
      <w:r>
        <w:rPr>
          <w:rStyle w:val="Funotenanker"/>
        </w:rPr>
        <w:footnoteReference w:customMarkFollows="1" w:id="2096"/>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97"/>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98"/>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99"/>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100"/>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101"/>
        <w:t>o</w:t>
      </w:r>
      <w:r>
        <w:rPr/>
        <w:t xml:space="preserve"> </w:t>
      </w:r>
      <w:r>
        <w:rPr>
          <w:color w:val="808080"/>
        </w:rPr>
        <w:t>(meines Feindes</w:t>
      </w:r>
      <w:r>
        <w:rPr/>
        <w:t xml:space="preserve"> </w:t>
      </w:r>
      <w:r>
        <w:rPr>
          <w:rStyle w:val="Funotenanker"/>
        </w:rPr>
        <w:footnoteReference w:customMarkFollows="1" w:id="2102"/>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103"/>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104"/>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105"/>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106"/>
        <w:t>t</w:t>
      </w:r>
      <w:r>
        <w:rPr/>
        <w:t xml:space="preserve"> </w:t>
      </w:r>
      <w:r>
        <w:rPr>
          <w:color w:val="808080"/>
        </w:rPr>
        <w:t>zurückkehren)</w:t>
      </w:r>
      <w:r>
        <w:rPr/>
        <w:t xml:space="preserve"> </w:t>
      </w:r>
      <w:r>
        <w:rPr>
          <w:rStyle w:val="Funotenanker"/>
        </w:rPr>
        <w:footnoteReference w:customMarkFollows="1" w:id="2107"/>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108"/>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109"/>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110"/>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111"/>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112"/>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113"/>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114"/>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115"/>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116"/>
        <w:t>Status</w:t>
      </w:r>
      <w:r>
        <w:rPr/>
        <w:t xml:space="preserve"> Von David. </w:t>
      </w:r>
      <w:r>
        <w:rPr>
          <w:smallCaps/>
          <w:color w:val="FF0000"/>
        </w:rPr>
        <w:t>JHWH</w:t>
      </w:r>
      <w:r>
        <w:rPr/>
        <w:t xml:space="preserve"> ist mein Licht und meine Rettung </w:t>
      </w:r>
      <w:r>
        <w:rPr>
          <w:color w:val="808080"/>
        </w:rPr>
        <w:t>(Heil, Hilfe)</w:t>
      </w:r>
      <w:r>
        <w:rPr/>
        <w:t xml:space="preserve">, vor wem sollte ich mich fürchten? </w:t>
      </w:r>
      <w:r>
        <w:rPr>
          <w:smallCaps/>
          <w:color w:val="FF0000"/>
        </w:rPr>
        <w:t>JHWH</w:t>
      </w:r>
      <w:r>
        <w:rPr/>
        <w:t xml:space="preserve"> ist meines Lebens Schutzburg, vor wem sollte ich mich ängstigen?{{field-off:bible}}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117"/>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118"/>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119"/>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120"/>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121"/>
        <w:t>a</w:t>
      </w:r>
      <w:r>
        <w:rPr/>
        <w:t xml:space="preserve">.{{field-off:bible}} </w:t>
        <w:br/>
        <w:t>[[@BibleTOBIBLE:Ps 29:9]]</w:t>
      </w:r>
      <w:r>
        <w:rPr>
          <w:b/>
        </w:rPr>
        <w:t>9</w:t>
      </w:r>
      <w:r>
        <w:rPr/>
        <w:t xml:space="preserve"> {{field-on:bible}}Die Stimme Jhwhs lässt große Bäume</w:t>
      </w:r>
      <w:r>
        <w:rPr>
          <w:rStyle w:val="Funotenanker"/>
        </w:rPr>
        <w:footnoteReference w:customMarkFollows="1" w:id="2122"/>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123"/>
        <w:t>Status</w:t>
      </w:r>
      <w:r>
        <w:rPr/>
        <w:t xml:space="preserve"> Ein Psalm </w:t>
      </w:r>
      <w:r>
        <w:rPr>
          <w:color w:val="808080"/>
        </w:rPr>
        <w:t>(begleitetes Lied)</w:t>
      </w:r>
      <w:r>
        <w:rPr/>
        <w:t>. Ein Lied zur Tempelweihe</w:t>
      </w:r>
      <w:r>
        <w:rPr>
          <w:rStyle w:val="Funotenanker"/>
        </w:rPr>
        <w:footnoteReference w:customMarkFollows="1" w:id="2124"/>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125"/>
        <w:t>b</w:t>
      </w:r>
      <w:r>
        <w:rPr/>
        <w:t xml:space="preserve"> du mich herausgeschöpft </w:t>
      </w:r>
      <w:r>
        <w:rPr>
          <w:color w:val="808080"/>
        </w:rPr>
        <w:t>(emporgezogen)</w:t>
      </w:r>
      <w:r>
        <w:rPr/>
        <w:t xml:space="preserve"> </w:t>
      </w:r>
      <w:r>
        <w:rPr>
          <w:rStyle w:val="Funotenanker"/>
        </w:rPr>
        <w:footnoteReference w:customMarkFollows="1" w:id="2126"/>
        <w:t>c</w:t>
      </w:r>
      <w:r>
        <w:rPr/>
        <w:t xml:space="preserve"> </w:t>
      </w:r>
      <w:r>
        <w:rPr>
          <w:rStyle w:val="Funotenanker"/>
        </w:rPr>
        <w:footnoteReference w:customMarkFollows="1" w:id="2127"/>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128"/>
        <w:t>e</w:t>
      </w:r>
      <w:r>
        <w:rPr/>
        <w:t xml:space="preserve"> sich nicht über mich </w:t>
      </w:r>
      <w:r>
        <w:rPr>
          <w:color w:val="808080"/>
        </w:rPr>
        <w:t>(meine meinigen Feinde sich nicht)</w:t>
      </w:r>
      <w:r>
        <w:rPr/>
        <w:t xml:space="preserve"> </w:t>
      </w:r>
      <w:r>
        <w:rPr>
          <w:rStyle w:val="Funotenanker"/>
        </w:rPr>
        <w:footnoteReference w:customMarkFollows="1" w:id="2129"/>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130"/>
        <w:t>g</w:t>
      </w:r>
      <w:r>
        <w:rPr/>
        <w:t xml:space="preserve"> aus dem Scheol </w:t>
      </w:r>
      <w:r>
        <w:rPr>
          <w:color w:val="808080"/>
        </w:rPr>
        <w:t>(aus der Unterwelt, aus der Totenwelt)</w:t>
      </w:r>
      <w:r>
        <w:rPr/>
        <w:t xml:space="preserve"> heraufgeholt</w:t>
      </w:r>
      <w:r>
        <w:rPr>
          <w:rStyle w:val="Funotenanker"/>
        </w:rPr>
        <w:footnoteReference w:customMarkFollows="1" w:id="2131"/>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132"/>
        <w:t>i</w:t>
      </w:r>
      <w:r>
        <w:rPr/>
        <w:t xml:space="preserve"> Hinabgefahrenen </w:t>
      </w:r>
      <w:r>
        <w:rPr>
          <w:color w:val="808080"/>
        </w:rPr>
        <w:t>(bewahrt vom Hinabfahren)</w:t>
      </w:r>
      <w:r>
        <w:rPr/>
        <w:t xml:space="preserve"> </w:t>
      </w:r>
      <w:r>
        <w:rPr>
          <w:rStyle w:val="Funotenanker"/>
        </w:rPr>
        <w:footnoteReference w:customMarkFollows="1" w:id="2133"/>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134"/>
        <w:t>k</w:t>
      </w:r>
      <w:r>
        <w:rPr/>
        <w:t xml:space="preserve"> </w:t>
      </w:r>
      <w:r>
        <w:rPr>
          <w:smallCaps/>
          <w:color w:val="FF0000"/>
        </w:rPr>
        <w:t>JHWH</w:t>
      </w:r>
      <w:r>
        <w:rPr/>
        <w:t>, ihr seine Frommen</w:t>
      </w:r>
      <w:r>
        <w:rPr>
          <w:rStyle w:val="Funotenanker"/>
        </w:rPr>
        <w:footnoteReference w:customMarkFollows="1" w:id="2135"/>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136"/>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137"/>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138"/>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139"/>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140"/>
        <w:t>q</w:t>
      </w:r>
      <w:r>
        <w:rPr/>
        <w:t xml:space="preserve"> in meiner Sorglosigkeit sprach: „Niemals werde ich wanken</w:t>
      </w:r>
      <w:r>
        <w:rPr>
          <w:rStyle w:val="Funotenanker"/>
        </w:rPr>
        <w:footnoteReference w:customMarkFollows="1" w:id="2141"/>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142"/>
        <w:t>s</w:t>
      </w:r>
      <w:r>
        <w:rPr/>
        <w:t xml:space="preserve">, mich in deiner Gunst standhafter als die starken </w:t>
      </w:r>
      <w:r>
        <w:rPr>
          <w:color w:val="808080"/>
        </w:rPr>
        <w:t>(sicheren)</w:t>
      </w:r>
      <w:r>
        <w:rPr/>
        <w:t xml:space="preserve"> Berge gemacht hast,</w:t>
      </w:r>
      <w:r>
        <w:rPr>
          <w:rStyle w:val="Funotenanker"/>
        </w:rPr>
        <w:footnoteReference w:customMarkFollows="1" w:id="2143"/>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144"/>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wurde vernichtet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145"/>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146"/>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147"/>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148"/>
        <w:t>y</w:t>
      </w:r>
      <w:r>
        <w:rPr/>
        <w:t>?</w:t>
        <w:br/>
        <w:t xml:space="preserve">Kann Lehm </w:t>
      </w:r>
      <w:r>
        <w:rPr>
          <w:color w:val="808080"/>
        </w:rPr>
        <w:t>(Staub, können Tote)</w:t>
      </w:r>
      <w:r>
        <w:rPr/>
        <w:t xml:space="preserve"> </w:t>
      </w:r>
      <w:r>
        <w:rPr>
          <w:rStyle w:val="Funotenanker"/>
        </w:rPr>
        <w:footnoteReference w:customMarkFollows="1" w:id="2149"/>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150"/>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151"/>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152"/>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153"/>
        <w:t>ad</w:t>
      </w:r>
      <w:r>
        <w:rPr/>
        <w:t xml:space="preserve"> will ich </w:t>
      </w:r>
      <w:r>
        <w:rPr>
          <w:color w:val="808080"/>
        </w:rPr>
        <w:t>(</w:t>
      </w:r>
      <w:r>
        <w:rPr>
          <w:b/>
          <w:color w:val="808080"/>
        </w:rPr>
        <w:t>[</w:t>
      </w:r>
      <w:r>
        <w:rPr>
          <w:color w:val="808080"/>
        </w:rPr>
        <w:t>meine</w:t>
      </w:r>
      <w:r>
        <w:rPr>
          <w:b/>
          <w:color w:val="808080"/>
        </w:rPr>
        <w:t>]</w:t>
      </w:r>
      <w:r>
        <w:rPr>
          <w:color w:val="808080"/>
        </w:rPr>
        <w:t xml:space="preserve"> Leber, </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w:t>
      </w:r>
      <w:r>
        <w:rPr/>
        <w:t xml:space="preserve"> </w:t>
      </w:r>
      <w:r>
        <w:rPr>
          <w:rStyle w:val="Funotenanker"/>
        </w:rPr>
        <w:footnoteReference w:customMarkFollows="1" w:id="2154"/>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155"/>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156"/>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157"/>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158"/>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159"/>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160"/>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161"/>
        <w:t>e</w:t>
      </w:r>
      <w:r>
        <w:rPr/>
        <w:t xml:space="preserve"> </w:t>
        <w:br/>
        <w:t>Ich gehe</w:t>
      </w:r>
      <w:r>
        <w:rPr>
          <w:rStyle w:val="Funotenanker"/>
        </w:rPr>
        <w:footnoteReference w:customMarkFollows="1" w:id="2162"/>
        <w:t>f</w:t>
      </w:r>
      <w:r>
        <w:rPr/>
        <w:t xml:space="preserve"> </w:t>
      </w:r>
      <w:r>
        <w:rPr>
          <w:b/>
          <w:color w:val="808080"/>
        </w:rPr>
        <w:t>[</w:t>
      </w:r>
      <w:r>
        <w:rPr/>
        <w:t>in einer</w:t>
      </w:r>
      <w:r>
        <w:rPr>
          <w:b/>
          <w:color w:val="808080"/>
        </w:rPr>
        <w:t>]</w:t>
      </w:r>
      <w:r>
        <w:rPr/>
        <w:t xml:space="preserve"> großen</w:t>
      </w:r>
      <w:r>
        <w:rPr>
          <w:rStyle w:val="Funotenanker"/>
        </w:rPr>
        <w:footnoteReference w:customMarkFollows="1" w:id="2163"/>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164"/>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165"/>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166"/>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167"/>
        <w:t>Status</w:t>
      </w:r>
      <w:r>
        <w:rPr/>
        <w:t xml:space="preserve"> ''Für den Chorleiter</w:t>
      </w:r>
      <w:r>
        <w:rPr>
          <w:rStyle w:val="Funotenanker"/>
        </w:rPr>
        <w:footnoteReference w:customMarkFollows="1" w:id="2168"/>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169"/>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170"/>
        <w:t>d</w:t>
      </w:r>
      <w:r>
        <w:rPr/>
        <w:t xml:space="preserve"> </w:t>
        <w:br/>
        <w:t xml:space="preserve">Sie begehen und verbrechen </w:t>
      </w:r>
      <w:r>
        <w:rPr>
          <w:color w:val="808080"/>
        </w:rPr>
        <w:t>(begingen und verbrachen)</w:t>
      </w:r>
      <w:r>
        <w:rPr/>
        <w:t xml:space="preserve"> Untat</w:t>
      </w:r>
      <w:r>
        <w:rPr>
          <w:rStyle w:val="Funotenanker"/>
        </w:rPr>
        <w:footnoteReference w:customMarkFollows="1" w:id="2171"/>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172"/>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173"/>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174"/>
        <w:t>h</w:t>
      </w:r>
      <w:r>
        <w:rPr/>
        <w:t xml:space="preserve"> </w:t>
        <w:br/>
        <w:t>Denn Gott zerstreute die Knochen des bei dir Lagernden;</w:t>
      </w:r>
      <w:r>
        <w:rPr>
          <w:rStyle w:val="Funotenanker"/>
        </w:rPr>
        <w:footnoteReference w:customMarkFollows="1" w:id="2175"/>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176"/>
        <w:t>j</w:t>
      </w:r>
      <w:r>
        <w:rPr/>
        <w:t xml:space="preserve"> Rettung für Israel geben!</w:t>
      </w:r>
      <w:r>
        <w:rPr>
          <w:rStyle w:val="Funotenanker"/>
        </w:rPr>
        <w:footnoteReference w:customMarkFollows="1" w:id="2177"/>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178"/>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179"/>
        <w:t>a</w:t>
      </w:r>
      <w:r>
        <w:rPr/>
        <w:t xml:space="preserve"> </w:t>
        <w:br/>
        <w:br/>
        <w:t>[[@BibleTOBIBLE:Ps 67:1]]</w:t>
      </w:r>
      <w:r>
        <w:rPr>
          <w:b/>
        </w:rPr>
        <w:t>1</w:t>
      </w:r>
      <w:r>
        <w:rPr/>
        <w:t xml:space="preserve"> {{field-on:bible}} </w:t>
      </w:r>
      <w:r>
        <w:rPr>
          <w:rStyle w:val="Funotenanker"/>
        </w:rPr>
        <w:footnoteReference w:customMarkFollows="1" w:id="2180"/>
        <w:t>Status</w:t>
      </w:r>
      <w:r>
        <w:rPr/>
        <w:t xml:space="preserve"> Für den obersten Musiker </w:t>
      </w:r>
      <w:r>
        <w:rPr>
          <w:color w:val="808080"/>
        </w:rPr>
        <w:t>(Chorleiter, Dirigenten, Aufseher, vorzusingen)</w:t>
      </w:r>
      <w:r>
        <w:rPr/>
        <w:t xml:space="preserve"> </w:t>
      </w:r>
      <w:r>
        <w:rPr>
          <w:rStyle w:val="Funotenanker"/>
        </w:rPr>
        <w:footnoteReference w:customMarkFollows="1" w:id="2181"/>
        <w:t>b</w:t>
      </w:r>
      <w:r>
        <w:rPr/>
        <w:t xml:space="preserve">. Mit Saiteninstrumenten </w:t>
      </w:r>
      <w:r>
        <w:rPr>
          <w:color w:val="808080"/>
        </w:rPr>
        <w:t>(fröhlicher Musik, Zupfinstrumenten)</w:t>
      </w:r>
      <w:r>
        <w:rPr/>
        <w:t xml:space="preserve"> </w:t>
      </w:r>
      <w:r>
        <w:rPr>
          <w:rStyle w:val="Funotenanker"/>
        </w:rPr>
        <w:footnoteReference w:customMarkFollows="1" w:id="2182"/>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183"/>
        <w:t>d</w:t>
      </w:r>
      <w:r>
        <w:rPr/>
        <w:t>,</w:t>
      </w:r>
      <w:r>
        <w:rPr>
          <w:position w:val="8"/>
          <w:sz w:val="19"/>
        </w:rPr>
        <w:t>[[ ℘ &gt;&gt; BibleTOBIBLE:Nu 6:24]]</w:t>
      </w:r>
      <w:r>
        <w:rPr/>
        <w:t xml:space="preserve"> </w:t>
      </w:r>
      <w:r>
        <w:rPr>
          <w:rStyle w:val="Funotenanker"/>
        </w:rPr>
        <w:footnoteReference w:customMarkFollows="1" w:id="2184"/>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185"/>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186"/>
        <w:t>g</w:t>
      </w:r>
      <w:r>
        <w:rPr/>
        <w:t xml:space="preserve"> deine rettende Kraft </w:t>
      </w:r>
      <w:r>
        <w:rPr>
          <w:color w:val="808080"/>
        </w:rPr>
        <w:t>(Hilfe, Rettung, dein Eingeifen, Heil)</w:t>
      </w:r>
      <w:r>
        <w:rPr/>
        <w:t xml:space="preserve"> </w:t>
      </w:r>
      <w:r>
        <w:rPr>
          <w:rStyle w:val="Funotenanker"/>
        </w:rPr>
        <w:footnoteReference w:customMarkFollows="1" w:id="2187"/>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188"/>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189"/>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190"/>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191"/>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192"/>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193"/>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194"/>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195"/>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196"/>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197"/>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198"/>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199"/>
        <w:t>Status</w:t>
      </w:r>
      <w:r>
        <w:rPr/>
        <w:t xml:space="preserve"> Ein Gesang. Ein Lied. Von den Söhnen des Korach. Für den Musikleiter. Zu singen nach Machalat</w:t>
      </w:r>
      <w:r>
        <w:rPr>
          <w:rStyle w:val="Funotenanker"/>
        </w:rPr>
        <w:footnoteReference w:customMarkFollows="1" w:id="2200"/>
        <w:t>a</w:t>
      </w:r>
      <w:r>
        <w:rPr/>
        <w:t>. Ein Maskil</w:t>
      </w:r>
      <w:r>
        <w:rPr>
          <w:rStyle w:val="Funotenanker"/>
        </w:rPr>
        <w:footnoteReference w:customMarkFollows="1" w:id="2201"/>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202"/>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203"/>
        <w:t>d</w:t>
      </w:r>
      <w:r>
        <w:rPr/>
        <w:t xml:space="preserve"> gestiegen sind. Ich bin wie ein Mann ohne Hilfe </w:t>
      </w:r>
      <w:r>
        <w:rPr>
          <w:color w:val="808080"/>
        </w:rPr>
        <w:t>(Stärke)</w:t>
      </w:r>
      <w:r>
        <w:rPr/>
        <w:t xml:space="preserve"> </w:t>
      </w:r>
      <w:r>
        <w:rPr>
          <w:rStyle w:val="Funotenanker"/>
        </w:rPr>
        <w:footnoteReference w:customMarkFollows="1" w:id="2204"/>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205"/>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206"/>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207"/>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208"/>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209"/>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210"/>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211"/>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212"/>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t>Thema dieses Klagepsalms und Klagegebets ist die menschliche Vergänglichkeit. Im Zentrum steht Vers 12 mit der Bitte an Gott, uns zu guter Erkenntnis angesichts unseres sicheren Todes zu führen: „Lehre uns, unsere Tage zu zählen“.</w:t>
      </w:r>
      <w:r>
        <w:rPr>
          <w:rStyle w:val="Funotenanker"/>
        </w:rPr>
        <w:footnoteReference w:customMarkFollows="1" w:id="2213"/>
        <w:t>a</w:t>
      </w:r>
      <w:r>
        <w:rPr/>
        <w:t xml:space="preserve"> Der Psalm ist Mose zugeordnet und verweist sprachlich auf das Bittgebet des Mose (Exodus 32), das Lied des Mose (Deuteronomium 32) und den Segen des Mose (Deuteronomium 33) – siehe Parallelstellenangaben.</w:t>
      </w:r>
      <w:r>
        <w:rPr>
          <w:rStyle w:val="Funotenanker"/>
        </w:rPr>
        <w:footnoteReference w:customMarkFollows="1" w:id="2214"/>
        <w:t>b</w:t>
      </w:r>
      <w:r>
        <w:rPr/>
        <w:t xml:space="preserve"> Der Text beginnt mit einer Gottesanrufung. Die Verse 1–2 rufen in Erinnerung, dass der ewige Gottes die Menschen stets [vor Gefahren] geschützt hat. Auf die Betonung der göttlichen Ewigkeit folgt dann in 3–10 eine Vergänglichkeitsklage und Anklage Gottes</w:t>
      </w:r>
      <w:r>
        <w:rPr>
          <w:rStyle w:val="Funotenanker"/>
        </w:rPr>
        <w:footnoteReference w:customMarkFollows="1" w:id="2215"/>
        <w:t>c</w:t>
      </w:r>
      <w:r>
        <w:rPr/>
        <w:t>. In klaren Worten wird beschrieben, dass Gott die Menschen sterben lässt. Die Kürze des menschlichen Lebens steht in Kontrast zur Existenz Gottes. Diese Klage mündet in Vers 11–12 in die Bitte an Gott, die Sterblichkeit akzeptieren zu können, so dass „ das Leben als Gottes Gabe angenommen und erfüllt gelebt werden kann“</w:t>
      </w:r>
      <w:r>
        <w:rPr>
          <w:rStyle w:val="Funotenanker"/>
        </w:rPr>
        <w:footnoteReference w:customMarkFollows="1" w:id="2216"/>
        <w:t>d</w:t>
      </w:r>
      <w:r>
        <w:rPr/>
        <w:t>. Nun folgt ein „Bitten um ein Eingreifen Gottes (V 11–16) mit Ausblick in eine heilvollere Zukunft (V 17)“</w:t>
      </w:r>
      <w:r>
        <w:rPr>
          <w:rStyle w:val="Funotenanker"/>
        </w:rPr>
        <w:footnoteReference w:customMarkFollows="1" w:id="2217"/>
        <w:t>e</w:t>
      </w:r>
      <w:r>
        <w:rPr/>
        <w:t xml:space="preserve">. Dieser Schlussteil des Psalms nimmt sprachliche Motive vom Anfang auf (3: Kehrt zurück [Menschen], 11: Kehre zurück [Gott]; Tag; Morgen). Zugleich bildet er inhaltlich eine Brücke zum folgenden Psalm 91 (Verheißung einer guten Zukunft) uns sprachlich zu Psalm 92 (Dank). </w:t>
        <w:br/>
        <w:br/>
        <w:t>[[@BibleTOBIBLE:Ps 90:1]]</w:t>
      </w:r>
      <w:r>
        <w:rPr>
          <w:b/>
        </w:rPr>
        <w:t>1</w:t>
      </w:r>
      <w:r>
        <w:rPr/>
        <w:t xml:space="preserve"> {{field-on:bible}} </w:t>
      </w:r>
      <w:r>
        <w:rPr>
          <w:rStyle w:val="Funotenanker"/>
        </w:rPr>
        <w:footnoteReference w:customMarkFollows="1" w:id="2218"/>
        <w:t>Status</w:t>
      </w:r>
      <w:r>
        <w:rPr/>
        <w:t xml:space="preserve"> Ein Gebet von Mose, dem Mann Gottes: </w:t>
      </w:r>
      <w:r>
        <w:rPr>
          <w:position w:val="8"/>
          <w:sz w:val="19"/>
        </w:rPr>
        <w:t>[[ ℘ &gt;&gt; BibleTOBIBLE:Dt 33:1]]</w:t>
      </w:r>
      <w:r>
        <w:rPr/>
        <w:t xml:space="preserve"> </w:t>
        <w:br/>
        <w:t xml:space="preserve">Mein Herr </w:t>
      </w:r>
      <w:r>
        <w:rPr>
          <w:color w:val="808080"/>
        </w:rPr>
        <w:t>(Herr)</w:t>
      </w:r>
      <w:r>
        <w:rPr/>
        <w:t xml:space="preserve">, eine </w:t>
      </w:r>
      <w:r>
        <w:rPr>
          <w:b/>
          <w:color w:val="808080"/>
        </w:rPr>
        <w:t>[</w:t>
      </w:r>
      <w:r>
        <w:rPr/>
        <w:t>sichere</w:t>
      </w:r>
      <w:r>
        <w:rPr>
          <w:b/>
          <w:color w:val="808080"/>
        </w:rPr>
        <w:t>]</w:t>
      </w:r>
      <w:r>
        <w:rPr/>
        <w:t xml:space="preserv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219"/>
        <w:t>f</w:t>
      </w:r>
      <w:r>
        <w:rPr/>
        <w:t xml:space="preserve">. </w:t>
      </w:r>
      <w:r>
        <w:rPr>
          <w:position w:val="8"/>
          <w:sz w:val="19"/>
        </w:rPr>
        <w:t>[[ ℘ &gt;&gt; BibleTOBIBLE:Dt 32:7]][[ ℘ &gt;&gt; BibleTOBIBLE:Dt 33:27]]</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220"/>
        <w:t>g</w:t>
      </w:r>
      <w:r>
        <w:rPr/>
        <w:t xml:space="preserve"> hervorgebracht </w:t>
      </w:r>
      <w:r>
        <w:rPr>
          <w:color w:val="808080"/>
        </w:rPr>
        <w:t>(geboren)</w:t>
      </w:r>
      <w:r>
        <w:rPr/>
        <w:t xml:space="preserve"> </w:t>
      </w:r>
      <w:r>
        <w:rPr>
          <w:rStyle w:val="Funotenanker"/>
        </w:rPr>
        <w:footnoteReference w:customMarkFollows="1" w:id="2221"/>
        <w:t>h</w:t>
      </w:r>
      <w:r>
        <w:rPr/>
        <w:t xml:space="preserve"> hattest</w:t>
      </w:r>
      <w:r>
        <w:rPr>
          <w:rStyle w:val="Funotenanker"/>
        </w:rPr>
        <w:footnoteReference w:customMarkFollows="1" w:id="2222"/>
        <w:t>i</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223"/>
        <w:t>j</w:t>
      </w:r>
      <w:r>
        <w:rPr/>
        <w:t>.</w:t>
      </w:r>
      <w:r>
        <w:rPr>
          <w:position w:val="8"/>
          <w:sz w:val="19"/>
        </w:rPr>
        <w:t>[[ ℘ &gt;&gt; BibleTOBIBLE:Dt 33:15]]</w:t>
      </w:r>
      <w:r>
        <w:rPr/>
        <w:t xml:space="preserve"> </w:t>
        <w:br/>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224"/>
        <w:t>k</w:t>
      </w:r>
      <w:r>
        <w:rPr/>
        <w:t xml:space="preserve"> </w:t>
      </w:r>
      <w:r>
        <w:rPr>
          <w:position w:val="8"/>
          <w:sz w:val="19"/>
        </w:rPr>
        <w:t>[[ ℘ &gt;&gt; BibleTOBIBLE:Ge 3:19]]</w:t>
      </w:r>
      <w:r>
        <w:rPr/>
        <w:t xml:space="preserve"> und sprichst: „Kehrt zurück </w:t>
      </w:r>
      <w:r>
        <w:rPr>
          <w:color w:val="808080"/>
        </w:rPr>
        <w:t>(kehrt um)</w:t>
      </w:r>
      <w:r>
        <w:rPr/>
        <w:t xml:space="preserve"> </w:t>
      </w:r>
      <w:r>
        <w:rPr>
          <w:rStyle w:val="Funotenanker"/>
        </w:rPr>
        <w:footnoteReference w:customMarkFollows="1" w:id="2225"/>
        <w:t>l</w:t>
      </w:r>
      <w:r>
        <w:rPr/>
        <w:t xml:space="preserve">, ihr Kinder des Menschen </w:t>
      </w:r>
      <w:r>
        <w:rPr>
          <w:color w:val="808080"/>
        </w:rPr>
        <w:t>(Adams Söhne, 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226"/>
        <w:t>m</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227"/>
        <w:t>n</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228"/>
        <w:t>o</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229"/>
        <w:t>p</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230"/>
        <w:t>q</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231"/>
        <w:t>r</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232"/>
        <w:t>s</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mit Kraft </w:t>
      </w:r>
      <w:r>
        <w:rPr>
          <w:color w:val="808080"/>
        </w:rPr>
        <w:t xml:space="preserve">(durch </w:t>
      </w:r>
      <w:r>
        <w:rPr>
          <w:b/>
          <w:color w:val="808080"/>
        </w:rPr>
        <w:t>[</w:t>
      </w:r>
      <w:r>
        <w:rPr>
          <w:color w:val="808080"/>
        </w:rPr>
        <w:t>deine</w:t>
      </w:r>
      <w:r>
        <w:rPr>
          <w:b/>
          <w:color w:val="808080"/>
        </w:rPr>
        <w:t>]</w:t>
      </w:r>
      <w:r>
        <w:rPr>
          <w:color w:val="808080"/>
        </w:rPr>
        <w:t xml:space="preserve"> Kraft </w:t>
      </w:r>
      <w:r>
        <w:rPr>
          <w:b/>
          <w:color w:val="808080"/>
        </w:rPr>
        <w:t>[</w:t>
      </w:r>
      <w:r>
        <w:rPr>
          <w:color w:val="808080"/>
        </w:rPr>
        <w:t>unterstützt</w:t>
      </w:r>
      <w:r>
        <w:rPr>
          <w:b/>
          <w:color w:val="808080"/>
        </w:rPr>
        <w:t>]</w:t>
      </w:r>
      <w:r>
        <w:rPr>
          <w:color w:val="808080"/>
        </w:rPr>
        <w:t xml:space="preserve"> </w:t>
      </w:r>
      <w:r>
        <w:rPr>
          <w:rStyle w:val="Funotenanker"/>
        </w:rPr>
        <w:footnoteReference w:customMarkFollows="1" w:id="2233"/>
        <w:t>t</w:t>
      </w:r>
      <w:r>
        <w:rPr/>
        <w:t xml:space="preserve"> </w:t>
      </w:r>
      <w:r>
        <w:rPr>
          <w:color w:val="808080"/>
        </w:rPr>
        <w:t>, wenn in Kraft)</w:t>
      </w:r>
      <w:r>
        <w:rPr/>
        <w:t xml:space="preserve"> achtzig Jahre.</w:t>
        <w:br/>
      </w:r>
      <w:r>
        <w:rPr>
          <w:strike/>
          <w:color w:val="808080"/>
        </w:rPr>
        <w:t>{und}</w:t>
      </w:r>
      <w:r>
        <w:rPr/>
        <w:t xml:space="preserve"> Ihr Stolz</w:t>
      </w:r>
      <w:r>
        <w:rPr>
          <w:rStyle w:val="Funotenanker"/>
        </w:rPr>
        <w:footnoteReference w:customMarkFollows="1" w:id="2234"/>
        <w:t>u</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die Furcht vor dir </w:t>
      </w:r>
      <w:r>
        <w:rPr>
          <w:color w:val="808080"/>
        </w:rPr>
        <w:t>(deine Furcht)</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r>
      <w:r>
        <w:rPr>
          <w:position w:val="8"/>
          <w:sz w:val="19"/>
        </w:rPr>
        <w:t>[[ ℘ &gt;&gt; BibleTOBIBLE:Ex 32:12]][[ ℘ &gt;&gt; BibleTOBIBLE:Dt 32:26]]</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235"/>
        <w:t>v</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236"/>
        <w:t>w</w:t>
      </w:r>
      <w:r>
        <w:rPr/>
        <w:t xml:space="preserve"> deinen Knechten </w:t>
      </w:r>
      <w:r>
        <w:rPr>
          <w:color w:val="808080"/>
        </w:rPr>
        <w:t>(Sklaven, Dienern)</w:t>
      </w:r>
      <w:r>
        <w:rPr/>
        <w:t xml:space="preserve"> dein Handeln und deine Herrlichkeit </w:t>
      </w:r>
      <w:r>
        <w:rPr>
          <w:color w:val="808080"/>
        </w:rPr>
        <w:t>(Glanz, Majestät, Macht)</w:t>
      </w:r>
      <w:r>
        <w:rPr/>
        <w:t xml:space="preserve"> ihren Kindern </w:t>
      </w:r>
      <w:r>
        <w:rPr>
          <w:color w:val="808080"/>
        </w:rPr>
        <w:t>(Söhnen)</w:t>
      </w:r>
      <w:r>
        <w:rPr/>
        <w:t xml:space="preserve">! </w:t>
      </w:r>
      <w:r>
        <w:rPr>
          <w:position w:val="8"/>
          <w:sz w:val="19"/>
        </w:rPr>
        <w:t>[[ ℘ &gt;&gt; BibleTOBIBLE:Dt 32:18]]</w:t>
      </w:r>
      <w:r>
        <w:rPr/>
        <w:t xml:space="preserve"> </w:t>
        <w:br/>
        <w:br/>
        <w:t xml:space="preserve">{{field-off:bible}} </w:t>
        <w:br/>
        <w:t>[[@BibleTOBIBLE:Ps 90:17]]</w:t>
      </w:r>
      <w:r>
        <w:rPr>
          <w:b/>
        </w:rPr>
        <w:t>17</w:t>
      </w:r>
      <w:r>
        <w:rPr/>
        <w:t xml:space="preserve"> {{field-on:bible}} </w:t>
        <w:br/>
        <w:t xml:space="preserve">Die Freundlichkeit </w:t>
      </w:r>
      <w:r>
        <w:rPr>
          <w:color w:val="808080"/>
        </w:rPr>
        <w:t>(Gunst)</w:t>
      </w:r>
      <w:r>
        <w:rPr/>
        <w:t xml:space="preserve"> des Herrn </w:t>
      </w:r>
      <w:r>
        <w:rPr>
          <w:color w:val="808080"/>
        </w:rPr>
        <w:t>(meines 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237"/>
        <w:t>x</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238"/>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239"/>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240"/>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241"/>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242"/>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243"/>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244"/>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245"/>
        <w:t>a</w:t>
      </w:r>
      <w:r>
        <w:rPr/>
        <w:t xml:space="preserve"> </w:t>
      </w:r>
      <w:r>
        <w:rPr>
          <w:color w:val="808080"/>
        </w:rPr>
        <w:t>)</w:t>
      </w:r>
      <w:r>
        <w:rPr/>
        <w:t xml:space="preserve"> </w:t>
      </w:r>
      <w:r>
        <w:rPr>
          <w:rStyle w:val="Funotenanker"/>
        </w:rPr>
        <w:footnoteReference w:customMarkFollows="1" w:id="2246"/>
        <w:t>b</w:t>
      </w:r>
      <w:r>
        <w:rPr/>
        <w:t xml:space="preserve">. </w:t>
        <w:br/>
        <w:t xml:space="preserve">Jubelt </w:t>
      </w:r>
      <w:r>
        <w:rPr>
          <w:color w:val="808080"/>
        </w:rPr>
        <w:t>(schreit vor Freude)</w:t>
      </w:r>
      <w:r>
        <w:rPr/>
        <w:t xml:space="preserve"> </w:t>
      </w:r>
      <w:r>
        <w:rPr>
          <w:rStyle w:val="Funotenanker"/>
        </w:rPr>
        <w:footnoteReference w:customMarkFollows="1" w:id="2247"/>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248"/>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249"/>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250"/>
        <w:t>f</w:t>
      </w:r>
      <w:r>
        <w:rPr/>
        <w:t xml:space="preserve"> in Freudengeschrei </w:t>
      </w:r>
      <w:r>
        <w:rPr>
          <w:color w:val="808080"/>
        </w:rPr>
        <w:t>(Freudenliedern)</w:t>
      </w:r>
      <w:r>
        <w:rPr/>
        <w:t xml:space="preserve"> </w:t>
      </w:r>
      <w:r>
        <w:rPr>
          <w:rStyle w:val="Funotenanker"/>
        </w:rPr>
        <w:footnoteReference w:customMarkFollows="1" w:id="2251"/>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252"/>
        <w:t>h</w:t>
      </w:r>
      <w:r>
        <w:rPr/>
        <w:t>!</w:t>
        <w:br/>
        <w:br/>
        <w:t xml:space="preserve">Er hat uns erschaffen, sein sind wir </w:t>
      </w:r>
      <w:r>
        <w:rPr>
          <w:color w:val="808080"/>
        </w:rPr>
        <w:t>(und nicht wir)</w:t>
      </w:r>
      <w:r>
        <w:rPr/>
        <w:t xml:space="preserve"> </w:t>
      </w:r>
      <w:r>
        <w:rPr>
          <w:rStyle w:val="Funotenanker"/>
        </w:rPr>
        <w:footnoteReference w:customMarkFollows="1" w:id="2253"/>
        <w:t>i</w:t>
      </w:r>
      <w:r>
        <w:rPr/>
        <w:t xml:space="preserve"> </w:t>
      </w:r>
      <w:r>
        <w:rPr>
          <w:b/>
          <w:color w:val="808080"/>
        </w:rPr>
        <w:t>[</w:t>
      </w:r>
      <w:r>
        <w:rPr/>
        <w:t>wir sind</w:t>
      </w:r>
      <w:r>
        <w:rPr>
          <w:b/>
          <w:color w:val="808080"/>
        </w:rPr>
        <w:t>]</w:t>
      </w:r>
      <w:r>
        <w:rPr/>
        <w:t xml:space="preserve"> </w:t>
      </w:r>
      <w:r>
        <w:rPr>
          <w:rStyle w:val="Funotenanker"/>
        </w:rPr>
        <w:footnoteReference w:customMarkFollows="1" w:id="2254"/>
        <w:t>j</w:t>
      </w:r>
      <w:r>
        <w:rPr/>
        <w:t xml:space="preserve"> sein Volk und die Herde seiner Weide</w:t>
      </w:r>
      <w:r>
        <w:rPr>
          <w:rStyle w:val="Funotenanker"/>
        </w:rPr>
        <w:footnoteReference w:customMarkFollows="1" w:id="2255"/>
        <w:t>k</w:t>
      </w:r>
      <w:r>
        <w:rPr/>
        <w:t>.</w:t>
      </w:r>
      <w:r>
        <w:rPr>
          <w:rStyle w:val="Funotenanker"/>
        </w:rPr>
        <w:footnoteReference w:customMarkFollows="1" w:id="2256"/>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257"/>
        <w:t>m</w:t>
      </w:r>
      <w:r>
        <w:rPr/>
        <w:t xml:space="preserve"> mit Danklied </w:t>
      </w:r>
      <w:r>
        <w:rPr>
          <w:color w:val="808080"/>
        </w:rPr>
        <w:t>(Dankopfer, Loblied)</w:t>
      </w:r>
      <w:r>
        <w:rPr/>
        <w:t xml:space="preserve"> </w:t>
      </w:r>
      <w:r>
        <w:rPr>
          <w:rStyle w:val="Funotenanker"/>
        </w:rPr>
        <w:footnoteReference w:customMarkFollows="1" w:id="2258"/>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259"/>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260"/>
        <w:t>p</w:t>
      </w:r>
      <w:r>
        <w:rPr/>
        <w:t xml:space="preserve"> seinem Namen </w:t>
      </w:r>
      <w:r>
        <w:rPr>
          <w:color w:val="808080"/>
        </w:rPr>
        <w:t>(ihm)</w:t>
      </w:r>
      <w:r>
        <w:rPr/>
        <w:t xml:space="preserve"> </w:t>
      </w:r>
      <w:r>
        <w:rPr>
          <w:rStyle w:val="Funotenanker"/>
        </w:rPr>
        <w:footnoteReference w:customMarkFollows="1" w:id="2261"/>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262"/>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104]]Kapitel 104</w:t>
      </w:r>
    </w:p>
    <w:p>
      <w:pPr>
        <w:pStyle w:val="Textkrper"/>
        <w:rPr/>
      </w:pPr>
      <w:r>
        <w:rPr/>
        <w:t xml:space="preserve">Psalm 104 ist ein „Schöpfungshymnus“: Der Psalmist preist (V. 1) die Größe Gottes, indem er sehr umfänglich von dessen Schöpfertätigkeit und Hoheit über seine Schöpfung berichtet. Vv. 2b-6a: Gott hat den Kosmos geschaffen und die Elemente, die hier als lebendige Wesen erscheinen: Der Wind – die Luft – ist ein geflügeltes Wesen, das Botendienste für Gott unternimmt, das Feuer sein Diener, die Erde kann wanken, das Urmeer trägt Kleidung und kann gescholten werden. Vv. 6b-9: Gott hat die Erde geschaffen, indem er das Urmeer von über ihr verlagerte (vgl. Gen 1,9f.). Vv. 10-18: Mit diesem verlagerten Wasser tränkt Gott nun diese Erde und die Lebewesen, deren Lebensraum sie ist: Er tränkt die Berge (V. 13a) und mit dem Bergwasser wilde Tiere, Wildesel und die in den Felsen nistenden Vögel (Vv. 11f.); er tränkt die Erde (13b) und lässt so Gras für Vieh und Menschen sprossen (Vv. 14f.) und er tränkt die Bäume (V. 16), die Lebensraum für die Vögel sind (V. 17), wie die Berge Lebensraum für Steinbock und Klippdachs sind (V. 18). Vv. 19-23: Gott hat weiterhin Mond und Sonne geschaffen und mit ihnen Zeit und zeitlichen Rhythmus, in dem Raubtiere und Menschen auf der Erde weben und streben. Vv. 24-31: Schließlich hat Gott erstens das Meer geschaffen als Lebensraum für die Meereslebewesen, den seefahrenden Menschen und den Leviathan (Vv. 24-26); zweitens sättigt er sie (wie er sie in Vv. 10-18 gesittigt hat: Vv. 27-28) und ist insgesamt Herr über Leben und Tod seiner Geschöpfe. (Vv. 29-30). Vv. 32-35: Diese Rede von Gottes Hoheit auch über den Tod bringt den Psalmisten zum Schluss des Psalms: Weil Gott auch ein gewaltiger Gott ist (V. 32), will er Gott seinen Lobpreis darbringen, denn aus diesem Grund kann er sich auch sicher sein, dass auch Sünder und Frevler dereinst von Gott vernichtet werden: Gott hat die Erde nicht nur gut geschaffen, sondern wird auch weiterhin für ihre Gutheit Sorge tragen – Halleluja!Dies wird wohl auch von Beginn des Psalms an Anlass des Hymnus gewesen sein. Die ganze Welt ist ja von Tod durchwaltet: Die Vöglein haben ihren Habicht (V. 17), der Mensch seine Löwen (V. 21), die Fische und Seefahrer ihren Leviathan (V. 26). Und Herr über all dies Leben, Töten und Sterben ist Gott, der seinen Geschöpfen den Atem gibt und Atem nimmt (Vv. 29f.). Der Psalmist baut im Zuge des Psalms geradezu eine Dualität von Leben und Tod auf, um seine eigene Seite mit dem Leben, die seiner Feinde aber mit dem Tod zu verknüpfen: Der Gott des Lebens und des Todes soll Habicht, Löwe und Leviathan sein für Frevler und Sünder, nicht aber für den frommen Psalmisten: Er wird Gott singen „für seine Dauer“, der Frevler Leben aber soll „nicht von Dauer sein“. </w:t>
        <w:br/>
        <w:br/>
        <w:t>[[@BibleTOBIBLE:Ps 104:1]]</w:t>
      </w:r>
      <w:r>
        <w:rPr>
          <w:b/>
        </w:rPr>
        <w:t>1</w:t>
      </w:r>
      <w:r>
        <w:rPr/>
        <w:t xml:space="preserve"> {{field-on:bible}} </w:t>
      </w:r>
      <w:r>
        <w:rPr>
          <w:rStyle w:val="Funotenanker"/>
        </w:rPr>
        <w:footnoteReference w:customMarkFollows="1" w:id="2263"/>
        <w:t>Status</w:t>
      </w:r>
      <w:r>
        <w:rPr/>
        <w:t xml:space="preserve"> ''</w:t>
      </w:r>
      <w:r>
        <w:rPr>
          <w:color w:val="808080"/>
        </w:rPr>
        <w:t>(</w:t>
      </w:r>
      <w:r>
        <w:rPr>
          <w:b/>
          <w:color w:val="808080"/>
        </w:rPr>
        <w:t>[</w:t>
      </w:r>
      <w:r>
        <w:rPr>
          <w:color w:val="808080"/>
        </w:rPr>
        <w:t>Von (für, nach Art von) David</w:t>
      </w:r>
      <w:r>
        <w:rPr>
          <w:b/>
          <w:color w:val="808080"/>
        </w:rPr>
        <w:t>]</w:t>
      </w:r>
      <w:r>
        <w:rPr>
          <w:color w:val="808080"/>
        </w:rPr>
        <w:t>)</w:t>
      </w:r>
      <w:r>
        <w:rPr/>
        <w:t>''</w:t>
      </w:r>
      <w:r>
        <w:rPr>
          <w:rStyle w:val="Funotenanker"/>
        </w:rPr>
        <w:footnoteReference w:customMarkFollows="1" w:id="2264"/>
        <w:t>a</w:t>
      </w:r>
      <w:r>
        <w:rPr/>
        <w:t xml:space="preserve"> </w:t>
        <w:br/>
        <w:br/>
        <w:t xml:space="preserve">Preise, meine Seele, </w:t>
      </w:r>
      <w:r>
        <w:rPr>
          <w:smallCaps/>
          <w:color w:val="FF0000"/>
        </w:rPr>
        <w:t>JHWH</w:t>
      </w:r>
      <w:r>
        <w:rPr/>
        <w:t>!</w:t>
      </w:r>
      <w:r>
        <w:rPr>
          <w:rStyle w:val="Funotenanker"/>
        </w:rPr>
        <w:footnoteReference w:customMarkFollows="1" w:id="2265"/>
        <w:t>b</w:t>
      </w:r>
      <w:r>
        <w:rPr/>
        <w:t xml:space="preserve"> </w:t>
        <w:br/>
        <w:br/>
      </w:r>
      <w:r>
        <w:rPr>
          <w:smallCaps/>
          <w:color w:val="FF0000"/>
        </w:rPr>
        <w:t>JHWH</w:t>
      </w:r>
      <w:r>
        <w:rPr/>
        <w:t>, mein Gott,</w:t>
      </w:r>
      <w:r>
        <w:rPr>
          <w:rStyle w:val="Funotenanker"/>
        </w:rPr>
        <w:footnoteReference w:customMarkFollows="1" w:id="2266"/>
        <w:t>c</w:t>
      </w:r>
      <w:r>
        <w:rPr/>
        <w:t xml:space="preserve"> </w:t>
      </w:r>
      <w:r>
        <w:rPr>
          <w:b/>
          <w:color w:val="808080"/>
        </w:rPr>
        <w:t>[</w:t>
      </w:r>
      <w:r>
        <w:rPr/>
        <w:t>du bist</w:t>
      </w:r>
      <w:r>
        <w:rPr>
          <w:b/>
          <w:color w:val="808080"/>
        </w:rPr>
        <w:t>]</w:t>
      </w:r>
      <w:r>
        <w:rPr/>
        <w:t xml:space="preserve"> </w:t>
      </w:r>
      <w:r>
        <w:rPr>
          <w:color w:val="808080"/>
        </w:rPr>
        <w:t>(</w:t>
      </w:r>
      <w:r>
        <w:rPr>
          <w:b/>
          <w:color w:val="808080"/>
        </w:rPr>
        <w:t>[</w:t>
      </w:r>
      <w:r>
        <w:rPr>
          <w:color w:val="808080"/>
        </w:rPr>
        <w:t>ist</w:t>
      </w:r>
      <w:r>
        <w:rPr>
          <w:b/>
          <w:color w:val="808080"/>
        </w:rPr>
        <w:t>]</w:t>
      </w:r>
      <w:r>
        <w:rPr>
          <w:color w:val="808080"/>
        </w:rPr>
        <w:t>)</w:t>
      </w:r>
      <w:r>
        <w:rPr/>
        <w:t xml:space="preserve"> sehr groß!</w:t>
        <w:br/>
        <w:t xml:space="preserve">Du bist bekleidet </w:t>
      </w:r>
      <w:r>
        <w:rPr>
          <w:color w:val="808080"/>
        </w:rPr>
        <w:t>(hast dich bekleidet)</w:t>
      </w:r>
      <w:r>
        <w:rPr/>
        <w:t xml:space="preserve"> mit Majestät und Herrlichkeit </w:t>
      </w:r>
      <w:r>
        <w:rPr>
          <w:color w:val="808080"/>
        </w:rPr>
        <w:t>(majestätischer Herrlichkeit/Pracht)</w:t>
      </w:r>
      <w:r>
        <w:rPr/>
        <w:t>,</w:t>
      </w:r>
      <w:r>
        <w:rPr>
          <w:rStyle w:val="Funotenanker"/>
        </w:rPr>
        <w:footnoteReference w:customMarkFollows="1" w:id="2267"/>
        <w:t>d</w:t>
      </w:r>
      <w:r>
        <w:rPr/>
        <w:t xml:space="preserve"> </w:t>
        <w:br/>
        <w:t xml:space="preserve">{{field-off:bible}} </w:t>
        <w:br/>
        <w:t>[[@BibleTOBIBLE:Ps 104:2]]</w:t>
      </w:r>
      <w:r>
        <w:rPr>
          <w:b/>
        </w:rPr>
        <w:t>2</w:t>
      </w:r>
      <w:r>
        <w:rPr/>
        <w:t xml:space="preserve"> {{field-on:bible}} </w:t>
        <w:br/>
      </w:r>
      <w:r>
        <w:rPr>
          <w:b/>
          <w:color w:val="808080"/>
        </w:rPr>
        <w:t>[</w:t>
      </w:r>
      <w:r>
        <w:rPr/>
        <w:t>Bist</w:t>
      </w:r>
      <w:r>
        <w:rPr>
          <w:b/>
          <w:color w:val="808080"/>
        </w:rPr>
        <w:t>]</w:t>
      </w:r>
      <w:r>
        <w:rPr/>
        <w:t xml:space="preserve"> mit Licht wie mit einem Mantel umhüllt </w:t>
      </w:r>
      <w:r>
        <w:rPr>
          <w:color w:val="808080"/>
        </w:rPr>
        <w:t>(verhüllt, ein Eingehüllter)</w:t>
      </w:r>
      <w:r>
        <w:rPr/>
        <w:t>,</w:t>
      </w:r>
      <w:r>
        <w:rPr>
          <w:rStyle w:val="Funotenanker"/>
        </w:rPr>
        <w:footnoteReference w:customMarkFollows="1" w:id="2268"/>
        <w:t>e</w:t>
      </w:r>
      <w:r>
        <w:rPr/>
        <w:t xml:space="preserve"> </w:t>
      </w:r>
      <w:r>
        <w:rPr>
          <w:rStyle w:val="Funotenanker"/>
        </w:rPr>
        <w:footnoteReference w:customMarkFollows="1" w:id="2269"/>
        <w:t>f</w:t>
      </w:r>
      <w:r>
        <w:rPr/>
        <w:t xml:space="preserve"> </w:t>
      </w:r>
      <w:r>
        <w:rPr>
          <w:position w:val="8"/>
          <w:sz w:val="19"/>
        </w:rPr>
        <w:t>[[ ℘ &gt;&gt; BibleTOBIBLE:Job 36:30]][[ ℘ &gt;&gt; BibleTOBIBLE:Hab 3:4]][[ ℘ &gt;&gt; BibleTOBIBLE:Re 12:1]]</w:t>
      </w:r>
      <w:r>
        <w:rPr/>
        <w:t xml:space="preserve"> </w:t>
        <w:br/>
        <w:br/>
      </w:r>
      <w:r>
        <w:rPr>
          <w:b/>
          <w:color w:val="808080"/>
        </w:rPr>
        <w:t>[</w:t>
      </w:r>
      <w:r>
        <w:rPr/>
        <w:t>Oh, du</w:t>
      </w:r>
      <w:r>
        <w:rPr>
          <w:b/>
          <w:color w:val="808080"/>
        </w:rPr>
        <w:t>]</w:t>
      </w:r>
      <w:r>
        <w:rPr/>
        <w:t xml:space="preserve"> </w:t>
      </w:r>
      <w:r>
        <w:rPr>
          <w:rStyle w:val="Funotenanker"/>
        </w:rPr>
        <w:footnoteReference w:customMarkFollows="1" w:id="2270"/>
        <w:t>g</w:t>
      </w:r>
      <w:r>
        <w:rPr/>
        <w:t xml:space="preserve"> </w:t>
      </w:r>
      <w:r>
        <w:rPr>
          <w:b/>
          <w:color w:val="808080"/>
        </w:rPr>
        <w:t>[</w:t>
      </w:r>
      <w:r>
        <w:rPr/>
        <w:t>bists</w:t>
      </w:r>
      <w:r>
        <w:rPr>
          <w:b/>
          <w:color w:val="808080"/>
        </w:rPr>
        <w:t>]</w:t>
      </w:r>
      <w:r>
        <w:rPr/>
        <w:t>, der den Himmel wie eine Zeltdecke ausspannte</w:t>
      </w:r>
      <w:r>
        <w:rPr>
          <w:rStyle w:val="Funotenanker"/>
        </w:rPr>
        <w:footnoteReference w:customMarkFollows="1" w:id="2271"/>
        <w:t>h</w:t>
      </w:r>
      <w:r>
        <w:rPr/>
        <w:t xml:space="preserve"> </w:t>
      </w:r>
      <w:r>
        <w:rPr>
          <w:color w:val="808080"/>
        </w:rPr>
        <w:t>(bist ausspannend)</w:t>
      </w:r>
      <w:r>
        <w:rPr/>
        <w:t xml:space="preserve">, </w:t>
      </w:r>
      <w:r>
        <w:rPr>
          <w:position w:val="8"/>
          <w:sz w:val="19"/>
        </w:rPr>
        <w:t>[[ ℘ &gt;&gt; BibleTOBIBLE:Is 40:22]]</w:t>
      </w:r>
      <w:r>
        <w:rPr/>
        <w:t xml:space="preserve"> </w:t>
        <w:br/>
        <w:t xml:space="preserve">{{field-off:bible}} </w:t>
        <w:br/>
        <w:t>[[@BibleTOBIBLE:Ps 104:3]]</w:t>
      </w:r>
      <w:r>
        <w:rPr>
          <w:b/>
        </w:rPr>
        <w:t>3</w:t>
      </w:r>
      <w:r>
        <w:rPr/>
        <w:t xml:space="preserve"> {{field-on:bible}} </w:t>
        <w:br/>
      </w:r>
      <w:r>
        <w:rPr>
          <w:b/>
          <w:color w:val="808080"/>
        </w:rPr>
        <w:t>[</w:t>
      </w:r>
      <w:r>
        <w:rPr/>
        <w:t>Bist</w:t>
      </w:r>
      <w:r>
        <w:rPr>
          <w:b/>
          <w:color w:val="808080"/>
        </w:rPr>
        <w:t>]</w:t>
      </w:r>
      <w:r>
        <w:rPr/>
        <w:t xml:space="preserve"> der, der bälkte </w:t>
      </w:r>
      <w:r>
        <w:rPr>
          <w:color w:val="808080"/>
        </w:rPr>
        <w:t>(zimmerte)</w:t>
      </w:r>
      <w:r>
        <w:rPr/>
        <w:t xml:space="preserve"> im </w:t>
      </w:r>
      <w:r>
        <w:rPr>
          <w:color w:val="808080"/>
        </w:rPr>
        <w:t>(mit)</w:t>
      </w:r>
      <w:r>
        <w:rPr/>
        <w:t xml:space="preserve"> Wasser ein Obergemach</w:t>
      </w:r>
      <w:r>
        <w:rPr>
          <w:rStyle w:val="Funotenanker"/>
        </w:rPr>
        <w:footnoteReference w:customMarkFollows="1" w:id="2272"/>
        <w:t>i</w:t>
      </w:r>
      <w:r>
        <w:rPr/>
        <w:t xml:space="preserve"> </w:t>
      </w:r>
      <w:r>
        <w:rPr>
          <w:position w:val="8"/>
          <w:sz w:val="19"/>
        </w:rPr>
        <w:t>[[ ℘ &gt;&gt; BibleTOBIBLE:Am 9:6]]</w:t>
      </w:r>
      <w:r>
        <w:rPr/>
        <w:t xml:space="preserve"> </w:t>
      </w:r>
      <w:r>
        <w:rPr>
          <w:b/>
          <w:color w:val="808080"/>
        </w:rPr>
        <w:t>[</w:t>
      </w:r>
      <w:r>
        <w:rPr/>
        <w:t>Bist</w:t>
      </w:r>
      <w:r>
        <w:rPr>
          <w:b/>
          <w:color w:val="808080"/>
        </w:rPr>
        <w:t>]</w:t>
      </w:r>
      <w:r>
        <w:rPr/>
        <w:t xml:space="preserve"> der, der dort</w:t>
      </w:r>
      <w:r>
        <w:rPr>
          <w:rStyle w:val="Funotenanker"/>
        </w:rPr>
        <w:footnoteReference w:customMarkFollows="1" w:id="2273"/>
        <w:t>j</w:t>
      </w:r>
      <w:r>
        <w:rPr/>
        <w:t xml:space="preserve"> Wolken </w:t>
      </w:r>
      <w:r>
        <w:rPr>
          <w:b/>
          <w:color w:val="808080"/>
        </w:rPr>
        <w:t>[</w:t>
      </w:r>
      <w:r>
        <w:rPr/>
        <w:t>als</w:t>
      </w:r>
      <w:r>
        <w:rPr>
          <w:b/>
          <w:color w:val="808080"/>
        </w:rPr>
        <w:t>]</w:t>
      </w:r>
      <w:r>
        <w:rPr/>
        <w:t xml:space="preserve"> seinen Wagen </w:t>
      </w:r>
      <w:r>
        <w:rPr>
          <w:color w:val="808080"/>
        </w:rPr>
        <w:t>(sein Fahrzeug)</w:t>
      </w:r>
      <w:r>
        <w:rPr/>
        <w:t xml:space="preserve"> </w:t>
      </w:r>
      <w:r>
        <w:rPr>
          <w:b/>
          <w:color w:val="808080"/>
        </w:rPr>
        <w:t>[</w:t>
      </w:r>
      <w:r>
        <w:rPr/>
        <w:t>hat</w:t>
      </w:r>
      <w:r>
        <w:rPr>
          <w:b/>
          <w:color w:val="808080"/>
        </w:rPr>
        <w:t>]</w:t>
      </w:r>
      <w:r>
        <w:rPr/>
        <w:t>,</w:t>
      </w:r>
      <w:r>
        <w:rPr>
          <w:rStyle w:val="Funotenanker"/>
        </w:rPr>
        <w:footnoteReference w:customMarkFollows="1" w:id="2274"/>
        <w:t>k</w:t>
      </w:r>
      <w:r>
        <w:rPr/>
        <w:t xml:space="preserve"> </w:t>
      </w:r>
      <w:r>
        <w:rPr>
          <w:position w:val="8"/>
          <w:sz w:val="19"/>
        </w:rPr>
        <w:t>[[ ℘ &gt;&gt; BibleTOBIBLE:Dt 33:26]][[ ℘ &gt;&gt; BibleTOBIBLE:2Sa 22:12]][[ ℘ &gt;&gt; BibleTOBIBLE:Ps 18:12]][[ ℘ &gt;&gt; BibleTOBIBLE:Ps 68:5]][[ ℘ &gt;&gt; BibleTOBIBLE:Is 19:1]]</w:t>
      </w:r>
      <w:r>
        <w:rPr/>
        <w:t xml:space="preserve"> </w:t>
      </w:r>
      <w:r>
        <w:rPr>
          <w:b/>
          <w:color w:val="808080"/>
        </w:rPr>
        <w:t>[</w:t>
      </w:r>
      <w:r>
        <w:rPr/>
        <w:t>Bist</w:t>
      </w:r>
      <w:r>
        <w:rPr>
          <w:b/>
          <w:color w:val="808080"/>
        </w:rPr>
        <w:t>]</w:t>
      </w:r>
      <w:r>
        <w:rPr/>
        <w:t xml:space="preserve"> der, der sich fortbewegt </w:t>
      </w:r>
      <w:r>
        <w:rPr>
          <w:color w:val="808080"/>
        </w:rPr>
        <w:t xml:space="preserve">(bist </w:t>
      </w:r>
      <w:r>
        <w:rPr>
          <w:b/>
          <w:color w:val="808080"/>
        </w:rPr>
        <w:t>[</w:t>
      </w:r>
      <w:r>
        <w:rPr>
          <w:color w:val="808080"/>
        </w:rPr>
        <w:t>dich</w:t>
      </w:r>
      <w:r>
        <w:rPr>
          <w:b/>
          <w:color w:val="808080"/>
        </w:rPr>
        <w:t>]</w:t>
      </w:r>
      <w:r>
        <w:rPr>
          <w:color w:val="808080"/>
        </w:rPr>
        <w:t xml:space="preserve"> fortbewegend)</w:t>
      </w:r>
      <w:r>
        <w:rPr/>
        <w:t xml:space="preserve"> auf den Flügeln des Windes</w:t>
      </w:r>
      <w:r>
        <w:rPr>
          <w:rStyle w:val="Funotenanker"/>
        </w:rPr>
        <w:footnoteReference w:customMarkFollows="1" w:id="2275"/>
        <w:t>l</w:t>
      </w:r>
      <w:r>
        <w:rPr/>
        <w:t>,</w:t>
      </w:r>
      <w:r>
        <w:rPr>
          <w:rStyle w:val="Funotenanker"/>
        </w:rPr>
        <w:footnoteReference w:customMarkFollows="1" w:id="2276"/>
        <w:t>m</w:t>
      </w:r>
      <w:r>
        <w:rPr/>
        <w:t xml:space="preserve"> </w:t>
      </w:r>
      <w:r>
        <w:rPr>
          <w:position w:val="8"/>
          <w:sz w:val="19"/>
        </w:rPr>
        <w:t>[[ ℘ &gt;&gt; BibleTOBIBLE:2Sa 22:11]][[ ℘ &gt;&gt; BibleTOBIBLE:Ps 18:11]][[ ℘ &gt;&gt; BibleTOBIBLE:Eze 9:3]][[ ℘ &gt;&gt; BibleTOBIBLE:Eze 10:4]][[ ℘ &gt;&gt; BibleTOBIBLE:Eze 10:18]][[ ℘ &gt;&gt; BibleTOBIBLE:Eze 11:22]]</w:t>
      </w:r>
      <w:r>
        <w:rPr/>
        <w:t xml:space="preserve"> </w:t>
        <w:br/>
        <w:t xml:space="preserve">{{field-off:bible}} </w:t>
        <w:br/>
        <w:t>[[@BibleTOBIBLE:Ps 104:4]]</w:t>
      </w:r>
      <w:r>
        <w:rPr>
          <w:b/>
        </w:rPr>
        <w:t>4</w:t>
      </w:r>
      <w:r>
        <w:rPr/>
        <w:t xml:space="preserve"> {{field-on:bible}} </w:t>
        <w:br/>
      </w:r>
      <w:r>
        <w:rPr>
          <w:b/>
          <w:color w:val="808080"/>
        </w:rPr>
        <w:t>[</w:t>
      </w:r>
      <w:r>
        <w:rPr/>
        <w:t>Bists</w:t>
      </w:r>
      <w:r>
        <w:rPr>
          <w:b/>
          <w:color w:val="808080"/>
        </w:rPr>
        <w:t>]</w:t>
      </w:r>
      <w:r>
        <w:rPr/>
        <w:t xml:space="preserve">, der macht </w:t>
      </w:r>
      <w:r>
        <w:rPr>
          <w:color w:val="808080"/>
        </w:rPr>
        <w:t>(bist machend)</w:t>
      </w:r>
      <w:r>
        <w:rPr/>
        <w:t xml:space="preserve"> zu seinen Boten Winde</w:t>
      </w:r>
      <w:r>
        <w:rPr>
          <w:rStyle w:val="Funotenanker"/>
        </w:rPr>
        <w:footnoteReference w:customMarkFollows="1" w:id="2277"/>
        <w:t>n</w:t>
      </w:r>
      <w:r>
        <w:rPr/>
        <w:t xml:space="preserve"> </w:t>
      </w:r>
      <w:r>
        <w:rPr>
          <w:color w:val="808080"/>
        </w:rPr>
        <w:t>(seine Boten zu Winden)</w:t>
      </w:r>
      <w:r>
        <w:rPr/>
        <w:t>,</w:t>
      </w:r>
      <w:r>
        <w:rPr>
          <w:rStyle w:val="Funotenanker"/>
        </w:rPr>
        <w:footnoteReference w:customMarkFollows="1" w:id="2278"/>
        <w:t>o</w:t>
      </w:r>
      <w:r>
        <w:rPr/>
        <w:t xml:space="preserve">Zu seinen Dienern </w:t>
      </w:r>
      <w:r>
        <w:rPr>
          <w:color w:val="808080"/>
        </w:rPr>
        <w:t xml:space="preserve">(Seine Diener </w:t>
      </w:r>
      <w:r>
        <w:rPr>
          <w:b/>
          <w:color w:val="808080"/>
        </w:rPr>
        <w:t>[</w:t>
      </w:r>
      <w:r>
        <w:rPr>
          <w:color w:val="808080"/>
        </w:rPr>
        <w:t>sind</w:t>
      </w:r>
      <w:r>
        <w:rPr>
          <w:b/>
          <w:color w:val="808080"/>
        </w:rPr>
        <w:t>]</w:t>
      </w:r>
      <w:r>
        <w:rPr>
          <w:color w:val="808080"/>
        </w:rPr>
        <w:t>)</w:t>
      </w:r>
      <w:r>
        <w:rPr/>
        <w:t xml:space="preserve"> flammendes Feuer </w:t>
      </w:r>
      <w:r>
        <w:rPr>
          <w:color w:val="808080"/>
        </w:rPr>
        <w:t xml:space="preserve">(Flamme </w:t>
      </w:r>
      <w:r>
        <w:rPr>
          <w:b/>
          <w:color w:val="808080"/>
        </w:rPr>
        <w:t>[</w:t>
      </w:r>
      <w:r>
        <w:rPr>
          <w:color w:val="808080"/>
        </w:rPr>
        <w:t>und</w:t>
      </w:r>
      <w:r>
        <w:rPr>
          <w:b/>
          <w:color w:val="808080"/>
        </w:rPr>
        <w:t>]</w:t>
      </w:r>
      <w:r>
        <w:rPr>
          <w:color w:val="808080"/>
        </w:rPr>
        <w:t xml:space="preserve"> Feuer)</w:t>
      </w:r>
      <w:r>
        <w:rPr/>
        <w:t>,</w:t>
      </w:r>
      <w:r>
        <w:rPr>
          <w:rStyle w:val="Funotenanker"/>
        </w:rPr>
        <w:footnoteReference w:customMarkFollows="1" w:id="2279"/>
        <w:t>p</w:t>
      </w:r>
      <w:r>
        <w:rPr/>
        <w:t xml:space="preserve"> </w:t>
      </w:r>
      <w:r>
        <w:rPr>
          <w:position w:val="8"/>
          <w:sz w:val="19"/>
        </w:rPr>
        <w:t>[[ ℘ &gt;&gt; BibleTOBIBLE:Eze 1:13]][[ ℘ &gt;&gt; BibleTOBIBLE:Joe 2:3]][[ ℘ &gt;&gt; BibleTOBIBLE:Heb 1:7]][[ ℘ &gt;&gt; BibleTOBIBLE:Re 4:5]]</w:t>
      </w:r>
      <w:r>
        <w:rPr/>
        <w:t xml:space="preserve"> </w:t>
        <w:br/>
        <w:t xml:space="preserve">{{field-off:bible}} </w:t>
        <w:br/>
        <w:t>[[@BibleTOBIBLE:Ps 104:5]]</w:t>
      </w:r>
      <w:r>
        <w:rPr>
          <w:b/>
        </w:rPr>
        <w:t>5</w:t>
      </w:r>
      <w:r>
        <w:rPr/>
        <w:t xml:space="preserve"> {{field-on:bible}} </w:t>
        <w:br/>
      </w:r>
      <w:r>
        <w:rPr>
          <w:b/>
          <w:color w:val="808080"/>
        </w:rPr>
        <w:t>[</w:t>
      </w:r>
      <w:r>
        <w:rPr/>
        <w:t>Bists,</w:t>
      </w:r>
      <w:r>
        <w:rPr>
          <w:b/>
          <w:color w:val="808080"/>
        </w:rPr>
        <w:t>]</w:t>
      </w:r>
      <w:r>
        <w:rPr/>
        <w:t xml:space="preserve"> der gründete </w:t>
      </w:r>
      <w:r>
        <w:rPr>
          <w:color w:val="808080"/>
        </w:rPr>
        <w:t>(bist gründend, er gründete)</w:t>
      </w:r>
      <w:r>
        <w:rPr/>
        <w:t xml:space="preserve"> </w:t>
      </w:r>
      <w:r>
        <w:rPr>
          <w:rStyle w:val="Funotenanker"/>
        </w:rPr>
        <w:footnoteReference w:customMarkFollows="1" w:id="2280"/>
        <w:t>q</w:t>
      </w:r>
      <w:r>
        <w:rPr/>
        <w:t xml:space="preserve"> die Erde auf ihre Fundamente,</w:t>
      </w:r>
      <w:r>
        <w:rPr>
          <w:rStyle w:val="Funotenanker"/>
        </w:rPr>
        <w:footnoteReference w:customMarkFollows="1" w:id="2281"/>
        <w:t>r</w:t>
      </w:r>
      <w:r>
        <w:rPr/>
        <w:t xml:space="preserve"> </w:t>
      </w:r>
      <w:r>
        <w:rPr>
          <w:position w:val="8"/>
          <w:sz w:val="19"/>
        </w:rPr>
        <w:t>[[ ℘ &gt;&gt; BibleTOBIBLE:Is 48:13]][[ ℘ &gt;&gt; BibleTOBIBLE:Is 51:13]][[ ℘ &gt;&gt; BibleTOBIBLE:Am 9:6]][[ ℘ &gt;&gt; BibleTOBIBLE:Zec 12:1]][[ ℘ &gt;&gt; BibleTOBIBLE:Job 38:4]][[ ℘ &gt;&gt; BibleTOBIBLE:Ps 102:25]]</w:t>
      </w:r>
      <w:r>
        <w:rPr/>
        <w:t xml:space="preserve">Damit sie nicht wanken wird auf immer und ewig. </w:t>
      </w:r>
      <w:r>
        <w:rPr>
          <w:position w:val="8"/>
          <w:sz w:val="19"/>
        </w:rPr>
        <w:t>[[ ℘ &gt;&gt; BibleTOBIBLE:1Ch 16:30]]</w:t>
      </w:r>
      <w:r>
        <w:rPr/>
        <w:t xml:space="preserve"> </w:t>
        <w:br/>
        <w:t xml:space="preserve">{{field-off:bible}} </w:t>
        <w:br/>
        <w:t>[[@BibleTOBIBLE:Ps 104:6]]</w:t>
      </w:r>
      <w:r>
        <w:rPr>
          <w:b/>
        </w:rPr>
        <w:t>6</w:t>
      </w:r>
      <w:r>
        <w:rPr/>
        <w:t xml:space="preserve"> {{field-on:bible}} </w:t>
        <w:br/>
        <w:t>Das Urmeer bedecktest du wie mit einem</w:t>
      </w:r>
      <w:r>
        <w:rPr>
          <w:rStyle w:val="Funotenanker"/>
        </w:rPr>
        <w:footnoteReference w:customMarkFollows="1" w:id="2282"/>
        <w:t>s</w:t>
      </w:r>
      <w:r>
        <w:rPr/>
        <w:t xml:space="preserve"> Gewand</w:t>
      </w:r>
      <w:r>
        <w:rPr>
          <w:rStyle w:val="Funotenanker"/>
        </w:rPr>
        <w:footnoteReference w:customMarkFollows="1" w:id="2283"/>
        <w:t>t</w:t>
      </w:r>
      <w:r>
        <w:rPr/>
        <w:t>.</w:t>
      </w:r>
      <w:r>
        <w:rPr>
          <w:rStyle w:val="Funotenanker"/>
        </w:rPr>
        <w:footnoteReference w:customMarkFollows="1" w:id="2284"/>
        <w:t>u</w:t>
      </w:r>
      <w:r>
        <w:rPr/>
        <w:t xml:space="preserve"> </w:t>
      </w:r>
      <w:r>
        <w:rPr>
          <w:position w:val="8"/>
          <w:sz w:val="19"/>
        </w:rPr>
        <w:t>[[ ℘ &gt;&gt; BibleTOBIBLE:Ps 38:9]]</w:t>
      </w:r>
      <w:r>
        <w:rPr/>
        <w:t xml:space="preserve"> </w:t>
        <w:br/>
        <w:br/>
        <w:t xml:space="preserve">Auf </w:t>
      </w:r>
      <w:r>
        <w:rPr>
          <w:color w:val="808080"/>
        </w:rPr>
        <w:t>(über)</w:t>
      </w:r>
      <w:r>
        <w:rPr/>
        <w:t xml:space="preserve"> den Bergen sollten Wasser stehen </w:t>
      </w:r>
      <w:r>
        <w:rPr>
          <w:color w:val="808080"/>
        </w:rPr>
        <w:t>(sich stellen)</w:t>
      </w:r>
      <w:r>
        <w:rPr/>
        <w:t>:</w:t>
        <w:br/>
        <w:t xml:space="preserve">{{field-off:bible}} </w:t>
        <w:br/>
        <w:t>[[@BibleTOBIBLE:Ps 104:7]]</w:t>
      </w:r>
      <w:r>
        <w:rPr>
          <w:b/>
        </w:rPr>
        <w:t>7</w:t>
      </w:r>
      <w:r>
        <w:rPr/>
        <w:t xml:space="preserve"> {{field-on:bible}} </w:t>
        <w:br/>
        <w:t xml:space="preserve">Vor deinem Schelten mussten </w:t>
      </w:r>
      <w:r>
        <w:rPr>
          <w:color w:val="808080"/>
        </w:rPr>
        <w:t>(sollten)</w:t>
      </w:r>
      <w:r>
        <w:rPr/>
        <w:t xml:space="preserve"> sie fliehen,Vor dem Klang deines Donnerns </w:t>
      </w:r>
      <w:r>
        <w:rPr>
          <w:color w:val="808080"/>
        </w:rPr>
        <w:t>(deiner donnernden Stimme)</w:t>
      </w:r>
      <w:r>
        <w:rPr/>
        <w:t xml:space="preserve"> mussten </w:t>
      </w:r>
      <w:r>
        <w:rPr>
          <w:color w:val="808080"/>
        </w:rPr>
        <w:t>(sollten)</w:t>
      </w:r>
      <w:r>
        <w:rPr/>
        <w:t xml:space="preserve"> sie fortlaufen, </w:t>
      </w:r>
      <w:r>
        <w:rPr>
          <w:position w:val="8"/>
          <w:sz w:val="19"/>
        </w:rPr>
        <w:t>[[ ℘ &gt;&gt; BibleTOBIBLE:Ps 18:6]][[ ℘ &gt;&gt; BibleTOBIBLE:Ps 114:3]][[ ℘ &gt;&gt; BibleTOBIBLE:Is 50:2]][[ ℘ &gt;&gt; BibleTOBIBLE:Na 1:4]][[ ℘ &gt;&gt; BibleTOBIBLE:Mk 4:39]]</w:t>
      </w:r>
      <w:r>
        <w:rPr/>
        <w:t xml:space="preserve"> </w:t>
        <w:br/>
        <w:t xml:space="preserve">{{field-off:bible}} </w:t>
        <w:br/>
        <w:t>[[@BibleTOBIBLE:Ps 104:8]]</w:t>
      </w:r>
      <w:r>
        <w:rPr>
          <w:b/>
        </w:rPr>
        <w:t>8</w:t>
      </w:r>
      <w:r>
        <w:rPr/>
        <w:t xml:space="preserve"> {{field-on:bible}} </w:t>
        <w:br/>
        <w:t xml:space="preserve">Mussten </w:t>
      </w:r>
      <w:r>
        <w:rPr>
          <w:color w:val="808080"/>
        </w:rPr>
        <w:t>(sollten)</w:t>
      </w:r>
      <w:r>
        <w:rPr/>
        <w:t xml:space="preserve"> hinaufziehen </w:t>
      </w:r>
      <w:r>
        <w:rPr>
          <w:b/>
          <w:color w:val="808080"/>
        </w:rPr>
        <w:t>[</w:t>
      </w:r>
      <w:r>
        <w:rPr/>
        <w:t>auf</w:t>
      </w:r>
      <w:r>
        <w:rPr>
          <w:b/>
          <w:color w:val="808080"/>
        </w:rPr>
        <w:t>]</w:t>
      </w:r>
      <w:r>
        <w:rPr/>
        <w:t xml:space="preserve"> Berge,Mussten </w:t>
      </w:r>
      <w:r>
        <w:rPr>
          <w:color w:val="808080"/>
        </w:rPr>
        <w:t>(sollten)</w:t>
      </w:r>
      <w:r>
        <w:rPr/>
        <w:t xml:space="preserve"> hinabsteigen </w:t>
      </w:r>
      <w:r>
        <w:rPr>
          <w:b/>
          <w:color w:val="808080"/>
        </w:rPr>
        <w:t>[</w:t>
      </w:r>
      <w:r>
        <w:rPr/>
        <w:t>in</w:t>
      </w:r>
      <w:r>
        <w:rPr>
          <w:b/>
          <w:color w:val="808080"/>
        </w:rPr>
        <w:t>]</w:t>
      </w:r>
      <w:r>
        <w:rPr/>
        <w:t xml:space="preserve"> Täler</w:t>
      </w:r>
      <w:r>
        <w:rPr>
          <w:rStyle w:val="Funotenanker"/>
        </w:rPr>
        <w:footnoteReference w:customMarkFollows="1" w:id="2285"/>
        <w:t>v</w:t>
      </w:r>
      <w:r>
        <w:rPr/>
        <w:t xml:space="preserve">Zum Ort, den du ihnen gegründet hast. </w:t>
      </w:r>
      <w:r>
        <w:rPr>
          <w:position w:val="8"/>
          <w:sz w:val="19"/>
        </w:rPr>
        <w:t>[[ ℘ &gt;&gt; BibleTOBIBLE:Ge 1:9]]</w:t>
      </w:r>
      <w:r>
        <w:rPr/>
        <w:t xml:space="preserve"> </w:t>
        <w:br/>
        <w:t xml:space="preserve">{{field-off:bible}} </w:t>
        <w:br/>
        <w:t>[[@BibleTOBIBLE:Ps 104:9]]</w:t>
      </w:r>
      <w:r>
        <w:rPr>
          <w:b/>
        </w:rPr>
        <w:t>9</w:t>
      </w:r>
      <w:r>
        <w:rPr/>
        <w:t xml:space="preserve"> {{field-on:bible}} </w:t>
        <w:br/>
      </w:r>
      <w:r>
        <w:rPr>
          <w:b/>
          <w:color w:val="808080"/>
        </w:rPr>
        <w:t>[</w:t>
      </w:r>
      <w:r>
        <w:rPr/>
        <w:t>Die</w:t>
      </w:r>
      <w:r>
        <w:rPr>
          <w:b/>
          <w:color w:val="808080"/>
        </w:rPr>
        <w:t>]</w:t>
      </w:r>
      <w:r>
        <w:rPr/>
        <w:t xml:space="preserve"> Grenze, </w:t>
      </w:r>
      <w:r>
        <w:rPr>
          <w:b/>
          <w:color w:val="808080"/>
        </w:rPr>
        <w:t>[</w:t>
      </w:r>
      <w:r>
        <w:rPr/>
        <w:t>die</w:t>
      </w:r>
      <w:r>
        <w:rPr>
          <w:b/>
          <w:color w:val="808080"/>
        </w:rPr>
        <w:t>]</w:t>
      </w:r>
      <w:r>
        <w:rPr/>
        <w:t xml:space="preserve"> du gesetzt hast, dürfen sie nicht übertreten, Dürfen nicht zurückkehren, um die Erde zu bedecken </w:t>
      </w:r>
      <w:r>
        <w:rPr>
          <w:color w:val="808080"/>
        </w:rPr>
        <w:t>(dürfen die Erde nicht wieder bedecken)</w:t>
      </w:r>
      <w:r>
        <w:rPr/>
        <w:t xml:space="preserve">. </w:t>
      </w:r>
      <w:r>
        <w:rPr>
          <w:position w:val="8"/>
          <w:sz w:val="19"/>
        </w:rPr>
        <w:t>[[ ℘ &gt;&gt; BibleTOBIBLE:Job 38:8]][[ ℘ &gt;&gt; BibleTOBIBLE:Pr 8:29]][[ ℘ &gt;&gt; BibleTOBIBLE:Je 5:22]]</w:t>
      </w:r>
      <w:r>
        <w:rPr/>
        <w:t xml:space="preserve"> </w:t>
        <w:br/>
        <w:br/>
        <w:t xml:space="preserve">{{field-off:bible}} </w:t>
        <w:br/>
        <w:t>[[@BibleTOBIBLE:Ps 104:10]]</w:t>
      </w:r>
      <w:r>
        <w:rPr>
          <w:b/>
        </w:rPr>
        <w:t>10</w:t>
      </w:r>
      <w:r>
        <w:rPr/>
        <w:t xml:space="preserve"> {{field-on:bible}} </w:t>
        <w:br/>
      </w:r>
      <w:r>
        <w:rPr>
          <w:b/>
          <w:color w:val="808080"/>
        </w:rPr>
        <w:t>[</w:t>
      </w:r>
      <w:r>
        <w:rPr/>
        <w:t>Oh, du</w:t>
      </w:r>
      <w:r>
        <w:rPr>
          <w:b/>
          <w:color w:val="808080"/>
        </w:rPr>
        <w:t>]</w:t>
      </w:r>
      <w:r>
        <w:rPr/>
        <w:t xml:space="preserve"> </w:t>
      </w:r>
      <w:r>
        <w:rPr>
          <w:b/>
          <w:color w:val="808080"/>
        </w:rPr>
        <w:t>[</w:t>
      </w:r>
      <w:r>
        <w:rPr/>
        <w:t>bist</w:t>
      </w:r>
      <w:r>
        <w:rPr>
          <w:b/>
          <w:color w:val="808080"/>
        </w:rPr>
        <w:t>]</w:t>
      </w:r>
      <w:r>
        <w:rPr/>
        <w:t xml:space="preserve"> der, der entsendet Quellen in Wadis – </w:t>
      </w:r>
      <w:r>
        <w:rPr>
          <w:position w:val="8"/>
          <w:sz w:val="19"/>
        </w:rPr>
        <w:t>[[ ℘ &gt;&gt; BibleTOBIBLE:Ps 78:15]][[ ℘ &gt;&gt; BibleTOBIBLE:Is 30:25]][[ ℘ &gt;&gt; BibleTOBIBLE:Is 41:18]][[ ℘ &gt;&gt; BibleTOBIBLE:Is 48:21]]</w:t>
      </w:r>
      <w:r>
        <w:rPr/>
        <w:t>Sie</w:t>
      </w:r>
      <w:r>
        <w:rPr>
          <w:rStyle w:val="Funotenanker"/>
        </w:rPr>
        <w:footnoteReference w:customMarkFollows="1" w:id="2286"/>
        <w:t>w</w:t>
      </w:r>
      <w:r>
        <w:rPr/>
        <w:t xml:space="preserve"> sollen </w:t>
      </w:r>
      <w:r>
        <w:rPr>
          <w:color w:val="808080"/>
        </w:rPr>
        <w:t>(müssen)</w:t>
      </w:r>
      <w:r>
        <w:rPr/>
        <w:t xml:space="preserve"> zwischen </w:t>
      </w:r>
      <w:r>
        <w:rPr>
          <w:b/>
          <w:color w:val="808080"/>
        </w:rPr>
        <w:t>[</w:t>
      </w:r>
      <w:r>
        <w:rPr/>
        <w:t>den</w:t>
      </w:r>
      <w:r>
        <w:rPr>
          <w:b/>
          <w:color w:val="808080"/>
        </w:rPr>
        <w:t>]</w:t>
      </w:r>
      <w:r>
        <w:rPr/>
        <w:t xml:space="preserve"> </w:t>
      </w:r>
      <w:r>
        <w:rPr>
          <w:rStyle w:val="Funotenanker"/>
        </w:rPr>
        <w:footnoteReference w:customMarkFollows="1" w:id="2287"/>
        <w:t>x</w:t>
      </w:r>
      <w:r>
        <w:rPr/>
        <w:t xml:space="preserve"> Bergen fließen </w:t>
      </w:r>
      <w:r>
        <w:rPr>
          <w:color w:val="808080"/>
        </w:rPr>
        <w:t>(gehen)</w:t>
      </w:r>
      <w:r>
        <w:rPr/>
        <w:t xml:space="preserve">, </w:t>
      </w:r>
      <w:r>
        <w:rPr>
          <w:position w:val="8"/>
          <w:sz w:val="19"/>
        </w:rPr>
        <w:t>[[ ℘ &gt;&gt; BibleTOBIBLE:Is 48:21]]</w:t>
      </w:r>
      <w:r>
        <w:rPr/>
        <w:t xml:space="preserve"> </w:t>
        <w:br/>
        <w:t xml:space="preserve">{{field-off:bible}} </w:t>
        <w:br/>
        <w:t>[[@BibleTOBIBLE:Ps 104:11]]</w:t>
      </w:r>
      <w:r>
        <w:rPr>
          <w:b/>
        </w:rPr>
        <w:t>11</w:t>
      </w:r>
      <w:r>
        <w:rPr/>
        <w:t xml:space="preserve"> {{field-on:bible}} </w:t>
        <w:br/>
        <w:t xml:space="preserve">Sollen </w:t>
      </w:r>
      <w:r>
        <w:rPr>
          <w:color w:val="808080"/>
        </w:rPr>
        <w:t>(müssen)</w:t>
      </w:r>
      <w:r>
        <w:rPr/>
        <w:t xml:space="preserve"> alle wilden Tiere </w:t>
      </w:r>
      <w:r>
        <w:rPr>
          <w:color w:val="808080"/>
        </w:rPr>
        <w:t>(alle Tiere dessen vom Berge)</w:t>
      </w:r>
      <w:r>
        <w:rPr/>
        <w:t xml:space="preserve"> </w:t>
      </w:r>
      <w:r>
        <w:rPr>
          <w:rStyle w:val="Funotenanker"/>
        </w:rPr>
        <w:footnoteReference w:customMarkFollows="1" w:id="2288"/>
        <w:t>y</w:t>
      </w:r>
      <w:r>
        <w:rPr/>
        <w:t xml:space="preserve"> tränken,Es sollen</w:t>
      </w:r>
      <w:r>
        <w:rPr>
          <w:rStyle w:val="Funotenanker"/>
        </w:rPr>
        <w:footnoteReference w:customMarkFollows="1" w:id="2289"/>
        <w:t>z</w:t>
      </w:r>
      <w:r>
        <w:rPr/>
        <w:t xml:space="preserve"> </w:t>
      </w:r>
      <w:r>
        <w:rPr>
          <w:b/>
          <w:color w:val="808080"/>
        </w:rPr>
        <w:t>[</w:t>
      </w:r>
      <w:r>
        <w:rPr/>
        <w:t>selbst</w:t>
      </w:r>
      <w:r>
        <w:rPr>
          <w:b/>
          <w:color w:val="808080"/>
        </w:rPr>
        <w:t>]</w:t>
      </w:r>
      <w:r>
        <w:rPr/>
        <w:t xml:space="preserve"> </w:t>
      </w:r>
      <w:r>
        <w:rPr>
          <w:rStyle w:val="Funotenanker"/>
        </w:rPr>
        <w:footnoteReference w:customMarkFollows="1" w:id="2290"/>
        <w:t>aa</w:t>
      </w:r>
      <w:r>
        <w:rPr/>
        <w:t xml:space="preserve"> die Wildesel ihren Durst brechen</w:t>
      </w:r>
      <w:r>
        <w:rPr>
          <w:rStyle w:val="Funotenanker"/>
        </w:rPr>
        <w:footnoteReference w:customMarkFollows="1" w:id="2291"/>
        <w:t>ab</w:t>
      </w:r>
      <w:r>
        <w:rPr/>
        <w:t xml:space="preserve"> können </w:t>
      </w:r>
      <w:r>
        <w:rPr>
          <w:color w:val="808080"/>
        </w:rPr>
        <w:t>(sollen/müssen stillen)</w:t>
      </w:r>
      <w:r>
        <w:rPr/>
        <w:t xml:space="preserve">. </w:t>
      </w:r>
      <w:r>
        <w:rPr>
          <w:position w:val="8"/>
          <w:sz w:val="19"/>
        </w:rPr>
        <w:t>[[ ℘ &gt;&gt; BibleTOBIBLE:Ps 145:16]][[ ℘ &gt;&gt; BibleTOBIBLE:Is 43:20]]</w:t>
      </w:r>
      <w:r>
        <w:rPr/>
        <w:t xml:space="preserve"> </w:t>
        <w:br/>
        <w:t xml:space="preserve">{{field-off:bible}} </w:t>
        <w:br/>
        <w:t>[[@BibleTOBIBLE:Ps 104:12]]</w:t>
      </w:r>
      <w:r>
        <w:rPr>
          <w:b/>
        </w:rPr>
        <w:t>12</w:t>
      </w:r>
      <w:r>
        <w:rPr/>
        <w:t xml:space="preserve"> {{field-on:bible}} </w:t>
        <w:br/>
        <w:t xml:space="preserve">Über ihnen wohnt das Gevögel des Himmels,Von zwischen den Felsen </w:t>
      </w:r>
      <w:r>
        <w:rPr>
          <w:color w:val="808080"/>
        </w:rPr>
        <w:t>(Zweigen)</w:t>
      </w:r>
      <w:r>
        <w:rPr/>
        <w:t xml:space="preserve"> </w:t>
      </w:r>
      <w:r>
        <w:rPr>
          <w:rStyle w:val="Funotenanker"/>
        </w:rPr>
        <w:footnoteReference w:customMarkFollows="1" w:id="2292"/>
        <w:t>ac</w:t>
      </w:r>
      <w:r>
        <w:rPr/>
        <w:t xml:space="preserve"> geben sie</w:t>
      </w:r>
      <w:r>
        <w:rPr>
          <w:rStyle w:val="Funotenanker"/>
        </w:rPr>
        <w:footnoteReference w:customMarkFollows="1" w:id="2293"/>
        <w:t>ad</w:t>
      </w:r>
      <w:r>
        <w:rPr/>
        <w:t xml:space="preserve"> </w:t>
      </w:r>
      <w:r>
        <w:rPr>
          <w:b/>
          <w:color w:val="808080"/>
        </w:rPr>
        <w:t>[</w:t>
      </w:r>
      <w:r>
        <w:rPr/>
        <w:t>ihre</w:t>
      </w:r>
      <w:r>
        <w:rPr>
          <w:b/>
          <w:color w:val="808080"/>
        </w:rPr>
        <w:t>]</w:t>
      </w:r>
      <w:r>
        <w:rPr/>
        <w:t xml:space="preserve"> </w:t>
      </w:r>
      <w:r>
        <w:rPr>
          <w:rStyle w:val="Funotenanker"/>
        </w:rPr>
        <w:footnoteReference w:customMarkFollows="1" w:id="2294"/>
        <w:t>ae</w:t>
      </w:r>
      <w:r>
        <w:rPr/>
        <w:t xml:space="preserve"> Stimme –, </w:t>
      </w:r>
      <w:r>
        <w:rPr>
          <w:position w:val="8"/>
          <w:sz w:val="19"/>
        </w:rPr>
        <w:t>[[ ℘ &gt;&gt; BibleTOBIBLE:Ps 50:11]]</w:t>
      </w:r>
      <w:r>
        <w:rPr/>
        <w:t xml:space="preserve"> </w:t>
        <w:br/>
        <w:t xml:space="preserve">{{field-off:bible}} </w:t>
        <w:br/>
        <w:t>[[@BibleTOBIBLE:Ps 104:13]]</w:t>
      </w:r>
      <w:r>
        <w:rPr>
          <w:b/>
        </w:rPr>
        <w:t>13</w:t>
      </w:r>
      <w:r>
        <w:rPr/>
        <w:t xml:space="preserve"> {{field-on:bible}} </w:t>
        <w:br/>
      </w:r>
      <w:r>
        <w:rPr>
          <w:b/>
          <w:color w:val="808080"/>
        </w:rPr>
        <w:t>[</w:t>
      </w:r>
      <w:r>
        <w:rPr/>
        <w:t>Bists,</w:t>
      </w:r>
      <w:r>
        <w:rPr>
          <w:b/>
          <w:color w:val="808080"/>
        </w:rPr>
        <w:t>]</w:t>
      </w:r>
      <w:r>
        <w:rPr/>
        <w:t xml:space="preserve"> der tränkt die Berge von seinen Obergemächern: </w:t>
      </w:r>
      <w:r>
        <w:rPr>
          <w:position w:val="8"/>
          <w:sz w:val="19"/>
        </w:rPr>
        <w:t>[[ ℘ &gt;&gt; BibleTOBIBLE:Job 5:10]][[ ℘ &gt;&gt; BibleTOBIBLE:Je 14:22]][[ ℘ &gt;&gt; BibleTOBIBLE:Mt 5:45]]</w:t>
      </w:r>
      <w:r>
        <w:rPr/>
        <w:t xml:space="preserve">Von der Frucht deiner Werke </w:t>
      </w:r>
      <w:r>
        <w:rPr>
          <w:color w:val="808080"/>
        </w:rPr>
        <w:t>(deines Arbeitens)</w:t>
      </w:r>
      <w:r>
        <w:rPr/>
        <w:t xml:space="preserve"> </w:t>
      </w:r>
      <w:r>
        <w:rPr>
          <w:rStyle w:val="Funotenanker"/>
        </w:rPr>
        <w:footnoteReference w:customMarkFollows="1" w:id="2295"/>
        <w:t>af</w:t>
      </w:r>
      <w:r>
        <w:rPr/>
        <w:t xml:space="preserve"> soll die Erde sitt </w:t>
      </w:r>
      <w:r>
        <w:rPr>
          <w:color w:val="808080"/>
        </w:rPr>
        <w:t>(satt)</w:t>
      </w:r>
      <w:r>
        <w:rPr/>
        <w:t xml:space="preserve"> werden. </w:t>
      </w:r>
      <w:r>
        <w:rPr>
          <w:position w:val="8"/>
          <w:sz w:val="19"/>
        </w:rPr>
        <w:t>[[ ℘ &gt;&gt; BibleTOBIBLE:Dt 11:14]][[ ℘ &gt;&gt; BibleTOBIBLE:Job 38:27]][[ ℘ &gt;&gt; BibleTOBIBLE:Ps 147:8]][[ ℘ &gt;&gt; BibleTOBIBLE:Ac 14:17]]</w:t>
      </w:r>
      <w:r>
        <w:rPr/>
        <w:t xml:space="preserve"> </w:t>
        <w:br/>
        <w:t xml:space="preserve">{{field-off:bible}} </w:t>
        <w:br/>
        <w:t>[[@BibleTOBIBLE:Ps 104:14]]</w:t>
      </w:r>
      <w:r>
        <w:rPr>
          <w:b/>
        </w:rPr>
        <w:t>14</w:t>
      </w:r>
      <w:r>
        <w:rPr/>
        <w:t xml:space="preserve"> {{field-on:bible}} </w:t>
        <w:br/>
      </w:r>
      <w:r>
        <w:rPr>
          <w:b/>
          <w:color w:val="808080"/>
        </w:rPr>
        <w:t>[</w:t>
      </w:r>
      <w:r>
        <w:rPr/>
        <w:t>Bists,</w:t>
      </w:r>
      <w:r>
        <w:rPr>
          <w:b/>
          <w:color w:val="808080"/>
        </w:rPr>
        <w:t>]</w:t>
      </w:r>
      <w:r>
        <w:rPr/>
        <w:t xml:space="preserve"> der sprossen lässt das Gras für ViehUnd Pflanzen zum Nutzen </w:t>
      </w:r>
      <w:r>
        <w:rPr>
          <w:color w:val="808080"/>
        </w:rPr>
        <w:t>(für den Ackerbau)</w:t>
      </w:r>
      <w:r>
        <w:rPr/>
        <w:t xml:space="preserve"> der Menschen: </w:t>
      </w:r>
      <w:r>
        <w:rPr>
          <w:position w:val="8"/>
          <w:sz w:val="19"/>
        </w:rPr>
        <w:t>[[ ℘ &gt;&gt; BibleTOBIBLE:Ps 136:25]][[ ℘ &gt;&gt; BibleTOBIBLE:Ps 145:15]][[ ℘ &gt;&gt; BibleTOBIBLE:Ps 147:9]]</w:t>
      </w:r>
      <w:r>
        <w:rPr/>
        <w:t xml:space="preserve">Damit </w:t>
      </w:r>
      <w:r>
        <w:rPr>
          <w:b/>
          <w:color w:val="808080"/>
        </w:rPr>
        <w:t>[</w:t>
      </w:r>
      <w:r>
        <w:rPr/>
        <w:t>dieser</w:t>
      </w:r>
      <w:r>
        <w:rPr>
          <w:b/>
          <w:color w:val="808080"/>
        </w:rPr>
        <w:t>]</w:t>
      </w:r>
      <w:r>
        <w:rPr/>
        <w:t xml:space="preserve"> Brot aus der Erde hervorbringe </w:t>
      </w:r>
      <w:r>
        <w:rPr>
          <w:color w:val="808080"/>
        </w:rPr>
        <w:t>(um hervorzubringen...)</w:t>
      </w:r>
      <w:r>
        <w:rPr/>
        <w:t xml:space="preserve">, </w:t>
      </w:r>
      <w:r>
        <w:rPr>
          <w:position w:val="8"/>
          <w:sz w:val="19"/>
        </w:rPr>
        <w:t>[[ ℘ &gt;&gt; BibleTOBIBLE:Ge 2:5]][[ ℘ &gt;&gt; BibleTOBIBLE:Ge 3:17]]</w:t>
      </w:r>
      <w:r>
        <w:rPr/>
        <w:t xml:space="preserve"> </w:t>
        <w:br/>
        <w:t xml:space="preserve">{{field-off:bible}} </w:t>
        <w:br/>
        <w:t>[[@BibleTOBIBLE:Ps 104:15]]</w:t>
      </w:r>
      <w:r>
        <w:rPr>
          <w:b/>
        </w:rPr>
        <w:t>15</w:t>
      </w:r>
      <w:r>
        <w:rPr/>
        <w:t xml:space="preserve"> {{field-on:bible}} </w:t>
        <w:br/>
        <w:t xml:space="preserve">Soll Menschenherzen Wein erfreuen; </w:t>
      </w:r>
      <w:r>
        <w:rPr>
          <w:position w:val="8"/>
          <w:sz w:val="19"/>
        </w:rPr>
        <w:t>[[ ℘ &gt;&gt; BibleTOBIBLE:Jdg 9:13]][[ ℘ &gt;&gt; BibleTOBIBLE:Ec 10:19]][[ ℘ &gt;&gt; BibleTOBIBLE:Sir 31:27]][[ ℘ &gt;&gt; BibleTOBIBLE:Sir 40:20]]</w:t>
      </w:r>
      <w:r>
        <w:rPr/>
        <w:t xml:space="preserve">Damit ihr Gesicht von Öl glänzt </w:t>
      </w:r>
      <w:r>
        <w:rPr>
          <w:color w:val="808080"/>
        </w:rPr>
        <w:t>(mehr glänzt als Öl)</w:t>
      </w:r>
      <w:r>
        <w:rPr/>
        <w:t xml:space="preserve">, </w:t>
      </w:r>
      <w:r>
        <w:rPr>
          <w:position w:val="8"/>
          <w:sz w:val="19"/>
        </w:rPr>
        <w:t>[[ ℘ &gt;&gt; BibleTOBIBLE:Ps 23:5]][[ ℘ &gt;&gt; BibleTOBIBLE:Pr 21:7]][[ ℘ &gt;&gt; BibleTOBIBLE:Am 6:6]][[ ℘ &gt;&gt; BibleTOBIBLE:Mk 14:3]]</w:t>
      </w:r>
      <w:r>
        <w:rPr/>
        <w:t xml:space="preserve">Soll Menschenherzen Brot </w:t>
      </w:r>
      <w:r>
        <w:rPr>
          <w:color w:val="808080"/>
        </w:rPr>
        <w:t>(Nahrung)</w:t>
      </w:r>
      <w:r>
        <w:rPr/>
        <w:t xml:space="preserve"> stärken. </w:t>
      </w:r>
      <w:r>
        <w:rPr>
          <w:position w:val="8"/>
          <w:sz w:val="19"/>
        </w:rPr>
        <w:t>[[ ℘ &gt;&gt; BibleTOBIBLE:Ge 18:5]][[ ℘ &gt;&gt; BibleTOBIBLE:Jdg 19:5]][[ ℘ &gt;&gt; BibleTOBIBLE:Ec 9:7]]</w:t>
      </w:r>
      <w:r>
        <w:rPr/>
        <w:t xml:space="preserve"> </w:t>
        <w:br/>
        <w:t xml:space="preserve">{{field-off:bible}} </w:t>
        <w:br/>
        <w:t>[[@BibleTOBIBLE:Ps 104:16]]</w:t>
      </w:r>
      <w:r>
        <w:rPr>
          <w:b/>
        </w:rPr>
        <w:t>16</w:t>
      </w:r>
      <w:r>
        <w:rPr/>
        <w:t xml:space="preserve"> {{field-on:bible}} </w:t>
        <w:br/>
        <w:t xml:space="preserve">Es sollen sitt werden </w:t>
      </w:r>
      <w:r>
        <w:rPr>
          <w:color w:val="808080"/>
        </w:rPr>
        <w:t>(sättigen)</w:t>
      </w:r>
      <w:r>
        <w:rPr/>
        <w:t xml:space="preserve"> </w:t>
      </w:r>
      <w:r>
        <w:rPr>
          <w:rStyle w:val="Funotenanker"/>
        </w:rPr>
        <w:footnoteReference w:customMarkFollows="1" w:id="2296"/>
        <w:t>ag</w:t>
      </w:r>
      <w:r>
        <w:rPr/>
        <w:t xml:space="preserve"> die Bäume des Feldes </w:t>
      </w:r>
      <w:r>
        <w:rPr>
          <w:color w:val="808080"/>
        </w:rPr>
        <w:t>(</w:t>
      </w:r>
      <w:r>
        <w:rPr>
          <w:smallCaps/>
          <w:color w:val="FF0000"/>
        </w:rPr>
        <w:t>JHWH</w:t>
      </w:r>
      <w:r>
        <w:rPr>
          <w:color w:val="808080"/>
        </w:rPr>
        <w:t>s)</w:t>
      </w:r>
      <w:r>
        <w:rPr/>
        <w:t>,</w:t>
      </w:r>
      <w:r>
        <w:rPr>
          <w:rStyle w:val="Funotenanker"/>
        </w:rPr>
        <w:footnoteReference w:customMarkFollows="1" w:id="2297"/>
        <w:t>ah</w:t>
      </w:r>
      <w:r>
        <w:rPr/>
        <w:t>Die Libanon-zedern,</w:t>
      </w:r>
      <w:r>
        <w:rPr>
          <w:rStyle w:val="Funotenanker"/>
        </w:rPr>
        <w:footnoteReference w:customMarkFollows="1" w:id="2298"/>
        <w:t>ai</w:t>
      </w:r>
      <w:r>
        <w:rPr/>
        <w:t xml:space="preserve"> die er gepflanzt hat. </w:t>
      </w:r>
      <w:r>
        <w:rPr>
          <w:position w:val="8"/>
          <w:sz w:val="19"/>
        </w:rPr>
        <w:t>[[ ℘ &gt;&gt; BibleTOBIBLE:Nu 24:6]]</w:t>
      </w:r>
      <w:r>
        <w:rPr/>
        <w:t xml:space="preserve"> </w:t>
        <w:br/>
        <w:t xml:space="preserve">{{field-off:bible}} </w:t>
        <w:br/>
        <w:t>[[@BibleTOBIBLE:Ps 104:17]]</w:t>
      </w:r>
      <w:r>
        <w:rPr>
          <w:b/>
        </w:rPr>
        <w:t>17</w:t>
      </w:r>
      <w:r>
        <w:rPr/>
        <w:t xml:space="preserve"> {{field-on:bible}} </w:t>
        <w:br/>
        <w:t xml:space="preserve">Dort </w:t>
      </w:r>
      <w:r>
        <w:rPr>
          <w:color w:val="808080"/>
        </w:rPr>
        <w:t>(, auf denen)</w:t>
      </w:r>
      <w:r>
        <w:rPr/>
        <w:t xml:space="preserve"> </w:t>
      </w:r>
      <w:r>
        <w:rPr>
          <w:rStyle w:val="Funotenanker"/>
        </w:rPr>
        <w:footnoteReference w:customMarkFollows="1" w:id="2299"/>
        <w:t>aj</w:t>
      </w:r>
      <w:r>
        <w:rPr/>
        <w:t xml:space="preserve"> sollen Vöglein nisten,Der Habicht </w:t>
      </w:r>
      <w:r>
        <w:rPr>
          <w:color w:val="808080"/>
        </w:rPr>
        <w:t>(Storch?, Reiher?)</w:t>
      </w:r>
      <w:r>
        <w:rPr/>
        <w:t xml:space="preserve"> </w:t>
      </w:r>
      <w:r>
        <w:rPr>
          <w:rStyle w:val="Funotenanker"/>
        </w:rPr>
        <w:footnoteReference w:customMarkFollows="1" w:id="2300"/>
        <w:t>ak</w:t>
      </w:r>
      <w:r>
        <w:rPr/>
        <w:t xml:space="preserve"> in ihren Wipfeln </w:t>
      </w:r>
      <w:r>
        <w:rPr>
          <w:color w:val="808080"/>
        </w:rPr>
        <w:t>(auf Zypressen)</w:t>
      </w:r>
      <w:r>
        <w:rPr/>
        <w:t xml:space="preserve"> </w:t>
      </w:r>
      <w:r>
        <w:rPr>
          <w:rStyle w:val="Funotenanker"/>
        </w:rPr>
        <w:footnoteReference w:customMarkFollows="1" w:id="2301"/>
        <w:t>al</w:t>
      </w:r>
      <w:r>
        <w:rPr/>
        <w:t xml:space="preserve"> sein Haus </w:t>
      </w:r>
      <w:r>
        <w:rPr>
          <w:b/>
          <w:color w:val="808080"/>
        </w:rPr>
        <w:t>[</w:t>
      </w:r>
      <w:r>
        <w:rPr/>
        <w:t>haben</w:t>
      </w:r>
      <w:r>
        <w:rPr>
          <w:b/>
          <w:color w:val="808080"/>
        </w:rPr>
        <w:t>]</w:t>
      </w:r>
      <w:r>
        <w:rPr/>
        <w:t>.</w:t>
      </w:r>
      <w:r>
        <w:rPr>
          <w:position w:val="8"/>
          <w:sz w:val="19"/>
        </w:rPr>
        <w:t>[[ ℘ &gt;&gt; BibleTOBIBLE:Je 22:23]][[ ℘ &gt;&gt; BibleTOBIBLE:Eze 17:23]]</w:t>
      </w:r>
      <w:r>
        <w:rPr/>
        <w:t xml:space="preserve"> </w:t>
        <w:br/>
        <w:t xml:space="preserve">{{field-off:bible}} </w:t>
        <w:br/>
        <w:t>[[@BibleTOBIBLE:Ps 104:18]]</w:t>
      </w:r>
      <w:r>
        <w:rPr>
          <w:b/>
        </w:rPr>
        <w:t>18</w:t>
      </w:r>
      <w:r>
        <w:rPr/>
        <w:t xml:space="preserve"> {{field-on:bible}} </w:t>
        <w:br/>
        <w:t xml:space="preserve">Die hohen Berge </w:t>
      </w:r>
      <w:r>
        <w:rPr>
          <w:b/>
          <w:color w:val="808080"/>
        </w:rPr>
        <w:t>[</w:t>
      </w:r>
      <w:r>
        <w:rPr/>
        <w:t>sollen</w:t>
      </w:r>
      <w:r>
        <w:rPr>
          <w:b/>
          <w:color w:val="808080"/>
        </w:rPr>
        <w:t>]</w:t>
      </w:r>
      <w:r>
        <w:rPr/>
        <w:t xml:space="preserve"> den Steinböcken </w:t>
      </w:r>
      <w:r>
        <w:rPr>
          <w:b/>
          <w:color w:val="808080"/>
        </w:rPr>
        <w:t>[</w:t>
      </w:r>
      <w:r>
        <w:rPr/>
        <w:t>gehören</w:t>
      </w:r>
      <w:r>
        <w:rPr>
          <w:b/>
          <w:color w:val="808080"/>
        </w:rPr>
        <w:t>]</w:t>
      </w:r>
      <w:r>
        <w:rPr/>
        <w:t xml:space="preserve">,Die Felsen den Klippdachsen Zuflucht </w:t>
      </w:r>
      <w:r>
        <w:rPr>
          <w:b/>
          <w:color w:val="808080"/>
        </w:rPr>
        <w:t>[</w:t>
      </w:r>
      <w:r>
        <w:rPr/>
        <w:t>sein</w:t>
      </w:r>
      <w:r>
        <w:rPr>
          <w:b/>
          <w:color w:val="808080"/>
        </w:rPr>
        <w:t>]</w:t>
      </w:r>
      <w:r>
        <w:rPr/>
        <w:t>.</w:t>
        <w:br/>
        <w:br/>
        <w:t xml:space="preserve">{{field-off:bible}} </w:t>
        <w:br/>
        <w:t>[[@BibleTOBIBLE:Ps 104:19]]</w:t>
      </w:r>
      <w:r>
        <w:rPr>
          <w:b/>
        </w:rPr>
        <w:t>19</w:t>
      </w:r>
      <w:r>
        <w:rPr/>
        <w:t xml:space="preserve"> {{field-on:bible}} </w:t>
        <w:br/>
        <w:t>Er machte den Mond für Festzeiten,</w:t>
      </w:r>
      <w:r>
        <w:rPr>
          <w:rStyle w:val="Funotenanker"/>
        </w:rPr>
        <w:footnoteReference w:customMarkFollows="1" w:id="2302"/>
        <w:t>am</w:t>
      </w:r>
      <w:r>
        <w:rPr/>
        <w:t xml:space="preserve"> </w:t>
      </w:r>
      <w:r>
        <w:rPr>
          <w:position w:val="8"/>
          <w:sz w:val="19"/>
        </w:rPr>
        <w:t>[[ ℘ &gt;&gt; BibleTOBIBLE:Ge 1:14]][[ ℘ &gt;&gt; BibleTOBIBLE:Ps 8:3]][[ ℘ &gt;&gt; BibleTOBIBLE:Sir 43:6]]</w:t>
      </w:r>
      <w:r>
        <w:rPr/>
        <w:t>Die Sonne kennt ihren Untergang.</w:t>
      </w:r>
      <w:r>
        <w:rPr>
          <w:rStyle w:val="Funotenanker"/>
        </w:rPr>
        <w:footnoteReference w:customMarkFollows="1" w:id="2303"/>
        <w:t>an</w:t>
      </w:r>
      <w:r>
        <w:rPr/>
        <w:t xml:space="preserve"> </w:t>
      </w:r>
      <w:r>
        <w:rPr>
          <w:position w:val="8"/>
          <w:sz w:val="19"/>
        </w:rPr>
        <w:t>[[ ℘ &gt;&gt; BibleTOBIBLE:Job 38:12]][[ ℘ &gt;&gt; BibleTOBIBLE:Ps 136:7]][[ ℘ &gt;&gt; BibleTOBIBLE:Je 31:35]]</w:t>
      </w:r>
      <w:r>
        <w:rPr/>
        <w:t xml:space="preserve"> </w:t>
        <w:br/>
        <w:t xml:space="preserve">{{field-off:bible}} </w:t>
        <w:br/>
        <w:t>[[@BibleTOBIBLE:Ps 104:20]]</w:t>
      </w:r>
      <w:r>
        <w:rPr>
          <w:b/>
        </w:rPr>
        <w:t>20</w:t>
      </w:r>
      <w:r>
        <w:rPr/>
        <w:t xml:space="preserve"> {{field-on:bible}} </w:t>
        <w:br/>
        <w:t>Du willst Finsternis setzen,Es soll Nacht werden,</w:t>
      </w:r>
      <w:r>
        <w:rPr>
          <w:rStyle w:val="Funotenanker"/>
        </w:rPr>
        <w:footnoteReference w:customMarkFollows="1" w:id="2304"/>
        <w:t>ao</w:t>
      </w:r>
      <w:r>
        <w:rPr/>
        <w:t xml:space="preserve"> </w:t>
      </w:r>
      <w:r>
        <w:rPr>
          <w:position w:val="8"/>
          <w:sz w:val="19"/>
        </w:rPr>
        <w:t>[[ ℘ &gt;&gt; BibleTOBIBLE:Ps 74:16]][[ ℘ &gt;&gt; BibleTOBIBLE:Is 45:7]]</w:t>
      </w:r>
      <w:r>
        <w:rPr/>
        <w:t xml:space="preserve">In ihr sollen alle Waldtiere schleichen </w:t>
      </w:r>
      <w:r>
        <w:rPr>
          <w:color w:val="808080"/>
        </w:rPr>
        <w:t>(pirschen)</w:t>
      </w:r>
      <w:r>
        <w:rPr/>
        <w:t>:</w:t>
        <w:br/>
        <w:t xml:space="preserve">{{field-off:bible}} </w:t>
        <w:br/>
        <w:t>[[@BibleTOBIBLE:Ps 104:21]]</w:t>
      </w:r>
      <w:r>
        <w:rPr>
          <w:b/>
        </w:rPr>
        <w:t>21</w:t>
      </w:r>
      <w:r>
        <w:rPr/>
        <w:t xml:space="preserve"> {{field-on:bible}} </w:t>
        <w:br/>
        <w:t xml:space="preserve">Die Junglöwen brüllen nach Beute, Um zu fordern von Gott ihre Speise. </w:t>
      </w:r>
      <w:r>
        <w:rPr>
          <w:position w:val="8"/>
          <w:sz w:val="19"/>
        </w:rPr>
        <w:t>[[ ℘ &gt;&gt; BibleTOBIBLE:Job 38:39]][[ ℘ &gt;&gt; BibleTOBIBLE:Ps 34:11]][[ ℘ &gt;&gt; BibleTOBIBLE:Ps 147:9]][[ ℘ &gt;&gt; BibleTOBIBLE:Am 3:4]][[ ℘ &gt;&gt; BibleTOBIBLE:Joe 1:18]]</w:t>
      </w:r>
      <w:r>
        <w:rPr/>
        <w:t xml:space="preserve"> </w:t>
        <w:br/>
        <w:t xml:space="preserve">{{field-off:bible}} </w:t>
        <w:br/>
        <w:t>[[@BibleTOBIBLE:Ps 104:22]]</w:t>
      </w:r>
      <w:r>
        <w:rPr>
          <w:b/>
        </w:rPr>
        <w:t>22</w:t>
      </w:r>
      <w:r>
        <w:rPr/>
        <w:t xml:space="preserve"> {{field-on:bible}} </w:t>
        <w:br/>
        <w:t>Die Sonne soll scheinen,Sie sollen sich sammeln und in ihre Höhlen legen.</w:t>
      </w:r>
      <w:r>
        <w:rPr>
          <w:rStyle w:val="Funotenanker"/>
        </w:rPr>
        <w:footnoteReference w:customMarkFollows="1" w:id="2305"/>
        <w:t>ap</w:t>
      </w:r>
      <w:r>
        <w:rPr/>
        <w:t xml:space="preserve"> </w:t>
        <w:br/>
        <w:t xml:space="preserve">{{field-off:bible}} </w:t>
        <w:br/>
        <w:t>[[@BibleTOBIBLE:Ps 104:23]]</w:t>
      </w:r>
      <w:r>
        <w:rPr>
          <w:b/>
        </w:rPr>
        <w:t>23</w:t>
      </w:r>
      <w:r>
        <w:rPr/>
        <w:t xml:space="preserve"> {{field-on:bible}} </w:t>
        <w:br/>
        <w:t xml:space="preserve">Der Mensch soll an sein Werk gehenUnd an seine Arbeit bis zum Abend. </w:t>
      </w:r>
      <w:r>
        <w:rPr>
          <w:position w:val="8"/>
          <w:sz w:val="19"/>
        </w:rPr>
        <w:t>[[ ℘ &gt;&gt; BibleTOBIBLE:Ge 3:19]]</w:t>
      </w:r>
      <w:r>
        <w:rPr/>
        <w:t xml:space="preserve"> </w:t>
        <w:br/>
        <w:br/>
        <w:t xml:space="preserve">{{field-off:bible}} </w:t>
        <w:br/>
        <w:t>[[@BibleTOBIBLE:Ps 104:24]]</w:t>
      </w:r>
      <w:r>
        <w:rPr>
          <w:b/>
        </w:rPr>
        <w:t>24</w:t>
      </w:r>
      <w:r>
        <w:rPr/>
        <w:t xml:space="preserve"> {{field-on:bible}} </w:t>
        <w:br/>
        <w:t xml:space="preserve">Wie zahlreich </w:t>
      </w:r>
      <w:r>
        <w:rPr>
          <w:color w:val="808080"/>
        </w:rPr>
        <w:t>(groß)</w:t>
      </w:r>
      <w:r>
        <w:rPr/>
        <w:t xml:space="preserve"> </w:t>
      </w:r>
      <w:r>
        <w:rPr>
          <w:b/>
          <w:color w:val="808080"/>
        </w:rPr>
        <w:t>[</w:t>
      </w:r>
      <w:r>
        <w:rPr/>
        <w:t>sind</w:t>
      </w:r>
      <w:r>
        <w:rPr>
          <w:b/>
          <w:color w:val="808080"/>
        </w:rPr>
        <w:t>]</w:t>
      </w:r>
      <w:r>
        <w:rPr/>
        <w:t xml:space="preserve"> deine Werke, </w:t>
      </w:r>
      <w:r>
        <w:rPr>
          <w:smallCaps/>
          <w:color w:val="FF0000"/>
        </w:rPr>
        <w:t>JHWH</w:t>
      </w:r>
      <w:r>
        <w:rPr/>
        <w:t xml:space="preserve">! </w:t>
      </w:r>
      <w:r>
        <w:rPr>
          <w:position w:val="8"/>
          <w:sz w:val="19"/>
        </w:rPr>
        <w:t>[[ ℘ &gt;&gt; BibleTOBIBLE:Ps 92:6]]</w:t>
      </w:r>
      <w:r>
        <w:rPr/>
        <w:t xml:space="preserve">Sie alle hast du mit Weisheit gemacht! </w:t>
      </w:r>
      <w:r>
        <w:rPr>
          <w:position w:val="8"/>
          <w:sz w:val="19"/>
        </w:rPr>
        <w:t>[[ ℘ &gt;&gt; BibleTOBIBLE:Ne 9:6]][[ ℘ &gt;&gt; BibleTOBIBLE:Ps 136:5]][[ ℘ &gt;&gt; BibleTOBIBLE:Pr 3:19]][[ ℘ &gt;&gt; BibleTOBIBLE:Sir 43:33]][[ ℘ &gt;&gt; BibleTOBIBLE:Je 10:12]]</w:t>
      </w:r>
      <w:r>
        <w:rPr/>
        <w:t xml:space="preserve">Voll ist die Erde mit seinem Besitz, </w:t>
      </w:r>
      <w:r>
        <w:rPr>
          <w:position w:val="8"/>
          <w:sz w:val="19"/>
        </w:rPr>
        <w:t>[[ ℘ &gt;&gt; BibleTOBIBLE:Ps 24:1]][[ ℘ &gt;&gt; BibleTOBIBLE:Ps 50:10]][[ ℘ &gt;&gt; BibleTOBIBLE:Sir 16:29]]</w:t>
      </w:r>
      <w:r>
        <w:rPr/>
        <w:t xml:space="preserve"> </w:t>
        <w:br/>
        <w:t xml:space="preserve">{{field-off:bible}} </w:t>
        <w:br/>
        <w:t>[[@BibleTOBIBLE:Ps 104:25]]</w:t>
      </w:r>
      <w:r>
        <w:rPr>
          <w:b/>
        </w:rPr>
        <w:t>25</w:t>
      </w:r>
      <w:r>
        <w:rPr/>
        <w:t xml:space="preserve"> {{field-on:bible}} </w:t>
        <w:br/>
        <w:t xml:space="preserve">So auch das Meer: </w:t>
      </w:r>
      <w:r>
        <w:rPr>
          <w:color w:val="808080"/>
        </w:rPr>
        <w:t xml:space="preserve">(Dies – das Meer – </w:t>
      </w:r>
      <w:r>
        <w:rPr>
          <w:b/>
          <w:color w:val="808080"/>
        </w:rPr>
        <w:t>[</w:t>
      </w:r>
      <w:r>
        <w:rPr>
          <w:color w:val="808080"/>
        </w:rPr>
        <w:t>ist</w:t>
      </w:r>
      <w:r>
        <w:rPr>
          <w:b/>
          <w:color w:val="808080"/>
        </w:rPr>
        <w:t>]</w:t>
      </w:r>
      <w:r>
        <w:rPr>
          <w:color w:val="808080"/>
        </w:rPr>
        <w:t xml:space="preserve">, dort </w:t>
      </w:r>
      <w:r>
        <w:rPr>
          <w:b/>
          <w:color w:val="808080"/>
        </w:rPr>
        <w:t>[</w:t>
      </w:r>
      <w:r>
        <w:rPr>
          <w:color w:val="808080"/>
        </w:rPr>
        <w:t>ist</w:t>
      </w:r>
      <w:r>
        <w:rPr>
          <w:b/>
          <w:color w:val="808080"/>
        </w:rPr>
        <w:t>]</w:t>
      </w:r>
      <w:r>
        <w:rPr>
          <w:color w:val="808080"/>
        </w:rPr>
        <w:t xml:space="preserve"> das Meer:)</w:t>
      </w:r>
      <w:r>
        <w:rPr/>
        <w:t xml:space="preserve"> </w:t>
      </w:r>
      <w:r>
        <w:rPr>
          <w:rStyle w:val="Funotenanker"/>
        </w:rPr>
        <w:footnoteReference w:customMarkFollows="1" w:id="2306"/>
        <w:t>aq</w:t>
      </w:r>
      <w:r>
        <w:rPr/>
        <w:t xml:space="preserve"> groß und weit </w:t>
      </w:r>
      <w:r>
        <w:rPr>
          <w:strike/>
          <w:color w:val="808080"/>
        </w:rPr>
        <w:t>{die Seiten}</w:t>
      </w:r>
      <w:r>
        <w:rPr/>
        <w:t>:</w:t>
      </w:r>
      <w:r>
        <w:rPr>
          <w:rStyle w:val="Funotenanker"/>
        </w:rPr>
        <w:footnoteReference w:customMarkFollows="1" w:id="2307"/>
        <w:t>ar</w:t>
      </w:r>
      <w:r>
        <w:rPr/>
        <w:t xml:space="preserve"> </w:t>
      </w:r>
      <w:r>
        <w:rPr>
          <w:position w:val="8"/>
          <w:sz w:val="19"/>
        </w:rPr>
        <w:t>[[ ℘ &gt;&gt; BibleTOBIBLE:Ps 95:5]]</w:t>
      </w:r>
      <w:r>
        <w:rPr/>
        <w:t xml:space="preserve">Dort </w:t>
      </w:r>
      <w:r>
        <w:rPr>
          <w:b/>
          <w:color w:val="808080"/>
        </w:rPr>
        <w:t>[</w:t>
      </w:r>
      <w:r>
        <w:rPr/>
        <w:t>gibt es</w:t>
      </w:r>
      <w:r>
        <w:rPr>
          <w:b/>
          <w:color w:val="808080"/>
        </w:rPr>
        <w:t>]</w:t>
      </w:r>
      <w:r>
        <w:rPr/>
        <w:t xml:space="preserve"> Gewürm</w:t>
      </w:r>
      <w:r>
        <w:rPr>
          <w:rStyle w:val="Funotenanker"/>
        </w:rPr>
        <w:footnoteReference w:customMarkFollows="1" w:id="2308"/>
        <w:t>as</w:t>
      </w:r>
      <w:r>
        <w:rPr/>
        <w:t xml:space="preserve"> ohne Zahl,Kleine Tiere und große. </w:t>
      </w:r>
      <w:r>
        <w:rPr>
          <w:position w:val="8"/>
          <w:sz w:val="19"/>
        </w:rPr>
        <w:t>[[ ℘ &gt;&gt; BibleTOBIBLE:Ge 1:20]]</w:t>
      </w:r>
      <w:r>
        <w:rPr/>
        <w:t xml:space="preserve"> </w:t>
        <w:br/>
        <w:t xml:space="preserve">{{field-off:bible}} </w:t>
        <w:br/>
        <w:t>[[@BibleTOBIBLE:Ps 104:26]]</w:t>
      </w:r>
      <w:r>
        <w:rPr>
          <w:b/>
        </w:rPr>
        <w:t>26</w:t>
      </w:r>
      <w:r>
        <w:rPr/>
        <w:t xml:space="preserve"> {{field-on:bible}} </w:t>
        <w:br/>
        <w:t xml:space="preserve">Dort schwimmen Schiffe, </w:t>
      </w:r>
      <w:r>
        <w:rPr>
          <w:color w:val="808080"/>
        </w:rPr>
        <w:t>(schwimmen dort gleich Schiffen.)</w:t>
      </w:r>
      <w:r>
        <w:rPr/>
        <w:t xml:space="preserve"> </w:t>
      </w:r>
      <w:r>
        <w:rPr>
          <w:rStyle w:val="Funotenanker"/>
        </w:rPr>
        <w:footnoteReference w:customMarkFollows="1" w:id="2309"/>
        <w:t>at</w:t>
      </w:r>
      <w:r>
        <w:rPr/>
        <w:t xml:space="preserve"> </w:t>
      </w:r>
      <w:r>
        <w:rPr>
          <w:b/>
          <w:color w:val="808080"/>
        </w:rPr>
        <w:t>[</w:t>
      </w:r>
      <w:r>
        <w:rPr/>
        <w:t>Schwimmt der</w:t>
      </w:r>
      <w:r>
        <w:rPr>
          <w:b/>
          <w:color w:val="808080"/>
        </w:rPr>
        <w:t>]</w:t>
      </w:r>
      <w:r>
        <w:rPr/>
        <w:t xml:space="preserve"> Leviathan, den du gebildet, um mit ihm Spaß zu haben </w:t>
      </w:r>
      <w:r>
        <w:rPr>
          <w:color w:val="808080"/>
        </w:rPr>
        <w:t>(damit er darinnen Spaß habe)</w:t>
      </w:r>
      <w:r>
        <w:rPr/>
        <w:t>.</w:t>
      </w:r>
      <w:r>
        <w:rPr>
          <w:rStyle w:val="Funotenanker"/>
        </w:rPr>
        <w:footnoteReference w:customMarkFollows="1" w:id="2310"/>
        <w:t>au</w:t>
      </w:r>
      <w:r>
        <w:rPr/>
        <w:t xml:space="preserve"> </w:t>
      </w:r>
      <w:r>
        <w:rPr>
          <w:position w:val="8"/>
          <w:sz w:val="19"/>
        </w:rPr>
        <w:t>[[ ℘ &gt;&gt; BibleTOBIBLE:Job 40:25]][[ ℘ &gt;&gt; BibleTOBIBLE:Sir 43:25]]</w:t>
      </w:r>
      <w:r>
        <w:rPr/>
        <w:t xml:space="preserve"> </w:t>
        <w:br/>
        <w:t xml:space="preserve">{{field-off:bible}} </w:t>
        <w:br/>
        <w:t>[[@BibleTOBIBLE:Ps 104:27]]</w:t>
      </w:r>
      <w:r>
        <w:rPr>
          <w:b/>
        </w:rPr>
        <w:t>27</w:t>
      </w:r>
      <w:r>
        <w:rPr/>
        <w:t xml:space="preserve"> {{field-on:bible}} </w:t>
        <w:br/>
        <w:t xml:space="preserve">Sie alle warten auf dich,dass du </w:t>
      </w:r>
      <w:r>
        <w:rPr>
          <w:b/>
          <w:color w:val="808080"/>
        </w:rPr>
        <w:t>[</w:t>
      </w:r>
      <w:r>
        <w:rPr/>
        <w:t>ihnen</w:t>
      </w:r>
      <w:r>
        <w:rPr>
          <w:b/>
          <w:color w:val="808080"/>
        </w:rPr>
        <w:t>]</w:t>
      </w:r>
      <w:r>
        <w:rPr/>
        <w:t xml:space="preserve"> </w:t>
      </w:r>
      <w:r>
        <w:rPr>
          <w:rStyle w:val="Funotenanker"/>
        </w:rPr>
        <w:footnoteReference w:customMarkFollows="1" w:id="2311"/>
        <w:t>av</w:t>
      </w:r>
      <w:r>
        <w:rPr/>
        <w:t xml:space="preserve"> gibst Nahrung zur rechten Zeit.</w:t>
      </w:r>
      <w:r>
        <w:rPr>
          <w:rStyle w:val="Funotenanker"/>
        </w:rPr>
        <w:footnoteReference w:customMarkFollows="1" w:id="2312"/>
        <w:t>aw</w:t>
      </w:r>
      <w:r>
        <w:rPr/>
        <w:t xml:space="preserve"> </w:t>
      </w:r>
      <w:r>
        <w:rPr>
          <w:position w:val="8"/>
          <w:sz w:val="19"/>
        </w:rPr>
        <w:t>[[ ℘ &gt;&gt; BibleTOBIBLE:Job 38:41]][[ ℘ &gt;&gt; BibleTOBIBLE:Ps 136:25]][[ ℘ &gt;&gt; BibleTOBIBLE:Ps 145:15]][[ ℘ &gt;&gt; BibleTOBIBLE:Ps 147:9]]</w:t>
      </w:r>
      <w:r>
        <w:rPr/>
        <w:t xml:space="preserve"> </w:t>
        <w:br/>
        <w:t xml:space="preserve">{{field-off:bible}} </w:t>
        <w:br/>
        <w:t>[[@BibleTOBIBLE:Ps 104:28]]</w:t>
      </w:r>
      <w:r>
        <w:rPr>
          <w:b/>
        </w:rPr>
        <w:t>28</w:t>
      </w:r>
      <w:r>
        <w:rPr/>
        <w:t xml:space="preserve"> {{field-on:bible}} </w:t>
        <w:br/>
        <w:t xml:space="preserve">Du gibst ihnen </w:t>
      </w:r>
      <w:r>
        <w:rPr>
          <w:color w:val="808080"/>
        </w:rPr>
        <w:t>(Gibst du ihnen,...)</w:t>
      </w:r>
      <w:r>
        <w:rPr/>
        <w:t xml:space="preserve"> </w:t>
      </w:r>
      <w:r>
        <w:rPr>
          <w:b/>
          <w:color w:val="808080"/>
        </w:rPr>
        <w:t>[</w:t>
      </w:r>
      <w:r>
        <w:rPr/>
        <w:t>Nahrung</w:t>
      </w:r>
      <w:r>
        <w:rPr>
          <w:b/>
          <w:color w:val="808080"/>
        </w:rPr>
        <w:t>]</w:t>
      </w:r>
      <w:r>
        <w:rPr/>
        <w:t>,</w:t>
      </w:r>
      <w:r>
        <w:rPr>
          <w:rStyle w:val="Funotenanker"/>
        </w:rPr>
        <w:footnoteReference w:customMarkFollows="1" w:id="2313"/>
        <w:t>ax</w:t>
      </w:r>
      <w:r>
        <w:rPr/>
        <w:t xml:space="preserve"> sie sammeln </w:t>
      </w:r>
      <w:r>
        <w:rPr>
          <w:b/>
          <w:color w:val="808080"/>
        </w:rPr>
        <w:t>[</w:t>
      </w:r>
      <w:r>
        <w:rPr/>
        <w:t>sie</w:t>
      </w:r>
      <w:r>
        <w:rPr>
          <w:b/>
          <w:color w:val="808080"/>
        </w:rPr>
        <w:t>]</w:t>
      </w:r>
      <w:r>
        <w:rPr/>
        <w:t xml:space="preserve">.Du öffnest deine Hand </w:t>
      </w:r>
      <w:r>
        <w:rPr>
          <w:color w:val="808080"/>
        </w:rPr>
        <w:t>(Öffnest du deine Hand,...)</w:t>
      </w:r>
      <w:r>
        <w:rPr/>
        <w:t>, sie werden gesättigt mit Gutem.</w:t>
      </w:r>
      <w:r>
        <w:rPr>
          <w:rStyle w:val="Funotenanker"/>
        </w:rPr>
        <w:footnoteReference w:customMarkFollows="1" w:id="2314"/>
        <w:t>ay</w:t>
      </w:r>
      <w:r>
        <w:rPr/>
        <w:t xml:space="preserve"> </w:t>
        <w:br/>
        <w:t xml:space="preserve">{{field-off:bible}} </w:t>
        <w:br/>
        <w:t>[[@BibleTOBIBLE:Ps 104:29]]</w:t>
      </w:r>
      <w:r>
        <w:rPr>
          <w:b/>
        </w:rPr>
        <w:t>29</w:t>
      </w:r>
      <w:r>
        <w:rPr/>
        <w:t xml:space="preserve"> {{field-on:bible}} </w:t>
        <w:br/>
        <w:t xml:space="preserve">Du verbirgst dein Gesicht </w:t>
      </w:r>
      <w:r>
        <w:rPr>
          <w:color w:val="808080"/>
        </w:rPr>
        <w:t>(verbirgst du dein Gesicht,...)</w:t>
      </w:r>
      <w:r>
        <w:rPr/>
        <w:t>,</w:t>
      </w:r>
      <w:r>
        <w:rPr>
          <w:rStyle w:val="Funotenanker"/>
        </w:rPr>
        <w:footnoteReference w:customMarkFollows="1" w:id="2315"/>
        <w:t>az</w:t>
      </w:r>
      <w:r>
        <w:rPr/>
        <w:t xml:space="preserve"> sie werden vernichtet </w:t>
      </w:r>
      <w:r>
        <w:rPr>
          <w:color w:val="808080"/>
        </w:rPr>
        <w:t>(erschrecken)</w:t>
      </w:r>
      <w:r>
        <w:rPr/>
        <w:t xml:space="preserve">,Du nimmst ihren Atem </w:t>
      </w:r>
      <w:r>
        <w:rPr>
          <w:color w:val="808080"/>
        </w:rPr>
        <w:t>(Geist)</w:t>
      </w:r>
      <w:r>
        <w:rPr/>
        <w:t xml:space="preserve">, sie sterben </w:t>
      </w:r>
      <w:r>
        <w:rPr>
          <w:color w:val="808080"/>
        </w:rPr>
        <w:t>(hauchen aus)</w:t>
      </w:r>
      <w:r>
        <w:rPr/>
        <w:t>Und zu ihrem Staub kehren sie zurück.</w:t>
      </w:r>
      <w:r>
        <w:rPr>
          <w:rStyle w:val="Funotenanker"/>
        </w:rPr>
        <w:footnoteReference w:customMarkFollows="1" w:id="2316"/>
        <w:t>ba</w:t>
      </w:r>
      <w:r>
        <w:rPr/>
        <w:t xml:space="preserve"> </w:t>
        <w:br/>
        <w:t xml:space="preserve">{{field-off:bible}} </w:t>
        <w:br/>
        <w:t>[[@BibleTOBIBLE:Ps 104:30]]</w:t>
      </w:r>
      <w:r>
        <w:rPr>
          <w:b/>
        </w:rPr>
        <w:t>30</w:t>
      </w:r>
      <w:r>
        <w:rPr/>
        <w:t xml:space="preserve"> {{field-on:bible}} </w:t>
        <w:br/>
        <w:t xml:space="preserve">Du sendest deinen Atem </w:t>
      </w:r>
      <w:r>
        <w:rPr>
          <w:color w:val="808080"/>
        </w:rPr>
        <w:t>(Geist)</w:t>
      </w:r>
      <w:r>
        <w:rPr/>
        <w:t xml:space="preserve"> aus, sie werden geschaffen;Du erneuerst das Gesicht </w:t>
      </w:r>
      <w:r>
        <w:rPr>
          <w:color w:val="808080"/>
        </w:rPr>
        <w:t>(die Oberfläche)</w:t>
      </w:r>
      <w:r>
        <w:rPr/>
        <w:t xml:space="preserve"> der Erde.</w:t>
        <w:br/>
        <w:t xml:space="preserve">{{field-off:bible}} </w:t>
        <w:br/>
        <w:t>[[@BibleTOBIBLE:Ps 104:31]]</w:t>
      </w:r>
      <w:r>
        <w:rPr>
          <w:b/>
        </w:rPr>
        <w:t>31</w:t>
      </w:r>
      <w:r>
        <w:rPr/>
        <w:t xml:space="preserve"> {{field-on:bible}} </w:t>
        <w:br/>
        <w:t xml:space="preserve">Es währe die Herrlichkeit </w:t>
      </w:r>
      <w:r>
        <w:rPr>
          <w:color w:val="808080"/>
        </w:rPr>
        <w:t>(Pracht)</w:t>
      </w:r>
      <w:r>
        <w:rPr/>
        <w:t xml:space="preserve"> </w:t>
      </w:r>
      <w:r>
        <w:rPr>
          <w:smallCaps/>
          <w:color w:val="FF0000"/>
        </w:rPr>
        <w:t>JHWH</w:t>
      </w:r>
      <w:r>
        <w:rPr/>
        <w:t xml:space="preserve">s auf ewig,Es freue sich </w:t>
      </w:r>
      <w:r>
        <w:rPr>
          <w:smallCaps/>
          <w:color w:val="FF0000"/>
        </w:rPr>
        <w:t>JHWH</w:t>
      </w:r>
      <w:r>
        <w:rPr/>
        <w:t xml:space="preserve"> über seine Werke! </w:t>
      </w:r>
      <w:r>
        <w:rPr>
          <w:position w:val="8"/>
          <w:sz w:val="19"/>
        </w:rPr>
        <w:t>[[ ℘ &gt;&gt; BibleTOBIBLE:Ge 1:31]]</w:t>
      </w:r>
      <w:r>
        <w:rPr/>
        <w:t xml:space="preserve"> </w:t>
        <w:br/>
        <w:br/>
        <w:t xml:space="preserve">{{field-off:bible}} </w:t>
        <w:br/>
        <w:t>[[@BibleTOBIBLE:Ps 104:32]]</w:t>
      </w:r>
      <w:r>
        <w:rPr>
          <w:b/>
        </w:rPr>
        <w:t>32</w:t>
      </w:r>
      <w:r>
        <w:rPr/>
        <w:t xml:space="preserve"> {{field-on:bible}} </w:t>
        <w:br/>
        <w:t>Der auf die Erde blickt, so dass sie bebt,</w:t>
      </w:r>
      <w:r>
        <w:rPr>
          <w:rStyle w:val="Funotenanker"/>
        </w:rPr>
        <w:footnoteReference w:customMarkFollows="1" w:id="2317"/>
        <w:t>bb</w:t>
      </w:r>
      <w:r>
        <w:rPr/>
        <w:t xml:space="preserve"> </w:t>
      </w:r>
      <w:r>
        <w:rPr>
          <w:position w:val="8"/>
          <w:sz w:val="19"/>
        </w:rPr>
        <w:t>[[ ℘ &gt;&gt; BibleTOBIBLE:Ps 97:4]][[ ℘ &gt;&gt; BibleTOBIBLE:Is 24:20]][[ ℘ &gt;&gt; BibleTOBIBLE:Is 64:1]][[ ℘ &gt;&gt; BibleTOBIBLE:Na 1:5]]</w:t>
      </w:r>
      <w:r>
        <w:rPr/>
        <w:t xml:space="preserve">Er rührt die Berge an, sie rauchen. </w:t>
      </w:r>
      <w:r>
        <w:rPr>
          <w:position w:val="8"/>
          <w:sz w:val="19"/>
        </w:rPr>
        <w:t>[[ ℘ &gt;&gt; BibleTOBIBLE:Ex 19:18]][[ ℘ &gt;&gt; BibleTOBIBLE:Ps 97:5]][[ ℘ &gt;&gt; BibleTOBIBLE:Ps 144:5]][[ ℘ &gt;&gt; BibleTOBIBLE:Is 64:2]][[ ℘ &gt;&gt; BibleTOBIBLE:Na 1:6]]</w:t>
      </w:r>
      <w:r>
        <w:rPr/>
        <w:t xml:space="preserve"> </w:t>
        <w:br/>
        <w:t xml:space="preserve">{{field-off:bible}} </w:t>
        <w:br/>
        <w:t>[[@BibleTOBIBLE:Ps 104:33]]</w:t>
      </w:r>
      <w:r>
        <w:rPr>
          <w:b/>
        </w:rPr>
        <w:t>33</w:t>
      </w:r>
      <w:r>
        <w:rPr/>
        <w:t xml:space="preserve"> {{field-on:bible}} </w:t>
        <w:br/>
        <w:t xml:space="preserve">Ich will singen </w:t>
      </w:r>
      <w:r>
        <w:rPr>
          <w:smallCaps/>
          <w:color w:val="FF0000"/>
        </w:rPr>
        <w:t>JHWH</w:t>
      </w:r>
      <w:r>
        <w:rPr/>
        <w:t xml:space="preserve"> mein </w:t>
      </w:r>
      <w:r>
        <w:rPr>
          <w:b/>
          <w:color w:val="808080"/>
        </w:rPr>
        <w:t>[</w:t>
      </w:r>
      <w:r>
        <w:rPr/>
        <w:t>ganzes</w:t>
      </w:r>
      <w:r>
        <w:rPr>
          <w:b/>
          <w:color w:val="808080"/>
        </w:rPr>
        <w:t>]</w:t>
      </w:r>
      <w:r>
        <w:rPr/>
        <w:t xml:space="preserve"> Leben,ich will lobsingen meinem Gott meine </w:t>
      </w:r>
      <w:r>
        <w:rPr>
          <w:b/>
          <w:color w:val="808080"/>
        </w:rPr>
        <w:t>[</w:t>
      </w:r>
      <w:r>
        <w:rPr/>
        <w:t>ganze</w:t>
      </w:r>
      <w:r>
        <w:rPr>
          <w:b/>
          <w:color w:val="808080"/>
        </w:rPr>
        <w:t>]</w:t>
      </w:r>
      <w:r>
        <w:rPr/>
        <w:t xml:space="preserve"> Dauer, </w:t>
      </w:r>
      <w:r>
        <w:rPr>
          <w:position w:val="8"/>
          <w:sz w:val="19"/>
        </w:rPr>
        <w:t>[[ ℘ &gt;&gt; BibleTOBIBLE:Ps 145:2]][[ ℘ &gt;&gt; BibleTOBIBLE:Ps 146:2]]</w:t>
      </w:r>
      <w:r>
        <w:rPr/>
        <w:t xml:space="preserve"> </w:t>
        <w:br/>
        <w:t xml:space="preserve">{{field-off:bible}} </w:t>
        <w:br/>
        <w:t>[[@BibleTOBIBLE:Ps 104:34]]</w:t>
      </w:r>
      <w:r>
        <w:rPr>
          <w:b/>
        </w:rPr>
        <w:t>34</w:t>
      </w:r>
      <w:r>
        <w:rPr/>
        <w:t xml:space="preserve"> {{field-on:bible}} </w:t>
        <w:br/>
        <w:t xml:space="preserve">Möge ihm angenehm sein meine Rede </w:t>
      </w:r>
      <w:r>
        <w:rPr>
          <w:color w:val="808080"/>
        </w:rPr>
        <w:t>(mein Sinnen)</w:t>
      </w:r>
      <w:r>
        <w:rPr/>
        <w:t xml:space="preserve">,Ich will mich freuen über </w:t>
      </w:r>
      <w:r>
        <w:rPr>
          <w:smallCaps/>
          <w:color w:val="FF0000"/>
        </w:rPr>
        <w:t>JHWH</w:t>
      </w:r>
      <w:r>
        <w:rPr/>
        <w:t xml:space="preserve">! </w:t>
      </w:r>
      <w:r>
        <w:rPr>
          <w:position w:val="8"/>
          <w:sz w:val="19"/>
        </w:rPr>
        <w:t>[[ ℘ &gt;&gt; BibleTOBIBLE:Ps 19:15]]</w:t>
      </w:r>
      <w:r>
        <w:rPr/>
        <w:t xml:space="preserve"> </w:t>
        <w:br/>
        <w:t xml:space="preserve">{{field-off:bible}} </w:t>
        <w:br/>
        <w:t>[[@BibleTOBIBLE:Ps 104:35]]</w:t>
      </w:r>
      <w:r>
        <w:rPr>
          <w:b/>
        </w:rPr>
        <w:t>35</w:t>
      </w:r>
      <w:r>
        <w:rPr/>
        <w:t xml:space="preserve"> {{field-on:bible}} </w:t>
        <w:br/>
        <w:t xml:space="preserve">Es mögen </w:t>
      </w:r>
      <w:r>
        <w:rPr>
          <w:color w:val="808080"/>
        </w:rPr>
        <w:t>(werden)</w:t>
      </w:r>
      <w:r>
        <w:rPr/>
        <w:t xml:space="preserve"> schwinden Sünder von der ErdeUnd Frevler, von Dauer </w:t>
      </w:r>
      <w:r>
        <w:rPr>
          <w:b/>
          <w:color w:val="808080"/>
        </w:rPr>
        <w:t>[</w:t>
      </w:r>
      <w:r>
        <w:rPr/>
        <w:t xml:space="preserve">mögen </w:t>
      </w:r>
      <w:r>
        <w:rPr>
          <w:color w:val="808080"/>
        </w:rPr>
        <w:t>(werden)</w:t>
      </w:r>
      <w:r>
        <w:rPr>
          <w:b/>
          <w:color w:val="808080"/>
        </w:rPr>
        <w:t>]</w:t>
      </w:r>
      <w:r>
        <w:rPr/>
        <w:t xml:space="preserve"> sie nicht </w:t>
      </w:r>
      <w:r>
        <w:rPr>
          <w:b/>
          <w:color w:val="808080"/>
        </w:rPr>
        <w:t>[</w:t>
      </w:r>
      <w:r>
        <w:rPr/>
        <w:t>sein</w:t>
      </w:r>
      <w:r>
        <w:rPr>
          <w:b/>
          <w:color w:val="808080"/>
        </w:rPr>
        <w:t>]</w:t>
      </w:r>
      <w:r>
        <w:rPr/>
        <w:t>.</w:t>
        <w:br/>
        <w:br/>
        <w:t xml:space="preserve">Preise, meine Seele, </w:t>
      </w:r>
      <w:r>
        <w:rPr>
          <w:smallCaps/>
          <w:color w:val="FF0000"/>
        </w:rPr>
        <w:t>JHWH</w:t>
      </w:r>
      <w:r>
        <w:rPr/>
        <w:t xml:space="preserve">! –Hallelujah </w:t>
      </w:r>
      <w:r>
        <w:rPr>
          <w:color w:val="808080"/>
        </w:rPr>
        <w:t xml:space="preserve">(Preist Jah!, Preist </w:t>
      </w:r>
      <w:r>
        <w:rPr>
          <w:smallCaps/>
          <w:color w:val="FF0000"/>
        </w:rPr>
        <w:t>JHWH</w:t>
      </w:r>
      <w:r>
        <w:rPr>
          <w:color w:val="808080"/>
        </w:rPr>
        <w:t>!)</w:t>
      </w:r>
      <w:r>
        <w:rPr/>
        <w:t>!</w:t>
      </w:r>
      <w:r>
        <w:rPr>
          <w:rStyle w:val="Funotenanker"/>
        </w:rPr>
        <w:footnoteReference w:customMarkFollows="1" w:id="2318"/>
        <w:t>bc</w:t>
      </w:r>
      <w:r>
        <w:rPr/>
        <w:t xml:space="preserve"> </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2319"/>
        <w:t>a</w:t>
      </w:r>
      <w:r>
        <w:rPr/>
        <w:t xml:space="preserve"> meine Liebe feinden </w:t>
      </w:r>
      <w:r>
        <w:rPr>
          <w:color w:val="808080"/>
        </w:rPr>
        <w:t>(klagen sie mich an)</w:t>
      </w:r>
      <w:r>
        <w:rPr/>
        <w:t xml:space="preserve"> </w:t>
      </w:r>
      <w:r>
        <w:rPr>
          <w:rStyle w:val="Funotenanker"/>
        </w:rPr>
        <w:footnoteReference w:customMarkFollows="1" w:id="2320"/>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321"/>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322"/>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323"/>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324"/>
        <w:t>f</w:t>
      </w:r>
      <w:r>
        <w:rPr/>
        <w:t xml:space="preserve"> soll stehen</w:t>
      </w:r>
      <w:r>
        <w:rPr>
          <w:rStyle w:val="Funotenanker"/>
        </w:rPr>
        <w:footnoteReference w:customMarkFollows="1" w:id="2325"/>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326"/>
        <w:t>h</w:t>
      </w:r>
      <w:r>
        <w:rPr/>
        <w:t xml:space="preserve">, soll er herausgehen </w:t>
      </w:r>
      <w:r>
        <w:rPr>
          <w:color w:val="808080"/>
        </w:rPr>
        <w:t>(hervorgehen)</w:t>
      </w:r>
      <w:r>
        <w:rPr/>
        <w:t xml:space="preserve"> </w:t>
      </w:r>
      <w:r>
        <w:rPr>
          <w:rStyle w:val="Funotenanker"/>
        </w:rPr>
        <w:footnoteReference w:customMarkFollows="1" w:id="2327"/>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328"/>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329"/>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330"/>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331"/>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332"/>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333"/>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334"/>
        <w:t>Status</w:t>
      </w:r>
      <w:r>
        <w:rPr/>
        <w:t xml:space="preserve"> Ein Lied der Wallfahrten </w:t>
      </w:r>
      <w:r>
        <w:rPr>
          <w:color w:val="808080"/>
        </w:rPr>
        <w:t>(großen Aufstiege, aufsteigenden Frauen)</w:t>
      </w:r>
      <w:r>
        <w:rPr/>
        <w:t xml:space="preserve"> </w:t>
      </w:r>
      <w:r>
        <w:rPr>
          <w:rStyle w:val="Funotenanker"/>
        </w:rPr>
        <w:footnoteReference w:customMarkFollows="1" w:id="2335"/>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336"/>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337"/>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338"/>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339"/>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340"/>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341"/>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342"/>
        <w:t>a</w:t>
      </w:r>
      <w:r>
        <w:rPr/>
        <w:t>, wie die Ströme im Südland.</w:t>
      </w:r>
      <w:r>
        <w:rPr>
          <w:rStyle w:val="Funotenanker"/>
        </w:rPr>
        <w:footnoteReference w:customMarkFollows="1" w:id="2343"/>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344"/>
        <w:t>c</w:t>
      </w:r>
      <w:r>
        <w:rPr/>
        <w:t xml:space="preserve"> und weinend</w:t>
      </w:r>
      <w:r>
        <w:rPr>
          <w:rStyle w:val="Funotenanker"/>
        </w:rPr>
        <w:footnoteReference w:customMarkFollows="1" w:id="2345"/>
        <w:t>d</w:t>
      </w:r>
      <w:r>
        <w:rPr/>
        <w:t xml:space="preserve"> trägt</w:t>
      </w:r>
      <w:r>
        <w:rPr>
          <w:rStyle w:val="Funotenanker"/>
        </w:rPr>
        <w:footnoteReference w:customMarkFollows="1" w:id="2346"/>
        <w:t>e</w:t>
      </w:r>
      <w:r>
        <w:rPr/>
        <w:t xml:space="preserve"> er eine Saat-Tasche. Er kommt zurück</w:t>
      </w:r>
      <w:r>
        <w:rPr>
          <w:rStyle w:val="Funotenanker"/>
        </w:rPr>
        <w:footnoteReference w:customMarkFollows="1" w:id="2347"/>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348"/>
        <w:t>Status</w:t>
      </w:r>
      <w:r>
        <w:rPr/>
        <w:t xml:space="preserve"> Ein Wallfahrtslied </w:t>
      </w:r>
      <w:r>
        <w:rPr>
          <w:color w:val="808080"/>
        </w:rPr>
        <w:t>(Stufenlied, Reiselied)</w:t>
      </w:r>
      <w:r>
        <w:rPr/>
        <w:t xml:space="preserve"> </w:t>
      </w:r>
      <w:r>
        <w:rPr>
          <w:rStyle w:val="Funotenanker"/>
        </w:rPr>
        <w:footnoteReference w:customMarkFollows="1" w:id="2349"/>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350"/>
        <w:t>b</w:t>
      </w:r>
      <w:r>
        <w:rPr/>
        <w:t xml:space="preserve">, mein Herz </w:t>
      </w:r>
      <w:r>
        <w:rPr>
          <w:color w:val="808080"/>
        </w:rPr>
        <w:t>(ich)</w:t>
      </w:r>
      <w:r>
        <w:rPr/>
        <w:t xml:space="preserve"> </w:t>
      </w:r>
      <w:r>
        <w:rPr>
          <w:rStyle w:val="Funotenanker"/>
        </w:rPr>
        <w:footnoteReference w:customMarkFollows="1" w:id="2351"/>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352"/>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353"/>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354"/>
        <w:t>f</w:t>
      </w:r>
      <w:r>
        <w:rPr/>
        <w:t xml:space="preserve"> </w:t>
      </w:r>
      <w:r>
        <w:rPr>
          <w:b/>
          <w:color w:val="808080"/>
        </w:rPr>
        <w:t>[</w:t>
      </w:r>
      <w:r>
        <w:rPr/>
        <w:t>für mich zu</w:t>
      </w:r>
      <w:r>
        <w:rPr>
          <w:b/>
          <w:color w:val="808080"/>
        </w:rPr>
        <w:t>]</w:t>
      </w:r>
      <w:r>
        <w:rPr/>
        <w:t xml:space="preserve"> </w:t>
      </w:r>
      <w:r>
        <w:rPr>
          <w:rStyle w:val="Funotenanker"/>
        </w:rPr>
        <w:footnoteReference w:customMarkFollows="1" w:id="2355"/>
        <w:t>g</w:t>
      </w:r>
      <w:r>
        <w:rPr/>
        <w:t xml:space="preserve"> großen Zielen </w:t>
      </w:r>
      <w:r>
        <w:rPr>
          <w:color w:val="808080"/>
        </w:rPr>
        <w:t>(Großem, großen Dingen)</w:t>
      </w:r>
      <w:r>
        <w:rPr/>
        <w:t xml:space="preserve"> </w:t>
      </w:r>
      <w:r>
        <w:rPr>
          <w:rStyle w:val="Funotenanker"/>
        </w:rPr>
        <w:footnoteReference w:customMarkFollows="1" w:id="2356"/>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357"/>
        <w:t>i</w:t>
      </w:r>
      <w:r>
        <w:rPr/>
        <w:t xml:space="preserve"> ich habe meine Seele </w:t>
      </w:r>
      <w:r>
        <w:rPr>
          <w:color w:val="808080"/>
        </w:rPr>
        <w:t>(mich)</w:t>
      </w:r>
      <w:r>
        <w:rPr/>
        <w:t xml:space="preserve"> </w:t>
      </w:r>
      <w:r>
        <w:rPr>
          <w:rStyle w:val="Funotenanker"/>
        </w:rPr>
        <w:footnoteReference w:customMarkFollows="1" w:id="2358"/>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359"/>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360"/>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361"/>
        <w:t>m</w:t>
      </w:r>
      <w:r>
        <w:rPr/>
        <w:t xml:space="preserve"> </w:t>
      </w:r>
      <w:r>
        <w:rPr>
          <w:b/>
          <w:color w:val="808080"/>
        </w:rPr>
        <w:t>[</w:t>
      </w:r>
      <w:r>
        <w:rPr/>
        <w:t>auch du</w:t>
      </w:r>
      <w:r>
        <w:rPr>
          <w:b/>
          <w:color w:val="808080"/>
        </w:rPr>
        <w:t>]</w:t>
      </w:r>
      <w:r>
        <w:rPr/>
        <w:t xml:space="preserve"> </w:t>
      </w:r>
      <w:r>
        <w:rPr>
          <w:rStyle w:val="Funotenanker"/>
        </w:rPr>
        <w:footnoteReference w:customMarkFollows="1" w:id="2362"/>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363"/>
        <w:t>Status</w:t>
      </w:r>
      <w:r>
        <w:rPr/>
        <w:t xml:space="preserve"> Ein Lied der Wallfahrten </w:t>
      </w:r>
      <w:r>
        <w:rPr>
          <w:color w:val="808080"/>
        </w:rPr>
        <w:t>(großen Aufstiege, aufsteigenden Frauen)</w:t>
      </w:r>
      <w:r>
        <w:rPr/>
        <w:t xml:space="preserve"> </w:t>
      </w:r>
      <w:r>
        <w:rPr>
          <w:rStyle w:val="Funotenanker"/>
        </w:rPr>
        <w:footnoteReference w:customMarkFollows="1" w:id="2364"/>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365"/>
        <w:t>Status</w:t>
      </w:r>
      <w:r>
        <w:rPr/>
        <w:t xml:space="preserve"> Ein Lied der Wallfahrten </w:t>
      </w:r>
      <w:r>
        <w:rPr>
          <w:color w:val="808080"/>
        </w:rPr>
        <w:t>(großen Aufstiege, aufsteigenden Frauen)</w:t>
      </w:r>
      <w:r>
        <w:rPr/>
        <w:t xml:space="preserve"> </w:t>
      </w:r>
      <w:r>
        <w:rPr>
          <w:rStyle w:val="Funotenanker"/>
        </w:rPr>
        <w:footnoteReference w:customMarkFollows="1" w:id="2366"/>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367"/>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368"/>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369"/>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370"/>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371"/>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372"/>
        <w:t>c</w:t>
      </w:r>
      <w:r>
        <w:rPr/>
        <w:t xml:space="preserve"> für deine Liebe </w:t>
      </w:r>
      <w:r>
        <w:rPr>
          <w:color w:val="808080"/>
        </w:rPr>
        <w:t>(Güte, Gnade, liebende Treue, Bundestreue)</w:t>
      </w:r>
      <w:r>
        <w:rPr/>
        <w:t xml:space="preserve"> </w:t>
      </w:r>
      <w:r>
        <w:rPr>
          <w:rStyle w:val="Funotenanker"/>
        </w:rPr>
        <w:footnoteReference w:customMarkFollows="1" w:id="2373"/>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374"/>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375"/>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376"/>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377"/>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378"/>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379"/>
        <w:t>j</w:t>
      </w:r>
      <w:r>
        <w:rPr/>
        <w:t xml:space="preserve"> singen. </w:t>
        <w:br/>
        <w:t xml:space="preserve">Wie </w:t>
      </w:r>
      <w:r>
        <w:rPr>
          <w:color w:val="808080"/>
        </w:rPr>
        <w:t>(denn, ja)</w:t>
      </w:r>
      <w:r>
        <w:rPr/>
        <w:t xml:space="preserve"> groß</w:t>
      </w:r>
      <w:r>
        <w:rPr>
          <w:rStyle w:val="Funotenanker"/>
        </w:rPr>
        <w:footnoteReference w:customMarkFollows="1" w:id="2380"/>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381"/>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382"/>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383"/>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384"/>
        <w:t>o</w:t>
      </w:r>
      <w:r>
        <w:rPr/>
        <w:t xml:space="preserve"> </w:t>
        <w:br/>
        <w:t xml:space="preserve">und deine rechte Hand rettet mich </w:t>
      </w:r>
      <w:r>
        <w:rPr>
          <w:color w:val="808080"/>
        </w:rPr>
        <w:t>(hilft mir; wird/möge mich retten)</w:t>
      </w:r>
      <w:r>
        <w:rPr/>
        <w:t>!</w:t>
      </w:r>
      <w:r>
        <w:rPr>
          <w:rStyle w:val="Funotenanker"/>
        </w:rPr>
        <w:footnoteReference w:customMarkFollows="1" w:id="2385"/>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386"/>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387"/>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388"/>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389"/>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390"/>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391"/>
        <w:t>a</w:t>
      </w:r>
      <w:r>
        <w:rPr/>
        <w:t xml:space="preserve"> </w:t>
      </w:r>
      <w:r>
        <w:rPr>
          <w:b/>
          <w:color w:val="808080"/>
        </w:rPr>
        <w:t>[</w:t>
      </w:r>
      <w:r>
        <w:rPr/>
        <w:t>singt</w:t>
      </w:r>
      <w:r>
        <w:rPr>
          <w:b/>
          <w:color w:val="808080"/>
        </w:rPr>
        <w:t>]</w:t>
      </w:r>
      <w:r>
        <w:rPr/>
        <w:t xml:space="preserve"> </w:t>
      </w:r>
      <w:r>
        <w:rPr>
          <w:rStyle w:val="Funotenanker"/>
        </w:rPr>
        <w:footnoteReference w:customMarkFollows="1" w:id="2392"/>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393"/>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394"/>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395"/>
        <w:t>e</w:t>
      </w:r>
      <w:r>
        <w:rPr/>
        <w:t xml:space="preserve"> preisen mit </w:t>
      </w:r>
      <w:r>
        <w:rPr>
          <w:color w:val="808080"/>
        </w:rPr>
        <w:t>(im</w:t>
      </w:r>
      <w:r>
        <w:rPr/>
        <w:t xml:space="preserve"> </w:t>
      </w:r>
      <w:r>
        <w:rPr>
          <w:rStyle w:val="Funotenanker"/>
        </w:rPr>
        <w:footnoteReference w:customMarkFollows="1" w:id="2396"/>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397"/>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398"/>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399"/>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400"/>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401"/>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402"/>
        <w:t>l</w:t>
      </w:r>
      <w:r>
        <w:rPr/>
        <w:t xml:space="preserve"> Herrlichkeit </w:t>
      </w:r>
      <w:r>
        <w:rPr>
          <w:color w:val="808080"/>
        </w:rPr>
        <w:t>(Herrlichen, Mächtigen)</w:t>
      </w:r>
      <w:r>
        <w:rPr/>
        <w:t>, jubeln sollen sie auf ihren Lagern</w:t>
      </w:r>
      <w:r>
        <w:rPr>
          <w:rStyle w:val="Funotenanker"/>
        </w:rPr>
        <w:footnoteReference w:customMarkFollows="1" w:id="2403"/>
        <w:t>m</w:t>
      </w:r>
      <w:r>
        <w:rPr/>
        <w:t>,</w:t>
      </w:r>
      <w:r>
        <w:rPr>
          <w:color w:val="808080"/>
        </w:rPr>
        <w:t>(-)</w:t>
      </w:r>
      <w:r>
        <w:rPr/>
        <w:t xml:space="preserve"> </w:t>
      </w:r>
      <w:r>
        <w:rPr>
          <w:rStyle w:val="Funotenanker"/>
        </w:rPr>
        <w:footnoteReference w:customMarkFollows="1" w:id="2404"/>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405"/>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406"/>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407"/>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408"/>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409"/>
        <w:t>s</w:t>
      </w:r>
      <w:r>
        <w:rPr/>
        <w:t xml:space="preserve">. Er </w:t>
      </w:r>
      <w:r>
        <w:rPr>
          <w:color w:val="808080"/>
        </w:rPr>
        <w:t>(Das)</w:t>
      </w:r>
      <w:r>
        <w:rPr/>
        <w:t xml:space="preserve"> </w:t>
      </w:r>
      <w:r>
        <w:rPr>
          <w:rStyle w:val="Funotenanker"/>
        </w:rPr>
        <w:footnoteReference w:customMarkFollows="1" w:id="2410"/>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411"/>
        <w:t>a</w:t>
      </w:r>
      <w:r>
        <w:rPr/>
        <w:t xml:space="preserve"> komme in dein Herz</w:t>
      </w:r>
      <w:r>
        <w:rPr>
          <w:rStyle w:val="Funotenanker"/>
        </w:rPr>
        <w:footnoteReference w:customMarkFollows="1" w:id="2412"/>
        <w:t>b</w:t>
      </w:r>
      <w:r>
        <w:rPr/>
        <w:t xml:space="preserve"> </w:t>
        <w:br/>
        <w:t>und Erkenntnis</w:t>
      </w:r>
      <w:r>
        <w:rPr>
          <w:rStyle w:val="Funotenanker"/>
        </w:rPr>
        <w:footnoteReference w:customMarkFollows="1" w:id="2413"/>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41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41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41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41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41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41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42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42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42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423"/>
        <w:t>Status</w:t>
      </w:r>
      <w:r>
        <w:rPr/>
        <w:t xml:space="preserve"> Wirf dein Brot auf die Wasseroberfläche, denn in vielen Tagen wirst du es finden.</w:t>
      </w:r>
      <w:r>
        <w:rPr>
          <w:rStyle w:val="Funotenanker"/>
        </w:rPr>
        <w:footnoteReference w:customMarkFollows="1" w:id="242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425"/>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426"/>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häufig Parallelen v.a. in griechischen Texten. Z.B. heißt es in einem Epigramm von Asklepiades: &lt;poem&gt;„Und wenn sie [=Didyme] auch dunkel gefärbt ist: Was macht das? Das gilt auch für Kohlen, doch wenn man jene entzündet, leuchten sie wie Rosenknospen!“ (AS V 210)</w:t>
      </w:r>
      <w:r>
        <w:rPr>
          <w:rStyle w:val="Funotenanker"/>
        </w:rPr>
        <w:footnoteReference w:customMarkFollows="1" w:id="2427"/>
        <w:t>c</w:t>
      </w:r>
      <w:r>
        <w:rPr/>
        <w:t>&lt;/poem&gt;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428"/>
        <w:t>d</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429"/>
        <w:t>e</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430"/>
        <w:t>Status</w:t>
      </w:r>
      <w:r>
        <w:rPr/>
        <w:t xml:space="preserve"> '''Das Lied der Lieder,</w:t>
      </w:r>
      <w:r>
        <w:rPr>
          <w:rStyle w:val="Funotenanker"/>
        </w:rPr>
        <w:footnoteReference w:customMarkFollows="1" w:id="2431"/>
        <w:t>f</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432"/>
        <w:t>g</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433"/>
        <w:t>h</w:t>
      </w:r>
      <w:r>
        <w:rPr/>
        <w:t xml:space="preserve"> „Er küsse mich mit Küssen </w:t>
      </w:r>
      <w:r>
        <w:rPr>
          <w:color w:val="808080"/>
        </w:rPr>
        <w:t>(mit einigen von den Küssen)</w:t>
      </w:r>
      <w:r>
        <w:rPr/>
        <w:t xml:space="preserve"> seines Mundes!</w:t>
      </w:r>
      <w:r>
        <w:rPr>
          <w:rStyle w:val="Funotenanker"/>
        </w:rPr>
        <w:footnoteReference w:customMarkFollows="1" w:id="2434"/>
        <w:t>i</w:t>
      </w:r>
      <w:r>
        <w:rPr/>
        <w:t xml:space="preserve">Oh!, </w:t>
      </w:r>
      <w:r>
        <w:rPr>
          <w:color w:val="808080"/>
        </w:rPr>
        <w:t>(Denn)</w:t>
      </w:r>
      <w:r>
        <w:rPr/>
        <w:t xml:space="preserve"> deine</w:t>
      </w:r>
      <w:r>
        <w:rPr>
          <w:rStyle w:val="Funotenanker"/>
        </w:rPr>
        <w:footnoteReference w:customMarkFollows="1" w:id="2435"/>
        <w:t>j</w:t>
      </w:r>
      <w:r>
        <w:rPr/>
        <w:t xml:space="preserve"> Liebkosungen</w:t>
      </w:r>
      <w:r>
        <w:rPr>
          <w:rStyle w:val="Funotenanker"/>
        </w:rPr>
        <w:footnoteReference w:customMarkFollows="1" w:id="2436"/>
        <w:t>k</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437"/>
        <w:t>l</w:t>
      </w:r>
      <w:r>
        <w:rPr/>
        <w:t xml:space="preserve"> als Wein;</w:t>
      </w:r>
      <w:r>
        <w:rPr>
          <w:rStyle w:val="Funotenanker"/>
        </w:rPr>
        <w:footnoteReference w:customMarkFollows="1" w:id="2438"/>
        <w:t>m</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439"/>
        <w:t>n</w:t>
      </w:r>
      <w:r>
        <w:rPr/>
        <w:t xml:space="preserve"> </w:t>
      </w:r>
      <w:r>
        <w:rPr>
          <w:color w:val="808080"/>
        </w:rPr>
        <w:t>(deiner Öle)</w:t>
      </w:r>
      <w:r>
        <w:rPr/>
        <w:t xml:space="preserve"> </w:t>
      </w:r>
      <w:r>
        <w:rPr>
          <w:rStyle w:val="Funotenanker"/>
        </w:rPr>
        <w:footnoteReference w:customMarkFollows="1" w:id="2440"/>
        <w:t>o</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441"/>
        <w:t>p</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442"/>
        <w:t>q</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443"/>
        <w:t>r</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444"/>
        <w:t>s</w:t>
      </w:r>
      <w:r>
        <w:rPr/>
        <w:t xml:space="preserve"> lieben dich.“</w:t>
        <w:br/>
        <w:t>★</w:t>
      </w:r>
      <w:r>
        <w:rPr>
          <w:rStyle w:val="Funotenanker"/>
        </w:rPr>
        <w:footnoteReference w:customMarkFollows="1" w:id="2445"/>
        <w:t>t</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446"/>
        <w:t>u</w:t>
      </w:r>
      <w:r>
        <w:rPr/>
        <w:t>Wie die Zelte Kedars,</w:t>
      </w:r>
      <w:r>
        <w:rPr>
          <w:rStyle w:val="Funotenanker"/>
        </w:rPr>
        <w:footnoteReference w:customMarkFollows="1" w:id="2447"/>
        <w:t>v</w:t>
      </w:r>
      <w:r>
        <w:rPr/>
        <w:t xml:space="preserve"> wie die Zelte</w:t>
      </w:r>
      <w:r>
        <w:rPr>
          <w:rStyle w:val="Funotenanker"/>
        </w:rPr>
        <w:footnoteReference w:customMarkFollows="1" w:id="2448"/>
        <w:t>w</w:t>
      </w:r>
      <w:r>
        <w:rPr/>
        <w:t xml:space="preserve"> Salomos!</w:t>
      </w:r>
      <w:r>
        <w:rPr>
          <w:rStyle w:val="Funotenanker"/>
        </w:rPr>
        <w:footnoteReference w:customMarkFollows="1" w:id="2449"/>
        <w:t>x</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450"/>
        <w:t>y</w:t>
      </w:r>
      <w:r>
        <w:rPr/>
        <w:t xml:space="preserve"> </w:t>
      </w:r>
      <w:r>
        <w:rPr>
          <w:color w:val="808080"/>
        </w:rPr>
        <w:t>)</w:t>
      </w:r>
      <w:r>
        <w:rPr/>
        <w:t xml:space="preserve"> weil ich so schwarz</w:t>
      </w:r>
      <w:r>
        <w:rPr>
          <w:rStyle w:val="Funotenanker"/>
        </w:rPr>
        <w:footnoteReference w:customMarkFollows="1" w:id="2451"/>
        <w:t>z</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452"/>
        <w:t>aa</w:t>
      </w:r>
      <w:r>
        <w:rPr/>
        <w:t xml:space="preserve"> waren gegen mich entbrannt;</w:t>
      </w:r>
      <w:r>
        <w:rPr>
          <w:rStyle w:val="Funotenanker"/>
        </w:rPr>
        <w:footnoteReference w:customMarkFollows="1" w:id="2453"/>
        <w:t>ab</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454"/>
        <w:t>ac</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455"/>
        <w:t>ad</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456"/>
        <w:t>ae</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457"/>
        <w:t>af</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458"/>
        <w:t>ag</w:t>
      </w:r>
      <w:r>
        <w:rPr/>
        <w:t xml:space="preserve"> vor den Wagen des PharaoVergleiche ich dich </w:t>
      </w:r>
      <w:r>
        <w:rPr>
          <w:color w:val="808080"/>
        </w:rPr>
        <w:t>(mache ich dich gleich)</w:t>
      </w:r>
      <w:r>
        <w:rPr/>
        <w:t>, meine Freundin!</w:t>
      </w:r>
      <w:r>
        <w:rPr>
          <w:rStyle w:val="Funotenanker"/>
        </w:rPr>
        <w:footnoteReference w:customMarkFollows="1" w:id="2459"/>
        <w:t>ah</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460"/>
        <w:t>ai</w:t>
      </w:r>
      <w:r>
        <w:rPr/>
        <w:t xml:space="preserve">Dein Hals zwischen den Perlen </w:t>
      </w:r>
      <w:r>
        <w:rPr>
          <w:color w:val="808080"/>
        </w:rPr>
        <w:t>(?)</w:t>
      </w:r>
      <w:r>
        <w:rPr/>
        <w:t>.</w:t>
      </w:r>
      <w:r>
        <w:rPr>
          <w:rStyle w:val="Funotenanker"/>
        </w:rPr>
        <w:footnoteReference w:customMarkFollows="1" w:id="2461"/>
        <w:t>aj</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462"/>
        <w:t>ak</w:t>
      </w:r>
      <w:r>
        <w:rPr/>
        <w:t xml:space="preserve"> dir machen </w:t>
      </w:r>
      <w:r>
        <w:rPr>
          <w:b/>
          <w:color w:val="808080"/>
        </w:rPr>
        <w:t>[</w:t>
      </w:r>
      <w:r>
        <w:rPr/>
        <w:t>lassen</w:t>
      </w:r>
      <w:r>
        <w:rPr>
          <w:b/>
          <w:color w:val="808080"/>
        </w:rPr>
        <w:t>]</w:t>
      </w:r>
      <w:r>
        <w:rPr/>
        <w:t>,Mit Punkten aus Silber!“</w:t>
      </w:r>
      <w:r>
        <w:rPr>
          <w:rStyle w:val="Funotenanker"/>
        </w:rPr>
        <w:footnoteReference w:customMarkFollows="1" w:id="2463"/>
        <w:t>al</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464"/>
        <w:t>am</w:t>
      </w:r>
      <w:r>
        <w:rPr/>
        <w:t xml:space="preserve"> </w:t>
      </w:r>
      <w:r>
        <w:rPr>
          <w:b/>
          <w:color w:val="808080"/>
        </w:rPr>
        <w:t>[</w:t>
      </w:r>
      <w:r>
        <w:rPr/>
        <w:t>ist</w:t>
      </w:r>
      <w:r>
        <w:rPr>
          <w:b/>
          <w:color w:val="808080"/>
        </w:rPr>
        <w:t>]</w:t>
      </w:r>
      <w:r>
        <w:rPr/>
        <w:t>,Gibt meine Narde</w:t>
      </w:r>
      <w:r>
        <w:rPr>
          <w:rStyle w:val="Funotenanker"/>
        </w:rPr>
        <w:footnoteReference w:customMarkFollows="1" w:id="2465"/>
        <w:t>an</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466"/>
        <w:t>ao</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467"/>
        <w:t>ap</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468"/>
        <w:t>aq</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469"/>
        <w:t>ar</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470"/>
        <w:t>as</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471"/>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oder unglückliche Liebe wurde damals durchaus als echte Krankheit mit wirklichen Symptomen gesehen. Theokrit etwa beklagt in seiner elften Idylle, dass es gegen die Liebe kein Heilmittel gebe; weder Pflaster noch Salbe. Ovid schafft Abhilfe und verfasst mit seinen Werk „Heilmittel gegen die Liebe“ einen ganzen Therapieleitfaden.</w:t>
      </w:r>
      <w:r>
        <w:rPr>
          <w:rStyle w:val="Funotenanker"/>
        </w:rPr>
        <w:footnoteReference w:customMarkFollows="1" w:id="2472"/>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473"/>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474"/>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475"/>
        <w:t>Status</w:t>
      </w:r>
      <w:r>
        <w:rPr/>
        <w:t xml:space="preserve"> </w:t>
      </w:r>
      <w:r>
        <w:rPr>
          <w:b/>
          <w:color w:val="808080"/>
        </w:rPr>
        <w:t>[</w:t>
      </w:r>
      <w:r>
        <w:rPr/>
        <w:t>'''Frau''':</w:t>
      </w:r>
      <w:r>
        <w:rPr>
          <w:b/>
          <w:color w:val="808080"/>
        </w:rPr>
        <w:t>]</w:t>
      </w:r>
      <w:r>
        <w:rPr/>
        <w:t xml:space="preserve"> </w:t>
      </w:r>
      <w:r>
        <w:rPr>
          <w:rStyle w:val="Funotenanker"/>
        </w:rPr>
        <w:footnoteReference w:customMarkFollows="1" w:id="2476"/>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477"/>
        <w:t>f</w:t>
      </w:r>
      <w:r>
        <w:rPr/>
        <w:t xml:space="preserve"> eine </w:t>
      </w:r>
      <w:r>
        <w:rPr>
          <w:color w:val="808080"/>
        </w:rPr>
        <w:t>(die)</w:t>
      </w:r>
      <w:r>
        <w:rPr/>
        <w:t xml:space="preserve"> Lilie</w:t>
      </w:r>
      <w:r>
        <w:rPr>
          <w:rStyle w:val="Funotenanker"/>
        </w:rPr>
        <w:footnoteReference w:customMarkFollows="1" w:id="2478"/>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479"/>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480"/>
        <w:t>i</w:t>
      </w:r>
      <w:r>
        <w:rPr/>
        <w:t xml:space="preserve"> unter den Töchtern.“</w:t>
      </w:r>
      <w:r>
        <w:rPr>
          <w:rStyle w:val="Funotenanker"/>
        </w:rPr>
        <w:footnoteReference w:customMarkFollows="1" w:id="2481"/>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482"/>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483"/>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484"/>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485"/>
        <w:t>n</w:t>
      </w:r>
      <w:r>
        <w:rPr/>
        <w:t xml:space="preserve"> gebracht,Und sein Banner</w:t>
      </w:r>
      <w:r>
        <w:rPr>
          <w:rStyle w:val="Funotenanker"/>
        </w:rPr>
        <w:footnoteReference w:customMarkFollows="1" w:id="2486"/>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487"/>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488"/>
        <w:t>q</w:t>
      </w:r>
      <w:r>
        <w:rPr/>
        <w:t xml:space="preserve"> </w:t>
        <w:br/>
        <w:t>Entfacht nicht und facht nicht an</w:t>
      </w:r>
      <w:r>
        <w:rPr>
          <w:rStyle w:val="Funotenanker"/>
        </w:rPr>
        <w:footnoteReference w:customMarkFollows="1" w:id="2489"/>
        <w:t>r</w:t>
      </w:r>
      <w:r>
        <w:rPr/>
        <w:t xml:space="preserve"> die Liebe </w:t>
      </w:r>
      <w:r>
        <w:rPr>
          <w:color w:val="808080"/>
        </w:rPr>
        <w:t>(Stört nicht den Geschlechtsverkehr?</w:t>
      </w:r>
      <w:r>
        <w:rPr/>
        <w:t xml:space="preserve"> </w:t>
      </w:r>
      <w:r>
        <w:rPr>
          <w:rStyle w:val="Funotenanker"/>
        </w:rPr>
        <w:footnoteReference w:customMarkFollows="1" w:id="2490"/>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491"/>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492"/>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493"/>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494"/>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495"/>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496"/>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497"/>
        <w:t>z</w:t>
      </w:r>
      <w:r>
        <w:rPr/>
        <w:t xml:space="preserve"> vorübergegangen,Der Regen ist weitergezogen, </w:t>
      </w:r>
      <w:r>
        <w:rPr>
          <w:strike/>
          <w:color w:val="808080"/>
        </w:rPr>
        <w:t>{sich}</w:t>
      </w:r>
      <w:r>
        <w:rPr/>
        <w:t xml:space="preserve"> fortgelaufen!</w:t>
      </w:r>
      <w:r>
        <w:rPr>
          <w:rStyle w:val="Funotenanker"/>
        </w:rPr>
        <w:footnoteReference w:customMarkFollows="1" w:id="2498"/>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499"/>
        <w:t>ab</w:t>
      </w:r>
      <w:r>
        <w:rPr/>
        <w:t xml:space="preserve"> ist gekommenUnd die Stimme der Turteltaube</w:t>
      </w:r>
      <w:r>
        <w:rPr>
          <w:rStyle w:val="Funotenanker"/>
        </w:rPr>
        <w:footnoteReference w:customMarkFollows="1" w:id="2500"/>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501"/>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502"/>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503"/>
        <w:t>af</w:t>
      </w:r>
      <w:r>
        <w:rPr/>
        <w:t xml:space="preserve"> in den Felsenspalten,Im Versteck der Terrasse </w:t>
      </w:r>
      <w:r>
        <w:rPr>
          <w:color w:val="808080"/>
        </w:rPr>
        <w:t>(Steinwand)</w:t>
      </w:r>
      <w:r>
        <w:rPr/>
        <w:t xml:space="preserve"> </w:t>
      </w:r>
      <w:r>
        <w:rPr>
          <w:rStyle w:val="Funotenanker"/>
        </w:rPr>
        <w:footnoteReference w:customMarkFollows="1" w:id="2504"/>
        <w:t>ag</w:t>
      </w:r>
      <w:r>
        <w:rPr/>
        <w:t xml:space="preserve"> </w:t>
        <w:br/>
        <w:t xml:space="preserve">Lass mich deinen Anblick </w:t>
      </w:r>
      <w:r>
        <w:rPr>
          <w:color w:val="808080"/>
        </w:rPr>
        <w:t>(deine Anblicke)</w:t>
      </w:r>
      <w:r>
        <w:rPr/>
        <w:t xml:space="preserve"> </w:t>
      </w:r>
      <w:r>
        <w:rPr>
          <w:rStyle w:val="Funotenanker"/>
        </w:rPr>
        <w:footnoteReference w:customMarkFollows="1" w:id="2505"/>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506"/>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507"/>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508"/>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509"/>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510"/>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ihm zu suchen. Zur mutmaßlichen (hellenistischen)</w:t>
      </w:r>
      <w:r>
        <w:rPr>
          <w:rStyle w:val="Funotenanker"/>
        </w:rPr>
        <w:footnoteReference w:customMarkFollows="1" w:id="2511"/>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512"/>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die im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muss aber wohl mitgehört werden. Auch sonst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513"/>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514"/>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515"/>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516"/>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517"/>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518"/>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&lt;small&gt;rahmenlos</w:t>
      </w:r>
      <w:r>
        <w:rPr>
          <w:rStyle w:val="Funotenanker"/>
        </w:rPr>
        <w:footnoteReference w:customMarkFollows="1" w:id="2519"/>
        <w:t>i</w:t>
      </w:r>
      <w:r>
        <w:rPr/>
        <w:t xml:space="preserve">Griechische Hochzeitskammer mit Brautbett. (c) Horine, Stephen: Interpretive Images in the Song of Songs. From Wedding Chariots to Bridal Chambers. New York u.a., 2001. S. 83.Auch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oder das rechts Abgebildete.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rStyle w:val="Funotenanker"/>
        </w:rPr>
        <w:footnoteReference w:customMarkFollows="1" w:id="2520"/>
        <w:t>Status</w:t>
      </w:r>
      <w:r>
        <w:rPr/>
        <w:t xml:space="preserve"> </w:t>
      </w:r>
      <w:r>
        <w:rPr>
          <w:b/>
          <w:color w:val="808080"/>
        </w:rPr>
        <w:t>[</w:t>
      </w:r>
      <w:r>
        <w:rPr/>
        <w:t>'''Frau''':</w:t>
      </w:r>
      <w:r>
        <w:rPr>
          <w:b/>
          <w:color w:val="808080"/>
        </w:rPr>
        <w:t>]</w:t>
      </w:r>
      <w:r>
        <w:rPr/>
        <w:t xml:space="preserve"> </w:t>
      </w:r>
      <w:r>
        <w:rPr>
          <w:rStyle w:val="Funotenanker"/>
        </w:rPr>
        <w:footnoteReference w:customMarkFollows="1" w:id="2521"/>
        <w:t>j</w:t>
      </w:r>
      <w:r>
        <w:rPr/>
        <w:t xml:space="preserve"> „Auf meinem Lager in den Nächten </w:t>
      </w:r>
      <w:r>
        <w:rPr>
          <w:color w:val="808080"/>
        </w:rPr>
        <w:t>(in der Nacht)</w:t>
      </w:r>
      <w:r>
        <w:rPr/>
        <w:t xml:space="preserve"> </w:t>
      </w:r>
      <w:r>
        <w:rPr>
          <w:rStyle w:val="Funotenanker"/>
        </w:rPr>
        <w:footnoteReference w:customMarkFollows="1" w:id="2522"/>
        <w:t>k</w:t>
      </w:r>
      <w:r>
        <w:rPr/>
        <w:t xml:space="preserve"> suchte ich </w:t>
      </w:r>
      <w:r>
        <w:rPr>
          <w:color w:val="808080"/>
        </w:rPr>
        <w:t>(sehnte ich mich nach dem)</w:t>
      </w:r>
      <w:r>
        <w:rPr/>
        <w:t>,</w:t>
      </w:r>
      <w:r>
        <w:rPr>
          <w:rStyle w:val="Funotenanker"/>
        </w:rPr>
        <w:footnoteReference w:customMarkFollows="1" w:id="2523"/>
        <w:t>l</w:t>
      </w:r>
      <w:r>
        <w:rPr/>
        <w:t xml:space="preserve">Den meine Seele liebt </w:t>
      </w:r>
      <w:r>
        <w:rPr>
          <w:color w:val="808080"/>
        </w:rPr>
        <w:t>(den ich liebe)</w:t>
      </w:r>
      <w:r>
        <w:rPr/>
        <w:t>;</w:t>
      </w:r>
      <w:r>
        <w:rPr>
          <w:rStyle w:val="Funotenanker"/>
        </w:rPr>
        <w:footnoteReference w:customMarkFollows="1" w:id="2524"/>
        <w:t>m</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525"/>
        <w:t>n</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526"/>
        <w:t>o</w:t>
      </w:r>
      <w:r>
        <w:rPr/>
        <w:t xml:space="preserve"> mich die Wächter,Die in der Stadt umhergingen </w:t>
      </w:r>
      <w:r>
        <w:rPr>
          <w:color w:val="808080"/>
        </w:rPr>
        <w:t>(Umhergehenden)</w:t>
      </w:r>
      <w:r>
        <w:rPr/>
        <w:t xml:space="preserve"> </w:t>
      </w:r>
      <w:r>
        <w:rPr>
          <w:rStyle w:val="Funotenanker"/>
        </w:rPr>
        <w:footnoteReference w:customMarkFollows="1" w:id="2527"/>
        <w:t>p</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528"/>
        <w:t>q</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529"/>
        <w:t>r</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530"/>
        <w:t>s</w:t>
      </w:r>
      <w:r>
        <w:rPr/>
        <w:t xml:space="preserve"> </w:t>
        <w:br/>
        <w:t>Entfacht nicht und facht nicht an</w:t>
      </w:r>
      <w:r>
        <w:rPr>
          <w:rStyle w:val="Funotenanker"/>
        </w:rPr>
        <w:footnoteReference w:customMarkFollows="1" w:id="2531"/>
        <w:t>t</w:t>
      </w:r>
      <w:r>
        <w:rPr/>
        <w:t xml:space="preserve"> die Liebe </w:t>
      </w:r>
      <w:r>
        <w:rPr>
          <w:color w:val="808080"/>
        </w:rPr>
        <w:t>(Stört nicht den Geschlechtsverkehr?</w:t>
      </w:r>
      <w:r>
        <w:rPr/>
        <w:t xml:space="preserve"> </w:t>
      </w:r>
      <w:r>
        <w:rPr>
          <w:rStyle w:val="Funotenanker"/>
        </w:rPr>
        <w:footnoteReference w:customMarkFollows="1" w:id="2532"/>
        <w:t>u</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533"/>
        <w:t>v</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534"/>
        <w:t>w</w:t>
      </w:r>
      <w:r>
        <w:rPr/>
        <w:t xml:space="preserve"> „Wer</w:t>
      </w:r>
      <w:r>
        <w:rPr>
          <w:rStyle w:val="Funotenanker"/>
        </w:rPr>
        <w:footnoteReference w:customMarkFollows="1" w:id="2535"/>
        <w:t>x</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536"/>
        <w:t>y</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537"/>
        <w:t>z</w:t>
      </w:r>
      <w:r>
        <w:rPr/>
        <w:t xml:space="preserve">Als alle Pulver des Händlers </w:t>
      </w:r>
      <w:r>
        <w:rPr>
          <w:color w:val="808080"/>
        </w:rPr>
        <w:t>(Duftend nach Myrrhe und Weihrauch, nach allen Pulvern des Händlers)</w:t>
      </w:r>
      <w:r>
        <w:rPr/>
        <w:t>!?</w:t>
      </w:r>
      <w:r>
        <w:rPr>
          <w:rStyle w:val="Funotenanker"/>
        </w:rPr>
        <w:footnoteReference w:customMarkFollows="1" w:id="2538"/>
        <w:t>aa</w:t>
      </w:r>
      <w:r>
        <w:rPr/>
        <w:t xml:space="preserve"> </w:t>
        <w:br/>
        <w:t>★</w:t>
      </w:r>
      <w:r>
        <w:rPr>
          <w:rStyle w:val="Funotenanker"/>
        </w:rPr>
        <w:footnoteReference w:customMarkFollows="1" w:id="2539"/>
        <w:t>ab</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540"/>
        <w:t>ac</w:t>
      </w:r>
      <w:r>
        <w:rPr/>
        <w:t xml:space="preserve"> Siehe, das Bett </w:t>
      </w:r>
      <w:r>
        <w:rPr>
          <w:color w:val="808080"/>
        </w:rPr>
        <w:t>(die Liegesänfte?)</w:t>
      </w:r>
      <w:r>
        <w:rPr/>
        <w:t xml:space="preserve"> Salomos</w:t>
      </w:r>
      <w:r>
        <w:rPr>
          <w:rStyle w:val="Funotenanker"/>
        </w:rPr>
        <w:footnoteReference w:customMarkFollows="1" w:id="2541"/>
        <w:t>ad</w:t>
      </w:r>
      <w:r>
        <w:rPr/>
        <w:t xml:space="preserve"> </w:t>
        <w:br/>
        <w:t xml:space="preserve">Sechzig Helden </w:t>
      </w:r>
      <w:r>
        <w:rPr>
          <w:color w:val="808080"/>
        </w:rPr>
        <w:t>(Krieger, Männer)</w:t>
      </w:r>
      <w:r>
        <w:rPr/>
        <w:t xml:space="preserve"> um esVon den Helden </w:t>
      </w:r>
      <w:r>
        <w:rPr>
          <w:color w:val="808080"/>
        </w:rPr>
        <w:t>(Krieger, Männer)</w:t>
      </w:r>
      <w:r>
        <w:rPr/>
        <w:t xml:space="preserve"> Israels:</w:t>
      </w:r>
      <w:r>
        <w:rPr>
          <w:rStyle w:val="Funotenanker"/>
        </w:rPr>
        <w:footnoteReference w:customMarkFollows="1" w:id="2542"/>
        <w:t>ae</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543"/>
        <w:t>af</w:t>
      </w:r>
      <w:r>
        <w:rPr/>
        <w:t>Geübt im Kampf.</w:t>
      </w:r>
      <w:r>
        <w:rPr>
          <w:rStyle w:val="Funotenanker"/>
        </w:rPr>
        <w:footnoteReference w:customMarkFollows="1" w:id="2544"/>
        <w:t>ag</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545"/>
        <w:t>ah</w:t>
      </w:r>
      <w:r>
        <w:rPr/>
        <w:t xml:space="preserve"> </w:t>
        <w:br/>
        <w:t>(★)</w:t>
      </w:r>
      <w:r>
        <w:rPr>
          <w:rStyle w:val="Funotenanker"/>
        </w:rPr>
        <w:footnoteReference w:customMarkFollows="1" w:id="2546"/>
        <w:t>ai</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547"/>
        <w:t>aj</w:t>
      </w:r>
      <w:r>
        <w:rPr/>
        <w:t xml:space="preserve"> ließ sich machen </w:t>
      </w:r>
      <w:r>
        <w:rPr>
          <w:color w:val="808080"/>
        </w:rPr>
        <w:t>(hat sich gemacht)</w:t>
      </w:r>
      <w:r>
        <w:rPr/>
        <w:t xml:space="preserve"> </w:t>
      </w:r>
      <w:r>
        <w:rPr>
          <w:rStyle w:val="Funotenanker"/>
        </w:rPr>
        <w:footnoteReference w:customMarkFollows="1" w:id="2548"/>
        <w:t>ak</w:t>
      </w:r>
      <w:r>
        <w:rPr/>
        <w:t xml:space="preserve"> der König SalomoAus Holz vom Libanon.</w:t>
      </w:r>
      <w:r>
        <w:rPr>
          <w:rStyle w:val="Funotenanker"/>
        </w:rPr>
        <w:footnoteReference w:customMarkFollows="1" w:id="2549"/>
        <w:t>al</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550"/>
        <w:t>am</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551"/>
        <w:t>an</w:t>
      </w:r>
      <w:r>
        <w:rPr/>
        <w:t xml:space="preserve"> purpurn,</w:t>
      </w:r>
      <w:r>
        <w:rPr>
          <w:rStyle w:val="Funotenanker"/>
        </w:rPr>
        <w:footnoteReference w:customMarkFollows="1" w:id="2552"/>
        <w:t>ao</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553"/>
        <w:t>ap</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554"/>
        <w:t>aq</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555"/>
        <w:t>ar</w:t>
      </w:r>
      <w:r>
        <w:rPr/>
        <w:t xml:space="preserve"> </w:t>
        <w:br/>
        <w:t>Auf König Salomo,Auf seine Krone,</w:t>
      </w:r>
      <w:r>
        <w:rPr>
          <w:rStyle w:val="Funotenanker"/>
        </w:rPr>
        <w:footnoteReference w:customMarkFollows="1" w:id="2556"/>
        <w:t>as</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557"/>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558"/>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559"/>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560"/>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561"/>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und Unwetter.{{field-off:bible}} </w:t>
      </w:r>
    </w:p>
    <w:p>
      <w:pPr>
        <w:pStyle w:val="Berschrift3"/>
        <w:rPr/>
      </w:pPr>
      <w:r>
        <w:rPr/>
        <w:t>[[@BibleTOBIBLE:Is 5]]Kapitel 5</w:t>
      </w:r>
    </w:p>
    <w:p>
      <w:pPr>
        <w:pStyle w:val="Textkrper"/>
        <w:rPr/>
      </w:pPr>
      <w:r>
        <w:rPr/>
        <w:br/>
        <w:t>[[@BibleTOBIBLE:Is 5:1]]</w:t>
      </w:r>
      <w:r>
        <w:rPr>
          <w:b/>
        </w:rPr>
        <w:t>1</w:t>
      </w:r>
      <w:r>
        <w:rPr/>
        <w:t xml:space="preserve"> {{field-on:bible}}Ich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562"/>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563"/>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564"/>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565"/>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566"/>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567"/>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568"/>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569"/>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570"/>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571"/>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572"/>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573"/>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{{field-on:bible}}Das Volk, das wandelt</w:t>
      </w:r>
      <w:r>
        <w:rPr>
          <w:rStyle w:val="Funotenanker"/>
        </w:rPr>
        <w:footnoteReference w:customMarkFollows="1" w:id="2574"/>
        <w:t>a</w:t>
      </w:r>
      <w:r>
        <w:rPr/>
        <w:t xml:space="preserve"> in Dunkelheit </w:t>
      </w:r>
      <w:r>
        <w:rPr>
          <w:color w:val="808080"/>
        </w:rPr>
        <w:t>(Finsternis)</w:t>
      </w:r>
      <w:r>
        <w:rPr/>
        <w:t xml:space="preserve"> </w:t>
      </w:r>
      <w:r>
        <w:rPr>
          <w:rStyle w:val="Funotenanker"/>
        </w:rPr>
        <w:footnoteReference w:customMarkFollows="1" w:id="2575"/>
        <w:t>b</w:t>
      </w:r>
      <w:r>
        <w:rPr/>
        <w:t>, sie sehen ein großes Licht, die Wohnenden im Land des Todesschattens</w:t>
      </w:r>
      <w:r>
        <w:rPr>
          <w:rStyle w:val="Funotenanker"/>
        </w:rPr>
        <w:footnoteReference w:customMarkFollows="1" w:id="2576"/>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577"/>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578"/>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579"/>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580"/>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581"/>
        <w:t>c</w:t>
      </w:r>
      <w:r>
        <w:rPr/>
        <w:t xml:space="preserve"> </w:t>
      </w:r>
      <w:r>
        <w:rPr>
          <w:color w:val="808080"/>
        </w:rPr>
        <w:t>)</w:t>
      </w:r>
      <w:r>
        <w:rPr/>
        <w:t xml:space="preserve"> </w:t>
      </w:r>
      <w:r>
        <w:rPr>
          <w:rStyle w:val="Funotenanker"/>
        </w:rPr>
        <w:footnoteReference w:customMarkFollows="1" w:id="2582"/>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583"/>
        <w:t>Status</w:t>
      </w:r>
      <w:r>
        <w:rPr/>
        <w:t xml:space="preserve"> </w:t>
        <w:br/>
        <w:t>Es werden sich freuen</w:t>
      </w:r>
      <w:r>
        <w:rPr>
          <w:rStyle w:val="Funotenanker"/>
        </w:rPr>
        <w:footnoteReference w:customMarkFollows="1" w:id="2584"/>
        <w:t>a</w:t>
      </w:r>
      <w:r>
        <w:rPr/>
        <w:t xml:space="preserve"> Wüste und trockene Gegend</w:t>
      </w:r>
      <w:r>
        <w:rPr>
          <w:rStyle w:val="Funotenanker"/>
        </w:rPr>
        <w:footnoteReference w:customMarkFollows="1" w:id="2585"/>
        <w:t>b</w:t>
      </w:r>
      <w:r>
        <w:rPr/>
        <w:t>,</w:t>
        <w:br/>
        <w:t xml:space="preserve">und die Steppe </w:t>
      </w:r>
      <w:r>
        <w:rPr>
          <w:color w:val="808080"/>
        </w:rPr>
        <w:t>(Wüste)</w:t>
      </w:r>
      <w:r>
        <w:rPr/>
        <w:t xml:space="preserve"> </w:t>
      </w:r>
      <w:r>
        <w:rPr>
          <w:rStyle w:val="Funotenanker"/>
        </w:rPr>
        <w:footnoteReference w:customMarkFollows="1" w:id="2586"/>
        <w:t>c</w:t>
      </w:r>
      <w:r>
        <w:rPr/>
        <w:t xml:space="preserve"> wird jauchzen und aufblühen </w:t>
        <w:br/>
        <w:t>wie eine Lilie</w:t>
      </w:r>
      <w:r>
        <w:rPr>
          <w:rStyle w:val="Funotenanker"/>
        </w:rPr>
        <w:footnoteReference w:customMarkFollows="1" w:id="2587"/>
        <w:t>d</w:t>
      </w:r>
      <w:r>
        <w:rPr/>
        <w:t>.</w:t>
        <w:br/>
        <w:t xml:space="preserve">{{field-off:bible}} </w:t>
        <w:br/>
        <w:t>[[@BibleTOBIBLE:Is 35:2]]</w:t>
      </w:r>
      <w:r>
        <w:rPr>
          <w:b/>
        </w:rPr>
        <w:t>2</w:t>
      </w:r>
      <w:r>
        <w:rPr/>
        <w:t xml:space="preserve"> {{field-on:bible}} </w:t>
        <w:br/>
        <w:t>Ja, aufblühen wird sie</w:t>
      </w:r>
      <w:r>
        <w:rPr>
          <w:rStyle w:val="Funotenanker"/>
        </w:rPr>
        <w:footnoteReference w:customMarkFollows="1" w:id="2588"/>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589"/>
        <w:t>f</w:t>
      </w:r>
      <w:r>
        <w:rPr/>
        <w:t xml:space="preserve"> ist ihr gegeben,</w:t>
        <w:br/>
        <w:t>die Pracht von Karmel</w:t>
      </w:r>
      <w:r>
        <w:rPr>
          <w:rStyle w:val="Funotenanker"/>
        </w:rPr>
        <w:footnoteReference w:customMarkFollows="1" w:id="2590"/>
        <w:t>g</w:t>
      </w:r>
      <w:r>
        <w:rPr/>
        <w:t xml:space="preserve"> und Scharon</w:t>
      </w:r>
      <w:r>
        <w:rPr>
          <w:rStyle w:val="Funotenanker"/>
        </w:rPr>
        <w:footnoteReference w:customMarkFollows="1" w:id="2591"/>
        <w:t>h</w:t>
      </w:r>
      <w:r>
        <w:rPr/>
        <w:t>.</w:t>
        <w:br/>
        <w:t xml:space="preserve">Wir sehen die Herrlichkeit </w:t>
      </w:r>
      <w:r>
        <w:rPr>
          <w:smallCaps/>
          <w:color w:val="FF0000"/>
        </w:rPr>
        <w:t>JHWH</w:t>
      </w:r>
      <w:r>
        <w:rPr/>
        <w:t>s,</w:t>
        <w:br/>
        <w:t>die Pracht</w:t>
      </w:r>
      <w:r>
        <w:rPr>
          <w:rStyle w:val="Funotenanker"/>
        </w:rPr>
        <w:footnoteReference w:customMarkFollows="1" w:id="2592"/>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593"/>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594"/>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595"/>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596"/>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597"/>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598"/>
        <w:t>o</w:t>
      </w:r>
      <w:r>
        <w:rPr/>
        <w:t xml:space="preserve"> zu Wasserquellen.</w:t>
        <w:br/>
        <w:t>Statt</w:t>
      </w:r>
      <w:r>
        <w:rPr>
          <w:rStyle w:val="Funotenanker"/>
        </w:rPr>
        <w:footnoteReference w:customMarkFollows="1" w:id="2599"/>
        <w:t>p</w:t>
      </w:r>
      <w:r>
        <w:rPr/>
        <w:t xml:space="preserve"> Revier</w:t>
      </w:r>
      <w:r>
        <w:rPr>
          <w:rStyle w:val="Funotenanker"/>
        </w:rPr>
        <w:footnoteReference w:customMarkFollows="1" w:id="2600"/>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601"/>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602"/>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603"/>
        <w:t>t</w:t>
      </w:r>
      <w:r>
        <w:rPr/>
        <w:t>, die gehen</w:t>
      </w:r>
      <w:r>
        <w:rPr>
          <w:rStyle w:val="Funotenanker"/>
        </w:rPr>
        <w:footnoteReference w:customMarkFollows="1" w:id="2604"/>
        <w:t>u</w:t>
      </w:r>
      <w:r>
        <w:rPr/>
        <w:t xml:space="preserve"> auf dem Weg,</w:t>
        <w:br/>
        <w:t xml:space="preserve">aber </w:t>
      </w:r>
      <w:r>
        <w:rPr>
          <w:rStyle w:val="Funotenanker"/>
        </w:rPr>
        <w:footnoteReference w:customMarkFollows="1" w:id="2605"/>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606"/>
        <w:t>w</w:t>
      </w:r>
      <w:r>
        <w:rPr/>
        <w:t xml:space="preserve"> werden nicht hinaufsteigen,</w:t>
        <w:br/>
        <w:t>sie werden dort nicht gefunden,</w:t>
        <w:br/>
        <w:t>sondern</w:t>
      </w:r>
      <w:r>
        <w:rPr>
          <w:rStyle w:val="Funotenanker"/>
        </w:rPr>
        <w:footnoteReference w:customMarkFollows="1" w:id="2607"/>
        <w:t>x</w:t>
      </w:r>
      <w:r>
        <w:rPr/>
        <w:t xml:space="preserve"> es gehen die Erlösten</w:t>
      </w:r>
      <w:r>
        <w:rPr>
          <w:rStyle w:val="Funotenanker"/>
        </w:rPr>
        <w:footnoteReference w:customMarkFollows="1" w:id="2608"/>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609"/>
        <w:t>z</w:t>
      </w:r>
      <w:r>
        <w:rPr/>
        <w:t>,</w:t>
        <w:br/>
        <w:t>aber</w:t>
      </w:r>
      <w:r>
        <w:rPr>
          <w:rStyle w:val="Funotenanker"/>
        </w:rPr>
        <w:footnoteReference w:customMarkFollows="1" w:id="2610"/>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611"/>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612"/>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613"/>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614"/>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615"/>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616"/>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617"/>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618"/>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2619"/>
        <w:t>a</w:t>
      </w:r>
      <w:r>
        <w:rPr/>
        <w:t xml:space="preserve"> es und es ist nichts</w:t>
      </w:r>
      <w:r>
        <w:rPr>
          <w:rStyle w:val="Funotenanker"/>
        </w:rPr>
        <w:footnoteReference w:customMarkFollows="1" w:id="2620"/>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621"/>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622"/>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623"/>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624"/>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625"/>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626"/>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627"/>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628"/>
        <w:t>d</w:t>
      </w:r>
      <w:r>
        <w:rPr/>
        <w:t>, ich wusste, dass ich nicht in Schande geraten</w:t>
      </w:r>
      <w:r>
        <w:rPr>
          <w:rStyle w:val="Funotenanker"/>
        </w:rPr>
        <w:footnoteReference w:customMarkFollows="1" w:id="2629"/>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630"/>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631"/>
        <w:t>a</w:t>
      </w:r>
      <w:r>
        <w:rPr/>
        <w:t xml:space="preserve">, mein Getreuer </w:t>
      </w:r>
      <w:r>
        <w:rPr>
          <w:color w:val="808080"/>
        </w:rPr>
        <w:t>(Diener, Knecht, Sklave)</w:t>
      </w:r>
      <w:r>
        <w:rPr/>
        <w:t xml:space="preserve"> </w:t>
      </w:r>
      <w:r>
        <w:rPr>
          <w:rStyle w:val="Funotenanker"/>
        </w:rPr>
        <w:footnoteReference w:customMarkFollows="1" w:id="2632"/>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633"/>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634"/>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635"/>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636"/>
        <w:t>f</w:t>
      </w:r>
      <w:r>
        <w:rPr/>
        <w:t>,</w:t>
        <w:br/>
        <w:t xml:space="preserve">über ihn </w:t>
      </w:r>
      <w:r>
        <w:rPr>
          <w:color w:val="808080"/>
        </w:rPr>
        <w:t>(ihm gegenüber)</w:t>
      </w:r>
      <w:r>
        <w:rPr/>
        <w:t xml:space="preserve"> werden Könige ihren Mund verschließen.</w:t>
      </w:r>
      <w:r>
        <w:rPr>
          <w:rStyle w:val="Funotenanker"/>
        </w:rPr>
        <w:footnoteReference w:customMarkFollows="1" w:id="2637"/>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638"/>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639"/>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640"/>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641"/>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642"/>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643"/>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644"/>
        <w:t>e</w:t>
      </w:r>
      <w:r>
        <w:rPr/>
        <w:t xml:space="preserve"> Für die Interpretation des Textes ist die Festlegung auf eine bestimmte Identität aber nicht notwendig.</w:t>
      </w:r>
      <w:r>
        <w:rPr>
          <w:rStyle w:val="Funotenanker"/>
        </w:rPr>
        <w:footnoteReference w:customMarkFollows="1" w:id="2645"/>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646"/>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647"/>
        <w:t>g</w:t>
      </w:r>
      <w:r>
        <w:rPr/>
        <w:t xml:space="preserve"> an uns </w:t>
      </w:r>
      <w:r>
        <w:rPr>
          <w:color w:val="808080"/>
        </w:rPr>
        <w:t>(von uns)</w:t>
      </w:r>
      <w:r>
        <w:rPr/>
        <w:t xml:space="preserve"> </w:t>
      </w:r>
      <w:r>
        <w:rPr>
          <w:rStyle w:val="Funotenanker"/>
        </w:rPr>
        <w:footnoteReference w:customMarkFollows="1" w:id="2648"/>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649"/>
        <w:t>i</w:t>
      </w:r>
      <w:r>
        <w:rPr/>
        <w:t>,</w:t>
        <w:br/>
        <w:t xml:space="preserve">wie ein Schössling </w:t>
      </w:r>
      <w:r>
        <w:rPr>
          <w:color w:val="808080"/>
        </w:rPr>
        <w:t>(eine Wurzel)</w:t>
      </w:r>
      <w:r>
        <w:rPr/>
        <w:t xml:space="preserve"> </w:t>
      </w:r>
      <w:r>
        <w:rPr>
          <w:rStyle w:val="Funotenanker"/>
        </w:rPr>
        <w:footnoteReference w:customMarkFollows="1" w:id="2650"/>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651"/>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652"/>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653"/>
        <w:t>m</w:t>
      </w:r>
      <w:r>
        <w:rPr/>
        <w:t xml:space="preserve"> </w:t>
        <w:br/>
        <w:t>wie jemand, vor dem man das Gesicht verhüllt.</w:t>
      </w:r>
      <w:r>
        <w:rPr>
          <w:rStyle w:val="Funotenanker"/>
        </w:rPr>
        <w:footnoteReference w:customMarkFollows="1" w:id="2654"/>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655"/>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656"/>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657"/>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658"/>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659"/>
        <w:t>s</w:t>
      </w:r>
      <w:r>
        <w:rPr/>
        <w:t xml:space="preserve"> </w:t>
        <w:br/>
        <w:t xml:space="preserve">durch seine </w:t>
      </w:r>
      <w:r>
        <w:rPr>
          <w:color w:val="808080"/>
        </w:rPr>
        <w:t>(bei seinen)</w:t>
      </w:r>
      <w:r>
        <w:rPr/>
        <w:t xml:space="preserve"> Wunden gab es Heilung für uns</w:t>
      </w:r>
      <w:r>
        <w:rPr>
          <w:rStyle w:val="Funotenanker"/>
        </w:rPr>
        <w:footnoteReference w:customMarkFollows="1" w:id="2660"/>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661"/>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662"/>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663"/>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664"/>
        <w:t>x</w:t>
      </w:r>
      <w:r>
        <w:rPr/>
        <w:t xml:space="preserve"> seinen Scherern verstummt. </w:t>
        <w:br/>
        <w:t>Und er öffnete seinen Mund nicht.</w:t>
      </w:r>
      <w:r>
        <w:rPr>
          <w:rStyle w:val="Funotenanker"/>
        </w:rPr>
        <w:footnoteReference w:customMarkFollows="1" w:id="2665"/>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666"/>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667"/>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668"/>
        <w:t>ab</w:t>
      </w:r>
      <w:r>
        <w:rPr/>
        <w:t xml:space="preserve"> Volkes wurde er geschlagen </w:t>
      </w:r>
      <w:r>
        <w:rPr>
          <w:color w:val="808080"/>
        </w:rPr>
        <w:t>(erschlagen, verprügelt)</w:t>
      </w:r>
      <w:r>
        <w:rPr/>
        <w:t xml:space="preserve"> </w:t>
      </w:r>
      <w:r>
        <w:rPr>
          <w:rStyle w:val="Funotenanker"/>
        </w:rPr>
        <w:footnoteReference w:customMarkFollows="1" w:id="2669"/>
        <w:t>ac</w:t>
      </w:r>
      <w:r>
        <w:rPr/>
        <w:t>.</w:t>
        <w:br/>
        <w:t xml:space="preserve">{{field-off:bible}} </w:t>
        <w:br/>
        <w:t>[[@BibleTOBIBLE:Is 53:9]]</w:t>
      </w:r>
      <w:r>
        <w:rPr>
          <w:b/>
        </w:rPr>
        <w:t>9</w:t>
      </w:r>
      <w:r>
        <w:rPr/>
        <w:t xml:space="preserve"> {{field-on:bible}} </w:t>
        <w:br/>
        <w:t>Dann gab man</w:t>
      </w:r>
      <w:r>
        <w:rPr>
          <w:rStyle w:val="Funotenanker"/>
        </w:rPr>
        <w:footnoteReference w:customMarkFollows="1" w:id="2670"/>
        <w:t>ad</w:t>
      </w:r>
      <w:r>
        <w:rPr/>
        <w:t xml:space="preserve"> ihm bei Frevlern</w:t>
      </w:r>
      <w:r>
        <w:rPr>
          <w:rStyle w:val="Funotenanker"/>
        </w:rPr>
        <w:footnoteReference w:customMarkFollows="1" w:id="2671"/>
        <w:t>ae</w:t>
      </w:r>
      <w:r>
        <w:rPr/>
        <w:t xml:space="preserve"> sein Grab </w:t>
        <w:br/>
        <w:t xml:space="preserve">und </w:t>
      </w:r>
      <w:r>
        <w:rPr>
          <w:color w:val="808080"/>
        </w:rPr>
        <w:t>(doch)</w:t>
      </w:r>
      <w:r>
        <w:rPr/>
        <w:t xml:space="preserve"> bei einem Reichen</w:t>
      </w:r>
      <w:r>
        <w:rPr>
          <w:rStyle w:val="Funotenanker"/>
        </w:rPr>
        <w:footnoteReference w:customMarkFollows="1" w:id="2672"/>
        <w:t>af</w:t>
      </w:r>
      <w:r>
        <w:rPr/>
        <w:t xml:space="preserve"> nach seinem Tod</w:t>
      </w:r>
      <w:r>
        <w:rPr>
          <w:rStyle w:val="Funotenanker"/>
        </w:rPr>
        <w:footnoteReference w:customMarkFollows="1" w:id="2673"/>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674"/>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675"/>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676"/>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677"/>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678"/>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679"/>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680"/>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681"/>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682"/>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683"/>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2684"/>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685"/>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686"/>
        <w:t>c</w:t>
      </w:r>
      <w:r>
        <w:rPr/>
        <w:t xml:space="preserve"> finden lässt</w:t>
        <w:br/>
        <w:t>und die Seele</w:t>
      </w:r>
      <w:r>
        <w:rPr>
          <w:rStyle w:val="Funotenanker"/>
        </w:rPr>
        <w:footnoteReference w:customMarkFollows="1" w:id="2687"/>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688"/>
        <w:t>e</w:t>
      </w:r>
      <w:r>
        <w:rPr/>
        <w:t xml:space="preserve"> </w:t>
        <w:br/>
        <w:t>und deinen Körper</w:t>
      </w:r>
      <w:r>
        <w:rPr>
          <w:rStyle w:val="Funotenanker"/>
        </w:rPr>
        <w:footnoteReference w:customMarkFollows="1" w:id="2689"/>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690"/>
        <w:t>g</w:t>
      </w:r>
      <w:r>
        <w:rPr/>
        <w:t xml:space="preserve"> der Lücken,</w:t>
        <w:br/>
        <w:t>Wiederhersteller</w:t>
      </w:r>
      <w:r>
        <w:rPr>
          <w:rStyle w:val="Funotenanker"/>
        </w:rPr>
        <w:footnoteReference w:customMarkFollows="1" w:id="2691"/>
        <w:t>h</w:t>
      </w:r>
      <w:r>
        <w:rPr/>
        <w:t xml:space="preserve"> der Pfade zum Wohnen </w:t>
      </w:r>
      <w:r>
        <w:rPr>
          <w:color w:val="808080"/>
        </w:rPr>
        <w:t>(Bleiben)</w:t>
      </w:r>
      <w:r>
        <w:rPr/>
        <w:t xml:space="preserve"> </w:t>
      </w:r>
      <w:r>
        <w:rPr>
          <w:rStyle w:val="Funotenanker"/>
        </w:rPr>
        <w:footnoteReference w:customMarkFollows="1" w:id="2692"/>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br/>
        <w:t xml:space="preserve">Richte dich auf </w:t>
      </w:r>
      <w:r>
        <w:rPr>
          <w:color w:val="808080"/>
        </w:rPr>
        <w:t>(erhebe dich)</w:t>
      </w:r>
      <w:r>
        <w:rPr/>
        <w:t xml:space="preserve"> </w:t>
      </w:r>
      <w:r>
        <w:rPr>
          <w:rStyle w:val="Funotenanker"/>
        </w:rPr>
        <w:footnoteReference w:customMarkFollows="1" w:id="2693"/>
        <w:t>a</w:t>
      </w:r>
      <w:r>
        <w:rPr/>
        <w:t xml:space="preserve">, </w:t>
      </w:r>
      <w:r>
        <w:rPr>
          <w:b/>
          <w:color w:val="808080"/>
        </w:rPr>
        <w:t>[</w:t>
      </w:r>
      <w:r>
        <w:rPr/>
        <w:t>Zion</w:t>
      </w:r>
      <w:r>
        <w:rPr>
          <w:b/>
          <w:color w:val="808080"/>
        </w:rPr>
        <w:t>]</w:t>
      </w:r>
      <w:r>
        <w:rPr/>
        <w:t xml:space="preserve"> </w:t>
      </w:r>
      <w:r>
        <w:rPr>
          <w:rStyle w:val="Funotenanker"/>
        </w:rPr>
        <w:footnoteReference w:customMarkFollows="1" w:id="2694"/>
        <w:t>b</w:t>
      </w:r>
      <w:r>
        <w:rPr/>
        <w:t>, werde hell</w:t>
      </w:r>
      <w:r>
        <w:rPr>
          <w:rStyle w:val="Funotenanker"/>
        </w:rPr>
        <w:footnoteReference w:customMarkFollows="1" w:id="2695"/>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696"/>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697"/>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698"/>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699"/>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700"/>
        <w:t>a</w:t>
      </w:r>
      <w:r>
        <w:rPr/>
        <w:t xml:space="preserve"> in den Tagen Joschijas, Sohn Amons</w:t>
      </w:r>
      <w:r>
        <w:rPr>
          <w:rStyle w:val="Funotenanker"/>
        </w:rPr>
        <w:footnoteReference w:customMarkFollows="1" w:id="2701"/>
        <w:t>b</w:t>
      </w:r>
      <w:r>
        <w:rPr/>
        <w:t>, König von Juda, im 13. Jahr seiner Regentschaft</w:t>
      </w:r>
      <w:r>
        <w:rPr>
          <w:rStyle w:val="Funotenanker"/>
        </w:rPr>
        <w:footnoteReference w:customMarkFollows="1" w:id="2702"/>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703"/>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704"/>
        <w:t>e</w:t>
      </w:r>
      <w:r>
        <w:rPr/>
        <w:t>, Sohn Joschijas, König von Juda; bis in die Verbannung gebracht wurde Jerusalem im 5. Monat</w:t>
      </w:r>
      <w:r>
        <w:rPr>
          <w:rStyle w:val="Funotenanker"/>
        </w:rPr>
        <w:footnoteReference w:customMarkFollows="1" w:id="2705"/>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706"/>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707"/>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708"/>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709"/>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710"/>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711"/>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712"/>
        <w:t>a</w:t>
      </w:r>
      <w:r>
        <w:rPr/>
        <w:t xml:space="preserve"> aus dem Land Ägypten,</w:t>
        <w:br/>
        <w:t>der uns führte</w:t>
      </w:r>
      <w:r>
        <w:rPr>
          <w:rStyle w:val="Funotenanker"/>
        </w:rPr>
        <w:footnoteReference w:customMarkFollows="1" w:id="2713"/>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714"/>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715"/>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716"/>
        <w:t>e</w:t>
      </w:r>
      <w:r>
        <w:rPr/>
        <w:t xml:space="preserve"> und gebt </w:t>
      </w:r>
      <w:r>
        <w:rPr>
          <w:color w:val="808080"/>
        </w:rPr>
        <w:t>(sehr =)</w:t>
      </w:r>
      <w:r>
        <w:rPr/>
        <w:t xml:space="preserve"> genau acht</w:t>
        <w:br/>
        <w:t>und seht, siehe!, geschah</w:t>
      </w:r>
      <w:r>
        <w:rPr>
          <w:rStyle w:val="Funotenanker"/>
        </w:rPr>
        <w:footnoteReference w:customMarkFollows="1" w:id="2717"/>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718"/>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719"/>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720"/>
        <w:t>i</w:t>
      </w:r>
      <w:r>
        <w:rPr/>
        <w:t xml:space="preserve"> dich Himmel darüber!</w:t>
        <w:br/>
      </w:r>
      <w:r>
        <w:rPr>
          <w:strike/>
          <w:color w:val="808080"/>
        </w:rPr>
        <w:t>{Und}</w:t>
      </w:r>
      <w:r>
        <w:rPr/>
        <w:t xml:space="preserve"> Empfinde Schauder, trockne</w:t>
      </w:r>
      <w:r>
        <w:rPr>
          <w:rStyle w:val="Funotenanker"/>
        </w:rPr>
        <w:footnoteReference w:customMarkFollows="1" w:id="2721"/>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722"/>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723"/>
        <w:t>l</w:t>
      </w:r>
      <w:r>
        <w:rPr/>
        <w:t xml:space="preserve"> und Tachpanches</w:t>
      </w:r>
      <w:r>
        <w:rPr>
          <w:rStyle w:val="Funotenanker"/>
        </w:rPr>
        <w:footnoteReference w:customMarkFollows="1" w:id="2724"/>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725"/>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726"/>
        <w:t>o</w:t>
      </w:r>
      <w:r>
        <w:rPr/>
        <w:t xml:space="preserve"> du verließest </w:t>
      </w:r>
      <w:r>
        <w:rPr>
          <w:smallCaps/>
          <w:color w:val="FF0000"/>
        </w:rPr>
        <w:t>JHWH</w:t>
      </w:r>
      <w:r>
        <w:rPr/>
        <w:t>, deinen Gott,</w:t>
        <w:br/>
        <w:t>zu der Zeit, als</w:t>
      </w:r>
      <w:r>
        <w:rPr>
          <w:rStyle w:val="Funotenanker"/>
        </w:rPr>
        <w:footnoteReference w:customMarkFollows="1" w:id="2727"/>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728"/>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729"/>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730"/>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731"/>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732"/>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733"/>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734"/>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735"/>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736"/>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737"/>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738"/>
        <w:t>aa</w:t>
      </w:r>
      <w:r>
        <w:rPr/>
        <w:t xml:space="preserve"> werden nicht müde; in ihrem Monat</w:t>
      </w:r>
      <w:r>
        <w:rPr>
          <w:rStyle w:val="Funotenanker"/>
        </w:rPr>
        <w:footnoteReference w:customMarkFollows="1" w:id="2739"/>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740"/>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741"/>
        <w:t>ad</w:t>
      </w:r>
      <w:r>
        <w:rPr/>
        <w:t>.</w:t>
        <w:br/>
        <w:t xml:space="preserve">{{field-off:bible}} </w:t>
        <w:br/>
        <w:t>[[@BibleTOBIBLE:Je 2:27]]</w:t>
      </w:r>
      <w:r>
        <w:rPr>
          <w:b/>
        </w:rPr>
        <w:t>27</w:t>
      </w:r>
      <w:r>
        <w:rPr/>
        <w:t xml:space="preserve"> {{field-on:bible}} </w:t>
        <w:br/>
        <w:t>Sie sprechen</w:t>
      </w:r>
      <w:r>
        <w:rPr>
          <w:rStyle w:val="Funotenanker"/>
        </w:rPr>
        <w:footnoteReference w:customMarkFollows="1" w:id="2742"/>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743"/>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744"/>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745"/>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746"/>
        <w:t>ai</w:t>
      </w:r>
      <w:r>
        <w:rPr/>
        <w:t xml:space="preserve"> Generation </w:t>
      </w:r>
      <w:r>
        <w:rPr>
          <w:color w:val="808080"/>
        </w:rPr>
        <w:t>(Geschlecht, Gemeinschaft)</w:t>
      </w:r>
      <w:r>
        <w:rPr/>
        <w:t xml:space="preserve"> </w:t>
      </w:r>
      <w:r>
        <w:rPr>
          <w:rStyle w:val="Funotenanker"/>
        </w:rPr>
        <w:footnoteReference w:customMarkFollows="1" w:id="2747"/>
        <w:t>aj</w:t>
      </w:r>
      <w:r>
        <w:rPr/>
        <w:t>, sieh</w:t>
      </w:r>
      <w:r>
        <w:rPr>
          <w:rStyle w:val="Funotenanker"/>
        </w:rPr>
        <w:footnoteReference w:customMarkFollows="1" w:id="2748"/>
        <w:t>ak</w:t>
      </w:r>
      <w:r>
        <w:rPr/>
        <w:t xml:space="preserve"> das Wort </w:t>
      </w:r>
      <w:r>
        <w:rPr>
          <w:smallCaps/>
          <w:color w:val="FF0000"/>
        </w:rPr>
        <w:t>JHWH</w:t>
      </w:r>
      <w:r>
        <w:rPr/>
        <w:t>s.</w:t>
      </w:r>
      <w:r>
        <w:rPr>
          <w:rStyle w:val="Funotenanker"/>
        </w:rPr>
        <w:footnoteReference w:customMarkFollows="1" w:id="2749"/>
        <w:t>al</w:t>
      </w:r>
      <w:r>
        <w:rPr/>
        <w:t xml:space="preserve"> </w:t>
        <w:br/>
        <w:t>War ich eine Wüste für Israel, oder ein Land der Finsternis?</w:t>
        <w:br/>
        <w:t>Warum hat</w:t>
      </w:r>
      <w:r>
        <w:rPr>
          <w:rStyle w:val="Funotenanker"/>
        </w:rPr>
        <w:footnoteReference w:customMarkFollows="1" w:id="2750"/>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751"/>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752"/>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753"/>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754"/>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755"/>
        <w:t>Status</w:t>
      </w:r>
      <w:r>
        <w:rPr/>
        <w:t xml:space="preserve"> </w:t>
      </w:r>
      <w:r>
        <w:rPr>
          <w:b/>
          <w:color w:val="808080"/>
        </w:rPr>
        <w:t>[</w:t>
      </w:r>
      <w:r>
        <w:rPr/>
        <w:t>Gott</w:t>
      </w:r>
      <w:r>
        <w:rPr>
          <w:b/>
          <w:color w:val="808080"/>
        </w:rPr>
        <w:t>]</w:t>
      </w:r>
      <w:r>
        <w:rPr/>
        <w:t xml:space="preserve"> spricht:</w:t>
      </w:r>
      <w:r>
        <w:rPr>
          <w:rStyle w:val="Funotenanker"/>
        </w:rPr>
        <w:footnoteReference w:customMarkFollows="1" w:id="2756"/>
        <w:t>a</w:t>
      </w:r>
      <w:r>
        <w:rPr/>
        <w:t xml:space="preserve"> </w:t>
        <w:br/>
        <w:t>Wenn</w:t>
      </w:r>
      <w:r>
        <w:rPr>
          <w:rStyle w:val="Funotenanker"/>
        </w:rPr>
        <w:footnoteReference w:customMarkFollows="1" w:id="2757"/>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758"/>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759"/>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760"/>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761"/>
        <w:t>f</w:t>
      </w:r>
      <w:r>
        <w:rPr/>
        <w:t xml:space="preserve"> und durch dein Böses</w:t>
      </w:r>
      <w:r>
        <w:rPr>
          <w:rStyle w:val="Funotenanker"/>
        </w:rPr>
        <w:footnoteReference w:customMarkFollows="1" w:id="2762"/>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763"/>
        <w:t>h</w:t>
      </w:r>
      <w:r>
        <w:rPr/>
        <w:t xml:space="preserve"> die Regen,</w:t>
        <w:br/>
        <w:t>und der Spätregen fiel</w:t>
      </w:r>
      <w:r>
        <w:rPr>
          <w:rStyle w:val="Funotenanker"/>
        </w:rPr>
        <w:footnoteReference w:customMarkFollows="1" w:id="2764"/>
        <w:t>i</w:t>
      </w:r>
      <w:r>
        <w:rPr/>
        <w:t xml:space="preserve"> nicht.</w:t>
      </w:r>
      <w:r>
        <w:rPr>
          <w:rStyle w:val="Funotenanker"/>
        </w:rPr>
        <w:footnoteReference w:customMarkFollows="1" w:id="2765"/>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766"/>
        <w:t>k</w:t>
      </w:r>
      <w:r>
        <w:rPr/>
        <w:t xml:space="preserve"> hast du,</w:t>
        <w:br/>
        <w:t>die sich weigert</w:t>
      </w:r>
      <w:r>
        <w:rPr>
          <w:rStyle w:val="Funotenanker"/>
        </w:rPr>
        <w:footnoteReference w:customMarkFollows="1" w:id="2767"/>
        <w:t>l</w:t>
      </w:r>
      <w:r>
        <w:rPr/>
        <w:t>, sich zu schämen.</w:t>
        <w:br/>
        <w:t xml:space="preserve">{{field-off:bible}} </w:t>
        <w:br/>
        <w:t>[[@BibleTOBIBLE:Je 3:4]]</w:t>
      </w:r>
      <w:r>
        <w:rPr>
          <w:b/>
        </w:rPr>
        <w:t>4</w:t>
      </w:r>
      <w:r>
        <w:rPr/>
        <w:t xml:space="preserve"> {{field-on:bible}} </w:t>
        <w:br/>
        <w:t>Rufst</w:t>
      </w:r>
      <w:r>
        <w:rPr>
          <w:rStyle w:val="Funotenanker"/>
        </w:rPr>
        <w:footnoteReference w:customMarkFollows="1" w:id="2768"/>
        <w:t>m</w:t>
      </w:r>
      <w:r>
        <w:rPr/>
        <w:t xml:space="preserve"> du nicht von jetzt an</w:t>
      </w:r>
      <w:r>
        <w:rPr>
          <w:rStyle w:val="Funotenanker"/>
        </w:rPr>
        <w:footnoteReference w:customMarkFollows="1" w:id="2769"/>
        <w:t>n</w:t>
      </w:r>
      <w:r>
        <w:rPr/>
        <w:t xml:space="preserve"> zu mir „mein Vater!</w:t>
      </w:r>
      <w:r>
        <w:rPr>
          <w:rStyle w:val="Funotenanker"/>
        </w:rPr>
        <w:footnoteReference w:customMarkFollows="1" w:id="2770"/>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771"/>
        <w:t>p</w:t>
      </w:r>
      <w:r>
        <w:rPr/>
        <w:t xml:space="preserve"> du hast geredet</w:t>
      </w:r>
      <w:r>
        <w:rPr>
          <w:rStyle w:val="Funotenanker"/>
        </w:rPr>
        <w:footnoteReference w:customMarkFollows="1" w:id="2772"/>
        <w:t>q</w:t>
      </w:r>
      <w:r>
        <w:rPr/>
        <w:t xml:space="preserve"> und getan</w:t>
        <w:br/>
        <w:t>das Böse</w:t>
      </w:r>
      <w:r>
        <w:rPr>
          <w:rStyle w:val="Funotenanker"/>
        </w:rPr>
        <w:footnoteReference w:customMarkFollows="1" w:id="2773"/>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774"/>
        <w:t>s</w:t>
      </w:r>
      <w:r>
        <w:rPr/>
        <w:t xml:space="preserve"> abtrünnige</w:t>
      </w:r>
      <w:r>
        <w:rPr>
          <w:rStyle w:val="Funotenanker"/>
        </w:rPr>
        <w:footnoteReference w:customMarkFollows="1" w:id="2775"/>
        <w:t>t</w:t>
      </w:r>
      <w:r>
        <w:rPr/>
        <w:t xml:space="preserve"> Israel tut? Wie es auf auf jeden hohen Hügel steigt</w:t>
      </w:r>
      <w:r>
        <w:rPr>
          <w:rStyle w:val="Funotenanker"/>
        </w:rPr>
        <w:footnoteReference w:customMarkFollows="1" w:id="2776"/>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777"/>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778"/>
        <w:t>w</w:t>
      </w:r>
      <w:r>
        <w:rPr/>
        <w:t xml:space="preserve"> ich</w:t>
      </w:r>
      <w:r>
        <w:rPr>
          <w:rStyle w:val="Funotenanker"/>
        </w:rPr>
        <w:footnoteReference w:customMarkFollows="1" w:id="2779"/>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780"/>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781"/>
        <w:t>z</w:t>
      </w:r>
      <w:r>
        <w:rPr/>
        <w:t xml:space="preserve"> es, dass, weil das abtrünnige Israel fremdging </w:t>
      </w:r>
      <w:r>
        <w:rPr>
          <w:color w:val="808080"/>
        </w:rPr>
        <w:t>(die Ehe brach)</w:t>
      </w:r>
      <w:r>
        <w:rPr/>
        <w:t xml:space="preserve"> </w:t>
      </w:r>
      <w:r>
        <w:rPr>
          <w:rStyle w:val="Funotenanker"/>
        </w:rPr>
        <w:footnoteReference w:customMarkFollows="1" w:id="2782"/>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783"/>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784"/>
        <w:t>ac</w:t>
      </w:r>
      <w:r>
        <w:rPr/>
        <w:t xml:space="preserve"> und Holz</w:t>
      </w:r>
      <w:r>
        <w:rPr>
          <w:rStyle w:val="Funotenanker"/>
        </w:rPr>
        <w:footnoteReference w:customMarkFollows="1" w:id="2785"/>
        <w:t>ad</w:t>
      </w:r>
      <w:r>
        <w:rPr/>
        <w:t xml:space="preserve">.{{field-off:bible}} </w:t>
        <w:br/>
        <w:t>[[@BibleTOBIBLE:Je 3:10]]</w:t>
      </w:r>
      <w:r>
        <w:rPr>
          <w:b/>
        </w:rPr>
        <w:t>10</w:t>
      </w:r>
      <w:r>
        <w:rPr/>
        <w:t xml:space="preserve"> {{field-on:bible}}Trotzdem</w:t>
      </w:r>
      <w:r>
        <w:rPr>
          <w:rStyle w:val="Funotenanker"/>
        </w:rPr>
        <w:footnoteReference w:customMarkFollows="1" w:id="2786"/>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787"/>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788"/>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789"/>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790"/>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791"/>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792"/>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793"/>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794"/>
        <w:t>am</w:t>
      </w:r>
      <w:r>
        <w:rPr/>
        <w:t>!,</w:t>
        <w:br/>
        <w:t xml:space="preserve">und dir kostbares </w:t>
      </w:r>
      <w:r>
        <w:rPr>
          <w:color w:val="808080"/>
        </w:rPr>
        <w:t>(begehrenswertes)</w:t>
      </w:r>
      <w:r>
        <w:rPr/>
        <w:t xml:space="preserve"> Land geben,</w:t>
        <w:br/>
        <w:t>herrlichsten</w:t>
      </w:r>
      <w:r>
        <w:rPr>
          <w:rStyle w:val="Funotenanker"/>
        </w:rPr>
        <w:footnoteReference w:customMarkFollows="1" w:id="2795"/>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796"/>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797"/>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798"/>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799"/>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800"/>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801"/>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802"/>
        <w:t>au</w:t>
      </w:r>
      <w:r>
        <w:rPr/>
        <w:t>,</w:t>
        <w:br/>
        <w:t>ihr Kleinvieh</w:t>
      </w:r>
      <w:r>
        <w:rPr>
          <w:rStyle w:val="Funotenanker"/>
        </w:rPr>
        <w:footnoteReference w:customMarkFollows="1" w:id="2803"/>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804"/>
        <w:t>a</w:t>
      </w:r>
      <w:r>
        <w:rPr/>
        <w:t xml:space="preserve"> vor mir,</w:t>
        <w:br/>
        <w:t>dann wirst du nicht schwanken</w:t>
      </w:r>
      <w:r>
        <w:rPr>
          <w:rStyle w:val="Funotenanker"/>
        </w:rPr>
        <w:footnoteReference w:customMarkFollows="1" w:id="2805"/>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806"/>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807"/>
        <w:t>a</w:t>
      </w:r>
      <w:r>
        <w:rPr/>
        <w:t xml:space="preserve"> sich einer ab und kehrt</w:t>
      </w:r>
      <w:r>
        <w:rPr>
          <w:rStyle w:val="Funotenanker"/>
        </w:rPr>
        <w:footnoteReference w:customMarkFollows="1" w:id="2808"/>
        <w:t>b</w:t>
      </w:r>
      <w:r>
        <w:rPr/>
        <w:t xml:space="preserve"> </w:t>
        <w:br/>
        <w:t>nicht wieder zurück?</w:t>
      </w:r>
      <w:r>
        <w:rPr>
          <w:rStyle w:val="Funotenanker"/>
        </w:rPr>
        <w:footnoteReference w:customMarkFollows="1" w:id="2809"/>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810"/>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811"/>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812"/>
        <w:t>f</w:t>
      </w:r>
      <w:r>
        <w:rPr/>
        <w:t xml:space="preserve"> bereut seine Bosheit</w:t>
        <w:br/>
        <w:t>und sagt</w:t>
      </w:r>
      <w:r>
        <w:rPr>
          <w:rStyle w:val="Funotenanker"/>
        </w:rPr>
        <w:footnoteReference w:customMarkFollows="1" w:id="2813"/>
        <w:t>g</w:t>
      </w:r>
      <w:r>
        <w:rPr/>
        <w:t>: „Was habe ich getan!“</w:t>
        <w:br/>
        <w:t>Alle rennen noch weiter fort,</w:t>
      </w:r>
      <w:r>
        <w:rPr>
          <w:color w:val="808080"/>
        </w:rPr>
        <w:t>(sie kehren sich ab in ihrem Rennen</w:t>
      </w:r>
      <w:r>
        <w:rPr/>
        <w:t xml:space="preserve"> </w:t>
      </w:r>
      <w:r>
        <w:rPr>
          <w:rStyle w:val="Funotenanker"/>
        </w:rPr>
        <w:footnoteReference w:customMarkFollows="1" w:id="2814"/>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815"/>
        <w:t>i</w:t>
      </w:r>
      <w:r>
        <w:rPr/>
        <w:t xml:space="preserve"> galoppiert</w:t>
      </w:r>
      <w:r>
        <w:rPr>
          <w:color w:val="808080"/>
        </w:rPr>
        <w:t>(strömt)</w:t>
      </w:r>
      <w:r>
        <w:rPr/>
        <w:t xml:space="preserve"> </w:t>
      </w:r>
      <w:r>
        <w:rPr>
          <w:rStyle w:val="Funotenanker"/>
        </w:rPr>
        <w:footnoteReference w:customMarkFollows="1" w:id="2816"/>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817"/>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818"/>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819"/>
        <w:t>Status</w:t>
      </w:r>
      <w:r>
        <w:rPr/>
        <w:t xml:space="preserve"> </w:t>
      </w:r>
      <w:r>
        <w:rPr>
          <w:rStyle w:val="Funotenanker"/>
        </w:rPr>
        <w:footnoteReference w:customMarkFollows="1" w:id="2820"/>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821"/>
        <w:t>b</w:t>
      </w:r>
      <w:r>
        <w:rPr/>
        <w:t xml:space="preserve"> Himmel!“</w:t>
      </w:r>
      <w:r>
        <w:rPr>
          <w:rStyle w:val="Funotenanker"/>
        </w:rPr>
        <w:footnoteReference w:customMarkFollows="1" w:id="2822"/>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{{field-on:bible}}Du hast mich, </w:t>
      </w:r>
      <w:r>
        <w:rPr>
          <w:smallCaps/>
          <w:color w:val="FF0000"/>
        </w:rPr>
        <w:t>JHWH</w:t>
      </w:r>
      <w:r>
        <w:rPr/>
        <w:t>, überredet</w:t>
      </w:r>
      <w:r>
        <w:rPr>
          <w:rStyle w:val="Funotenanker"/>
        </w:rPr>
        <w:footnoteReference w:customMarkFollows="1" w:id="2823"/>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824"/>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825"/>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826"/>
        <w:t>d</w:t>
      </w:r>
      <w:r>
        <w:rPr/>
        <w:t xml:space="preserve"> prüfst und siehst Nieren und Herz: Lass mich sehen deine Rache an ihnen! Denn dir habe ich anvertraut</w:t>
      </w:r>
      <w:r>
        <w:rPr>
          <w:rStyle w:val="Funotenanker"/>
        </w:rPr>
        <w:footnoteReference w:customMarkFollows="1" w:id="2827"/>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828"/>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829"/>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830"/>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831"/>
        <w:t>Status</w:t>
      </w:r>
      <w:r>
        <w:rPr/>
        <w:t xml:space="preserve"> Wie sitzt sie allein, Die Stadt, </w:t>
      </w:r>
      <w:r>
        <w:rPr>
          <w:b/>
          <w:color w:val="808080"/>
        </w:rPr>
        <w:t>[</w:t>
      </w:r>
      <w:r>
        <w:rPr/>
        <w:t>einst</w:t>
      </w:r>
      <w:r>
        <w:rPr>
          <w:b/>
          <w:color w:val="808080"/>
        </w:rPr>
        <w:t>]</w:t>
      </w:r>
      <w:r>
        <w:rPr/>
        <w:t xml:space="preserve"> reich an Menschen.</w:t>
        <w:br/>
        <w:t>Es wurde wie eine Witwe</w:t>
      </w:r>
      <w:r>
        <w:rPr>
          <w:rStyle w:val="Funotenanker"/>
        </w:rPr>
        <w:footnoteReference w:customMarkFollows="1" w:id="2832"/>
        <w:t>b</w:t>
      </w:r>
      <w:r>
        <w:rPr/>
        <w:t>, die Herrin unter den Völkern,</w:t>
        <w:br/>
        <w:t>die Fürstin über die Provinzen</w:t>
      </w:r>
      <w:r>
        <w:rPr>
          <w:rStyle w:val="Funotenanker"/>
        </w:rPr>
        <w:footnoteReference w:customMarkFollows="1" w:id="2833"/>
        <w:t>c</w:t>
      </w:r>
      <w:r>
        <w:rPr/>
        <w:t>, wurde zur Fronarbeiterin</w:t>
      </w:r>
      <w:r>
        <w:rPr>
          <w:rStyle w:val="Funotenanker"/>
        </w:rPr>
        <w:footnoteReference w:customMarkFollows="1" w:id="2834"/>
        <w:t>d</w:t>
      </w:r>
      <w:r>
        <w:rPr/>
        <w:t>.</w:t>
      </w:r>
      <w:r>
        <w:rPr>
          <w:rStyle w:val="Funotenanker"/>
        </w:rPr>
        <w:footnoteReference w:customMarkFollows="1" w:id="2835"/>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836"/>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837"/>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838"/>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839"/>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840"/>
        <w:t>j</w:t>
      </w:r>
      <w:r>
        <w:rPr/>
        <w:t xml:space="preserve"> </w:t>
        <w:br/>
        <w:t>Alle ihre Tore</w:t>
      </w:r>
      <w:r>
        <w:rPr>
          <w:rStyle w:val="Funotenanker"/>
        </w:rPr>
        <w:footnoteReference w:customMarkFollows="1" w:id="2841"/>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842"/>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843"/>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844"/>
        <w:t>n</w:t>
      </w:r>
      <w:r>
        <w:rPr/>
        <w:t xml:space="preserve">Ihre Widersacher sind sorglos </w:t>
      </w:r>
      <w:r>
        <w:rPr>
          <w:color w:val="808080"/>
        </w:rPr>
        <w:t>(sicher)</w:t>
      </w:r>
      <w:r>
        <w:rPr/>
        <w:t>;</w:t>
      </w:r>
      <w:r>
        <w:rPr>
          <w:rStyle w:val="Funotenanker"/>
        </w:rPr>
        <w:footnoteReference w:customMarkFollows="1" w:id="2845"/>
        <w:t>o</w:t>
      </w:r>
      <w:r>
        <w:rPr/>
        <w:t xml:space="preserve"> </w:t>
        <w:br/>
        <w:t xml:space="preserve">Denn </w:t>
      </w:r>
      <w:r>
        <w:rPr>
          <w:smallCaps/>
          <w:color w:val="FF0000"/>
        </w:rPr>
        <w:t>JHWH</w:t>
      </w:r>
      <w:r>
        <w:rPr/>
        <w:t xml:space="preserve"> hat Zion</w:t>
      </w:r>
      <w:r>
        <w:rPr>
          <w:rStyle w:val="Funotenanker"/>
        </w:rPr>
        <w:footnoteReference w:customMarkFollows="1" w:id="2846"/>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847"/>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848"/>
        <w:t>r</w:t>
      </w:r>
      <w:r>
        <w:rPr/>
        <w:t>All ihre Herrlichkeit;</w:t>
        <w:br/>
        <w:t>Ihre Anführer sind wie Widder</w:t>
      </w:r>
      <w:r>
        <w:rPr>
          <w:rStyle w:val="Funotenanker"/>
        </w:rPr>
        <w:footnoteReference w:customMarkFollows="1" w:id="2849"/>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850"/>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851"/>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852"/>
        <w:t>v</w:t>
      </w:r>
      <w:r>
        <w:rPr/>
        <w:t xml:space="preserve"> </w:t>
        <w:br/>
        <w:t>All ihrer KostbarkeitenAus uralten Tagen,</w:t>
      </w:r>
      <w:r>
        <w:rPr>
          <w:rStyle w:val="Funotenanker"/>
        </w:rPr>
        <w:footnoteReference w:customMarkFollows="1" w:id="2853"/>
        <w:t>w</w:t>
      </w:r>
      <w:r>
        <w:rPr/>
        <w:t xml:space="preserve"> </w:t>
      </w:r>
      <w:r>
        <w:rPr>
          <w:rStyle w:val="Funotenanker"/>
        </w:rPr>
        <w:footnoteReference w:customMarkFollows="1" w:id="2854"/>
        <w:t>x</w:t>
      </w:r>
      <w:r>
        <w:rPr/>
        <w:t xml:space="preserve"> </w:t>
        <w:br/>
        <w:t>Als ihr Volk</w:t>
      </w:r>
      <w:r>
        <w:rPr>
          <w:rStyle w:val="Funotenanker"/>
        </w:rPr>
        <w:footnoteReference w:customMarkFollows="1" w:id="2855"/>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856"/>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857"/>
        <w:t>aa</w:t>
      </w:r>
      <w:r>
        <w:rPr/>
        <w:t xml:space="preserve"> hat Jerusalem,Ist</w:t>
      </w:r>
      <w:r>
        <w:rPr>
          <w:rStyle w:val="Funotenanker"/>
        </w:rPr>
        <w:footnoteReference w:customMarkFollows="1" w:id="2858"/>
        <w:t>ab</w:t>
      </w:r>
      <w:r>
        <w:rPr/>
        <w:t xml:space="preserve"> zum Gespött</w:t>
      </w:r>
      <w:r>
        <w:rPr>
          <w:rStyle w:val="Funotenanker"/>
        </w:rPr>
        <w:footnoteReference w:customMarkFollows="1" w:id="2859"/>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860"/>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861"/>
        <w:t>ae</w:t>
      </w:r>
      <w:r>
        <w:rPr/>
        <w:t>sie hat nicht ihr Ende bedacht.</w:t>
      </w:r>
      <w:r>
        <w:rPr>
          <w:rStyle w:val="Funotenanker"/>
        </w:rPr>
        <w:footnoteReference w:customMarkFollows="1" w:id="2862"/>
        <w:t>af</w:t>
      </w:r>
      <w:r>
        <w:rPr/>
        <w:t xml:space="preserve"> </w:t>
        <w:br/>
      </w:r>
      <w:r>
        <w:rPr>
          <w:strike/>
          <w:color w:val="808080"/>
        </w:rPr>
        <w:t>{Und}</w:t>
      </w:r>
      <w:r>
        <w:rPr/>
        <w:t xml:space="preserve"> sie ist niedergegangen,</w:t>
      </w:r>
      <w:r>
        <w:rPr>
          <w:rStyle w:val="Funotenanker"/>
        </w:rPr>
        <w:footnoteReference w:customMarkFollows="1" w:id="2863"/>
        <w:t>ag</w:t>
      </w:r>
      <w:r>
        <w:rPr/>
        <w:t xml:space="preserve"> </w:t>
      </w:r>
      <w:r>
        <w:rPr>
          <w:rStyle w:val="Funotenanker"/>
        </w:rPr>
        <w:footnoteReference w:customMarkFollows="1" w:id="2864"/>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865"/>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866"/>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867"/>
        <w:t>ak</w:t>
      </w:r>
      <w:r>
        <w:rPr/>
        <w:t xml:space="preserve"> hineinkommen.</w:t>
      </w:r>
      <w:r>
        <w:rPr>
          <w:rStyle w:val="Funotenanker"/>
        </w:rPr>
        <w:footnoteReference w:customMarkFollows="1" w:id="2868"/>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869"/>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870"/>
        <w:t>an</w:t>
      </w:r>
      <w:r>
        <w:rPr/>
        <w:t xml:space="preserve"> ihre Kostbarkeiten</w:t>
      </w:r>
      <w:r>
        <w:rPr>
          <w:rStyle w:val="Funotenanker"/>
        </w:rPr>
        <w:footnoteReference w:customMarkFollows="1" w:id="2871"/>
        <w:t>ao</w:t>
      </w:r>
      <w:r>
        <w:rPr/>
        <w:t xml:space="preserve"> für Nahrung,um am Leben zu bleiben.</w:t>
      </w:r>
      <w:r>
        <w:rPr>
          <w:rStyle w:val="Funotenanker"/>
        </w:rPr>
        <w:footnoteReference w:customMarkFollows="1" w:id="2872"/>
        <w:t>ap</w:t>
      </w:r>
      <w:r>
        <w:rPr/>
        <w:t xml:space="preserve"> </w:t>
        <w:br/>
        <w:t xml:space="preserve">Sieh, </w:t>
      </w:r>
      <w:r>
        <w:rPr>
          <w:smallCaps/>
          <w:color w:val="FF0000"/>
        </w:rPr>
        <w:t>JHWH</w:t>
      </w:r>
      <w:r>
        <w:rPr/>
        <w:t>, und gib doch Acht,dass</w:t>
      </w:r>
      <w:r>
        <w:rPr>
          <w:rStyle w:val="Funotenanker"/>
        </w:rPr>
        <w:footnoteReference w:customMarkFollows="1" w:id="2873"/>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874"/>
        <w:t>ar</w:t>
      </w:r>
      <w:r>
        <w:rPr/>
        <w:t xml:space="preserve"> alle, die ihr des Weges zieht,</w:t>
      </w:r>
      <w:r>
        <w:rPr>
          <w:rStyle w:val="Funotenanker"/>
        </w:rPr>
        <w:footnoteReference w:customMarkFollows="1" w:id="2875"/>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876"/>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877"/>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878"/>
        <w:t>av</w:t>
      </w:r>
      <w:r>
        <w:rPr/>
        <w:t xml:space="preserve"> </w:t>
        <w:br/>
        <w:t>Er hat meinen Füßen ein Netz gespannt,hat mich zurückgedrängt.</w:t>
      </w:r>
      <w:r>
        <w:rPr>
          <w:rStyle w:val="Funotenanker"/>
        </w:rPr>
        <w:footnoteReference w:customMarkFollows="1" w:id="2879"/>
        <w:t>aw</w:t>
      </w:r>
      <w:r>
        <w:rPr/>
        <w:t xml:space="preserve"> </w:t>
        <w:br/>
        <w:t xml:space="preserve">Er machte mich einsam </w:t>
      </w:r>
      <w:r>
        <w:rPr>
          <w:color w:val="808080"/>
        </w:rPr>
        <w:t>(öde, zunichte)</w:t>
      </w:r>
      <w:r>
        <w:rPr/>
        <w:t>,</w:t>
      </w:r>
      <w:r>
        <w:rPr>
          <w:rStyle w:val="Funotenanker"/>
        </w:rPr>
        <w:footnoteReference w:customMarkFollows="1" w:id="2880"/>
        <w:t>ax</w:t>
      </w:r>
      <w:r>
        <w:rPr/>
        <w:t xml:space="preserve">gemieden </w:t>
      </w:r>
      <w:r>
        <w:rPr>
          <w:color w:val="808080"/>
        </w:rPr>
        <w:t>(unrein, elend, traurig)</w:t>
      </w:r>
      <w:r>
        <w:rPr/>
        <w:t xml:space="preserve"> </w:t>
      </w:r>
      <w:r>
        <w:rPr>
          <w:rStyle w:val="Funotenanker"/>
        </w:rPr>
        <w:footnoteReference w:customMarkFollows="1" w:id="2881"/>
        <w:t>ay</w:t>
      </w:r>
      <w:r>
        <w:rPr/>
        <w:t xml:space="preserve"> den ganzen Tag.</w:t>
      </w:r>
      <w:r>
        <w:rPr>
          <w:rStyle w:val="Funotenanker"/>
        </w:rPr>
        <w:footnoteReference w:customMarkFollows="1" w:id="2882"/>
        <w:t>az</w:t>
      </w:r>
      <w:r>
        <w:rPr/>
        <w:t xml:space="preserve"> </w:t>
      </w:r>
      <w:r>
        <w:rPr>
          <w:rStyle w:val="Funotenanker"/>
        </w:rPr>
        <w:footnoteReference w:customMarkFollows="1" w:id="2883"/>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884"/>
        <w:t>bb</w:t>
      </w:r>
      <w:r>
        <w:rPr/>
        <w:t>durch seine Hand</w:t>
      </w:r>
      <w:r>
        <w:rPr>
          <w:rStyle w:val="Funotenanker"/>
        </w:rPr>
        <w:footnoteReference w:customMarkFollows="1" w:id="2885"/>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886"/>
        <w:t>bd</w:t>
      </w:r>
      <w:r>
        <w:rPr/>
        <w:t xml:space="preserve">er </w:t>
      </w:r>
      <w:r>
        <w:rPr>
          <w:color w:val="808080"/>
        </w:rPr>
        <w:t>(es)</w:t>
      </w:r>
      <w:r>
        <w:rPr/>
        <w:t xml:space="preserve"> </w:t>
      </w:r>
      <w:r>
        <w:rPr>
          <w:rStyle w:val="Funotenanker"/>
        </w:rPr>
        <w:footnoteReference w:customMarkFollows="1" w:id="2887"/>
        <w:t>be</w:t>
      </w:r>
      <w:r>
        <w:rPr/>
        <w:t xml:space="preserve"> hat meine Kraft gebrochen.</w:t>
      </w:r>
      <w:r>
        <w:rPr>
          <w:rStyle w:val="Funotenanker"/>
        </w:rPr>
        <w:footnoteReference w:customMarkFollows="1" w:id="2888"/>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889"/>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890"/>
        <w:t>bh</w:t>
      </w:r>
      <w:r>
        <w:rPr/>
        <w:t>der jungfräulichen Tochter Juda</w:t>
      </w:r>
      <w:r>
        <w:rPr>
          <w:rStyle w:val="Funotenanker"/>
        </w:rPr>
        <w:footnoteReference w:customMarkFollows="1" w:id="2891"/>
        <w:t>bi</w:t>
      </w:r>
      <w:r>
        <w:rPr/>
        <w:t xml:space="preserve"> </w:t>
      </w:r>
      <w:r>
        <w:rPr>
          <w:rStyle w:val="Funotenanker"/>
        </w:rPr>
        <w:footnoteReference w:customMarkFollows="1" w:id="2892"/>
        <w:t>bj</w:t>
      </w:r>
      <w:r>
        <w:rPr/>
        <w:t xml:space="preserve"> </w:t>
        <w:br/>
        <w:br/>
        <w:t xml:space="preserve">{{field-off:bible}} </w:t>
        <w:br/>
        <w:t>[[@BibleTOBIBLE:La 1:16]]</w:t>
      </w:r>
      <w:r>
        <w:rPr>
          <w:b/>
        </w:rPr>
        <w:t>16</w:t>
      </w:r>
      <w:r>
        <w:rPr/>
        <w:t xml:space="preserve"> {{field-on:bible}} </w:t>
        <w:br/>
      </w:r>
      <w:r>
        <w:rPr>
          <w:rStyle w:val="Funotenanker"/>
        </w:rPr>
        <w:footnoteReference w:customMarkFollows="1" w:id="2893"/>
        <w:t>bk</w:t>
      </w:r>
      <w:r>
        <w:rPr/>
        <w:t xml:space="preserve"> Deswegen weine ich,mein Auge </w:t>
      </w:r>
      <w:r>
        <w:rPr>
          <w:strike/>
          <w:color w:val="808080"/>
        </w:rPr>
        <w:t>{mein Auge}</w:t>
      </w:r>
      <w:r>
        <w:rPr/>
        <w:t xml:space="preserve"> </w:t>
      </w:r>
      <w:r>
        <w:rPr>
          <w:rStyle w:val="Funotenanker"/>
        </w:rPr>
        <w:footnoteReference w:customMarkFollows="1" w:id="2894"/>
        <w:t>bl</w:t>
      </w:r>
      <w:r>
        <w:rPr/>
        <w:t xml:space="preserve"> zerfließt</w:t>
      </w:r>
      <w:r>
        <w:rPr>
          <w:rStyle w:val="Funotenanker"/>
        </w:rPr>
        <w:footnoteReference w:customMarkFollows="1" w:id="2895"/>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896"/>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897"/>
        <w:t>bo</w:t>
      </w:r>
      <w:r>
        <w:rPr/>
        <w:t xml:space="preserve"> habe ich nicht gehorcht.</w:t>
        <w:br/>
        <w:t>Hört doch, all ihr Völker, seht meine Qual:</w:t>
        <w:br/>
        <w:t>Meine jungen Frauen und Männer,</w:t>
      </w:r>
      <w:r>
        <w:rPr>
          <w:rStyle w:val="Funotenanker"/>
        </w:rPr>
        <w:footnoteReference w:customMarkFollows="1" w:id="2898"/>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899"/>
        <w:t>bq</w:t>
      </w:r>
      <w:r>
        <w:rPr/>
        <w:t>sind in der Stadt umgekommen,</w:t>
        <w:br/>
        <w:t>als sie Nahrung für sich suchten,um zu überleben.</w:t>
      </w:r>
      <w:r>
        <w:rPr>
          <w:rStyle w:val="Funotenanker"/>
        </w:rPr>
        <w:footnoteReference w:customMarkFollows="1" w:id="2900"/>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901"/>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902"/>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903"/>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904"/>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 </w:t>
      </w:r>
      <w:r>
        <w:rPr>
          <w:rStyle w:val="Funotenanker"/>
        </w:rPr>
        <w:footnoteReference w:customMarkFollows="1" w:id="2905"/>
        <w:t>Status</w:t>
      </w:r>
      <w:r>
        <w:rPr/>
        <w:t xml:space="preserve"> 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906"/>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907"/>
        <w:t>b</w:t>
      </w:r>
      <w:r>
        <w:rPr/>
        <w:t xml:space="preserve"> </w:t>
        <w:br/>
        <w:t>und er tötete wie ein Gegner</w:t>
      </w:r>
      <w:r>
        <w:rPr>
          <w:rStyle w:val="Funotenanker"/>
        </w:rPr>
        <w:footnoteReference w:customMarkFollows="1" w:id="2908"/>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909"/>
        <w:t>d</w:t>
      </w:r>
      <w:r>
        <w:rPr/>
        <w:t>.</w:t>
        <w:br/>
        <w:t xml:space="preserve">Im </w:t>
      </w:r>
      <w:r>
        <w:rPr>
          <w:color w:val="808080"/>
        </w:rPr>
        <w:t>(ins)</w:t>
      </w:r>
      <w:r>
        <w:rPr/>
        <w:t xml:space="preserve"> Zelt der Tochter Zion</w:t>
      </w:r>
      <w:r>
        <w:rPr>
          <w:rStyle w:val="Funotenanker"/>
        </w:rPr>
        <w:footnoteReference w:customMarkFollows="1" w:id="2910"/>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911"/>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912"/>
        <w:t>g</w:t>
      </w:r>
      <w:r>
        <w:rPr/>
        <w:t xml:space="preserve"> wie einen Weinstock</w:t>
      </w:r>
      <w:r>
        <w:rPr>
          <w:rStyle w:val="Funotenanker"/>
        </w:rPr>
        <w:footnoteReference w:customMarkFollows="1" w:id="2913"/>
        <w:t>h</w:t>
      </w:r>
      <w:r>
        <w:rPr/>
        <w:t xml:space="preserve"> preisgegeben</w:t>
      </w:r>
      <w:r>
        <w:rPr>
          <w:rStyle w:val="Funotenanker"/>
        </w:rPr>
        <w:footnoteReference w:customMarkFollows="1" w:id="2914"/>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915"/>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916"/>
        <w:t>k</w:t>
      </w:r>
      <w:r>
        <w:rPr/>
        <w:t xml:space="preserve"> Paläste.</w:t>
        <w:br/>
        <w:t>Man lärmte</w:t>
      </w:r>
      <w:r>
        <w:rPr>
          <w:rStyle w:val="Funotenanker"/>
        </w:rPr>
        <w:footnoteReference w:customMarkFollows="1" w:id="2917"/>
        <w:t>l</w:t>
      </w:r>
      <w:r>
        <w:rPr/>
        <w:t xml:space="preserve"> im Haus </w:t>
      </w:r>
      <w:r>
        <w:rPr>
          <w:smallCaps/>
          <w:color w:val="FF0000"/>
        </w:rPr>
        <w:t>JHWH</w:t>
      </w:r>
      <w:r>
        <w:rPr/>
        <w:t>swie an einem Festtag.</w:t>
      </w:r>
      <w:r>
        <w:rPr>
          <w:rStyle w:val="Funotenanker"/>
        </w:rPr>
        <w:footnoteReference w:customMarkFollows="1" w:id="2918"/>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919"/>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920"/>
        <w:t>o</w:t>
      </w:r>
      <w:r>
        <w:rPr/>
        <w:t xml:space="preserve"> Wall</w:t>
      </w:r>
      <w:r>
        <w:rPr>
          <w:rStyle w:val="Funotenanker"/>
        </w:rPr>
        <w:footnoteReference w:customMarkFollows="1" w:id="2921"/>
        <w:t>p</w:t>
      </w:r>
      <w:r>
        <w:rPr/>
        <w:t xml:space="preserve"> und Mauer,zusammen gaben sie nach</w:t>
      </w:r>
      <w:r>
        <w:rPr>
          <w:rStyle w:val="Funotenanker"/>
        </w:rPr>
        <w:footnoteReference w:customMarkFollows="1" w:id="2922"/>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923"/>
        <w:t>r</w:t>
      </w:r>
      <w:r>
        <w:rPr/>
        <w:t xml:space="preserve">verstört </w:t>
      </w:r>
      <w:r>
        <w:rPr>
          <w:color w:val="808080"/>
        </w:rPr>
        <w:t>(erstarrt, stumm)</w:t>
      </w:r>
      <w:r>
        <w:rPr/>
        <w:t xml:space="preserve"> </w:t>
      </w:r>
      <w:r>
        <w:rPr>
          <w:rStyle w:val="Funotenanker"/>
        </w:rPr>
        <w:footnoteReference w:customMarkFollows="1" w:id="2924"/>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925"/>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926"/>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927"/>
        <w:t>v</w:t>
      </w:r>
      <w:r>
        <w:rPr/>
        <w:t xml:space="preserve"> vergleichen, Tochter Jerusalem?</w:t>
        <w:br/>
        <w:t>Was kann ich dir gleichstellenum dich zu trösten</w:t>
      </w:r>
      <w:r>
        <w:rPr>
          <w:rStyle w:val="Funotenanker"/>
        </w:rPr>
        <w:footnoteReference w:customMarkFollows="1" w:id="2928"/>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929"/>
        <w:t>x</w:t>
      </w:r>
      <w:r>
        <w:rPr/>
        <w:t>,</w:t>
        <w:br/>
        <w:t>aber deckten nicht auf deine Schuld</w:t>
      </w:r>
      <w:r>
        <w:rPr>
          <w:rStyle w:val="Funotenanker"/>
        </w:rPr>
        <w:footnoteReference w:customMarkFollows="1" w:id="2930"/>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931"/>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932"/>
        <w:t>aa</w:t>
      </w:r>
      <w:r>
        <w:rPr/>
        <w:t xml:space="preserve"> </w:t>
        <w:br/>
        <w:br/>
        <w:t xml:space="preserve">{{field-off:bible}} </w:t>
        <w:br/>
        <w:t>[[@BibleTOBIBLE:La 2:15]]</w:t>
      </w:r>
      <w:r>
        <w:rPr>
          <w:b/>
        </w:rPr>
        <w:t>15</w:t>
      </w:r>
      <w:r>
        <w:rPr/>
        <w:t xml:space="preserve"> {{field-on:bible}} </w:t>
        <w:br/>
        <w:t>Es klatschen</w:t>
      </w:r>
      <w:r>
        <w:rPr>
          <w:rStyle w:val="Funotenanker"/>
        </w:rPr>
        <w:footnoteReference w:customMarkFollows="1" w:id="2933"/>
        <w:t>ab</w:t>
      </w:r>
      <w:r>
        <w:rPr/>
        <w:t xml:space="preserve"> über dich </w:t>
      </w:r>
      <w:r>
        <w:rPr>
          <w:b/>
          <w:color w:val="808080"/>
        </w:rPr>
        <w:t>[</w:t>
      </w:r>
      <w:r>
        <w:rPr/>
        <w:t>in</w:t>
      </w:r>
      <w:r>
        <w:rPr>
          <w:b/>
          <w:color w:val="808080"/>
        </w:rPr>
        <w:t>]</w:t>
      </w:r>
      <w:r>
        <w:rPr/>
        <w:t xml:space="preserve"> die Händealle die des Weges ziehen,</w:t>
        <w:br/>
        <w:t xml:space="preserve">sie zischen </w:t>
      </w:r>
      <w:r>
        <w:rPr>
          <w:color w:val="808080"/>
        </w:rPr>
        <w:t>(pfeifen)</w:t>
      </w:r>
      <w:r>
        <w:rPr/>
        <w:t xml:space="preserve"> und schütteln ihren Kopfüber die Tochter Jerusalem:</w:t>
        <w:br/>
        <w:t xml:space="preserve">Ist dies die Stadt, die sie nennen </w:t>
      </w:r>
      <w:r>
        <w:rPr>
          <w:color w:val="808080"/>
        </w:rPr>
        <w:t>(man nennt)</w:t>
      </w:r>
      <w:r>
        <w:rPr/>
        <w:t xml:space="preserve"> „vollkommene Schönheit“,„Freude der ganzen Erde </w:t>
      </w:r>
      <w:r>
        <w:rPr>
          <w:color w:val="808080"/>
        </w:rPr>
        <w:t>(für die ganze Erde)</w:t>
      </w:r>
      <w:r>
        <w:rPr/>
        <w:t>“?</w:t>
        <w:br/>
        <w:br/>
        <w:t xml:space="preserve">{{field-off:bible}} </w:t>
        <w:br/>
        <w:t>[[@BibleTOBIBLE:La 2:16]]</w:t>
      </w:r>
      <w:r>
        <w:rPr>
          <w:b/>
        </w:rPr>
        <w:t>16</w:t>
      </w:r>
      <w:r>
        <w:rPr/>
        <w:t xml:space="preserve"> {{field-on:bible}} </w:t>
        <w:br/>
        <w:t xml:space="preserve">Sie reißen ihr Maul </w:t>
      </w:r>
      <w:r>
        <w:rPr>
          <w:color w:val="808080"/>
        </w:rPr>
        <w:t>(ihren Mund)</w:t>
      </w:r>
      <w:r>
        <w:rPr/>
        <w:t xml:space="preserve"> auf über dich,alle deine</w:t>
      </w:r>
      <w:r>
        <w:rPr>
          <w:rStyle w:val="Funotenanker"/>
        </w:rPr>
        <w:footnoteReference w:customMarkFollows="1" w:id="2934"/>
        <w:t>ac</w:t>
      </w:r>
      <w:r>
        <w:rPr/>
        <w:t xml:space="preserve"> Feinde,</w:t>
        <w:br/>
        <w:t xml:space="preserve">sie zischen </w:t>
      </w:r>
      <w:r>
        <w:rPr>
          <w:color w:val="808080"/>
        </w:rPr>
        <w:t>(pfeifen)</w:t>
      </w:r>
      <w:r>
        <w:rPr/>
        <w:t xml:space="preserve"> und knirschen mit </w:t>
      </w:r>
      <w:r>
        <w:rPr>
          <w:b/>
          <w:color w:val="808080"/>
        </w:rPr>
        <w:t>[</w:t>
      </w:r>
      <w:r>
        <w:rPr/>
        <w:t>ihren</w:t>
      </w:r>
      <w:r>
        <w:rPr>
          <w:b/>
          <w:color w:val="808080"/>
        </w:rPr>
        <w:t>]</w:t>
      </w:r>
      <w:r>
        <w:rPr/>
        <w:t xml:space="preserve"> Zähnen,sie sagen: Wir haben </w:t>
      </w:r>
      <w:r>
        <w:rPr>
          <w:b/>
          <w:color w:val="808080"/>
        </w:rPr>
        <w:t>[</w:t>
      </w:r>
      <w:r>
        <w:rPr/>
        <w:t>sie</w:t>
      </w:r>
      <w:r>
        <w:rPr>
          <w:b/>
          <w:color w:val="808080"/>
        </w:rPr>
        <w:t>]</w:t>
      </w:r>
      <w:r>
        <w:rPr/>
        <w:t xml:space="preserve"> verschlungen;</w:t>
        <w:br/>
        <w:t xml:space="preserve">ja, dies ist der Tag, auf den wir hofften,wir haben </w:t>
      </w:r>
      <w:r>
        <w:rPr>
          <w:b/>
          <w:color w:val="808080"/>
        </w:rPr>
        <w:t>[</w:t>
      </w:r>
      <w:r>
        <w:rPr/>
        <w:t>es</w:t>
      </w:r>
      <w:r>
        <w:rPr>
          <w:b/>
          <w:color w:val="808080"/>
        </w:rPr>
        <w:t>]</w:t>
      </w:r>
      <w:r>
        <w:rPr/>
        <w:t xml:space="preserve"> erreicht</w:t>
      </w:r>
      <w:r>
        <w:rPr>
          <w:rStyle w:val="Funotenanker"/>
        </w:rPr>
        <w:footnoteReference w:customMarkFollows="1" w:id="2935"/>
        <w:t>ad</w:t>
      </w:r>
      <w:r>
        <w:rPr/>
        <w:t>, gesehen.</w:t>
        <w:br/>
        <w:br/>
        <w:t xml:space="preserve">{{field-off:bible}} </w:t>
        <w:br/>
        <w:t>[[@BibleTOBIBLE:La 2:17]]</w:t>
      </w:r>
      <w:r>
        <w:rPr>
          <w:b/>
        </w:rPr>
        <w:t>17</w:t>
      </w:r>
      <w:r>
        <w:rPr/>
        <w:t xml:space="preserve"> {{field-on:bible}} </w:t>
        <w:br/>
        <w:t xml:space="preserve">Getan hat </w:t>
      </w:r>
      <w:r>
        <w:rPr>
          <w:smallCaps/>
          <w:color w:val="FF0000"/>
        </w:rPr>
        <w:t>JHWH</w:t>
      </w:r>
      <w:r>
        <w:rPr/>
        <w:t>, was er ersann, erfüllt hat er sein Wort,</w:t>
        <w:br/>
        <w:t>das er angeordnet hat seit den Tagen der Urzeit:</w:t>
      </w:r>
      <w:r>
        <w:rPr>
          <w:rStyle w:val="Funotenanker"/>
        </w:rPr>
        <w:footnoteReference w:customMarkFollows="1" w:id="2936"/>
        <w:t>ae</w:t>
      </w:r>
      <w:r>
        <w:rPr/>
        <w:t xml:space="preserve"> er riss ein und hatte kein Mitleid.</w:t>
        <w:br/>
        <w:t>Und er ließ sich freuen über dich den Feind, hat erhöht das Horn</w:t>
      </w:r>
      <w:r>
        <w:rPr>
          <w:rStyle w:val="Funotenanker"/>
        </w:rPr>
        <w:footnoteReference w:customMarkFollows="1" w:id="2937"/>
        <w:t>af</w:t>
      </w:r>
      <w:r>
        <w:rPr/>
        <w:t xml:space="preserve"> deiner Bedränger.</w:t>
        <w:br/>
        <w:br/>
        <w:t xml:space="preserve">{{field-off:bible}} </w:t>
        <w:br/>
        <w:t>[[@BibleTOBIBLE:La 2:18]]</w:t>
      </w:r>
      <w:r>
        <w:rPr>
          <w:b/>
        </w:rPr>
        <w:t>18</w:t>
      </w:r>
      <w:r>
        <w:rPr/>
        <w:t xml:space="preserve"> {{field-on:bible}} </w:t>
        <w:br/>
        <w:t>Ihr</w:t>
      </w:r>
      <w:r>
        <w:rPr>
          <w:rStyle w:val="Funotenanker"/>
        </w:rPr>
        <w:footnoteReference w:customMarkFollows="1" w:id="2938"/>
        <w:t>ag</w:t>
      </w:r>
      <w:r>
        <w:rPr/>
        <w:t xml:space="preserve"> Herz schreit</w:t>
      </w:r>
      <w:r>
        <w:rPr>
          <w:rStyle w:val="Funotenanker"/>
        </w:rPr>
        <w:footnoteReference w:customMarkFollows="1" w:id="2939"/>
        <w:t>ah</w:t>
      </w:r>
      <w:r>
        <w:rPr/>
        <w:t xml:space="preserve"> zum Herrn.</w:t>
      </w:r>
      <w:r>
        <w:rPr>
          <w:b/>
          <w:color w:val="808080"/>
        </w:rPr>
        <w:t>[</w:t>
      </w:r>
      <w:r>
        <w:rPr/>
        <w:t>Du</w:t>
      </w:r>
      <w:r>
        <w:rPr>
          <w:b/>
          <w:color w:val="808080"/>
        </w:rPr>
        <w:t>]</w:t>
      </w:r>
      <w:r>
        <w:rPr/>
        <w:t xml:space="preserve"> Stadtmauer der Tochter Zion,</w:t>
      </w:r>
      <w:r>
        <w:rPr>
          <w:rStyle w:val="Funotenanker"/>
        </w:rPr>
        <w:footnoteReference w:customMarkFollows="1" w:id="2940"/>
        <w:t>ai</w:t>
      </w:r>
      <w:r>
        <w:rPr/>
        <w:t xml:space="preserve"> </w:t>
        <w:br/>
        <w:t>lass herabfließen wie einen Bach die TränenTag und Nacht!</w:t>
        <w:br/>
        <w:t xml:space="preserve">Gönne </w:t>
      </w:r>
      <w:r>
        <w:rPr>
          <w:color w:val="808080"/>
        </w:rPr>
        <w:t>(gib)</w:t>
      </w:r>
      <w:r>
        <w:rPr/>
        <w:t xml:space="preserve"> dir keine Ruhe </w:t>
      </w:r>
      <w:r>
        <w:rPr>
          <w:color w:val="808080"/>
        </w:rPr>
        <w:t>(Aufhören)</w:t>
      </w:r>
      <w:r>
        <w:rPr/>
        <w:t xml:space="preserve">,nicht versiege </w:t>
      </w:r>
      <w:r>
        <w:rPr>
          <w:color w:val="808080"/>
        </w:rPr>
        <w:t>(höre auf)</w:t>
      </w:r>
      <w:r>
        <w:rPr/>
        <w:t xml:space="preserve"> dein Augapfel</w:t>
      </w:r>
      <w:r>
        <w:rPr>
          <w:rStyle w:val="Funotenanker"/>
        </w:rPr>
        <w:footnoteReference w:customMarkFollows="1" w:id="2941"/>
        <w:t>aj</w:t>
      </w:r>
      <w:r>
        <w:rPr/>
        <w:t>!</w:t>
        <w:br/>
        <w:br/>
        <w:t xml:space="preserve">{{field-off:bible}} </w:t>
        <w:br/>
        <w:t>[[@BibleTOBIBLE:La 2:19]]</w:t>
      </w:r>
      <w:r>
        <w:rPr>
          <w:b/>
        </w:rPr>
        <w:t>19</w:t>
      </w:r>
      <w:r>
        <w:rPr/>
        <w:t xml:space="preserve"> {{field-on:bible}} </w:t>
        <w:br/>
        <w:t>Auf, klage in der Nachtzu Beginn der Nachtwachen!</w:t>
        <w:br/>
        <w:t>Gieße dein Herz aus wie Wasservor dem Angesicht des Herrn!</w:t>
        <w:br/>
        <w:t>Erhebe</w:t>
      </w:r>
      <w:r>
        <w:rPr>
          <w:rStyle w:val="Funotenanker"/>
        </w:rPr>
        <w:footnoteReference w:customMarkFollows="1" w:id="2942"/>
        <w:t>ak</w:t>
      </w:r>
      <w:r>
        <w:rPr/>
        <w:t xml:space="preserve"> zu ihm deine Händefür das Leben deiner Kinder,</w:t>
        <w:br/>
        <w:t>die vor Hunger schmachtenan jeder Straßenecke!</w:t>
      </w:r>
      <w:r>
        <w:rPr>
          <w:rStyle w:val="Funotenanker"/>
        </w:rPr>
        <w:footnoteReference w:customMarkFollows="1" w:id="2943"/>
        <w:t>al</w:t>
      </w:r>
      <w:r>
        <w:rPr/>
        <w:t xml:space="preserve"> </w:t>
        <w:br/>
        <w:br/>
        <w:t xml:space="preserve">{{field-off:bible}} </w:t>
        <w:br/>
        <w:t>[[@BibleTOBIBLE:La 2:20]]</w:t>
      </w:r>
      <w:r>
        <w:rPr>
          <w:b/>
        </w:rPr>
        <w:t>20</w:t>
      </w:r>
      <w:r>
        <w:rPr/>
        <w:t xml:space="preserve"> {{field-on:bible}} </w:t>
        <w:br/>
        <w:t xml:space="preserve">Sieh, </w:t>
      </w:r>
      <w:r>
        <w:rPr>
          <w:smallCaps/>
          <w:color w:val="FF0000"/>
        </w:rPr>
        <w:t>JHWH</w:t>
      </w:r>
      <w:r>
        <w:rPr/>
        <w:t>, und schau doch,wem du solches angetan hast!</w:t>
        <w:br/>
        <w:t>Sollen Frauen ihre Leibesfrucht essen,</w:t>
      </w:r>
      <w:r>
        <w:rPr>
          <w:b/>
          <w:color w:val="808080"/>
        </w:rPr>
        <w:t>[</w:t>
      </w:r>
      <w:r>
        <w:rPr/>
        <w:t>ihre</w:t>
      </w:r>
      <w:r>
        <w:rPr>
          <w:b/>
          <w:color w:val="808080"/>
        </w:rPr>
        <w:t>]</w:t>
      </w:r>
      <w:r>
        <w:rPr/>
        <w:t xml:space="preserve"> umsorgten</w:t>
      </w:r>
      <w:r>
        <w:rPr>
          <w:rStyle w:val="Funotenanker"/>
        </w:rPr>
        <w:footnoteReference w:customMarkFollows="1" w:id="2944"/>
        <w:t>am</w:t>
      </w:r>
      <w:r>
        <w:rPr/>
        <w:t xml:space="preserve"> Kinder?</w:t>
        <w:br/>
        <w:t>Sollen im Heiligtum getötet werdenPriester und Prophet?</w:t>
        <w:br/>
        <w:br/>
        <w:t xml:space="preserve">{{field-off:bible}} </w:t>
        <w:br/>
        <w:t>[[@BibleTOBIBLE:La 2:21]]</w:t>
      </w:r>
      <w:r>
        <w:rPr>
          <w:b/>
        </w:rPr>
        <w:t>21</w:t>
      </w:r>
      <w:r>
        <w:rPr/>
        <w:t xml:space="preserve"> {{field-on:bible}} </w:t>
        <w:br/>
        <w:t>Auf der Erde in den Straßen liegenKind und Greis;</w:t>
        <w:br/>
        <w:t>meine jungen Frauen und Männer</w:t>
      </w:r>
      <w:r>
        <w:rPr>
          <w:rStyle w:val="Funotenanker"/>
        </w:rPr>
        <w:footnoteReference w:customMarkFollows="1" w:id="2945"/>
        <w:t>an</w:t>
      </w:r>
      <w:r>
        <w:rPr/>
        <w:t>sind gefallen durch das Schwert,</w:t>
        <w:br/>
        <w:t>du hast getötet am Tag deines Zorns,du hast abgeschlachtet, nicht geschont.</w:t>
        <w:br/>
        <w:br/>
        <w:t xml:space="preserve">{{field-off:bible}} </w:t>
        <w:br/>
        <w:t>[[@BibleTOBIBLE:La 2:22]]</w:t>
      </w:r>
      <w:r>
        <w:rPr>
          <w:b/>
        </w:rPr>
        <w:t>22</w:t>
      </w:r>
      <w:r>
        <w:rPr/>
        <w:t xml:space="preserve"> {{field-on:bible}} </w:t>
        <w:br/>
        <w:t>Du riefst aus wie einen Tag der Festversammlungmeine Fremdlingschaft ringsumher,</w:t>
      </w:r>
      <w:r>
        <w:rPr>
          <w:rStyle w:val="Funotenanker"/>
        </w:rPr>
        <w:footnoteReference w:customMarkFollows="1" w:id="2946"/>
        <w:t>ao</w:t>
      </w:r>
      <w:r>
        <w:rPr/>
        <w:t xml:space="preserve"> </w:t>
        <w:br/>
        <w:t xml:space="preserve">und es gab am Tag des Zorns </w:t>
      </w:r>
      <w:r>
        <w:rPr>
          <w:smallCaps/>
          <w:color w:val="FF0000"/>
        </w:rPr>
        <w:t>JHWH</w:t>
      </w:r>
      <w:r>
        <w:rPr/>
        <w:t>s keinenEntronnenen und Entkommenen;</w:t>
        <w:br/>
        <w:t xml:space="preserve">die ich umsorgt und großgezogen habe, mein Feind hat sie vertilgt.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br/>
      </w:r>
      <w:r>
        <w:rPr>
          <w:rStyle w:val="Funotenanker"/>
        </w:rPr>
        <w:footnoteReference w:customMarkFollows="1" w:id="2947"/>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948"/>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949"/>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950"/>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951"/>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9]]Kapitel 9</w:t>
      </w:r>
    </w:p>
    <w:p>
      <w:pPr>
        <w:pStyle w:val="Textkrper"/>
        <w:rPr/>
      </w:pPr>
      <w:r>
        <w:rPr/>
        <w:br/>
        <w:t>[[@BibleTOBIBLE:Eze 9:4]]</w:t>
      </w:r>
      <w:r>
        <w:rPr>
          <w:b/>
        </w:rPr>
        <w:t>4</w:t>
      </w:r>
      <w:r>
        <w:rPr/>
        <w:t xml:space="preserve"> {{field-on:bible}}Und es sprach </w:t>
      </w:r>
      <w:r>
        <w:rPr>
          <w:smallCaps/>
          <w:color w:val="FF0000"/>
        </w:rPr>
        <w:t>JHWH</w:t>
      </w:r>
      <w:r>
        <w:rPr/>
        <w:t xml:space="preserve"> zu ihm: „Gehe mitten durch die Stadt </w:t>
      </w:r>
      <w:r>
        <w:rPr>
          <w:color w:val="808080"/>
        </w:rPr>
        <w:t>(in die Mitte der Stadt)</w:t>
      </w:r>
      <w:r>
        <w:rPr/>
        <w:t xml:space="preserve">, mitten durch Jerusalem </w:t>
      </w:r>
      <w:r>
        <w:rPr>
          <w:color w:val="808080"/>
        </w:rPr>
        <w:t>(in die Mitte Jerusalems)</w:t>
      </w:r>
      <w:r>
        <w:rPr/>
        <w:t xml:space="preserve">, und tau-e </w:t>
      </w:r>
      <w:r>
        <w:rPr>
          <w:color w:val="808080"/>
        </w:rPr>
        <w:t>(zeichne)</w:t>
      </w:r>
      <w:r>
        <w:rPr/>
        <w:t xml:space="preserve"> ein Tau</w:t>
      </w:r>
      <w:r>
        <w:rPr>
          <w:rStyle w:val="Funotenanker"/>
        </w:rPr>
        <w:footnoteReference w:customMarkFollows="1" w:id="2952"/>
        <w:t>a</w:t>
      </w:r>
      <w:r>
        <w:rPr/>
        <w:t xml:space="preserve"> auf die Stirnen der Männer, die seufzen und jammern über all die Schrecknisse </w:t>
      </w:r>
      <w:r>
        <w:rPr>
          <w:color w:val="808080"/>
        </w:rPr>
        <w:t>(Götzen)</w:t>
      </w:r>
      <w:r>
        <w:rPr/>
        <w:t xml:space="preserve">, die geschehen in ihrer Mitte!“{{field-off:bible}} </w:t>
        <w:br/>
        <w:t>[[@BibleTOBIBLE:Eze 9:5]]</w:t>
      </w:r>
      <w:r>
        <w:rPr>
          <w:b/>
        </w:rPr>
        <w:t>5</w:t>
      </w:r>
      <w:r>
        <w:rPr/>
        <w:t xml:space="preserve"> {{field-on:bible}}Und zu diesen sprach er vor meinen Ohren: „Geht in die Stadt hinter ihm her und schlagt drein! Schont nicht </w:t>
      </w:r>
      <w:r>
        <w:rPr>
          <w:color w:val="808080"/>
        </w:rPr>
        <w:t>(Senkt nicht)</w:t>
      </w:r>
      <w:r>
        <w:rPr/>
        <w:t xml:space="preserve"> eure Augen und erbarmt euch nicht!{{field-off:bible}} </w:t>
        <w:br/>
        <w:t>[[@BibleTOBIBLE:Eze 9:6]]</w:t>
      </w:r>
      <w:r>
        <w:rPr>
          <w:b/>
        </w:rPr>
        <w:t>6</w:t>
      </w:r>
      <w:r>
        <w:rPr/>
        <w:t xml:space="preserve"> {{field-on:bible}}Greis, Jungendlichen und Jungfrau und Kind und Frauen zerstört bis zur Vernichtung! Doch jedermann, der auf sich </w:t>
      </w:r>
      <w:r>
        <w:rPr>
          <w:b/>
          <w:color w:val="808080"/>
        </w:rPr>
        <w:t>[</w:t>
      </w:r>
      <w:r>
        <w:rPr/>
        <w:t>hat</w:t>
      </w:r>
      <w:r>
        <w:rPr>
          <w:b/>
          <w:color w:val="808080"/>
        </w:rPr>
        <w:t>]</w:t>
      </w:r>
      <w:r>
        <w:rPr/>
        <w:t xml:space="preserve"> das Tau, naht euch nicht </w:t>
      </w:r>
      <w:r>
        <w:rPr>
          <w:color w:val="808080"/>
        </w:rPr>
        <w:t>(greift nicht an)</w:t>
      </w:r>
      <w:r>
        <w:rPr/>
        <w:t xml:space="preserve">! Und von meinem Heiligtum aus fangt an!“ Und sie fingen an bei den greisen Männern, die vor dem Haus </w:t>
      </w:r>
      <w:r>
        <w:rPr>
          <w:b/>
          <w:color w:val="808080"/>
        </w:rPr>
        <w:t>[</w:t>
      </w:r>
      <w:r>
        <w:rPr/>
        <w:t>waren</w:t>
      </w:r>
      <w:r>
        <w:rPr>
          <w:b/>
          <w:color w:val="808080"/>
        </w:rPr>
        <w:t>]</w:t>
      </w:r>
      <w:r>
        <w:rPr/>
        <w:t xml:space="preserve">.{{field-off:bible}} </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953"/>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954"/>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955"/>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956"/>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957"/>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958"/>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959"/>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960"/>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961"/>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962"/>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963"/>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964"/>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965"/>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966"/>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967"/>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968"/>
        <w:t>b</w:t>
      </w:r>
      <w:r>
        <w:rPr/>
        <w:t xml:space="preserve"> „Ewig lebe der König!</w:t>
      </w:r>
      <w:r>
        <w:rPr>
          <w:rStyle w:val="Funotenanker"/>
        </w:rPr>
        <w:footnoteReference w:customMarkFollows="1" w:id="2969"/>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970"/>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971"/>
        <w:t>e</w:t>
      </w:r>
      <w:r>
        <w:rPr/>
        <w:t xml:space="preserve"> und eure Häuser in Müllhaufen </w:t>
      </w:r>
      <w:r>
        <w:rPr>
          <w:color w:val="808080"/>
        </w:rPr>
        <w:t>(Latrinen; Trümmerhaufen)</w:t>
      </w:r>
      <w:r>
        <w:rPr/>
        <w:t xml:space="preserve"> </w:t>
      </w:r>
      <w:r>
        <w:rPr>
          <w:rStyle w:val="Funotenanker"/>
        </w:rPr>
        <w:footnoteReference w:customMarkFollows="1" w:id="2972"/>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973"/>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974"/>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975"/>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976"/>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977"/>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978"/>
        <w:t>l</w:t>
      </w:r>
      <w:r>
        <w:rPr/>
        <w:t xml:space="preserve">, der erklären könnte, was der König verlangt </w:t>
      </w:r>
      <w:r>
        <w:rPr>
          <w:color w:val="808080"/>
        </w:rPr>
        <w:t>(sagt)</w:t>
      </w:r>
      <w:r>
        <w:rPr/>
        <w:t>!</w:t>
      </w:r>
      <w:r>
        <w:rPr>
          <w:rStyle w:val="Funotenanker"/>
        </w:rPr>
        <w:footnoteReference w:customMarkFollows="1" w:id="2979"/>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980"/>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981"/>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982"/>
        <w:t>p</w:t>
      </w:r>
      <w:r>
        <w:rPr/>
        <w:t>, deren Wohnung nicht beim Fleisch ist!“</w:t>
      </w:r>
      <w:r>
        <w:rPr>
          <w:rStyle w:val="Funotenanker"/>
        </w:rPr>
        <w:footnoteReference w:customMarkFollows="1" w:id="2983"/>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984"/>
        <w:t>r</w:t>
      </w:r>
      <w:r>
        <w:rPr/>
        <w:t xml:space="preserve"> und gebot, alle Weisen</w:t>
      </w:r>
      <w:r>
        <w:rPr>
          <w:rStyle w:val="Funotenanker"/>
        </w:rPr>
        <w:footnoteReference w:customMarkFollows="1" w:id="2985"/>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986"/>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987"/>
        <w:t>u</w:t>
      </w:r>
      <w:r>
        <w:rPr/>
        <w:t xml:space="preserve"> an Arioch, den Obersten der Leibgarde </w:t>
      </w:r>
      <w:r>
        <w:rPr>
          <w:color w:val="808080"/>
        </w:rPr>
        <w:t>(Scharfrichter)</w:t>
      </w:r>
      <w:r>
        <w:rPr/>
        <w:t xml:space="preserve"> </w:t>
      </w:r>
      <w:r>
        <w:rPr>
          <w:rStyle w:val="Funotenanker"/>
        </w:rPr>
        <w:footnoteReference w:customMarkFollows="1" w:id="2988"/>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989"/>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990"/>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991"/>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992"/>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993"/>
        <w:t>aa</w:t>
      </w:r>
      <w:r>
        <w:rPr/>
        <w:t xml:space="preserve"> gewähre,</w:t>
      </w:r>
      <w:r>
        <w:rPr>
          <w:rStyle w:val="Funotenanker"/>
        </w:rPr>
        <w:footnoteReference w:customMarkFollows="1" w:id="2994"/>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995"/>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996"/>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997"/>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998"/>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999"/>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3000"/>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3001"/>
        <w:t>c</w:t>
      </w:r>
      <w:r>
        <w:rPr/>
        <w:t xml:space="preserve"> sagte zu dem Mann, bekleidet in </w:t>
      </w:r>
      <w:r>
        <w:rPr>
          <w:strike/>
          <w:color w:val="808080"/>
        </w:rPr>
        <w:t>{den}</w:t>
      </w:r>
      <w:r>
        <w:rPr/>
        <w:t xml:space="preserve"> Leinen </w:t>
      </w:r>
      <w:r>
        <w:rPr>
          <w:rStyle w:val="Funotenanker"/>
        </w:rPr>
        <w:footnoteReference w:customMarkFollows="1" w:id="3002"/>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3003"/>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3004"/>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3005"/>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3006"/>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3007"/>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3008"/>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3009"/>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3010"/>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3011"/>
        <w:t>a</w:t>
      </w:r>
      <w:r>
        <w:rPr/>
        <w:t xml:space="preserve">.{{field-off:bible}} </w:t>
        <w:br/>
        <w:t>[[@BibleTOBIBLE:Am 2:3]]</w:t>
      </w:r>
      <w:r>
        <w:rPr>
          <w:b/>
        </w:rPr>
        <w:t>3</w:t>
      </w:r>
      <w:r>
        <w:rPr/>
        <w:t xml:space="preserve"> {{field-on:bible}}Und ich werde die Richter</w:t>
      </w:r>
      <w:r>
        <w:rPr>
          <w:rStyle w:val="Funotenanker"/>
        </w:rPr>
        <w:footnoteReference w:customMarkFollows="1" w:id="3012"/>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3013"/>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3014"/>
        <w:t>d</w:t>
      </w:r>
      <w:r>
        <w:rPr/>
        <w:t xml:space="preserve"> und von euren jungen Männern Nasiräer </w:t>
      </w:r>
      <w:r>
        <w:rPr>
          <w:rStyle w:val="Funotenanker"/>
        </w:rPr>
        <w:footnoteReference w:customMarkFollows="1" w:id="3015"/>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3016"/>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3017"/>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3018"/>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3019"/>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3020"/>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{{field-on:bible}}Hört dieses Wort, das ich anhebe</w:t>
      </w:r>
      <w:r>
        <w:rPr>
          <w:rStyle w:val="Funotenanker"/>
        </w:rPr>
        <w:footnoteReference w:customMarkFollows="1" w:id="3021"/>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3022"/>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3023"/>
        <w:t>c</w:t>
      </w:r>
      <w:r>
        <w:rPr/>
        <w:t>, wird hundert übrigbehalten. Und die auszieht zu hundert</w:t>
      </w:r>
      <w:r>
        <w:rPr>
          <w:rStyle w:val="Funotenanker"/>
        </w:rPr>
        <w:footnoteReference w:customMarkFollows="1" w:id="3024"/>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3025"/>
        <w:t>e</w:t>
      </w:r>
      <w:r>
        <w:rPr/>
        <w:t xml:space="preserve"> auf und geht nicht nach Gilgal</w:t>
      </w:r>
      <w:r>
        <w:rPr>
          <w:rStyle w:val="Funotenanker"/>
        </w:rPr>
        <w:footnoteReference w:customMarkFollows="1" w:id="3026"/>
        <w:t>f</w:t>
      </w:r>
      <w:r>
        <w:rPr/>
        <w:t xml:space="preserve"> und geht nicht hinüber nach Beerscheba</w:t>
      </w:r>
      <w:r>
        <w:rPr>
          <w:rStyle w:val="Funotenanker"/>
        </w:rPr>
        <w:footnoteReference w:customMarkFollows="1" w:id="3027"/>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3028"/>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3029"/>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3030"/>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3031"/>
        <w:t>b</w:t>
      </w:r>
      <w:r>
        <w:rPr/>
        <w:t xml:space="preserve"> mit dem Feuer</w:t>
      </w:r>
      <w:r>
        <w:rPr>
          <w:rStyle w:val="Funotenanker"/>
        </w:rPr>
        <w:footnoteReference w:customMarkFollows="1" w:id="3032"/>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3033"/>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3034"/>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3035"/>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3036"/>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3037"/>
        <w:t>h</w:t>
      </w:r>
      <w:r>
        <w:rPr/>
        <w:t>: 'Du sollst nicht weissagen über Israel und du sollst nicht weissagen</w:t>
      </w:r>
      <w:r>
        <w:rPr>
          <w:rStyle w:val="Funotenanker"/>
        </w:rPr>
        <w:footnoteReference w:customMarkFollows="1" w:id="3038"/>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3039"/>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3040"/>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3041"/>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3042"/>
        <w:t>c</w:t>
      </w:r>
      <w:r>
        <w:rPr/>
        <w:t>, dass wir das Korn öffnen um das Efa</w:t>
      </w:r>
      <w:r>
        <w:rPr>
          <w:rStyle w:val="Funotenanker"/>
        </w:rPr>
        <w:footnoteReference w:customMarkFollows="1" w:id="3043"/>
        <w:t>d</w:t>
      </w:r>
      <w:r>
        <w:rPr/>
        <w:t xml:space="preserve"> zu verkleinern und um den Schekel zu vergrößern und eine falsche Waage</w:t>
      </w:r>
      <w:r>
        <w:rPr>
          <w:rStyle w:val="Funotenanker"/>
        </w:rPr>
        <w:footnoteReference w:customMarkFollows="1" w:id="3044"/>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3045"/>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3046"/>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3047"/>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3048"/>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3049"/>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3050"/>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3051"/>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3052"/>
        <w:t>b</w:t>
      </w:r>
      <w:r>
        <w:rPr/>
        <w:t>,</w:t>
      </w:r>
      <w:r>
        <w:rPr>
          <w:position w:val="8"/>
          <w:sz w:val="19"/>
        </w:rPr>
        <w:t>[[ ℘ &gt;&gt; BibleTOBIBLE:Jon 3:2]]</w:t>
      </w:r>
      <w:r>
        <w:rPr/>
        <w:t xml:space="preserve"> weil ihre</w:t>
      </w:r>
      <w:r>
        <w:rPr>
          <w:rStyle w:val="Funotenanker"/>
        </w:rPr>
        <w:footnoteReference w:customMarkFollows="1" w:id="3053"/>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3054"/>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3055"/>
        <w:t>e</w:t>
      </w:r>
      <w:r>
        <w:rPr/>
        <w:t xml:space="preserve"> ein Schiff, das im Begriff war, nach Tarschisch zu fahren</w:t>
      </w:r>
      <w:r>
        <w:rPr>
          <w:rStyle w:val="Funotenanker"/>
        </w:rPr>
        <w:footnoteReference w:customMarkFollows="1" w:id="3056"/>
        <w:t>f</w:t>
      </w:r>
      <w:r>
        <w:rPr/>
        <w:t xml:space="preserve">, </w:t>
      </w:r>
      <w:r>
        <w:rPr>
          <w:strike/>
          <w:color w:val="808080"/>
        </w:rPr>
        <w:t>{und}</w:t>
      </w:r>
      <w:r>
        <w:rPr/>
        <w:t xml:space="preserve"> zahlte sein Fährgeld und bestieg es, um mit ihnen</w:t>
      </w:r>
      <w:r>
        <w:rPr>
          <w:rStyle w:val="Funotenanker"/>
        </w:rPr>
        <w:footnoteReference w:customMarkFollows="1" w:id="3057"/>
        <w:t>g</w:t>
      </w:r>
      <w:r>
        <w:rPr/>
        <w:t xml:space="preserve"> nach Tarschisch zu fahren, weg von </w:t>
      </w:r>
      <w:r>
        <w:rPr>
          <w:smallCaps/>
          <w:color w:val="FF0000"/>
        </w:rPr>
        <w:t>JHWH</w:t>
      </w:r>
      <w:r>
        <w:rPr/>
        <w:t xml:space="preserve"> </w:t>
      </w:r>
      <w:r>
        <w:rPr>
          <w:rStyle w:val="Funotenanker"/>
        </w:rPr>
        <w:footnoteReference w:customMarkFollows="1" w:id="3058"/>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3059"/>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3060"/>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3061"/>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3062"/>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3063"/>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3064"/>
        <w:t>n</w:t>
      </w:r>
      <w:r>
        <w:rPr/>
        <w:t xml:space="preserve"> in seine Nähe</w:t>
      </w:r>
      <w:r>
        <w:rPr>
          <w:rStyle w:val="Funotenanker"/>
        </w:rPr>
        <w:footnoteReference w:customMarkFollows="1" w:id="3065"/>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3066"/>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3067"/>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3068"/>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3069"/>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3070"/>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3071"/>
        <w:t>u</w:t>
      </w:r>
      <w:r>
        <w:rPr/>
        <w:t xml:space="preserve"> und sagten zu ihm: „Warum hast du das getan?“ Denn die Männer wussten, dass er ''vor </w:t>
      </w:r>
      <w:r>
        <w:rPr>
          <w:smallCaps/>
          <w:color w:val="FF0000"/>
        </w:rPr>
        <w:t>JHWH</w:t>
      </w:r>
      <w:r>
        <w:rPr/>
        <w:t>''</w:t>
      </w:r>
      <w:r>
        <w:rPr>
          <w:rStyle w:val="Funotenanker"/>
        </w:rPr>
        <w:footnoteReference w:customMarkFollows="1" w:id="3072"/>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3073"/>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3074"/>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3075"/>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3076"/>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3077"/>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3078"/>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3079"/>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3080"/>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3081"/>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3082"/>
        <w:t>d</w:t>
      </w:r>
      <w:r>
        <w:rPr/>
        <w:t xml:space="preserve"> sagte </w:t>
      </w:r>
      <w:r>
        <w:rPr>
          <w:color w:val="808080"/>
        </w:rPr>
        <w:t>(dachte)</w:t>
      </w:r>
      <w:r>
        <w:rPr/>
        <w:t xml:space="preserve"> </w:t>
      </w:r>
      <w:r>
        <w:rPr>
          <w:rStyle w:val="Funotenanker"/>
        </w:rPr>
        <w:footnoteReference w:customMarkFollows="1" w:id="3083"/>
        <w:t>e</w:t>
      </w:r>
      <w:r>
        <w:rPr/>
        <w:t>:</w:t>
      </w:r>
      <w:r>
        <w:rPr>
          <w:rStyle w:val="Funotenanker"/>
        </w:rPr>
        <w:footnoteReference w:customMarkFollows="1" w:id="3084"/>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3085"/>
        <w:t>g</w:t>
      </w:r>
      <w:r>
        <w:rPr/>
        <w:t>.</w:t>
        <w:br/>
        <w:t xml:space="preserve">Dennoch </w:t>
      </w:r>
      <w:r>
        <w:rPr>
          <w:color w:val="808080"/>
        </w:rPr>
        <w:t>(doch; wie)</w:t>
      </w:r>
      <w:r>
        <w:rPr/>
        <w:t xml:space="preserve"> </w:t>
      </w:r>
      <w:r>
        <w:rPr>
          <w:rStyle w:val="Funotenanker"/>
        </w:rPr>
        <w:footnoteReference w:customMarkFollows="1" w:id="3086"/>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3087"/>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3088"/>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3089"/>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3090"/>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3091"/>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3092"/>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3093"/>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3094"/>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3095"/>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3096"/>
        <w:t>Status</w:t>
      </w:r>
      <w:r>
        <w:rPr/>
        <w:t xml:space="preserve"> Aber Jona geriet in große Bosheit</w:t>
      </w:r>
      <w:r>
        <w:rPr>
          <w:rStyle w:val="Funotenanker"/>
        </w:rPr>
        <w:footnoteReference w:customMarkFollows="1" w:id="3097"/>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3098"/>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3099"/>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3100"/>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3101"/>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3102"/>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3103"/>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3104"/>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3105"/>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3106"/>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3107"/>
        <w:t>c</w:t>
      </w:r>
      <w:r>
        <w:rPr/>
        <w:t xml:space="preserve"> gefestigt sein </w:t>
      </w:r>
      <w:r>
        <w:rPr>
          <w:color w:val="808080"/>
        </w:rPr>
        <w:t>(feststehen, festgelegt/eingesetzt sein)</w:t>
      </w:r>
      <w:r>
        <w:rPr/>
        <w:t xml:space="preserve"> </w:t>
      </w:r>
      <w:r>
        <w:rPr>
          <w:rStyle w:val="Funotenanker"/>
        </w:rPr>
        <w:footnoteReference w:customMarkFollows="1" w:id="3108"/>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3109"/>
        <w:t>e</w:t>
      </w:r>
      <w:r>
        <w:rPr/>
        <w:t xml:space="preserve"> können!“</w:t>
      </w:r>
      <w:r>
        <w:rPr>
          <w:rStyle w:val="Funotenanker"/>
        </w:rPr>
        <w:footnoteReference w:customMarkFollows="1" w:id="3110"/>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3111"/>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3112"/>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3113"/>
        <w:t>i</w:t>
      </w:r>
      <w:r>
        <w:rPr/>
        <w:t xml:space="preserve"> sammeln</w:t>
      </w:r>
      <w:r>
        <w:rPr>
          <w:rStyle w:val="Funotenanker"/>
        </w:rPr>
        <w:footnoteReference w:customMarkFollows="1" w:id="3114"/>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3115"/>
        <w:t>k</w:t>
      </w:r>
      <w:r>
        <w:rPr/>
        <w:t xml:space="preserve"> zu einer mächtigen Nation </w:t>
      </w:r>
      <w:r>
        <w:rPr>
          <w:color w:val="808080"/>
        </w:rPr>
        <w:t>(Volk)</w:t>
      </w:r>
      <w:r>
        <w:rPr/>
        <w:t xml:space="preserve"> </w:t>
      </w:r>
      <w:r>
        <w:rPr>
          <w:rStyle w:val="Funotenanker"/>
        </w:rPr>
        <w:footnoteReference w:customMarkFollows="1" w:id="3116"/>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3117"/>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3118"/>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3119"/>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3120"/>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3121"/>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3122"/>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3123"/>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br/>
        <w:t>[[@BibleTOBIBLE:Zep 1:7]]</w:t>
      </w:r>
      <w:r>
        <w:rPr>
          <w:b/>
        </w:rPr>
        <w:t>7</w:t>
      </w:r>
      <w:r>
        <w:rPr/>
        <w:t xml:space="preserve"> {{field-on:bible}} </w:t>
      </w:r>
      <w:r>
        <w:rPr>
          <w:b/>
          <w:color w:val="808080"/>
        </w:rPr>
        <w:t>[</w:t>
      </w:r>
      <w:r>
        <w:rPr/>
        <w:t>Sei</w:t>
      </w:r>
      <w:r>
        <w:rPr>
          <w:b/>
          <w:color w:val="808080"/>
        </w:rPr>
        <w:t>]</w:t>
      </w:r>
      <w:r>
        <w:rPr/>
        <w:t xml:space="preserve"> still vor meinem Herrn </w:t>
      </w:r>
      <w:r>
        <w:rPr>
          <w:smallCaps/>
          <w:color w:val="FF0000"/>
        </w:rPr>
        <w:t>JHWH</w:t>
      </w:r>
      <w:r>
        <w:rPr/>
        <w:t xml:space="preserve">, denn nahe </w:t>
      </w:r>
      <w:r>
        <w:rPr>
          <w:b/>
          <w:color w:val="808080"/>
        </w:rPr>
        <w:t>[</w:t>
      </w:r>
      <w:r>
        <w:rPr/>
        <w:t>ist der</w:t>
      </w:r>
      <w:r>
        <w:rPr>
          <w:b/>
          <w:color w:val="808080"/>
        </w:rPr>
        <w:t>]</w:t>
      </w:r>
      <w:r>
        <w:rPr/>
        <w:t xml:space="preserve"> Tag </w:t>
      </w:r>
      <w:r>
        <w:rPr>
          <w:smallCaps/>
          <w:color w:val="FF0000"/>
        </w:rPr>
        <w:t>JHWH</w:t>
      </w:r>
      <w:r>
        <w:rPr/>
        <w:t xml:space="preserve">s. Denn es hat bereiten lassen JHWH </w:t>
      </w:r>
      <w:r>
        <w:rPr>
          <w:b/>
          <w:color w:val="808080"/>
        </w:rPr>
        <w:t>[</w:t>
      </w:r>
      <w:r>
        <w:rPr/>
        <w:t>ein</w:t>
      </w:r>
      <w:r>
        <w:rPr>
          <w:b/>
          <w:color w:val="808080"/>
        </w:rPr>
        <w:t>]</w:t>
      </w:r>
      <w:r>
        <w:rPr/>
        <w:t xml:space="preserve"> Opfer </w:t>
      </w:r>
      <w:r>
        <w:rPr>
          <w:b/>
          <w:color w:val="808080"/>
        </w:rPr>
        <w:t>[</w:t>
      </w:r>
      <w:r>
        <w:rPr/>
        <w:t>und</w:t>
      </w:r>
      <w:r>
        <w:rPr>
          <w:b/>
          <w:color w:val="808080"/>
        </w:rPr>
        <w:t>]</w:t>
      </w:r>
      <w:r>
        <w:rPr/>
        <w:t xml:space="preserve"> er hat heiligen lassen die ihn Rufenden.{{field-off:bible}}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3124"/>
        <w:t>Status</w:t>
      </w:r>
      <w:r>
        <w:rPr/>
        <w:t xml:space="preserve"> Im zweiten Jahr des Königs Darius, im sechsten Monat, am ersten Tag</w:t>
      </w:r>
      <w:r>
        <w:rPr>
          <w:rStyle w:val="Funotenanker"/>
        </w:rPr>
        <w:footnoteReference w:customMarkFollows="1" w:id="3125"/>
        <w:t>a</w:t>
      </w:r>
      <w:r>
        <w:rPr/>
        <w:t xml:space="preserve"> des Monats,</w:t>
      </w:r>
      <w:r>
        <w:rPr>
          <w:rStyle w:val="Funotenanker"/>
        </w:rPr>
        <w:footnoteReference w:customMarkFollows="1" w:id="3126"/>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3127"/>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3128"/>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3129"/>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3130"/>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3131"/>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3132"/>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3133"/>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3134"/>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3135"/>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3136"/>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3137"/>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3138"/>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3139"/>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3140"/>
        <w:t>Status</w:t>
      </w:r>
      <w:r>
        <w:rPr/>
        <w:t xml:space="preserve"> Im achten Monat des zweiten Jahres des Darius</w:t>
      </w:r>
      <w:r>
        <w:rPr>
          <w:rStyle w:val="Funotenanker"/>
        </w:rPr>
        <w:footnoteReference w:customMarkFollows="1" w:id="3141"/>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3142"/>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143"/>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144"/>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145"/>
        <w:t>e</w:t>
      </w:r>
      <w:r>
        <w:rPr/>
        <w:t xml:space="preserve"> zwischen den Myrten, die aus der Tiefe </w:t>
      </w:r>
      <w:r>
        <w:rPr>
          <w:color w:val="808080"/>
        </w:rPr>
        <w:t>(Talgrund)</w:t>
      </w:r>
      <w:r>
        <w:rPr/>
        <w:t xml:space="preserve"> </w:t>
      </w:r>
      <w:r>
        <w:rPr>
          <w:rStyle w:val="Funotenanker"/>
        </w:rPr>
        <w:footnoteReference w:customMarkFollows="1" w:id="3146"/>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147"/>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148"/>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149"/>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150"/>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151"/>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152"/>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153"/>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154"/>
        <w:t>c</w:t>
      </w:r>
      <w:r>
        <w:rPr/>
        <w:t xml:space="preserve"> die Hörner der Völker</w:t>
      </w:r>
      <w:r>
        <w:rPr>
          <w:rStyle w:val="Funotenanker"/>
        </w:rPr>
        <w:footnoteReference w:customMarkFollows="1" w:id="3155"/>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156"/>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157"/>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158"/>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159"/>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160"/>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161"/>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162"/>
        <w:t>k</w:t>
      </w:r>
      <w:r>
        <w:rPr/>
        <w:t xml:space="preserve">, schlägt </w:t>
      </w:r>
      <w:r>
        <w:rPr>
          <w:color w:val="808080"/>
        </w:rPr>
        <w:t>(rührt an)</w:t>
      </w:r>
      <w:r>
        <w:rPr/>
        <w:t xml:space="preserve"> </w:t>
      </w:r>
      <w:r>
        <w:rPr>
          <w:rStyle w:val="Funotenanker"/>
        </w:rPr>
        <w:footnoteReference w:customMarkFollows="1" w:id="3163"/>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164"/>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165"/>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166"/>
        <w:t>o</w:t>
      </w:r>
      <w:r>
        <w:rPr/>
        <w:t xml:space="preserve"> meine Hand gegen sie</w:t>
      </w:r>
      <w:r>
        <w:rPr>
          <w:rStyle w:val="Funotenanker"/>
        </w:rPr>
        <w:footnoteReference w:customMarkFollows="1" w:id="3167"/>
        <w:t>p</w:t>
      </w:r>
      <w:r>
        <w:rPr/>
        <w:t xml:space="preserve">, so dass </w:t>
      </w:r>
      <w:r>
        <w:rPr>
          <w:color w:val="808080"/>
        </w:rPr>
        <w:t>(und)</w:t>
      </w:r>
      <w:r>
        <w:rPr/>
        <w:t xml:space="preserve"> sie eine Beute</w:t>
      </w:r>
      <w:r>
        <w:rPr>
          <w:rStyle w:val="Funotenanker"/>
        </w:rPr>
        <w:footnoteReference w:customMarkFollows="1" w:id="3168"/>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169"/>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170"/>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171"/>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172"/>
        <w:t>Status</w:t>
      </w:r>
      <w:r>
        <w:rPr/>
        <w:t xml:space="preserve"> Und er ließ mich sehen </w:t>
      </w:r>
      <w:r>
        <w:rPr>
          <w:color w:val="808080"/>
        </w:rPr>
        <w:t>(zeigte mir)</w:t>
      </w:r>
      <w:r>
        <w:rPr/>
        <w:t xml:space="preserve"> </w:t>
      </w:r>
      <w:r>
        <w:rPr>
          <w:rStyle w:val="Funotenanker"/>
        </w:rPr>
        <w:footnoteReference w:customMarkFollows="1" w:id="3173"/>
        <w:t>a</w:t>
      </w:r>
      <w:r>
        <w:rPr/>
        <w:t xml:space="preserve"> Jeschua, den Hohenpriester, der stand</w:t>
      </w:r>
      <w:r>
        <w:rPr>
          <w:rStyle w:val="Funotenanker"/>
        </w:rPr>
        <w:footnoteReference w:customMarkFollows="1" w:id="3174"/>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175"/>
        <w:t>c</w:t>
      </w:r>
      <w:r>
        <w:rPr/>
        <w:t xml:space="preserve"> stand</w:t>
      </w:r>
      <w:r>
        <w:rPr>
          <w:rStyle w:val="Funotenanker"/>
        </w:rPr>
        <w:footnoteReference w:customMarkFollows="1" w:id="3176"/>
        <w:t>d</w:t>
      </w:r>
      <w:r>
        <w:rPr/>
        <w:t xml:space="preserve"> auf seiner rechten Seite </w:t>
      </w:r>
      <w:r>
        <w:rPr>
          <w:color w:val="808080"/>
        </w:rPr>
        <w:t>(zu seiner Rechten)</w:t>
      </w:r>
      <w:r>
        <w:rPr/>
        <w:t xml:space="preserve"> um ihn anzuklagen</w:t>
      </w:r>
      <w:r>
        <w:rPr>
          <w:rStyle w:val="Funotenanker"/>
        </w:rPr>
        <w:footnoteReference w:customMarkFollows="1" w:id="3177"/>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78"/>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79"/>
        <w:t>g</w:t>
      </w:r>
      <w:r>
        <w:rPr/>
        <w:t xml:space="preserve"> dich, der auserwählt hat </w:t>
      </w:r>
      <w:r>
        <w:rPr>
          <w:color w:val="808080"/>
        </w:rPr>
        <w:t>(erwählt hat)</w:t>
      </w:r>
      <w:r>
        <w:rPr/>
        <w:t xml:space="preserve"> </w:t>
      </w:r>
      <w:r>
        <w:rPr>
          <w:rStyle w:val="Funotenanker"/>
        </w:rPr>
        <w:footnoteReference w:customMarkFollows="1" w:id="3180"/>
        <w:t>h</w:t>
      </w:r>
      <w:r>
        <w:rPr/>
        <w:t xml:space="preserve"> Jerusalem! Ist dieser nicht ein Holzscheit </w:t>
      </w:r>
      <w:r>
        <w:rPr>
          <w:color w:val="808080"/>
        </w:rPr>
        <w:t>(Brandscheit)</w:t>
      </w:r>
      <w:r>
        <w:rPr/>
        <w:t>, das herausgezogen</w:t>
      </w:r>
      <w:r>
        <w:rPr>
          <w:rStyle w:val="Funotenanker"/>
        </w:rPr>
        <w:footnoteReference w:customMarkFollows="1" w:id="3181"/>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182"/>
        <w:t>j</w:t>
      </w:r>
      <w:r>
        <w:rPr/>
        <w:t xml:space="preserve"> mit schmutzigen</w:t>
      </w:r>
      <w:r>
        <w:rPr>
          <w:rStyle w:val="Funotenanker"/>
        </w:rPr>
        <w:footnoteReference w:customMarkFollows="1" w:id="3183"/>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184"/>
        <w:t>l</w:t>
      </w:r>
      <w:r>
        <w:rPr/>
        <w:t xml:space="preserve"> antwortete und sprach zu denen, die vor ihm </w:t>
      </w:r>
      <w:r>
        <w:rPr>
          <w:color w:val="808080"/>
        </w:rPr>
        <w:t>(vor seinem Angesicht)</w:t>
      </w:r>
      <w:r>
        <w:rPr/>
        <w:t xml:space="preserve"> standen</w:t>
      </w:r>
      <w:r>
        <w:rPr>
          <w:rStyle w:val="Funotenanker"/>
        </w:rPr>
        <w:footnoteReference w:customMarkFollows="1" w:id="3185"/>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186"/>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187"/>
        <w:t>o</w:t>
      </w:r>
      <w:r>
        <w:rPr/>
        <w:t xml:space="preserve"> Ich habe weggenommen </w:t>
      </w:r>
      <w:r>
        <w:rPr>
          <w:color w:val="808080"/>
        </w:rPr>
        <w:t>(hinübergehen lassen, vergeben)</w:t>
      </w:r>
      <w:r>
        <w:rPr/>
        <w:t xml:space="preserve"> </w:t>
      </w:r>
      <w:r>
        <w:rPr>
          <w:rStyle w:val="Funotenanker"/>
        </w:rPr>
        <w:footnoteReference w:customMarkFollows="1" w:id="3188"/>
        <w:t>p</w:t>
      </w:r>
      <w:r>
        <w:rPr/>
        <w:t xml:space="preserve"> von dir deine Sünde und bekleide </w:t>
      </w:r>
      <w:r>
        <w:rPr>
          <w:color w:val="808080"/>
        </w:rPr>
        <w:t>(ziehe dich an)</w:t>
      </w:r>
      <w:r>
        <w:rPr/>
        <w:t xml:space="preserve"> </w:t>
      </w:r>
      <w:r>
        <w:rPr>
          <w:rStyle w:val="Funotenanker"/>
        </w:rPr>
        <w:footnoteReference w:customMarkFollows="1" w:id="3189"/>
        <w:t>q</w:t>
      </w:r>
      <w:r>
        <w:rPr/>
        <w:t xml:space="preserve"> dich mit Festgewändern </w:t>
      </w:r>
      <w:r>
        <w:rPr>
          <w:color w:val="808080"/>
        </w:rPr>
        <w:t>(Feierkleidern)</w:t>
      </w:r>
      <w:r>
        <w:rPr/>
        <w:t xml:space="preserve"> </w:t>
      </w:r>
      <w:r>
        <w:rPr>
          <w:rStyle w:val="Funotenanker"/>
        </w:rPr>
        <w:footnoteReference w:customMarkFollows="1" w:id="3190"/>
        <w:t>r</w:t>
      </w:r>
      <w:r>
        <w:rPr/>
        <w:t xml:space="preserve">.{{field-off:bible}} </w:t>
        <w:br/>
        <w:t>[[@BibleTOBIBLE:Zec 3:5]]</w:t>
      </w:r>
      <w:r>
        <w:rPr>
          <w:b/>
        </w:rPr>
        <w:t>5</w:t>
      </w:r>
      <w:r>
        <w:rPr/>
        <w:t xml:space="preserve"> {{field-on:bible}}Und ich</w:t>
      </w:r>
      <w:r>
        <w:rPr>
          <w:rStyle w:val="Funotenanker"/>
        </w:rPr>
        <w:footnoteReference w:customMarkFollows="1" w:id="3191"/>
        <w:t>s</w:t>
      </w:r>
      <w:r>
        <w:rPr/>
        <w:t xml:space="preserve"> sprach: Man setze</w:t>
      </w:r>
      <w:r>
        <w:rPr>
          <w:rStyle w:val="Funotenanker"/>
        </w:rPr>
        <w:footnoteReference w:customMarkFollows="1" w:id="3192"/>
        <w:t>t</w:t>
      </w:r>
      <w:r>
        <w:rPr/>
        <w:t xml:space="preserve"> </w:t>
      </w:r>
      <w:r>
        <w:rPr>
          <w:strike/>
          <w:color w:val="808080"/>
        </w:rPr>
        <w:t>{ihm}</w:t>
      </w:r>
      <w:r>
        <w:rPr/>
        <w:t xml:space="preserve"> einen reinen</w:t>
      </w:r>
      <w:r>
        <w:rPr>
          <w:rStyle w:val="Funotenanker"/>
        </w:rPr>
        <w:footnoteReference w:customMarkFollows="1" w:id="3193"/>
        <w:t>u</w:t>
      </w:r>
      <w:r>
        <w:rPr/>
        <w:t xml:space="preserve"> Kopfbund </w:t>
      </w:r>
      <w:r>
        <w:rPr>
          <w:color w:val="808080"/>
        </w:rPr>
        <w:t>(Turban)</w:t>
      </w:r>
      <w:r>
        <w:rPr/>
        <w:t xml:space="preserve"> </w:t>
      </w:r>
      <w:r>
        <w:rPr>
          <w:rStyle w:val="Funotenanker"/>
        </w:rPr>
        <w:footnoteReference w:customMarkFollows="1" w:id="3194"/>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195"/>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196"/>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197"/>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198"/>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199"/>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200"/>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201"/>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202"/>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203"/>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204"/>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205"/>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206"/>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207"/>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208"/>
        <w:t>c</w:t>
      </w:r>
      <w:r>
        <w:rPr/>
        <w:t xml:space="preserve"> und stehen </w:t>
      </w:r>
      <w:r>
        <w:rPr>
          <w:color w:val="808080"/>
        </w:rPr>
        <w:t>(hintreten)</w:t>
      </w:r>
      <w:r>
        <w:rPr/>
        <w:t xml:space="preserve"> </w:t>
      </w:r>
      <w:r>
        <w:rPr>
          <w:rStyle w:val="Funotenanker"/>
        </w:rPr>
        <w:footnoteReference w:customMarkFollows="1" w:id="3209"/>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210"/>
        <w:t>e</w:t>
      </w:r>
      <w:r>
        <w:rPr/>
        <w:t xml:space="preserve"> und die schwarzen Pferde laufen hinaus</w:t>
      </w:r>
      <w:r>
        <w:rPr>
          <w:rStyle w:val="Funotenanker"/>
        </w:rPr>
        <w:footnoteReference w:customMarkFollows="1" w:id="3211"/>
        <w:t>f</w:t>
      </w:r>
      <w:r>
        <w:rPr/>
        <w:t xml:space="preserve"> zum Land des Nordens und die weißen laufen hinaus</w:t>
      </w:r>
      <w:r>
        <w:rPr>
          <w:rStyle w:val="Funotenanker"/>
        </w:rPr>
        <w:footnoteReference w:customMarkFollows="1" w:id="3212"/>
        <w:t>g</w:t>
      </w:r>
      <w:r>
        <w:rPr/>
        <w:t xml:space="preserve"> hinter ihnen her</w:t>
      </w:r>
      <w:r>
        <w:rPr>
          <w:rStyle w:val="Funotenanker"/>
        </w:rPr>
        <w:footnoteReference w:customMarkFollows="1" w:id="3213"/>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214"/>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215"/>
        <w:t>j</w:t>
      </w:r>
      <w:r>
        <w:rPr/>
        <w:t>, von Heldai und von Tobija und von Jedaja und gehe</w:t>
      </w:r>
      <w:r>
        <w:rPr>
          <w:rStyle w:val="Funotenanker"/>
        </w:rPr>
        <w:footnoteReference w:customMarkFollows="1" w:id="3216"/>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217"/>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218"/>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219"/>
        <w:t>n</w:t>
      </w:r>
      <w:r>
        <w:rPr/>
        <w:t xml:space="preserve"> ein Priester auf seinem Thron sein</w:t>
      </w:r>
      <w:r>
        <w:rPr>
          <w:rStyle w:val="Funotenanker"/>
        </w:rPr>
        <w:footnoteReference w:customMarkFollows="1" w:id="3220"/>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221"/>
        <w:t>p</w:t>
      </w:r>
      <w:r>
        <w:rPr/>
        <w:t xml:space="preserve"> der Heldai</w:t>
      </w:r>
      <w:r>
        <w:rPr>
          <w:rStyle w:val="Funotenanker"/>
        </w:rPr>
        <w:footnoteReference w:customMarkFollows="1" w:id="3222"/>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223"/>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224"/>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225"/>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226"/>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227"/>
        <w:t>a</w:t>
      </w:r>
      <w:r>
        <w:rPr/>
        <w:t xml:space="preserve"> von Jesus Christus, dem Sohn</w:t>
      </w:r>
      <w:r>
        <w:rPr>
          <w:rStyle w:val="Funotenanker"/>
        </w:rPr>
        <w:footnoteReference w:customMarkFollows="1" w:id="3228"/>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229"/>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230"/>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231"/>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232"/>
        <w:t>f</w:t>
      </w:r>
      <w:r>
        <w:rPr/>
        <w:t xml:space="preserve"> Jesu Christi</w:t>
      </w:r>
      <w:r>
        <w:rPr>
          <w:rStyle w:val="Funotenanker"/>
        </w:rPr>
        <w:footnoteReference w:customMarkFollows="1" w:id="3233"/>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234"/>
        <w:t>h</w:t>
      </w:r>
      <w:r>
        <w:rPr/>
        <w:t xml:space="preserve"> </w:t>
      </w:r>
      <w:r>
        <w:rPr>
          <w:color w:val="808080"/>
        </w:rPr>
        <w:t>(Josefs Braut geworden, dem Josef vertraut)</w:t>
      </w:r>
      <w:r>
        <w:rPr/>
        <w:t>. Bevor sie zusammengekommen waren</w:t>
      </w:r>
      <w:r>
        <w:rPr>
          <w:rStyle w:val="Funotenanker"/>
        </w:rPr>
        <w:footnoteReference w:customMarkFollows="1" w:id="3235"/>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236"/>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237"/>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238"/>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239"/>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240"/>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241"/>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242"/>
        <w:t>p</w:t>
      </w:r>
      <w:r>
        <w:rPr/>
        <w:t xml:space="preserve">. Er </w:t>
      </w:r>
      <w:r>
        <w:rPr>
          <w:rStyle w:val="Funotenanker"/>
        </w:rPr>
        <w:footnoteReference w:customMarkFollows="1" w:id="3243"/>
        <w:t>q</w:t>
      </w:r>
      <w:r>
        <w:rPr/>
        <w:t xml:space="preserve"> </w:t>
      </w:r>
      <w:r>
        <w:rPr>
          <w:rStyle w:val="Funotenanker"/>
        </w:rPr>
        <w:footnoteReference w:customMarkFollows="1" w:id="3244"/>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245"/>
        <w:t>s</w:t>
      </w:r>
      <w:r>
        <w:rPr/>
        <w:t xml:space="preserve"> </w:t>
      </w:r>
      <w:r>
        <w:rPr>
          <w:color w:val="808080"/>
        </w:rPr>
        <w:t>(geschah, ereignete sich, trug sich zu)</w:t>
      </w:r>
      <w:r>
        <w:rPr/>
        <w:t>, damit sich das vom Herrn durch einen</w:t>
      </w:r>
      <w:r>
        <w:rPr>
          <w:rStyle w:val="Funotenanker"/>
        </w:rPr>
        <w:footnoteReference w:customMarkFollows="1" w:id="3246"/>
        <w:t>t</w:t>
      </w:r>
      <w:r>
        <w:rPr/>
        <w:t xml:space="preserve"> Propheten</w:t>
      </w:r>
      <w:r>
        <w:rPr>
          <w:rStyle w:val="Funotenanker"/>
        </w:rPr>
        <w:footnoteReference w:customMarkFollows="1" w:id="3247"/>
        <w:t>u</w:t>
      </w:r>
      <w:r>
        <w:rPr/>
        <w:t xml:space="preserve"> Gesagte erfüllte. Er sagte</w:t>
      </w:r>
      <w:r>
        <w:rPr>
          <w:rStyle w:val="Funotenanker"/>
        </w:rPr>
        <w:footnoteReference w:customMarkFollows="1" w:id="3248"/>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249"/>
        <w:t>w</w:t>
      </w:r>
      <w:r>
        <w:rPr/>
        <w:t xml:space="preserve"> ist schwanger</w:t>
      </w:r>
      <w:r>
        <w:rPr>
          <w:rStyle w:val="Funotenanker"/>
        </w:rPr>
        <w:footnoteReference w:customMarkFollows="1" w:id="3250"/>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251"/>
        <w:t>y</w:t>
      </w:r>
      <w:r>
        <w:rPr/>
        <w:t xml:space="preserve"> </w:t>
      </w:r>
      <w:r>
        <w:rPr>
          <w:rStyle w:val="Funotenanker"/>
        </w:rPr>
        <w:footnoteReference w:customMarkFollows="1" w:id="3252"/>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253"/>
        <w:t>aa</w:t>
      </w:r>
      <w:r>
        <w:rPr/>
        <w:t xml:space="preserve"> {{field-off:bible}} </w:t>
        <w:br/>
        <w:t>[[@BibleTOBIBLE:Mt 1:24]]</w:t>
      </w:r>
      <w:r>
        <w:rPr>
          <w:b/>
        </w:rPr>
        <w:t>24</w:t>
      </w:r>
      <w:r>
        <w:rPr/>
        <w:t xml:space="preserve"> {{field-on:bible}}Aus dem Schlaf aufgewacht</w:t>
      </w:r>
      <w:r>
        <w:rPr>
          <w:rStyle w:val="Funotenanker"/>
        </w:rPr>
        <w:footnoteReference w:customMarkFollows="1" w:id="3254"/>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255"/>
        <w:t>ac</w:t>
      </w:r>
      <w:r>
        <w:rPr/>
        <w:t xml:space="preserve"> bis</w:t>
      </w:r>
      <w:r>
        <w:rPr>
          <w:rStyle w:val="Funotenanker"/>
        </w:rPr>
        <w:footnoteReference w:customMarkFollows="1" w:id="3256"/>
        <w:t>ad</w:t>
      </w:r>
      <w:r>
        <w:rPr/>
        <w:t xml:space="preserve"> sie einen Sohn</w:t>
      </w:r>
      <w:r>
        <w:rPr>
          <w:rStyle w:val="Funotenanker"/>
        </w:rPr>
        <w:footnoteReference w:customMarkFollows="1" w:id="3257"/>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258"/>
        <w:t>Status</w:t>
      </w:r>
      <w:r>
        <w:rPr/>
        <w:t xml:space="preserve"> Als </w:t>
      </w:r>
      <w:r>
        <w:rPr>
          <w:strike/>
          <w:color w:val="808080"/>
        </w:rPr>
        <w:t>{aber}</w:t>
      </w:r>
      <w:r>
        <w:rPr/>
        <w:t xml:space="preserve"> Jesus geboren worden war</w:t>
      </w:r>
      <w:r>
        <w:rPr>
          <w:rStyle w:val="Funotenanker"/>
        </w:rPr>
        <w:footnoteReference w:customMarkFollows="1" w:id="3259"/>
        <w:t>a</w:t>
      </w:r>
      <w:r>
        <w:rPr/>
        <w:t xml:space="preserve"> in Betlehem in Judäa </w:t>
      </w:r>
      <w:r>
        <w:rPr>
          <w:color w:val="808080"/>
        </w:rPr>
        <w:t>(im jüdäischen Betlehem)</w:t>
      </w:r>
      <w:r>
        <w:rPr/>
        <w:t xml:space="preserve"> </w:t>
      </w:r>
      <w:r>
        <w:rPr>
          <w:rStyle w:val="Funotenanker"/>
        </w:rPr>
        <w:footnoteReference w:customMarkFollows="1" w:id="3260"/>
        <w:t>b</w:t>
      </w:r>
      <w:r>
        <w:rPr/>
        <w:t xml:space="preserve"> in den Tagen des Königs Herodes</w:t>
      </w:r>
      <w:r>
        <w:rPr>
          <w:rStyle w:val="Funotenanker"/>
        </w:rPr>
        <w:footnoteReference w:customMarkFollows="1" w:id="3261"/>
        <w:t>c</w:t>
      </w:r>
      <w:r>
        <w:rPr/>
        <w:t>, siehe, da kamen Magier</w:t>
      </w:r>
      <w:r>
        <w:rPr>
          <w:rStyle w:val="Funotenanker"/>
        </w:rPr>
        <w:footnoteReference w:customMarkFollows="1" w:id="3262"/>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263"/>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264"/>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265"/>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266"/>
        <w:t>h</w:t>
      </w:r>
      <w:r>
        <w:rPr/>
        <w:t xml:space="preserve"> all</w:t>
      </w:r>
      <w:r>
        <w:rPr>
          <w:rStyle w:val="Funotenanker"/>
        </w:rPr>
        <w:footnoteReference w:customMarkFollows="1" w:id="3267"/>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268"/>
        <w:t>j</w:t>
      </w:r>
      <w:r>
        <w:rPr/>
        <w:t xml:space="preserve"> mittels</w:t>
      </w:r>
      <w:r>
        <w:rPr>
          <w:rStyle w:val="Funotenanker"/>
        </w:rPr>
        <w:footnoteReference w:customMarkFollows="1" w:id="3269"/>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270"/>
        <w:t>l</w:t>
      </w:r>
      <w:r>
        <w:rPr/>
        <w:t xml:space="preserve"> in Juda. Aus dir </w:t>
      </w:r>
      <w:r>
        <w:rPr>
          <w:strike/>
          <w:color w:val="808080"/>
        </w:rPr>
        <w:t>{nämlich}</w:t>
      </w:r>
      <w:r>
        <w:rPr/>
        <w:t xml:space="preserve"> wird ein Führender</w:t>
      </w:r>
      <w:r>
        <w:rPr>
          <w:rStyle w:val="Funotenanker"/>
        </w:rPr>
        <w:footnoteReference w:customMarkFollows="1" w:id="3271"/>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272"/>
        <w:t>n</w:t>
      </w:r>
      <w:r>
        <w:rPr/>
        <w:t xml:space="preserve"> {{field-off:bible}} </w:t>
        <w:br/>
        <w:t>[[@BibleTOBIBLE:Mt 2:7]]</w:t>
      </w:r>
      <w:r>
        <w:rPr>
          <w:b/>
        </w:rPr>
        <w:t>7</w:t>
      </w:r>
      <w:r>
        <w:rPr/>
        <w:t xml:space="preserve"> {{field-on:bible}}Daraufhin rief</w:t>
      </w:r>
      <w:r>
        <w:rPr>
          <w:rStyle w:val="Funotenanker"/>
        </w:rPr>
        <w:footnoteReference w:customMarkFollows="1" w:id="3273"/>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274"/>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275"/>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276"/>
        <w:t>r</w:t>
      </w:r>
      <w:r>
        <w:rPr/>
        <w:t xml:space="preserve"> akribisch genau über das Kind nach. Wenn</w:t>
      </w:r>
      <w:r>
        <w:rPr>
          <w:rStyle w:val="Funotenanker"/>
        </w:rPr>
        <w:footnoteReference w:customMarkFollows="1" w:id="3277"/>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278"/>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279"/>
        <w:t>u</w:t>
      </w:r>
      <w:r>
        <w:rPr/>
        <w:t xml:space="preserve">, </w:t>
      </w:r>
      <w:r>
        <w:rPr>
          <w:strike/>
          <w:color w:val="808080"/>
        </w:rPr>
        <w:t>{und}</w:t>
      </w:r>
      <w:r>
        <w:rPr/>
        <w:t xml:space="preserve"> während er ankam, stellte er sich auf dort, wo das Kind war</w:t>
      </w:r>
      <w:r>
        <w:rPr>
          <w:rStyle w:val="Funotenanker"/>
        </w:rPr>
        <w:footnoteReference w:customMarkFollows="1" w:id="3280"/>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281"/>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282"/>
        <w:t>x</w:t>
      </w:r>
      <w:r>
        <w:rPr/>
        <w:t xml:space="preserve"> wurde ihnen befohlen</w:t>
      </w:r>
      <w:r>
        <w:rPr>
          <w:rStyle w:val="Funotenanker"/>
        </w:rPr>
        <w:footnoteReference w:customMarkFollows="1" w:id="3283"/>
        <w:t>y</w:t>
      </w:r>
      <w:r>
        <w:rPr/>
        <w:t>, nicht zu Herodes zurückzukehren</w:t>
      </w:r>
      <w:r>
        <w:rPr>
          <w:rStyle w:val="Funotenanker"/>
        </w:rPr>
        <w:footnoteReference w:customMarkFollows="1" w:id="3284"/>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285"/>
        <w:t>aa</w:t>
      </w:r>
      <w:r>
        <w:rPr/>
        <w:t xml:space="preserve"> dem Josef und sagte</w:t>
      </w:r>
      <w:r>
        <w:rPr>
          <w:rStyle w:val="Funotenanker"/>
        </w:rPr>
        <w:footnoteReference w:customMarkFollows="1" w:id="3286"/>
        <w:t>ab</w:t>
      </w:r>
      <w:r>
        <w:rPr/>
        <w:t>: Steh auf, nimm das Kind und seine Mutter mit und fliehe nach Ägypten und bleibe dort, bis ich dir sage</w:t>
      </w:r>
      <w:r>
        <w:rPr>
          <w:rStyle w:val="Funotenanker"/>
        </w:rPr>
        <w:footnoteReference w:customMarkFollows="1" w:id="3287"/>
        <w:t>ac</w:t>
      </w:r>
      <w:r>
        <w:rPr/>
        <w:t>! Denn Herodes beabsichtigt, dass Kind suchen zu lassen</w:t>
      </w:r>
      <w:r>
        <w:rPr>
          <w:rStyle w:val="Funotenanker"/>
        </w:rPr>
        <w:footnoteReference w:customMarkFollows="1" w:id="3288"/>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289"/>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290"/>
        <w:t>af</w:t>
      </w:r>
      <w:r>
        <w:rPr/>
        <w:t xml:space="preserve"> dort bis zum Tode des Herodes; Auf daß vollendet würde was gesagt wurde</w:t>
      </w:r>
      <w:r>
        <w:rPr>
          <w:rStyle w:val="Funotenanker"/>
        </w:rPr>
        <w:footnoteReference w:customMarkFollows="1" w:id="3291"/>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292"/>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293"/>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294"/>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295"/>
        <w:t>ak</w:t>
      </w:r>
      <w:r>
        <w:rPr/>
        <w:t>; denn es ist tot</w:t>
      </w:r>
      <w:r>
        <w:rPr>
          <w:rStyle w:val="Funotenanker"/>
        </w:rPr>
        <w:footnoteReference w:customMarkFollows="1" w:id="3296"/>
        <w:t>al</w:t>
      </w:r>
      <w:r>
        <w:rPr/>
        <w:t>, der dem Kind nach dem Leben trachtet</w:t>
      </w:r>
      <w:r>
        <w:rPr>
          <w:rStyle w:val="Funotenanker"/>
        </w:rPr>
        <w:footnoteReference w:customMarkFollows="1" w:id="3297"/>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298"/>
        <w:t>an</w:t>
      </w:r>
      <w:r>
        <w:rPr/>
        <w:t>; Da ihm im eine Weisung gegeben wurde</w:t>
      </w:r>
      <w:r>
        <w:rPr>
          <w:rStyle w:val="Funotenanker"/>
        </w:rPr>
        <w:footnoteReference w:customMarkFollows="1" w:id="3299"/>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300"/>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301"/>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302"/>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303"/>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304"/>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305"/>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306"/>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307"/>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308"/>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309"/>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310"/>
        <w:t>a</w:t>
      </w:r>
      <w:r>
        <w:rPr/>
        <w:t xml:space="preserve"> vom Teufel.{{field-off:bible}} </w:t>
        <w:br/>
        <w:t>[[@BibleTOBIBLE:Mt 4:2]]</w:t>
      </w:r>
      <w:r>
        <w:rPr>
          <w:b/>
        </w:rPr>
        <w:t>2</w:t>
      </w:r>
      <w:r>
        <w:rPr/>
        <w:t xml:space="preserve"> {{field-on:bible}}Und er fastete</w:t>
      </w:r>
      <w:r>
        <w:rPr>
          <w:rStyle w:val="Funotenanker"/>
        </w:rPr>
        <w:footnoteReference w:customMarkFollows="1" w:id="3311"/>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312"/>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313"/>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jeden Wortes, das herauskommt</w:t>
      </w:r>
      <w:r>
        <w:rPr>
          <w:rStyle w:val="Funotenanker"/>
        </w:rPr>
        <w:footnoteReference w:customMarkFollows="1" w:id="3314"/>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315"/>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316"/>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317"/>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318"/>
        <w:t>i</w:t>
      </w:r>
      <w:r>
        <w:rPr/>
        <w:t xml:space="preserve"> du anbeten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319"/>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320"/>
        <w:t>k</w:t>
      </w:r>
      <w:r>
        <w:rPr/>
        <w:t xml:space="preserve"> ging er</w:t>
      </w:r>
      <w:r>
        <w:rPr>
          <w:rStyle w:val="Funotenanker"/>
        </w:rPr>
        <w:footnoteReference w:customMarkFollows="1" w:id="3321"/>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322"/>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323"/>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324"/>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325"/>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326"/>
        <w:t>q</w:t>
      </w:r>
      <w:r>
        <w:rPr/>
        <w:t xml:space="preserve"> </w:t>
      </w:r>
      <w:r>
        <w:rPr>
          <w:color w:val="808080"/>
        </w:rPr>
        <w:t>(wanderte)</w:t>
      </w:r>
      <w:r>
        <w:rPr/>
        <w:t>, sah er zwei Brüder, Simon, den man Petrus nennt</w:t>
      </w:r>
      <w:r>
        <w:rPr>
          <w:rStyle w:val="Funotenanker"/>
        </w:rPr>
        <w:footnoteReference w:customMarkFollows="1" w:id="3327"/>
        <w:t>r</w:t>
      </w:r>
      <w:r>
        <w:rPr/>
        <w:t xml:space="preserve"> und Andreas, seinen Bruder, als sie Netze in den See warfen</w:t>
      </w:r>
      <w:r>
        <w:rPr>
          <w:rStyle w:val="Funotenanker"/>
        </w:rPr>
        <w:footnoteReference w:customMarkFollows="1" w:id="3328"/>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329"/>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330"/>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331"/>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332"/>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333"/>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334"/>
        <w:t>y</w:t>
      </w:r>
      <w:r>
        <w:rPr/>
        <w:t xml:space="preserve"> in ihren Synagogen, verkündigte</w:t>
      </w:r>
      <w:r>
        <w:rPr>
          <w:rStyle w:val="Funotenanker"/>
        </w:rPr>
        <w:footnoteReference w:customMarkFollows="1" w:id="3335"/>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336"/>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337"/>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338"/>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339"/>
        <w:t>Status</w:t>
      </w:r>
      <w:r>
        <w:rPr/>
        <w:t xml:space="preserve"> Aber als er die </w:t>
      </w:r>
      <w:r>
        <w:rPr>
          <w:color w:val="808080"/>
        </w:rPr>
        <w:t>(Volks-)</w:t>
      </w:r>
      <w:r>
        <w:rPr/>
        <w:t>Menge sah</w:t>
      </w:r>
      <w:r>
        <w:rPr>
          <w:rStyle w:val="Funotenanker"/>
        </w:rPr>
        <w:footnoteReference w:customMarkFollows="1" w:id="3340"/>
        <w:t>a</w:t>
      </w:r>
      <w:r>
        <w:rPr/>
        <w:t xml:space="preserve">, stieg er auf den Berg </w:t>
      </w:r>
      <w:r>
        <w:rPr>
          <w:color w:val="808080"/>
        </w:rPr>
        <w:t>(ging hinauf)</w:t>
      </w:r>
      <w:r>
        <w:rPr/>
        <w:t xml:space="preserve"> und setzte sich</w:t>
      </w:r>
      <w:r>
        <w:rPr>
          <w:rStyle w:val="Funotenanker"/>
        </w:rPr>
        <w:footnoteReference w:customMarkFollows="1" w:id="3341"/>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342"/>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343"/>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344"/>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345"/>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346"/>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347"/>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348"/>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349"/>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350"/>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351"/>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352"/>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353"/>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354"/>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355"/>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356"/>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357"/>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358"/>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359"/>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360"/>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361"/>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362"/>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363"/>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364"/>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365"/>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366"/>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367"/>
        <w:t>d</w:t>
      </w:r>
      <w:r>
        <w:rPr/>
        <w:t xml:space="preserve">.{{field-off:bible}} </w:t>
        <w:br/>
        <w:t>[[@BibleTOBIBLE:Mt 6:6]]</w:t>
      </w:r>
      <w:r>
        <w:rPr>
          <w:b/>
        </w:rPr>
        <w:t>6</w:t>
      </w:r>
      <w:r>
        <w:rPr/>
        <w:t xml:space="preserve"> {{field-on:bible}}Wenn du aber betest</w:t>
      </w:r>
      <w:r>
        <w:rPr>
          <w:rStyle w:val="Funotenanker"/>
        </w:rPr>
        <w:footnoteReference w:customMarkFollows="1" w:id="3368"/>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369"/>
        <w:t>Status</w:t>
      </w:r>
      <w:r>
        <w:rPr/>
        <w:t xml:space="preserve"> Ihr</w:t>
      </w:r>
      <w:r>
        <w:rPr>
          <w:rStyle w:val="Funotenanker"/>
        </w:rPr>
        <w:footnoteReference w:customMarkFollows="1" w:id="3370"/>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371"/>
        <w:t>g</w:t>
      </w:r>
      <w:r>
        <w:rPr/>
        <w:t xml:space="preserve"> </w:t>
      </w:r>
      <w:r>
        <w:rPr>
          <w:rStyle w:val="Funotenanker"/>
        </w:rPr>
        <w:footnoteReference w:customMarkFollows="1" w:id="3372"/>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373"/>
        <w:t>i</w:t>
      </w:r>
      <w:r>
        <w:rPr/>
        <w:t xml:space="preserve"> dein Name </w:t>
      </w:r>
      <w:r>
        <w:rPr>
          <w:color w:val="808080"/>
        </w:rPr>
        <w:t>(du)</w:t>
      </w:r>
      <w:r>
        <w:rPr/>
        <w:t xml:space="preserve"> geheiligt</w:t>
      </w:r>
      <w:r>
        <w:rPr>
          <w:rStyle w:val="Funotenanker"/>
        </w:rPr>
        <w:footnoteReference w:customMarkFollows="1" w:id="3374"/>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375"/>
        <w:t>k</w:t>
      </w:r>
      <w:r>
        <w:rPr/>
        <w:t xml:space="preserve"> kommen</w:t>
      </w:r>
      <w:r>
        <w:rPr>
          <w:rStyle w:val="Funotenanker"/>
        </w:rPr>
        <w:footnoteReference w:customMarkFollows="1" w:id="3376"/>
        <w:t>l</w:t>
      </w:r>
      <w:r>
        <w:rPr/>
        <w:t>.Möge dein Wille geschehen - wie im Himmel so auch auf der Erde</w:t>
      </w:r>
      <w:r>
        <w:rPr>
          <w:rStyle w:val="Funotenanker"/>
        </w:rPr>
        <w:footnoteReference w:customMarkFollows="1" w:id="3377"/>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378"/>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379"/>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380"/>
        <w:t>p</w:t>
      </w:r>
      <w:r>
        <w:rPr/>
        <w:t xml:space="preserve">,wie auch wir unseren Schuldnern vergeben haben </w:t>
      </w:r>
      <w:r>
        <w:rPr>
          <w:color w:val="808080"/>
        </w:rPr>
        <w:t>(vergeben)</w:t>
      </w:r>
      <w:r>
        <w:rPr/>
        <w:t xml:space="preserve"> </w:t>
      </w:r>
      <w:r>
        <w:rPr>
          <w:rStyle w:val="Funotenanker"/>
        </w:rPr>
        <w:footnoteReference w:customMarkFollows="1" w:id="3381"/>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382"/>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383"/>
        <w:t>s</w:t>
      </w:r>
      <w:r>
        <w:rPr/>
        <w:t xml:space="preserve"> </w:t>
        <w:br/>
        <w:t xml:space="preserve">{{field-off:bible}} </w:t>
        <w:br/>
        <w:t>[[@BibleTOBIBLE:Mt 6:14]]</w:t>
      </w:r>
      <w:r>
        <w:rPr>
          <w:b/>
        </w:rPr>
        <w:t>14</w:t>
      </w:r>
      <w:r>
        <w:rPr/>
        <w:t xml:space="preserve"> {{field-on:bible}} </w:t>
      </w:r>
      <w:r>
        <w:rPr>
          <w:rStyle w:val="Funotenanker"/>
        </w:rPr>
        <w:footnoteReference w:customMarkFollows="1" w:id="3384"/>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385"/>
        <w:t>t</w:t>
      </w:r>
      <w:r>
        <w:rPr/>
        <w:t xml:space="preserve">Wenn ihr aber fastet, werdet </w:t>
      </w:r>
      <w:r>
        <w:rPr>
          <w:color w:val="808080"/>
        </w:rPr>
        <w:t>(seid)</w:t>
      </w:r>
      <w:r>
        <w:rPr/>
        <w:t xml:space="preserve"> nicht verdrießlich</w:t>
      </w:r>
      <w:r>
        <w:rPr>
          <w:rStyle w:val="Funotenanker"/>
        </w:rPr>
        <w:footnoteReference w:customMarkFollows="1" w:id="3386"/>
        <w:t>u</w:t>
      </w:r>
      <w:r>
        <w:rPr/>
        <w:t xml:space="preserve"> wie die Scheinheiligen </w:t>
      </w:r>
      <w:r>
        <w:rPr>
          <w:color w:val="808080"/>
        </w:rPr>
        <w:t>(Heuchler)</w:t>
      </w:r>
      <w:r>
        <w:rPr/>
        <w:t>, die ihr Gesicht verschwinden lassen</w:t>
      </w:r>
      <w:r>
        <w:rPr>
          <w:rStyle w:val="Funotenanker"/>
        </w:rPr>
        <w:footnoteReference w:customMarkFollows="1" w:id="3387"/>
        <w:t>v</w:t>
      </w:r>
      <w:r>
        <w:rPr/>
        <w:t xml:space="preserve">, damit die Leute wahrnehmen </w:t>
      </w:r>
      <w:r>
        <w:rPr>
          <w:color w:val="808080"/>
        </w:rPr>
        <w:t>(sehen, bemerken)</w:t>
      </w:r>
      <w:r>
        <w:rPr/>
        <w:t xml:space="preserve"> </w:t>
      </w:r>
      <w:r>
        <w:rPr>
          <w:rStyle w:val="Funotenanker"/>
        </w:rPr>
        <w:footnoteReference w:customMarkFollows="1" w:id="3388"/>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389"/>
        <w:t>x</w:t>
      </w:r>
      <w:r>
        <w:rPr/>
        <w:t xml:space="preserve"> </w:t>
      </w:r>
      <w:r>
        <w:rPr>
          <w:rStyle w:val="Funotenanker"/>
        </w:rPr>
        <w:footnoteReference w:customMarkFollows="1" w:id="3390"/>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391"/>
        <w:t>z</w:t>
      </w:r>
      <w:r>
        <w:rPr/>
        <w:t xml:space="preserve"> nicht die Leute wahrnehmen </w:t>
      </w:r>
      <w:r>
        <w:rPr>
          <w:color w:val="808080"/>
        </w:rPr>
        <w:t>(sehen, bemerken)</w:t>
      </w:r>
      <w:r>
        <w:rPr/>
        <w:t xml:space="preserve">, dass du fastest </w:t>
      </w:r>
      <w:r>
        <w:rPr>
          <w:rStyle w:val="Funotenanker"/>
        </w:rPr>
        <w:footnoteReference w:customMarkFollows="1" w:id="3392"/>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393"/>
        <w:t>ab</w:t>
      </w:r>
      <w:r>
        <w:rPr/>
        <w:t xml:space="preserve"> und Fraß </w:t>
      </w:r>
      <w:r>
        <w:rPr>
          <w:color w:val="808080"/>
        </w:rPr>
        <w:t>(Holzwurm, Wurmfraß)</w:t>
      </w:r>
      <w:r>
        <w:rPr/>
        <w:t xml:space="preserve"> </w:t>
      </w:r>
      <w:r>
        <w:rPr>
          <w:rStyle w:val="Funotenanker"/>
        </w:rPr>
        <w:footnoteReference w:customMarkFollows="1" w:id="3394"/>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395"/>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396"/>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397"/>
        <w:t>af</w:t>
      </w:r>
      <w:r>
        <w:rPr/>
        <w:t xml:space="preserve">, da </w:t>
      </w:r>
      <w:r>
        <w:rPr>
          <w:color w:val="808080"/>
        </w:rPr>
        <w:t>(dort)</w:t>
      </w:r>
      <w:r>
        <w:rPr/>
        <w:t xml:space="preserve"> wird</w:t>
      </w:r>
      <w:r>
        <w:rPr>
          <w:rStyle w:val="Funotenanker"/>
        </w:rPr>
        <w:footnoteReference w:customMarkFollows="1" w:id="3398"/>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399"/>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400"/>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401"/>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402"/>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403"/>
        <w:t>al</w:t>
      </w:r>
      <w:r>
        <w:rPr/>
        <w:t xml:space="preserve">?{{field-off:bible}} </w:t>
        <w:br/>
        <w:t>[[@BibleTOBIBLE:Mt 6:28]]</w:t>
      </w:r>
      <w:r>
        <w:rPr>
          <w:b/>
        </w:rPr>
        <w:t>28</w:t>
      </w:r>
      <w:r>
        <w:rPr/>
        <w:t xml:space="preserve"> {{field-on:bible}}Und um ein Gewand</w:t>
      </w:r>
      <w:r>
        <w:rPr>
          <w:rStyle w:val="Funotenanker"/>
        </w:rPr>
        <w:footnoteReference w:customMarkFollows="1" w:id="3404"/>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405"/>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406"/>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407"/>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408"/>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409"/>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410"/>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411"/>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412"/>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413"/>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414"/>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415"/>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416"/>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417"/>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418"/>
        <w:t>h</w:t>
      </w:r>
      <w:r>
        <w:rPr/>
        <w:t>, dass ein guter Baum schlechte Früchte bringt</w:t>
      </w:r>
      <w:r>
        <w:rPr>
          <w:rStyle w:val="Funotenanker"/>
        </w:rPr>
        <w:footnoteReference w:customMarkFollows="1" w:id="3419"/>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420"/>
        <w:t>j</w:t>
      </w:r>
      <w:r>
        <w:rPr/>
        <w:t xml:space="preserve"> trägt,</w:t>
      </w:r>
      <w:r>
        <w:rPr>
          <w:rStyle w:val="Funotenanker"/>
        </w:rPr>
        <w:footnoteReference w:customMarkFollows="1" w:id="3421"/>
        <w:t>k</w:t>
      </w:r>
      <w:r>
        <w:rPr/>
        <w:t xml:space="preserve"> wird abgehauen </w:t>
      </w:r>
      <w:r>
        <w:rPr>
          <w:color w:val="808080"/>
        </w:rPr>
        <w:t>(abgehackt, gefällt)</w:t>
      </w:r>
      <w:r>
        <w:rPr/>
        <w:t xml:space="preserve"> und ins Feuer geworfen.</w:t>
      </w:r>
      <w:r>
        <w:rPr>
          <w:rStyle w:val="Funotenanker"/>
        </w:rPr>
        <w:footnoteReference w:customMarkFollows="1" w:id="3422"/>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423"/>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424"/>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425"/>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426"/>
        <w:t>p</w:t>
      </w:r>
      <w:r>
        <w:rPr/>
        <w:t>: Geht weg von mir, ihr, die ihr arbeitet</w:t>
      </w:r>
      <w:r>
        <w:rPr>
          <w:rStyle w:val="Funotenanker"/>
        </w:rPr>
        <w:footnoteReference w:customMarkFollows="1" w:id="3427"/>
        <w:t>q</w:t>
      </w:r>
      <w:r>
        <w:rPr/>
        <w:t xml:space="preserve"> </w:t>
      </w:r>
      <w:r>
        <w:rPr>
          <w:color w:val="808080"/>
        </w:rPr>
        <w:t>(macht, tätig seid)</w:t>
      </w:r>
      <w:r>
        <w:rPr/>
        <w:t xml:space="preserve"> an der Gesetzlosigkeit</w:t>
      </w:r>
      <w:r>
        <w:rPr>
          <w:rStyle w:val="Funotenanker"/>
        </w:rPr>
        <w:footnoteReference w:customMarkFollows="1" w:id="3428"/>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429"/>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430"/>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431"/>
        <w:t>Status</w:t>
      </w:r>
      <w:r>
        <w:rPr/>
        <w:t xml:space="preserve"> Als er </w:t>
      </w:r>
      <w:r>
        <w:rPr>
          <w:strike/>
          <w:color w:val="808080"/>
        </w:rPr>
        <w:t>{aber}</w:t>
      </w:r>
      <w:r>
        <w:rPr/>
        <w:t xml:space="preserve"> vom Berg stieg</w:t>
      </w:r>
      <w:r>
        <w:rPr>
          <w:rStyle w:val="Funotenanker"/>
        </w:rPr>
        <w:footnoteReference w:customMarkFollows="1" w:id="3432"/>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433"/>
        <w:t>b</w:t>
      </w:r>
      <w:r>
        <w:rPr/>
        <w:t xml:space="preserve"> kam herzu</w:t>
      </w:r>
      <w:r>
        <w:rPr>
          <w:rStyle w:val="Funotenanker"/>
        </w:rPr>
        <w:footnoteReference w:customMarkFollows="1" w:id="3434"/>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435"/>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436"/>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437"/>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438"/>
        <w:t>g</w:t>
      </w:r>
      <w:r>
        <w:rPr/>
        <w:t xml:space="preserve"> {{field-off:bible}} </w:t>
        <w:br/>
        <w:t>[[@BibleTOBIBLE:Mt 8:6]]</w:t>
      </w:r>
      <w:r>
        <w:rPr>
          <w:b/>
        </w:rPr>
        <w:t>6</w:t>
      </w:r>
      <w:r>
        <w:rPr/>
        <w:t xml:space="preserve"> {{field-on:bible}}und sagte</w:t>
      </w:r>
      <w:r>
        <w:rPr>
          <w:rStyle w:val="Funotenanker"/>
        </w:rPr>
        <w:footnoteReference w:customMarkFollows="1" w:id="3439"/>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440"/>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441"/>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442"/>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443"/>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444"/>
        <w:t>m</w:t>
      </w:r>
      <w:r>
        <w:rPr/>
        <w:t xml:space="preserve"> bin unter Vollmacht </w:t>
      </w:r>
      <w:r>
        <w:rPr>
          <w:color w:val="808080"/>
        </w:rPr>
        <w:t>(Macht, Kommandogewalt)</w:t>
      </w:r>
      <w:r>
        <w:rPr/>
        <w:t>, denn ich habe</w:t>
      </w:r>
      <w:r>
        <w:rPr>
          <w:rStyle w:val="Funotenanker"/>
        </w:rPr>
        <w:footnoteReference w:customMarkFollows="1" w:id="3445"/>
        <w:t>n</w:t>
      </w:r>
      <w:r>
        <w:rPr/>
        <w:t xml:space="preserve"> unter mir Soldaten, und wenn ich sage</w:t>
      </w:r>
      <w:r>
        <w:rPr>
          <w:rStyle w:val="Funotenanker"/>
        </w:rPr>
        <w:footnoteReference w:customMarkFollows="1" w:id="3446"/>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447"/>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448"/>
        <w:t>q</w:t>
      </w:r>
      <w:r>
        <w:rPr/>
        <w:t>, sah er seine Schwiegermutter, die lag und Fieber hatte</w:t>
      </w:r>
      <w:r>
        <w:rPr>
          <w:rStyle w:val="Funotenanker"/>
        </w:rPr>
        <w:footnoteReference w:customMarkFollows="1" w:id="3449"/>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450"/>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451"/>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452"/>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453"/>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454"/>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455"/>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456"/>
        <w:t>y</w:t>
      </w:r>
      <w:r>
        <w:rPr/>
        <w:t>? Dann stand er auf</w:t>
      </w:r>
      <w:r>
        <w:rPr>
          <w:rStyle w:val="Funotenanker"/>
        </w:rPr>
        <w:footnoteReference w:customMarkFollows="1" w:id="3457"/>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458"/>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459"/>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460"/>
        <w:t>ac</w:t>
      </w:r>
      <w:r>
        <w:rPr/>
        <w:t xml:space="preserve">, Sohn Gottes! Kommst du hierher vor der Zeit </w:t>
      </w:r>
      <w:r>
        <w:rPr>
          <w:color w:val="808080"/>
        </w:rPr>
        <w:t>(dem rechten Zeitpunkt)</w:t>
      </w:r>
      <w:r>
        <w:rPr/>
        <w:t xml:space="preserve"> </w:t>
      </w:r>
      <w:r>
        <w:rPr>
          <w:rStyle w:val="Funotenanker"/>
        </w:rPr>
        <w:footnoteReference w:customMarkFollows="1" w:id="3461"/>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462"/>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463"/>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464"/>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465"/>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466"/>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467"/>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468"/>
        <w:t>c</w:t>
      </w:r>
      <w:r>
        <w:rPr/>
        <w:t xml:space="preserve"> sah Jesus einen Menschen sitzend</w:t>
      </w:r>
      <w:r>
        <w:rPr>
          <w:rStyle w:val="Funotenanker"/>
        </w:rPr>
        <w:footnoteReference w:customMarkFollows="1" w:id="3469"/>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470"/>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471"/>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472"/>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473"/>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474"/>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475"/>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476"/>
        <w:t>k</w:t>
      </w:r>
      <w:r>
        <w:rPr/>
        <w:t xml:space="preserve"> eine Frau, die seit zwölf Jahren an </w:t>
      </w:r>
      <w:r>
        <w:rPr>
          <w:color w:val="808080"/>
        </w:rPr>
        <w:t>(schweren)</w:t>
      </w:r>
      <w:r>
        <w:rPr/>
        <w:t xml:space="preserve"> Blutungen litt</w:t>
      </w:r>
      <w:r>
        <w:rPr>
          <w:rStyle w:val="Funotenanker"/>
        </w:rPr>
        <w:footnoteReference w:customMarkFollows="1" w:id="3477"/>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478"/>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479"/>
        <w:t>n</w:t>
      </w:r>
      <w:r>
        <w:rPr/>
        <w:t xml:space="preserve"> in das haus des Herrschers</w:t>
      </w:r>
      <w:r>
        <w:rPr>
          <w:rStyle w:val="Funotenanker"/>
        </w:rPr>
        <w:footnoteReference w:customMarkFollows="1" w:id="3480"/>
        <w:t>o</w:t>
      </w:r>
      <w:r>
        <w:rPr/>
        <w:t xml:space="preserve"> und sah</w:t>
      </w:r>
      <w:r>
        <w:rPr>
          <w:rStyle w:val="Funotenanker"/>
        </w:rPr>
        <w:footnoteReference w:customMarkFollows="1" w:id="3481"/>
        <w:t>p</w:t>
      </w:r>
      <w:r>
        <w:rPr/>
        <w:t xml:space="preserve"> die Flötenspieler und die Menge, sie sich aufregte</w:t>
      </w:r>
      <w:r>
        <w:rPr>
          <w:rStyle w:val="Funotenanker"/>
        </w:rPr>
        <w:footnoteReference w:customMarkFollows="1" w:id="3482"/>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483"/>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484"/>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485"/>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486"/>
        <w:t>u</w:t>
      </w:r>
      <w:r>
        <w:rPr/>
        <w:t xml:space="preserve"> in ihren Synagogen und verkündete</w:t>
      </w:r>
      <w:r>
        <w:rPr>
          <w:rStyle w:val="Funotenanker"/>
        </w:rPr>
        <w:footnoteReference w:customMarkFollows="1" w:id="3487"/>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488"/>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489"/>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490"/>
        <w:t>Status</w:t>
      </w:r>
      <w:r>
        <w:rPr/>
        <w:t xml:space="preserve"> Und als er seine zwölf Jünger herbeirief</w:t>
      </w:r>
      <w:r>
        <w:rPr>
          <w:rStyle w:val="Funotenanker"/>
        </w:rPr>
        <w:footnoteReference w:customMarkFollows="1" w:id="3491"/>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492"/>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493"/>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494"/>
        <w:t>d</w:t>
      </w:r>
      <w:r>
        <w:rPr/>
        <w:t xml:space="preserve"> sollt ihr grüßen</w:t>
      </w:r>
      <w:r>
        <w:rPr>
          <w:rStyle w:val="Funotenanker"/>
        </w:rPr>
        <w:footnoteReference w:customMarkFollows="1" w:id="3495"/>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496"/>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497"/>
        <w:t>g</w:t>
      </w:r>
      <w:r>
        <w:rPr/>
        <w:t xml:space="preserve"> mit seinem Vater und eine Tochter mit ihrer Mutter und eine Braut</w:t>
      </w:r>
      <w:r>
        <w:rPr>
          <w:rStyle w:val="Funotenanker"/>
        </w:rPr>
        <w:footnoteReference w:customMarkFollows="1" w:id="3498"/>
        <w:t>h</w:t>
      </w:r>
      <w:r>
        <w:rPr/>
        <w:t xml:space="preserve"> mit ihrer Schwiegermutter</w:t>
      </w:r>
      <w:r>
        <w:rPr>
          <w:rStyle w:val="Funotenanker"/>
        </w:rPr>
        <w:footnoteReference w:customMarkFollows="1" w:id="3499"/>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500"/>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501"/>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502"/>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503"/>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504"/>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505"/>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506"/>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507"/>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508"/>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509"/>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510"/>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511"/>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512"/>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513"/>
        <w:t>b</w:t>
      </w:r>
      <w:r>
        <w:rPr/>
        <w:t xml:space="preserve"> </w:t>
      </w:r>
      <w:r>
        <w:rPr>
          <w:color w:val="808080"/>
        </w:rPr>
        <w:t>(erkannt)</w:t>
      </w:r>
      <w:r>
        <w:rPr/>
        <w:t xml:space="preserve"> hättet, was das bedeutet</w:t>
      </w:r>
      <w:r>
        <w:rPr>
          <w:rStyle w:val="Funotenanker"/>
        </w:rPr>
        <w:footnoteReference w:customMarkFollows="1" w:id="3514"/>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515"/>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516"/>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517"/>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518"/>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519"/>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520"/>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521"/>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522"/>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523"/>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524"/>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525"/>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526"/>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527"/>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528"/>
        <w:t>q</w:t>
      </w:r>
      <w:r>
        <w:rPr/>
        <w:t xml:space="preserve"> oder der Baum ist faul </w:t>
      </w:r>
      <w:r>
        <w:rPr>
          <w:color w:val="808080"/>
        </w:rPr>
        <w:t>(schlecht)</w:t>
      </w:r>
      <w:r>
        <w:rPr/>
        <w:t xml:space="preserve"> und seine Früchte auch</w:t>
      </w:r>
      <w:r>
        <w:rPr>
          <w:rStyle w:val="Funotenanker"/>
        </w:rPr>
        <w:footnoteReference w:customMarkFollows="1" w:id="3529"/>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530"/>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531"/>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532"/>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533"/>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534"/>
        <w:t>w</w:t>
      </w:r>
      <w:r>
        <w:rPr/>
        <w:t>, gepflegt</w:t>
      </w:r>
      <w:r>
        <w:rPr>
          <w:rStyle w:val="Funotenanker"/>
        </w:rPr>
        <w:footnoteReference w:customMarkFollows="1" w:id="3535"/>
        <w:t>x</w:t>
      </w:r>
      <w:r>
        <w:rPr/>
        <w:t xml:space="preserve"> </w:t>
      </w:r>
      <w:r>
        <w:rPr>
          <w:color w:val="808080"/>
        </w:rPr>
        <w:t>(gefegt)</w:t>
      </w:r>
      <w:r>
        <w:rPr/>
        <w:t xml:space="preserve"> und geschmückt</w:t>
      </w:r>
      <w:r>
        <w:rPr>
          <w:rStyle w:val="Funotenanker"/>
        </w:rPr>
        <w:footnoteReference w:customMarkFollows="1" w:id="3536"/>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537"/>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538"/>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539"/>
        <w:t>Status</w:t>
      </w:r>
      <w:r>
        <w:rPr/>
        <w:t xml:space="preserve"> An diesem Tag ging</w:t>
      </w:r>
      <w:r>
        <w:rPr>
          <w:rStyle w:val="Funotenanker"/>
        </w:rPr>
        <w:footnoteReference w:customMarkFollows="1" w:id="3540"/>
        <w:t>a</w:t>
      </w:r>
      <w:r>
        <w:rPr/>
        <w:t xml:space="preserve"> Jesus aus dem Haus und setzte sich </w:t>
      </w:r>
      <w:r>
        <w:rPr>
          <w:b/>
          <w:color w:val="808080"/>
        </w:rPr>
        <w:t>[</w:t>
      </w:r>
      <w:r>
        <w:rPr/>
        <w:t>zum Lehren</w:t>
      </w:r>
      <w:r>
        <w:rPr>
          <w:b/>
          <w:color w:val="808080"/>
        </w:rPr>
        <w:t>]</w:t>
      </w:r>
      <w:r>
        <w:rPr/>
        <w:t xml:space="preserve">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541"/>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542"/>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543"/>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544"/>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545"/>
        <w:t>f</w:t>
      </w:r>
      <w:r>
        <w:rPr/>
        <w:t xml:space="preserve"> nicht sehen und hörend</w:t>
      </w:r>
      <w:r>
        <w:rPr>
          <w:rStyle w:val="Funotenanker"/>
        </w:rPr>
        <w:footnoteReference w:customMarkFollows="1" w:id="3546"/>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547"/>
        <w:t>h</w:t>
      </w:r>
      <w:r>
        <w:rPr/>
        <w:t xml:space="preserve"> </w:t>
      </w:r>
      <w:r>
        <w:rPr>
          <w:rStyle w:val="Funotenanker"/>
        </w:rPr>
        <w:footnoteReference w:customMarkFollows="1" w:id="3548"/>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549"/>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550"/>
        <w:t>k</w:t>
      </w:r>
      <w:r>
        <w:rPr/>
        <w:t xml:space="preserve"> hört</w:t>
      </w:r>
      <w:r>
        <w:rPr>
          <w:rStyle w:val="Funotenanker"/>
        </w:rPr>
        <w:footnoteReference w:customMarkFollows="1" w:id="3551"/>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552"/>
        <w:t>m</w:t>
      </w:r>
      <w:r>
        <w:rPr/>
        <w:t xml:space="preserve"> das Wort der Königsherrschaft </w:t>
      </w:r>
      <w:r>
        <w:rPr>
          <w:color w:val="808080"/>
        </w:rPr>
        <w:t>(die Botschaft vom Reich Gottes)</w:t>
      </w:r>
      <w:r>
        <w:rPr/>
        <w:t xml:space="preserve"> und nicht versteht</w:t>
      </w:r>
      <w:r>
        <w:rPr>
          <w:rStyle w:val="Funotenanker"/>
        </w:rPr>
        <w:footnoteReference w:customMarkFollows="1" w:id="3553"/>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554"/>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555"/>
        <w:t>p</w:t>
      </w:r>
      <w:r>
        <w:rPr/>
        <w:t xml:space="preserve"> dies ist der das Wort hörende</w:t>
      </w:r>
      <w:r>
        <w:rPr>
          <w:rStyle w:val="Funotenanker"/>
        </w:rPr>
        <w:footnoteReference w:customMarkFollows="1" w:id="3556"/>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557"/>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558"/>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559"/>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560"/>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561"/>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562"/>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563"/>
        <w:t>x</w:t>
      </w:r>
      <w:r>
        <w:rPr/>
        <w:t xml:space="preserve"> in Gleichnissen meinen Mund auftun, ich werde</w:t>
      </w:r>
      <w:r>
        <w:rPr>
          <w:rStyle w:val="Funotenanker"/>
        </w:rPr>
        <w:footnoteReference w:customMarkFollows="1" w:id="3564"/>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565"/>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566"/>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567"/>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568"/>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569"/>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570"/>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571"/>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572"/>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573"/>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574"/>
        <w:t>d</w:t>
      </w:r>
      <w:r>
        <w:rPr/>
        <w:t xml:space="preserve"> aber wegen des Schwurs und der anwesenden Gäste</w:t>
      </w:r>
      <w:r>
        <w:rPr>
          <w:rStyle w:val="Funotenanker"/>
        </w:rPr>
        <w:footnoteReference w:customMarkFollows="1" w:id="3575"/>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576"/>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577"/>
        <w:t>g</w:t>
      </w:r>
      <w:r>
        <w:rPr/>
        <w:t>, holten sie den Leichnam und begruben ihn und gingen</w:t>
      </w:r>
      <w:r>
        <w:rPr>
          <w:rStyle w:val="Funotenanker"/>
        </w:rPr>
        <w:footnoteReference w:customMarkFollows="1" w:id="3578"/>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579"/>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580"/>
        <w:t>j</w:t>
      </w:r>
      <w:r>
        <w:rPr/>
        <w:t xml:space="preserve"> </w:t>
      </w:r>
      <w:r>
        <w:rPr>
          <w:color w:val="808080"/>
        </w:rPr>
        <w:t>(spät wurde)</w:t>
      </w:r>
      <w:r>
        <w:rPr/>
        <w:t>, kamen seine Jünger zu ihm, und sagten</w:t>
      </w:r>
      <w:r>
        <w:rPr>
          <w:rStyle w:val="Funotenanker"/>
        </w:rPr>
        <w:footnoteReference w:customMarkFollows="1" w:id="3581"/>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582"/>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583"/>
        <w:t>m</w:t>
      </w:r>
      <w:r>
        <w:rPr/>
        <w:t xml:space="preserve"> er die fünf Brote und die zwei Fische, blickte</w:t>
      </w:r>
      <w:r>
        <w:rPr>
          <w:rStyle w:val="Funotenanker"/>
        </w:rPr>
        <w:footnoteReference w:customMarkFollows="1" w:id="3584"/>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585"/>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586"/>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587"/>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588"/>
        <w:t>r</w:t>
      </w:r>
      <w:r>
        <w:rPr/>
        <w:t xml:space="preserve"> sahen, waren</w:t>
      </w:r>
      <w:r>
        <w:rPr>
          <w:rStyle w:val="Funotenanker"/>
        </w:rPr>
        <w:footnoteReference w:customMarkFollows="1" w:id="3589"/>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590"/>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591"/>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592"/>
        <w:t>v</w:t>
      </w:r>
      <w:r>
        <w:rPr/>
        <w:t xml:space="preserve"> an zu </w:t>
      </w:r>
      <w:r>
        <w:rPr>
          <w:color w:val="808080"/>
        </w:rPr>
        <w:t>(ver-)</w:t>
      </w:r>
      <w:r>
        <w:rPr/>
        <w:t>sinken, sagend</w:t>
      </w:r>
      <w:r>
        <w:rPr>
          <w:rStyle w:val="Funotenanker"/>
        </w:rPr>
        <w:footnoteReference w:customMarkFollows="1" w:id="3593"/>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594"/>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595"/>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596"/>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597"/>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598"/>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599"/>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600"/>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601"/>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602"/>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603"/>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604"/>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605"/>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606"/>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607"/>
        <w:t>i</w:t>
      </w:r>
      <w:r>
        <w:rPr/>
        <w:t xml:space="preserve"> die Jünger und sagten ihm: Weißt du, dass die Pharisäer, als sie dein Wort hörten</w:t>
      </w:r>
      <w:r>
        <w:rPr>
          <w:rStyle w:val="Funotenanker"/>
        </w:rPr>
        <w:footnoteReference w:customMarkFollows="1" w:id="3608"/>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609"/>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610"/>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611"/>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612"/>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613"/>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614"/>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615"/>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616"/>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617"/>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618"/>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619"/>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620"/>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621"/>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622"/>
        <w:t>Status</w:t>
      </w:r>
      <w:r>
        <w:rPr/>
        <w:t xml:space="preserve"> </w:t>
      </w:r>
      <w:r>
        <w:rPr>
          <w:strike/>
          <w:color w:val="808080"/>
        </w:rPr>
        <w:t>{Und}</w:t>
      </w:r>
      <w:r>
        <w:rPr/>
        <w:t xml:space="preserve"> </w:t>
      </w:r>
      <w:r>
        <w:rPr>
          <w:rStyle w:val="Funotenanker"/>
        </w:rPr>
        <w:footnoteReference w:customMarkFollows="1" w:id="3623"/>
        <w:t>a</w:t>
      </w:r>
      <w:r>
        <w:rPr/>
        <w:t xml:space="preserve"> Die Pharisäer und Sadduzäer</w:t>
      </w:r>
      <w:r>
        <w:rPr>
          <w:rStyle w:val="Funotenanker"/>
        </w:rPr>
        <w:footnoteReference w:customMarkFollows="1" w:id="3624"/>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625"/>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626"/>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627"/>
        <w:t>e</w:t>
      </w:r>
      <w:r>
        <w:rPr/>
        <w:t xml:space="preserve"> Geschlecht </w:t>
      </w:r>
      <w:r>
        <w:rPr>
          <w:color w:val="808080"/>
        </w:rPr>
        <w:t>(Generation, Pack)</w:t>
      </w:r>
      <w:r>
        <w:rPr/>
        <w:t xml:space="preserve"> </w:t>
      </w:r>
      <w:r>
        <w:rPr>
          <w:rStyle w:val="Funotenanker"/>
        </w:rPr>
        <w:footnoteReference w:customMarkFollows="1" w:id="3628"/>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629"/>
        <w:t>g</w:t>
      </w:r>
      <w:r>
        <w:rPr/>
        <w:t xml:space="preserve"> kamen,</w:t>
      </w:r>
      <w:r>
        <w:rPr>
          <w:rStyle w:val="Funotenanker"/>
        </w:rPr>
        <w:footnoteReference w:customMarkFollows="1" w:id="3630"/>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631"/>
        <w:t>i</w:t>
      </w:r>
      <w:r>
        <w:rPr/>
        <w:t xml:space="preserve"> miteinander </w:t>
      </w:r>
      <w:r>
        <w:rPr>
          <w:strike/>
          <w:color w:val="808080"/>
        </w:rPr>
        <w:t>{sagend}</w:t>
      </w:r>
      <w:r>
        <w:rPr/>
        <w:t>: „Wir haben keine Brote mitgenommen!“</w:t>
      </w:r>
      <w:r>
        <w:rPr>
          <w:rStyle w:val="Funotenanker"/>
        </w:rPr>
        <w:footnoteReference w:customMarkFollows="1" w:id="3632"/>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633"/>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634"/>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635"/>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636"/>
        <w:t>n</w:t>
      </w:r>
      <w:r>
        <w:rPr/>
        <w:t xml:space="preserve"> - </w:t>
      </w:r>
      <w:r>
        <w:rPr>
          <w:color w:val="808080"/>
        </w:rPr>
        <w:t>(dass der Menschensohn)</w:t>
      </w:r>
      <w:r>
        <w:rPr/>
        <w:t xml:space="preserve"> </w:t>
      </w:r>
      <w:r>
        <w:rPr>
          <w:rStyle w:val="Funotenanker"/>
        </w:rPr>
        <w:footnoteReference w:customMarkFollows="1" w:id="3637"/>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638"/>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639"/>
        <w:t>q</w:t>
      </w:r>
      <w:r>
        <w:rPr/>
        <w:t xml:space="preserve"> bist du, Simon bar Jona</w:t>
      </w:r>
      <w:r>
        <w:rPr>
          <w:rStyle w:val="Funotenanker"/>
        </w:rPr>
        <w:footnoteReference w:customMarkFollows="1" w:id="3640"/>
        <w:t>r</w:t>
      </w:r>
      <w:r>
        <w:rPr/>
        <w:t>, denn nicht Fleisch und Blut</w:t>
      </w:r>
      <w:r>
        <w:rPr>
          <w:rStyle w:val="Funotenanker"/>
        </w:rPr>
        <w:footnoteReference w:customMarkFollows="1" w:id="3641"/>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642"/>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643"/>
        <w:t>u</w:t>
      </w:r>
      <w:r>
        <w:rPr/>
        <w:t xml:space="preserve"> werde ich meine Kirche </w:t>
      </w:r>
      <w:r>
        <w:rPr>
          <w:color w:val="808080"/>
        </w:rPr>
        <w:t>(er)</w:t>
      </w:r>
      <w:r>
        <w:rPr/>
        <w:t>bauen, und die Pforten des Hades</w:t>
      </w:r>
      <w:r>
        <w:rPr>
          <w:rStyle w:val="Funotenanker"/>
        </w:rPr>
        <w:footnoteReference w:customMarkFollows="1" w:id="3644"/>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645"/>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646"/>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647"/>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648"/>
        <w:t>z</w:t>
      </w:r>
      <w:r>
        <w:rPr/>
        <w:t xml:space="preserve"> und sagte zu Petrus: „Geh hinter mich </w:t>
      </w:r>
      <w:r>
        <w:rPr>
          <w:color w:val="808080"/>
        </w:rPr>
        <w:t>(geh weg von mir, lass mich in Ruhe)</w:t>
      </w:r>
      <w:r>
        <w:rPr/>
        <w:t>,</w:t>
      </w:r>
      <w:r>
        <w:rPr>
          <w:rStyle w:val="Funotenanker"/>
        </w:rPr>
        <w:footnoteReference w:customMarkFollows="1" w:id="3649"/>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650"/>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651"/>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652"/>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653"/>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654"/>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655"/>
        <w:t>a</w:t>
      </w:r>
      <w:r>
        <w:rPr/>
        <w:t xml:space="preserve">.{{field-off:bible}} </w:t>
        <w:br/>
        <w:t>[[@BibleTOBIBLE:Mt 17:4]]</w:t>
      </w:r>
      <w:r>
        <w:rPr>
          <w:b/>
        </w:rPr>
        <w:t>4</w:t>
      </w:r>
      <w:r>
        <w:rPr/>
        <w:t xml:space="preserve"> {{field-on:bible}}Als aber Petrus das Wort ergriff</w:t>
      </w:r>
      <w:r>
        <w:rPr>
          <w:rStyle w:val="Funotenanker"/>
        </w:rPr>
        <w:footnoteReference w:customMarkFollows="1" w:id="3656"/>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657"/>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658"/>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659"/>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660"/>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661"/>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662"/>
        <w:t>h</w:t>
      </w:r>
      <w:r>
        <w:rPr/>
        <w:t>, kam zu ihnen ein Mensch und warf sich auf die Knote</w:t>
      </w:r>
      <w:r>
        <w:rPr>
          <w:rStyle w:val="Funotenanker"/>
        </w:rPr>
        <w:footnoteReference w:customMarkFollows="1" w:id="3663"/>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664"/>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665"/>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666"/>
        <w:t>l</w:t>
      </w:r>
      <w:r>
        <w:rPr/>
        <w:t xml:space="preserve"> zu Petrus und sagten: Euer Lehrer bezahlt die Tempelsteuer</w:t>
      </w:r>
      <w:r>
        <w:rPr>
          <w:rStyle w:val="Funotenanker"/>
        </w:rPr>
        <w:footnoteReference w:customMarkFollows="1" w:id="3667"/>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668"/>
        <w:t>n</w:t>
      </w:r>
      <w:r>
        <w:rPr/>
        <w:t xml:space="preserve"> kam ihm Jesus zuvor und sagte</w:t>
      </w:r>
      <w:r>
        <w:rPr>
          <w:rStyle w:val="Funotenanker"/>
        </w:rPr>
        <w:footnoteReference w:customMarkFollows="1" w:id="3669"/>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670"/>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671"/>
        <w:t>Status</w:t>
      </w:r>
      <w:r>
        <w:rPr/>
        <w:t xml:space="preserve"> In jener Stunde </w:t>
      </w:r>
      <w:r>
        <w:rPr>
          <w:color w:val="808080"/>
        </w:rPr>
        <w:t>(Zeit)</w:t>
      </w:r>
      <w:r>
        <w:rPr/>
        <w:t xml:space="preserve"> kamen die Jünger zu Jesus und sagten</w:t>
      </w:r>
      <w:r>
        <w:rPr>
          <w:rStyle w:val="Funotenanker"/>
        </w:rPr>
        <w:footnoteReference w:customMarkFollows="1" w:id="3672"/>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673"/>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674"/>
        <w:t>c</w:t>
      </w:r>
      <w:r>
        <w:rPr/>
        <w:t xml:space="preserve"> das glaubt</w:t>
      </w:r>
      <w:r>
        <w:rPr>
          <w:rStyle w:val="Funotenanker"/>
        </w:rPr>
        <w:footnoteReference w:customMarkFollows="1" w:id="3675"/>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676"/>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677"/>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678"/>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679"/>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680"/>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681"/>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682"/>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683"/>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684"/>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685"/>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686"/>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687"/>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688"/>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689"/>
        <w:t>r</w:t>
      </w:r>
      <w:r>
        <w:rPr/>
        <w:t xml:space="preserve"> und lies ihn in ein Gefägnis werfen bis er bezahlen würde die Schuld</w:t>
      </w:r>
      <w:r>
        <w:rPr>
          <w:rStyle w:val="Funotenanker"/>
        </w:rPr>
        <w:footnoteReference w:customMarkFollows="1" w:id="3690"/>
        <w:t>s</w:t>
      </w:r>
      <w:r>
        <w:rPr/>
        <w:t xml:space="preserve">.{{field-off:bible}} </w:t>
        <w:br/>
        <w:t>[[@BibleTOBIBLE:Mt 18:31]]</w:t>
      </w:r>
      <w:r>
        <w:rPr>
          <w:b/>
        </w:rPr>
        <w:t>31</w:t>
      </w:r>
      <w:r>
        <w:rPr/>
        <w:t xml:space="preserve"> {{field-on:bible}}Als nun seine Mitdiener sahen</w:t>
      </w:r>
      <w:r>
        <w:rPr>
          <w:rStyle w:val="Funotenanker"/>
        </w:rPr>
        <w:footnoteReference w:customMarkFollows="1" w:id="3691"/>
        <w:t>t</w:t>
      </w:r>
      <w:r>
        <w:rPr/>
        <w:t xml:space="preserve">, was vorgefallen </w:t>
      </w:r>
      <w:r>
        <w:rPr>
          <w:color w:val="808080"/>
        </w:rPr>
        <w:t>(geschehen)</w:t>
      </w:r>
      <w:r>
        <w:rPr/>
        <w:t xml:space="preserve"> war</w:t>
      </w:r>
      <w:r>
        <w:rPr>
          <w:rStyle w:val="Funotenanker"/>
        </w:rPr>
        <w:footnoteReference w:customMarkFollows="1" w:id="3692"/>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693"/>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{{field-on:bible}}Was meint ihr nun</w:t>
      </w:r>
      <w:r>
        <w:rPr>
          <w:rStyle w:val="Funotenanker"/>
        </w:rPr>
        <w:footnoteReference w:customMarkFollows="1" w:id="3694"/>
        <w:t>a</w:t>
      </w:r>
      <w:r>
        <w:rPr/>
        <w:t xml:space="preserve">? Ein Mensch hatte zwei Kinder </w:t>
      </w:r>
      <w:r>
        <w:rPr>
          <w:color w:val="808080"/>
        </w:rPr>
        <w:t>(Söhne)</w:t>
      </w:r>
      <w:r>
        <w:rPr/>
        <w:t xml:space="preserve"> </w:t>
      </w:r>
      <w:r>
        <w:rPr>
          <w:rStyle w:val="Funotenanker"/>
        </w:rPr>
        <w:footnoteReference w:customMarkFollows="1" w:id="3695"/>
        <w:t>b</w:t>
      </w:r>
      <w:r>
        <w:rPr/>
        <w:t>. Und er trat an den ersten heran</w:t>
      </w:r>
      <w:r>
        <w:rPr>
          <w:rStyle w:val="Funotenanker"/>
        </w:rPr>
        <w:footnoteReference w:customMarkFollows="1" w:id="3696"/>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697"/>
        <w:t>d</w:t>
      </w:r>
      <w:r>
        <w:rPr/>
        <w:t xml:space="preserve"> </w:t>
      </w:r>
      <w:r>
        <w:rPr>
          <w:strike/>
          <w:color w:val="808080"/>
        </w:rPr>
        <w:t>{und sprach}</w:t>
      </w:r>
      <w:r>
        <w:rPr/>
        <w:t>: Ich will nicht. Später aber bereute er es</w:t>
      </w:r>
      <w:r>
        <w:rPr>
          <w:rStyle w:val="Funotenanker"/>
        </w:rPr>
        <w:footnoteReference w:customMarkFollows="1" w:id="3698"/>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699"/>
        <w:t>f</w:t>
      </w:r>
      <w:r>
        <w:rPr/>
        <w:t xml:space="preserve"> und sagte dasselbe </w:t>
      </w:r>
      <w:r>
        <w:rPr>
          <w:color w:val="808080"/>
        </w:rPr>
        <w:t>(fragte, bat ebenso)</w:t>
      </w:r>
      <w:r>
        <w:rPr/>
        <w:t>. Der aber antwortete</w:t>
      </w:r>
      <w:r>
        <w:rPr>
          <w:rStyle w:val="Funotenanker"/>
        </w:rPr>
        <w:footnoteReference w:customMarkFollows="1" w:id="3700"/>
        <w:t>g</w:t>
      </w:r>
      <w:r>
        <w:rPr/>
        <w:t xml:space="preserve"> </w:t>
      </w:r>
      <w:r>
        <w:rPr>
          <w:strike/>
          <w:color w:val="808080"/>
        </w:rPr>
        <w:t>{und sprach}</w:t>
      </w:r>
      <w:r>
        <w:rPr/>
        <w:t>: Zur Stelle</w:t>
      </w:r>
      <w:r>
        <w:rPr>
          <w:rStyle w:val="Funotenanker"/>
        </w:rPr>
        <w:footnoteReference w:customMarkFollows="1" w:id="3701"/>
        <w:t>h</w:t>
      </w:r>
      <w:r>
        <w:rPr/>
        <w:t>, Herr!</w:t>
      </w:r>
      <w:r>
        <w:rPr>
          <w:rStyle w:val="Funotenanker"/>
        </w:rPr>
        <w:footnoteReference w:customMarkFollows="1" w:id="3702"/>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703"/>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704"/>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705"/>
        <w:t>l</w:t>
      </w:r>
      <w:r>
        <w:rPr/>
        <w:t xml:space="preserve">, habt es nicht bereut, dass ihr danach </w:t>
      </w:r>
      <w:r>
        <w:rPr>
          <w:color w:val="808080"/>
        </w:rPr>
        <w:t>(später)</w:t>
      </w:r>
      <w:r>
        <w:rPr/>
        <w:t xml:space="preserve"> ihm geglaubt hättet</w:t>
      </w:r>
      <w:r>
        <w:rPr>
          <w:rStyle w:val="Funotenanker"/>
        </w:rPr>
        <w:footnoteReference w:customMarkFollows="1" w:id="3706"/>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70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70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70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71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71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712"/>
        <w:t>f</w:t>
      </w:r>
      <w:r>
        <w:rPr/>
        <w:t xml:space="preserve"> und den ersten Platz </w:t>
      </w:r>
      <w:r>
        <w:rPr>
          <w:color w:val="808080"/>
        </w:rPr>
        <w:t>(ersten Sitz, Ehrenplatz, besten Platz)</w:t>
      </w:r>
      <w:r>
        <w:rPr/>
        <w:t xml:space="preserve"> </w:t>
      </w:r>
      <w:r>
        <w:rPr>
          <w:rStyle w:val="Funotenanker"/>
        </w:rPr>
        <w:footnoteReference w:customMarkFollows="1" w:id="371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71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71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71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71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71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71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72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721"/>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722"/>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723"/>
        <w:t>Status</w:t>
      </w:r>
      <w:r>
        <w:rPr/>
        <w:t xml:space="preserve"> Spät</w:t>
      </w:r>
      <w:r>
        <w:rPr>
          <w:rStyle w:val="Funotenanker"/>
        </w:rPr>
        <w:footnoteReference w:customMarkFollows="1" w:id="3724"/>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725"/>
        <w:t>b</w:t>
      </w:r>
      <w:r>
        <w:rPr/>
        <w:t xml:space="preserve"> nämlich, der </w:t>
      </w:r>
      <w:r>
        <w:rPr>
          <w:color w:val="808080"/>
        </w:rPr>
        <w:t>(nachdem er)</w:t>
      </w:r>
      <w:r>
        <w:rPr/>
        <w:t xml:space="preserve"> </w:t>
      </w:r>
      <w:r>
        <w:rPr>
          <w:rStyle w:val="Funotenanker"/>
        </w:rPr>
        <w:footnoteReference w:customMarkFollows="1" w:id="3726"/>
        <w:t>c</w:t>
      </w:r>
      <w:r>
        <w:rPr/>
        <w:t xml:space="preserve"> aus dem Himmel hinabstieg und hinzutrat, rollte den Stein</w:t>
      </w:r>
      <w:r>
        <w:rPr>
          <w:rStyle w:val="Funotenanker"/>
        </w:rPr>
        <w:footnoteReference w:customMarkFollows="1" w:id="3727"/>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728"/>
        <w:t>e</w:t>
      </w:r>
      <w:r>
        <w:rPr/>
        <w:t xml:space="preserve"> zu den Frauen: „Fürchtet ''ihr''</w:t>
      </w:r>
      <w:r>
        <w:rPr>
          <w:rStyle w:val="Funotenanker"/>
        </w:rPr>
        <w:footnoteReference w:customMarkFollows="1" w:id="3729"/>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730"/>
        <w:t>g</w:t>
      </w:r>
      <w:r>
        <w:rPr/>
        <w:t xml:space="preserve"> lag!{{field-off:bible}} </w:t>
        <w:br/>
        <w:t>[[@BibleTOBIBLE:Mt 28:7]]</w:t>
      </w:r>
      <w:r>
        <w:rPr>
          <w:b/>
        </w:rPr>
        <w:t>7</w:t>
      </w:r>
      <w:r>
        <w:rPr/>
        <w:t xml:space="preserve"> {{field-on:bible}}Und schnell, geht los</w:t>
      </w:r>
      <w:r>
        <w:rPr>
          <w:rStyle w:val="Funotenanker"/>
        </w:rPr>
        <w:footnoteReference w:customMarkFollows="1" w:id="3731"/>
        <w:t>h</w:t>
      </w:r>
      <w:r>
        <w:rPr/>
        <w:t xml:space="preserve"> und sagt seinen Jüngern </w:t>
      </w:r>
      <w:r>
        <w:rPr>
          <w:color w:val="808080"/>
        </w:rPr>
        <w:t>(Jüngern und Jüngerinnen)</w:t>
      </w:r>
      <w:r>
        <w:rPr/>
        <w:t xml:space="preserve"> </w:t>
      </w:r>
      <w:r>
        <w:rPr>
          <w:rStyle w:val="Funotenanker"/>
        </w:rPr>
        <w:footnoteReference w:customMarkFollows="1" w:id="3732"/>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733"/>
        <w:t>j</w:t>
      </w:r>
      <w:r>
        <w:rPr/>
        <w:t xml:space="preserve"> sie schnell fort</w:t>
      </w:r>
      <w:r>
        <w:rPr>
          <w:rStyle w:val="Funotenanker"/>
        </w:rPr>
        <w:footnoteReference w:customMarkFollows="1" w:id="3734"/>
        <w:t>k</w:t>
      </w:r>
      <w:r>
        <w:rPr/>
        <w:t xml:space="preserve"> vom Grab mit Furcht</w:t>
      </w:r>
      <w:r>
        <w:rPr>
          <w:rStyle w:val="Funotenanker"/>
        </w:rPr>
        <w:footnoteReference w:customMarkFollows="1" w:id="3735"/>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736"/>
        <w:t>m</w:t>
      </w:r>
      <w:r>
        <w:rPr/>
        <w:t xml:space="preserve"> siehe, Jesus ging ihnen entgegen </w:t>
      </w:r>
      <w:r>
        <w:rPr>
          <w:color w:val="808080"/>
        </w:rPr>
        <w:t>(begegnete ihnen)</w:t>
      </w:r>
      <w:r>
        <w:rPr/>
        <w:t xml:space="preserve"> und</w:t>
      </w:r>
      <w:r>
        <w:rPr>
          <w:rStyle w:val="Funotenanker"/>
        </w:rPr>
        <w:footnoteReference w:customMarkFollows="1" w:id="3737"/>
        <w:t>n</w:t>
      </w:r>
      <w:r>
        <w:rPr/>
        <w:t xml:space="preserve"> sagte: „Freut euch! </w:t>
      </w:r>
      <w:r>
        <w:rPr>
          <w:color w:val="808080"/>
        </w:rPr>
        <w:t>(Seid gegrüßt!)</w:t>
      </w:r>
      <w:r>
        <w:rPr/>
        <w:t xml:space="preserve"> </w:t>
      </w:r>
      <w:r>
        <w:rPr>
          <w:rStyle w:val="Funotenanker"/>
        </w:rPr>
        <w:footnoteReference w:customMarkFollows="1" w:id="3738"/>
        <w:t>o</w:t>
      </w:r>
      <w:r>
        <w:rPr/>
        <w:t>“ Und als</w:t>
      </w:r>
      <w:r>
        <w:rPr>
          <w:rStyle w:val="Funotenanker"/>
        </w:rPr>
        <w:footnoteReference w:customMarkFollows="1" w:id="3739"/>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740"/>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741"/>
        <w:t>r</w:t>
      </w:r>
      <w:r>
        <w:rPr/>
        <w:t>, siehe, da kamen</w:t>
      </w:r>
      <w:r>
        <w:rPr>
          <w:rStyle w:val="Funotenanker"/>
        </w:rPr>
        <w:footnoteReference w:customMarkFollows="1" w:id="3742"/>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743"/>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744"/>
        <w:t>u</w:t>
      </w:r>
      <w:r>
        <w:rPr/>
        <w:t xml:space="preserve"> </w:t>
      </w:r>
      <w:r>
        <w:rPr>
          <w:b/>
          <w:color w:val="808080"/>
        </w:rPr>
        <w:t>[</w:t>
      </w:r>
      <w:r>
        <w:rPr/>
        <w:t>zu ihnen</w:t>
      </w:r>
      <w:r>
        <w:rPr>
          <w:b/>
          <w:color w:val="808080"/>
        </w:rPr>
        <w:t>]</w:t>
      </w:r>
      <w:r>
        <w:rPr/>
        <w:t>: „Sagt:</w:t>
      </w:r>
      <w:r>
        <w:rPr>
          <w:rStyle w:val="Funotenanker"/>
        </w:rPr>
        <w:footnoteReference w:customMarkFollows="1" w:id="3745"/>
        <w:t>v</w:t>
      </w:r>
      <w:r>
        <w:rPr/>
        <w:t xml:space="preserve"> »Seine Jünger sind nachts gekommen</w:t>
      </w:r>
      <w:r>
        <w:rPr>
          <w:rStyle w:val="Funotenanker"/>
        </w:rPr>
        <w:footnoteReference w:customMarkFollows="1" w:id="3746"/>
        <w:t>w</w:t>
      </w:r>
      <w:r>
        <w:rPr/>
        <w:t xml:space="preserve"> und haben ihn genommen, während</w:t>
      </w:r>
      <w:r>
        <w:rPr>
          <w:rStyle w:val="Funotenanker"/>
        </w:rPr>
        <w:footnoteReference w:customMarkFollows="1" w:id="3747"/>
        <w:t>x</w:t>
      </w:r>
      <w:r>
        <w:rPr/>
        <w:t xml:space="preserve"> wir schliefen.</w:t>
      </w:r>
      <w:r>
        <w:rPr>
          <w:rStyle w:val="Funotenanker"/>
        </w:rPr>
        <w:footnoteReference w:customMarkFollows="1" w:id="3748"/>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749"/>
        <w:t>z</w:t>
      </w:r>
      <w:r>
        <w:rPr/>
        <w:t xml:space="preserve"> und sicher stellen, dass ihr ohne Sorge sein könnt</w:t>
      </w:r>
      <w:r>
        <w:rPr>
          <w:rStyle w:val="Funotenanker"/>
        </w:rPr>
        <w:footnoteReference w:customMarkFollows="1" w:id="3750"/>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751"/>
        <w:t>ab</w:t>
      </w:r>
      <w:r>
        <w:rPr/>
        <w:t xml:space="preserve"> die Silbermünzen und taten so, wie sie gelehrt worden waren. Und dieses Wort verbreitete sich</w:t>
      </w:r>
      <w:r>
        <w:rPr>
          <w:rStyle w:val="Funotenanker"/>
        </w:rPr>
        <w:footnoteReference w:customMarkFollows="1" w:id="3752"/>
        <w:t>ac</w:t>
      </w:r>
      <w:r>
        <w:rPr/>
        <w:t xml:space="preserve"> unter </w:t>
      </w:r>
      <w:r>
        <w:rPr>
          <w:b/>
          <w:color w:val="808080"/>
        </w:rPr>
        <w:t>[</w:t>
      </w:r>
      <w:r>
        <w:rPr/>
        <w:t>vielen</w:t>
      </w:r>
      <w:r>
        <w:rPr>
          <w:b/>
          <w:color w:val="808080"/>
        </w:rPr>
        <w:t>]</w:t>
      </w:r>
      <w:r>
        <w:rPr/>
        <w:t xml:space="preserve"> </w:t>
      </w:r>
      <w:r>
        <w:rPr>
          <w:rStyle w:val="Funotenanker"/>
        </w:rPr>
        <w:footnoteReference w:customMarkFollows="1" w:id="3753"/>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754"/>
        <w:t>ae</w:t>
      </w:r>
      <w:r>
        <w:rPr/>
        <w:t xml:space="preserve"> sie ihn sahen, warfen sie sich vor ihm verehrend </w:t>
      </w:r>
      <w:r>
        <w:rPr>
          <w:color w:val="808080"/>
        </w:rPr>
        <w:t>(huldigend, anbetend)</w:t>
      </w:r>
      <w:r>
        <w:rPr/>
        <w:t xml:space="preserve"> nieder</w:t>
      </w:r>
      <w:r>
        <w:rPr>
          <w:rStyle w:val="Funotenanker"/>
        </w:rPr>
        <w:footnoteReference w:customMarkFollows="1" w:id="3755"/>
        <w:t>af</w:t>
      </w:r>
      <w:r>
        <w:rPr/>
        <w:t xml:space="preserve">; doch zweifelten sie </w:t>
      </w:r>
      <w:r>
        <w:rPr>
          <w:color w:val="808080"/>
        </w:rPr>
        <w:t>(einige von ihnen)</w:t>
      </w:r>
      <w:r>
        <w:rPr/>
        <w:t xml:space="preserve"> </w:t>
      </w:r>
      <w:r>
        <w:rPr>
          <w:rStyle w:val="Funotenanker"/>
        </w:rPr>
        <w:footnoteReference w:customMarkFollows="1" w:id="3756"/>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757"/>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758"/>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759"/>
        <w:t>aj</w:t>
      </w:r>
      <w:r>
        <w:rPr/>
        <w:t xml:space="preserve"> Erde.{{field-off:bible}} </w:t>
        <w:br/>
        <w:t>[[@BibleTOBIBLE:Mt 28:19]]</w:t>
      </w:r>
      <w:r>
        <w:rPr>
          <w:b/>
        </w:rPr>
        <w:t>19</w:t>
      </w:r>
      <w:r>
        <w:rPr/>
        <w:t xml:space="preserve"> {{field-on:bible}}Geht also</w:t>
      </w:r>
      <w:r>
        <w:rPr>
          <w:rStyle w:val="Funotenanker"/>
        </w:rPr>
        <w:footnoteReference w:customMarkFollows="1" w:id="3760"/>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t xml:space="preserve">1-15 Das Markusevangelium versucht zu Beginn eine Traditionslinie herzustellen. Johannes der Täufer wird als der so genannte "Rufer in der Wüste" aus dem Buch des Propheten Jesaja dargestellt und so zu einer Art Vorläufer der irdischen Person Jesus von Nazareth. Der Beginn des Buches stellt dar, dass Johannes vor allem Buße, d.h. Umkehr, predigte, die Predigt Jesu aber darüber hinaus geht: Er verkündet die "frohe Botschaft" (gr. Evangelium) Gottes. Dass das Markusevangelium Jesus als Überbietung von Johannes dem Täufer einführen will, wird darüber hinaus deutlich in der Verwendung des Sohn-Gottes-Titel. 16-20 In diesem Abschnitt tritt Jesus als beherrschende, beinahe gebieterische Figur auf. Hierbei wird die Kraft herausgestellt, die ein Ruf Jesu an die Menschen hat, sowie die Bedingungslosigkeit einer Nachfolge als Jünger Jesu. 21-28 Die Szene markiert den machtvollen Beginn des öffentlichem Auftretens Jesu mit seiner neuen Lehre. Sie steht in Opposition zu den Schrfitgelehrten, die hinter seiner Kraft zurückbleiben. Mit der Nennung der konkreten Synagoge von Kafernaum will Markus die Geschichte in einen historischen Zusammenhang stellen. 29-34 Diese Verse haben vor allem die Funktion, Jesus als Wundertäter darzustellen, der die Macht besitzt, Krankheiten zu heilen und Dämonen zu vertreiben. 35-39 Drei Anliegen lassen sich in diesem Abschnitt erkennen: Jesu Verkündigung und seine machtvolledien Taten gehören zusammen. Der Ortswechsel macht deutlich, dass dies für das ganze Gebiet Galiläas gilt. Die Jünger Jesu verstehen Jesu Handeln nicht vollständig. 40-45 Die Tatsache, dass der Kranke zu Jesus kommt, verdeutlicht innerhalb des Markusevangeliums, dass die Bekanntheit Jesu bereits einen ersten Höhepunkt erfahren hat. Diese Bekanntheit wird außerdem weiter steigen, wenn der Kranke, wie beschrieben, die Wundertaten Jesu weiter erzählt. </w:t>
        <w:br/>
        <w:br/>
        <w:t>[[@BibleTOBIBLE:Mk 1:1]]</w:t>
      </w:r>
      <w:r>
        <w:rPr>
          <w:b/>
        </w:rPr>
        <w:t>1</w:t>
      </w:r>
      <w:r>
        <w:rPr/>
        <w:t xml:space="preserve"> {{field-on:bible}} </w:t>
      </w:r>
      <w:r>
        <w:rPr>
          <w:rStyle w:val="Funotenanker"/>
        </w:rPr>
        <w:footnoteReference w:customMarkFollows="1" w:id="3761"/>
        <w:t>Status</w:t>
      </w:r>
      <w:r>
        <w:rPr/>
        <w:t xml:space="preserve"> </w:t>
      </w:r>
      <w:r>
        <w:rPr>
          <w:b/>
          <w:color w:val="808080"/>
        </w:rPr>
        <w:t>[</w:t>
      </w:r>
      <w:r>
        <w:rPr/>
        <w:t>Der</w:t>
      </w:r>
      <w:r>
        <w:rPr>
          <w:b/>
          <w:color w:val="808080"/>
        </w:rPr>
        <w:t>]</w:t>
      </w:r>
      <w:r>
        <w:rPr/>
        <w:t xml:space="preserve"> Anfang der frohen Botschaft </w:t>
      </w:r>
      <w:r>
        <w:rPr>
          <w:rStyle w:val="Funotenanker"/>
        </w:rPr>
        <w:footnoteReference w:customMarkFollows="1" w:id="3762"/>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763"/>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764"/>
        <w:t>c</w:t>
      </w:r>
      <w:r>
        <w:rPr/>
        <w:t xml:space="preserve"> „Siehe, ich sende meinen Boten vor dir her </w:t>
      </w:r>
      <w:r>
        <w:rPr>
          <w:rStyle w:val="Funotenanker"/>
        </w:rPr>
        <w:footnoteReference w:customMarkFollows="1" w:id="3765"/>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766"/>
        <w:t>e</w:t>
      </w:r>
      <w:r>
        <w:rPr/>
        <w:t xml:space="preserve"> »Bereitet den Weg des Herrn vor, macht seine Pfade gerade«“, </w:t>
      </w:r>
      <w:r>
        <w:rPr>
          <w:rStyle w:val="Funotenanker"/>
        </w:rPr>
        <w:footnoteReference w:customMarkFollows="1" w:id="3767"/>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768"/>
        <w:t>g</w:t>
      </w:r>
      <w:r>
        <w:rPr/>
        <w:t xml:space="preserve"> </w:t>
      </w:r>
      <w:r>
        <w:rPr>
          <w:color w:val="808080"/>
        </w:rPr>
        <w:t>(trat Johannes auf, der in der Wüste taufte)</w:t>
      </w:r>
      <w:r>
        <w:rPr/>
        <w:t xml:space="preserve"> </w:t>
      </w:r>
      <w:r>
        <w:rPr>
          <w:rStyle w:val="Funotenanker"/>
        </w:rPr>
        <w:footnoteReference w:customMarkFollows="1" w:id="3769"/>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770"/>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771"/>
        <w:t>j</w:t>
      </w:r>
      <w:r>
        <w:rPr/>
        <w:t xml:space="preserve"> </w:t>
      </w:r>
      <w:r>
        <w:rPr>
          <w:color w:val="808080"/>
        </w:rPr>
        <w:t>(Gegend, Land)</w:t>
      </w:r>
      <w:r>
        <w:rPr/>
        <w:t xml:space="preserve"> und alle Jerusalemer begaben sich </w:t>
      </w:r>
      <w:r>
        <w:rPr>
          <w:rStyle w:val="Funotenanker"/>
        </w:rPr>
        <w:footnoteReference w:customMarkFollows="1" w:id="3772"/>
        <w:t>k</w:t>
      </w:r>
      <w:r>
        <w:rPr/>
        <w:t xml:space="preserve"> </w:t>
      </w:r>
      <w:r>
        <w:rPr>
          <w:color w:val="808080"/>
        </w:rPr>
        <w:t>(gingen)</w:t>
      </w:r>
      <w:r>
        <w:rPr/>
        <w:t xml:space="preserve"> hinaus zu ihm und ließen sich von ihm im Fluss Jordan taufen </w:t>
      </w:r>
      <w:r>
        <w:rPr>
          <w:rStyle w:val="Funotenanker"/>
        </w:rPr>
        <w:footnoteReference w:customMarkFollows="1" w:id="3773"/>
        <w:t>l</w:t>
      </w:r>
      <w:r>
        <w:rPr/>
        <w:t xml:space="preserve">, wobei </w:t>
      </w:r>
      <w:r>
        <w:rPr>
          <w:color w:val="808080"/>
        </w:rPr>
        <w:t>(und)</w:t>
      </w:r>
      <w:r>
        <w:rPr/>
        <w:t xml:space="preserve"> sie ihre Sünden bekannten. </w:t>
      </w:r>
      <w:r>
        <w:rPr>
          <w:rStyle w:val="Funotenanker"/>
        </w:rPr>
        <w:footnoteReference w:customMarkFollows="1" w:id="3774"/>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775"/>
        <w:t>n</w:t>
      </w:r>
      <w:r>
        <w:rPr/>
        <w:t xml:space="preserve"> und Heuschrecken und wilden Honig zu essen </w:t>
      </w:r>
      <w:r>
        <w:rPr>
          <w:rStyle w:val="Funotenanker"/>
        </w:rPr>
        <w:footnoteReference w:customMarkFollows="1" w:id="3776"/>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777"/>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778"/>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779"/>
        <w:t>r</w:t>
      </w:r>
      <w:r>
        <w:rPr/>
        <w:t xml:space="preserve"> ihm </w:t>
      </w:r>
      <w:r>
        <w:rPr>
          <w:rStyle w:val="Funotenanker"/>
        </w:rPr>
        <w:footnoteReference w:customMarkFollows="1" w:id="3780"/>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781"/>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782"/>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783"/>
        <w:t>v</w:t>
      </w:r>
      <w:r>
        <w:rPr/>
        <w:t xml:space="preserve">, sah er, wie </w:t>
      </w:r>
      <w:r>
        <w:rPr>
          <w:color w:val="808080"/>
        </w:rPr>
        <w:t>(dass)</w:t>
      </w:r>
      <w:r>
        <w:rPr/>
        <w:t xml:space="preserve"> der Himmel </w:t>
      </w:r>
      <w:r>
        <w:rPr>
          <w:rStyle w:val="Funotenanker"/>
        </w:rPr>
        <w:footnoteReference w:customMarkFollows="1" w:id="3784"/>
        <w:t>w</w:t>
      </w:r>
      <w:r>
        <w:rPr/>
        <w:t xml:space="preserve"> geteilt </w:t>
      </w:r>
      <w:r>
        <w:rPr>
          <w:color w:val="808080"/>
        </w:rPr>
        <w:t>(geöffnet)</w:t>
      </w:r>
      <w:r>
        <w:rPr/>
        <w:t xml:space="preserve"> wurde </w:t>
      </w:r>
      <w:r>
        <w:rPr>
          <w:rStyle w:val="Funotenanker"/>
        </w:rPr>
        <w:footnoteReference w:customMarkFollows="1" w:id="3785"/>
        <w:t>x</w:t>
      </w:r>
      <w:r>
        <w:rPr/>
        <w:t xml:space="preserve"> und der Geist wie eine Taube in ihn </w:t>
      </w:r>
      <w:r>
        <w:rPr>
          <w:color w:val="808080"/>
        </w:rPr>
        <w:t>(zu ihm; auf ihn)</w:t>
      </w:r>
      <w:r>
        <w:rPr/>
        <w:t xml:space="preserve"> </w:t>
      </w:r>
      <w:r>
        <w:rPr>
          <w:rStyle w:val="Funotenanker"/>
        </w:rPr>
        <w:footnoteReference w:customMarkFollows="1" w:id="3786"/>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787"/>
        <w:t>z</w:t>
      </w:r>
      <w:r>
        <w:rPr/>
        <w:t xml:space="preserve"> aus dem Himmel </w:t>
      </w:r>
      <w:r>
        <w:rPr>
          <w:rStyle w:val="Funotenanker"/>
        </w:rPr>
        <w:footnoteReference w:customMarkFollows="1" w:id="3788"/>
        <w:t>aa</w:t>
      </w:r>
      <w:r>
        <w:rPr/>
        <w:t xml:space="preserve">: „Du bist mein geliebter Sohn, an dir habe ich Freude </w:t>
      </w:r>
      <w:r>
        <w:rPr>
          <w:color w:val="808080"/>
        </w:rPr>
        <w:t>(Gefallen gefunden)</w:t>
      </w:r>
      <w:r>
        <w:rPr/>
        <w:t xml:space="preserve"> </w:t>
      </w:r>
      <w:r>
        <w:rPr>
          <w:rStyle w:val="Funotenanker"/>
        </w:rPr>
        <w:footnoteReference w:customMarkFollows="1" w:id="3789"/>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790"/>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791"/>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792"/>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793"/>
        <w:t>af</w:t>
      </w:r>
      <w:r>
        <w:rPr/>
        <w:t xml:space="preserve"> das Evangelium Gottes </w:t>
      </w:r>
      <w:r>
        <w:rPr>
          <w:rStyle w:val="Funotenanker"/>
        </w:rPr>
        <w:footnoteReference w:customMarkFollows="1" w:id="3794"/>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795"/>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796"/>
        <w:t>ai</w:t>
      </w:r>
      <w:r>
        <w:rPr/>
        <w:t xml:space="preserve"> und Gottes Königsherrschaft </w:t>
      </w:r>
      <w:r>
        <w:rPr>
          <w:color w:val="808080"/>
        </w:rPr>
        <w:t>(Königreich)</w:t>
      </w:r>
      <w:r>
        <w:rPr/>
        <w:t xml:space="preserve"> </w:t>
      </w:r>
      <w:r>
        <w:rPr>
          <w:rStyle w:val="Funotenanker"/>
        </w:rPr>
        <w:footnoteReference w:customMarkFollows="1" w:id="3797"/>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798"/>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799"/>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800"/>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801"/>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802"/>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803"/>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804"/>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805"/>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806"/>
        <w:t>as</w:t>
      </w:r>
      <w:r>
        <w:rPr/>
        <w:t xml:space="preserve"> </w:t>
      </w:r>
      <w:r>
        <w:rPr>
          <w:color w:val="808080"/>
        </w:rPr>
        <w:t>begann)</w:t>
      </w:r>
      <w:r>
        <w:rPr/>
        <w:t xml:space="preserve"> </w:t>
      </w:r>
      <w:r>
        <w:rPr>
          <w:rStyle w:val="Funotenanker"/>
        </w:rPr>
        <w:footnoteReference w:customMarkFollows="1" w:id="3807"/>
        <w:t>at</w:t>
      </w:r>
      <w:r>
        <w:rPr/>
        <w:t xml:space="preserve"> zu lehren </w:t>
      </w:r>
      <w:r>
        <w:rPr>
          <w:rStyle w:val="Funotenanker"/>
        </w:rPr>
        <w:footnoteReference w:customMarkFollows="1" w:id="3808"/>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809"/>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810"/>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811"/>
        <w:t>ax</w:t>
      </w:r>
      <w:r>
        <w:rPr/>
        <w:t xml:space="preserve"> Jesus von Nazaret </w:t>
      </w:r>
      <w:r>
        <w:rPr>
          <w:rStyle w:val="Funotenanker"/>
        </w:rPr>
        <w:footnoteReference w:customMarkFollows="1" w:id="3812"/>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813"/>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814"/>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815"/>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816"/>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817"/>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818"/>
        <w:t>be</w:t>
      </w:r>
      <w:r>
        <w:rPr/>
        <w:t xml:space="preserve"> verließen sie </w:t>
      </w:r>
      <w:r>
        <w:rPr>
          <w:strike/>
          <w:color w:val="808080"/>
        </w:rPr>
        <w:t>{aus}</w:t>
      </w:r>
      <w:r>
        <w:rPr/>
        <w:t xml:space="preserve"> die Synagoge und </w:t>
      </w:r>
      <w:r>
        <w:rPr>
          <w:rStyle w:val="Funotenanker"/>
        </w:rPr>
        <w:footnoteReference w:customMarkFollows="1" w:id="3819"/>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820"/>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821"/>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822"/>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823"/>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824"/>
        <w:t>bk</w:t>
      </w:r>
      <w:r>
        <w:rPr/>
        <w:t xml:space="preserve"> die Sonne untergegangen war </w:t>
      </w:r>
      <w:r>
        <w:rPr>
          <w:color w:val="808080"/>
        </w:rPr>
        <w:t>(unterging)</w:t>
      </w:r>
      <w:r>
        <w:rPr/>
        <w:t xml:space="preserve">, brachte </w:t>
      </w:r>
      <w:r>
        <w:rPr>
          <w:rStyle w:val="Funotenanker"/>
        </w:rPr>
        <w:footnoteReference w:customMarkFollows="1" w:id="3825"/>
        <w:t>bl</w:t>
      </w:r>
      <w:r>
        <w:rPr/>
        <w:t xml:space="preserve"> man alle Kranken </w:t>
      </w:r>
      <w:r>
        <w:rPr>
          <w:color w:val="808080"/>
        </w:rPr>
        <w:t>(denen es schlecht ging)</w:t>
      </w:r>
      <w:r>
        <w:rPr/>
        <w:t xml:space="preserve"> </w:t>
      </w:r>
      <w:r>
        <w:rPr>
          <w:rStyle w:val="Funotenanker"/>
        </w:rPr>
        <w:footnoteReference w:customMarkFollows="1" w:id="3826"/>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827"/>
        <w:t>bn</w:t>
      </w:r>
      <w:r>
        <w:rPr/>
        <w:t xml:space="preserve"> stand er auf, </w:t>
      </w:r>
      <w:r>
        <w:rPr>
          <w:rStyle w:val="Funotenanker"/>
        </w:rPr>
        <w:footnoteReference w:customMarkFollows="1" w:id="3828"/>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829"/>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830"/>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831"/>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832"/>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833"/>
        <w:t>bt</w:t>
      </w:r>
      <w:r>
        <w:rPr/>
        <w:t xml:space="preserve"> und trieb die Dämonen aus. </w:t>
      </w:r>
      <w:r>
        <w:rPr>
          <w:rStyle w:val="Funotenanker"/>
        </w:rPr>
        <w:footnoteReference w:customMarkFollows="1" w:id="3834"/>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835"/>
        <w:t>bv</w:t>
      </w:r>
      <w:r>
        <w:rPr/>
        <w:t xml:space="preserve"> , wobei er ihm zurief </w:t>
      </w:r>
      <w:r>
        <w:rPr>
          <w:color w:val="808080"/>
        </w:rPr>
        <w:t>(sagte)</w:t>
      </w:r>
      <w:r>
        <w:rPr/>
        <w:t xml:space="preserve"> </w:t>
      </w:r>
      <w:r>
        <w:rPr>
          <w:rStyle w:val="Funotenanker"/>
        </w:rPr>
        <w:footnoteReference w:customMarkFollows="1" w:id="3836"/>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837"/>
        <w:t>bx</w:t>
      </w:r>
      <w:r>
        <w:rPr/>
        <w:t xml:space="preserve"> darum </w:t>
      </w:r>
      <w:r>
        <w:rPr>
          <w:rStyle w:val="Funotenanker"/>
        </w:rPr>
        <w:footnoteReference w:customMarkFollows="1" w:id="3838"/>
        <w:t>by</w:t>
      </w:r>
      <w:r>
        <w:rPr/>
        <w:t xml:space="preserve"> streckte er seine Hand aus </w:t>
      </w:r>
      <w:r>
        <w:rPr>
          <w:rStyle w:val="Funotenanker"/>
        </w:rPr>
        <w:footnoteReference w:customMarkFollows="1" w:id="3839"/>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840"/>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841"/>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842"/>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843"/>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844"/>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845"/>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846"/>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t xml:space="preserve">1-12 Verpackt in eine anschauliche Szene stellt Markus dar, dass Jesus die Vollmacht hat, Sünden zu vergeben. 13-17 Der Abschnitt schließt inhaltlich an den vorhergehenden Text an und macht deutlich, dass Jesus nicht nur Sünden vergibt, sondern Sünder auch in seine Gemeinschaft aufnimmt. Dadurch wächst sowohl die Zahl seiner Anhänger als auch der Widerstand seiner Gegner. 18-22 Die bildreichen Worte Jesu haben im Zusammenhang des Evangeliums die Funktion, die neue Lehre Jesu, wie sie bereits mehrfach durch verschiedene Szenen vorher beschrieben wurde, nochmals zu verdeutlichen. </w:t>
        <w:br/>
        <w:br/>
        <w:t>[[@BibleTOBIBLE:Mk 2:1]]</w:t>
      </w:r>
      <w:r>
        <w:rPr>
          <w:b/>
        </w:rPr>
        <w:t>1</w:t>
      </w:r>
      <w:r>
        <w:rPr/>
        <w:t xml:space="preserve"> {{field-on:bible}} </w:t>
      </w:r>
      <w:r>
        <w:rPr>
          <w:rStyle w:val="Funotenanker"/>
        </w:rPr>
        <w:footnoteReference w:customMarkFollows="1" w:id="3847"/>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848"/>
        <w:t>a</w:t>
      </w:r>
      <w:r>
        <w:rPr/>
        <w:t xml:space="preserve"> , wurde bekannt </w:t>
      </w:r>
      <w:r>
        <w:rPr>
          <w:rStyle w:val="Funotenanker"/>
        </w:rPr>
        <w:footnoteReference w:customMarkFollows="1" w:id="3849"/>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850"/>
        <w:t>c</w:t>
      </w:r>
      <w:r>
        <w:rPr/>
        <w:t xml:space="preserve"> war </w:t>
      </w:r>
      <w:r>
        <w:rPr>
          <w:rStyle w:val="Funotenanker"/>
        </w:rPr>
        <w:footnoteReference w:customMarkFollows="1" w:id="3851"/>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852"/>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853"/>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854"/>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855"/>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856"/>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857"/>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858"/>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859"/>
        <w:t>l</w:t>
      </w:r>
      <w:r>
        <w:rPr/>
        <w:t xml:space="preserve"> sagte </w:t>
      </w:r>
      <w:r>
        <w:rPr>
          <w:rStyle w:val="Funotenanker"/>
        </w:rPr>
        <w:footnoteReference w:customMarkFollows="1" w:id="3860"/>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861"/>
        <w:t>n</w:t>
      </w:r>
      <w:r>
        <w:rPr/>
        <w:t xml:space="preserve"> in Gedanken </w:t>
      </w:r>
      <w:r>
        <w:rPr>
          <w:rStyle w:val="Funotenanker"/>
        </w:rPr>
        <w:footnoteReference w:customMarkFollows="1" w:id="3862"/>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863"/>
        <w:t>p</w:t>
      </w:r>
      <w:r>
        <w:rPr/>
        <w:t xml:space="preserve"> in seinem Geist </w:t>
      </w:r>
      <w:r>
        <w:rPr>
          <w:rStyle w:val="Funotenanker"/>
        </w:rPr>
        <w:footnoteReference w:customMarkFollows="1" w:id="3864"/>
        <w:t>q</w:t>
      </w:r>
      <w:r>
        <w:rPr/>
        <w:t xml:space="preserve"> sofort, dass sie so </w:t>
      </w:r>
      <w:r>
        <w:rPr>
          <w:strike/>
          <w:color w:val="808080"/>
        </w:rPr>
        <w:t>{bei sich}</w:t>
      </w:r>
      <w:r>
        <w:rPr/>
        <w:t xml:space="preserve"> dachten, darum sagte </w:t>
      </w:r>
      <w:r>
        <w:rPr>
          <w:rStyle w:val="Funotenanker"/>
        </w:rPr>
        <w:footnoteReference w:customMarkFollows="1" w:id="3865"/>
        <w:t>r</w:t>
      </w:r>
      <w:r>
        <w:rPr/>
        <w:t xml:space="preserve"> er zu ihnen: „Warum habt ihr solche Gedanken? </w:t>
      </w:r>
      <w:r>
        <w:rPr>
          <w:rStyle w:val="Funotenanker"/>
        </w:rPr>
        <w:footnoteReference w:customMarkFollows="1" w:id="3866"/>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867"/>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868"/>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869"/>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870"/>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871"/>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872"/>
        <w:t>y</w:t>
      </w:r>
      <w:r>
        <w:rPr/>
        <w:t xml:space="preserve"> . Und die gesamte Menschenmenge kam zu ihm, und er lehrte </w:t>
      </w:r>
      <w:r>
        <w:rPr>
          <w:rStyle w:val="Funotenanker"/>
        </w:rPr>
        <w:footnoteReference w:customMarkFollows="1" w:id="3873"/>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874"/>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875"/>
        <w:t>ab</w:t>
      </w:r>
      <w:r>
        <w:rPr/>
        <w:t xml:space="preserve"> sitzen </w:t>
      </w:r>
      <w:r>
        <w:rPr>
          <w:rStyle w:val="Funotenanker"/>
        </w:rPr>
        <w:footnoteReference w:customMarkFollows="1" w:id="3876"/>
        <w:t>ac</w:t>
      </w:r>
      <w:r>
        <w:rPr/>
        <w:t xml:space="preserve"> und sagte zu ihm: „Folge mir nach!“ </w:t>
      </w:r>
      <w:r>
        <w:rPr>
          <w:rStyle w:val="Funotenanker"/>
        </w:rPr>
        <w:footnoteReference w:customMarkFollows="1" w:id="3877"/>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878"/>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879"/>
        <w:t>af</w:t>
      </w:r>
      <w:r>
        <w:rPr/>
        <w:t xml:space="preserve"> in seinem Haus </w:t>
      </w:r>
      <w:r>
        <w:rPr>
          <w:rStyle w:val="Funotenanker"/>
        </w:rPr>
        <w:footnoteReference w:customMarkFollows="1" w:id="3880"/>
        <w:t>ag</w:t>
      </w:r>
      <w:r>
        <w:rPr/>
        <w:t xml:space="preserve"> bei Tisch war </w:t>
      </w:r>
      <w:r>
        <w:rPr>
          <w:color w:val="808080"/>
        </w:rPr>
        <w:t>(zu Gast war)</w:t>
      </w:r>
      <w:r>
        <w:rPr/>
        <w:t xml:space="preserve"> </w:t>
      </w:r>
      <w:r>
        <w:rPr>
          <w:rStyle w:val="Funotenanker"/>
        </w:rPr>
        <w:footnoteReference w:customMarkFollows="1" w:id="3881"/>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882"/>
        <w:t>ai</w:t>
      </w:r>
      <w:r>
        <w:rPr/>
        <w:t xml:space="preserve"> . Es waren nämlich viele, die </w:t>
      </w:r>
      <w:r>
        <w:rPr>
          <w:rStyle w:val="Funotenanker"/>
        </w:rPr>
        <w:footnoteReference w:customMarkFollows="1" w:id="3883"/>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884"/>
        <w:t>ak</w:t>
      </w:r>
      <w:r>
        <w:rPr/>
        <w:t xml:space="preserve"> sahen, </w:t>
      </w:r>
      <w:r>
        <w:rPr>
          <w:rStyle w:val="Funotenanker"/>
        </w:rPr>
        <w:footnoteReference w:customMarkFollows="1" w:id="3885"/>
        <w:t>al</w:t>
      </w:r>
      <w:r>
        <w:rPr/>
        <w:t xml:space="preserve"> dass er mit den Sündern und Zolleinnehmern </w:t>
      </w:r>
      <w:r>
        <w:rPr>
          <w:color w:val="808080"/>
        </w:rPr>
        <w:t>(Zöllnern)</w:t>
      </w:r>
      <w:r>
        <w:rPr/>
        <w:t xml:space="preserve"> aß </w:t>
      </w:r>
      <w:r>
        <w:rPr>
          <w:rStyle w:val="Funotenanker"/>
        </w:rPr>
        <w:footnoteReference w:customMarkFollows="1" w:id="3886"/>
        <w:t>am</w:t>
      </w:r>
      <w:r>
        <w:rPr/>
        <w:t xml:space="preserve"> , sagten sie zu seinen Jüngern: „Warum </w:t>
      </w:r>
      <w:r>
        <w:rPr>
          <w:rStyle w:val="Funotenanker"/>
        </w:rPr>
        <w:footnoteReference w:customMarkFollows="1" w:id="3887"/>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888"/>
        <w:t>ao</w:t>
      </w:r>
      <w:r>
        <w:rPr/>
        <w:t xml:space="preserve"> sagte er zu ihnen </w:t>
      </w:r>
      <w:r>
        <w:rPr>
          <w:strike/>
          <w:color w:val="808080"/>
        </w:rPr>
        <w:t>{dass}</w:t>
      </w:r>
      <w:r>
        <w:rPr/>
        <w:t xml:space="preserve"> </w:t>
      </w:r>
      <w:r>
        <w:rPr>
          <w:rStyle w:val="Funotenanker"/>
        </w:rPr>
        <w:footnoteReference w:customMarkFollows="1" w:id="3889"/>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890"/>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891"/>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892"/>
        <w:t>as</w:t>
      </w:r>
      <w:r>
        <w:rPr/>
        <w:t xml:space="preserve"> ihn: „Weshalb fasten die Jünger von Johannes und die Jünger der Pharisäer </w:t>
      </w:r>
      <w:r>
        <w:rPr>
          <w:rStyle w:val="Funotenanker"/>
        </w:rPr>
        <w:footnoteReference w:customMarkFollows="1" w:id="3893"/>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894"/>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895"/>
        <w:t>av</w:t>
      </w:r>
      <w:r>
        <w:rPr/>
        <w:t xml:space="preserve"> , und dann, an diesem Tag </w:t>
      </w:r>
      <w:r>
        <w:rPr>
          <w:rStyle w:val="Funotenanker"/>
        </w:rPr>
        <w:footnoteReference w:customMarkFollows="1" w:id="3896"/>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897"/>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898"/>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899"/>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abzureißen. </w:t>
      </w:r>
      <w:r>
        <w:rPr>
          <w:rStyle w:val="Funotenanker"/>
        </w:rPr>
        <w:footnoteReference w:customMarkFollows="1" w:id="3900"/>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901"/>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902"/>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903"/>
        <w:t>bd</w:t>
      </w:r>
      <w:r>
        <w:rPr/>
        <w:t xml:space="preserve"> in das Haus Gottes ging und die geweihten Brote </w:t>
      </w:r>
      <w:r>
        <w:rPr>
          <w:color w:val="808080"/>
        </w:rPr>
        <w:t>(Schaubrote, ausgestellten Brote)</w:t>
      </w:r>
      <w:r>
        <w:rPr/>
        <w:t xml:space="preserve"> </w:t>
      </w:r>
      <w:r>
        <w:rPr>
          <w:rStyle w:val="Funotenanker"/>
        </w:rPr>
        <w:footnoteReference w:customMarkFollows="1" w:id="3904"/>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905"/>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906"/>
        <w:t>bg</w:t>
      </w:r>
      <w:r>
        <w:rPr/>
        <w:t xml:space="preserve">.“{{field-off:bible}} </w:t>
      </w:r>
    </w:p>
    <w:p>
      <w:pPr>
        <w:pStyle w:val="Berschrift3"/>
        <w:rPr/>
      </w:pPr>
      <w:r>
        <w:rPr/>
        <w:t>[[@BibleTOBIBLE:Mk 3]]Kapitel 3</w:t>
      </w:r>
    </w:p>
    <w:p>
      <w:pPr>
        <w:pStyle w:val="Textkrper"/>
        <w:rPr/>
      </w:pPr>
      <w:r>
        <w:rPr/>
        <w:t xml:space="preserve">1-6 Markus zeigt hier erneut Jesu Vollmacht im Hinblick auf die Bedeutung von Geboten auf, exemplarisch an der Frage des Sabbatgebots. Zugleich erlangt der bereits in Mk 2 thematisierte Konflikt zwischen Jesus und den Schriftgelehrten mit ihrem Plan Jesus umzubringen einen Höhepunkt. 7-12 Mit der Aufzählung der verschiedenen Regionen beschreibt Markus den umfassenden Charakter des Wunderwirkens Jesu. Das Bild von Jesus umringt von Kranken und Dämonen unterstreicht dabei das Elend der Menschen und seine Rolle als Sohn Gottes. 13-19 Markus macht an dieser Stelle deutlich, dass Jesus seine Nachfolger dazu aufruft, sein Werk fortzuführen. Gleichzeitig wird deutlich, dass es einige gibt, die sich von den Massen im vorhergehenden und nachfolgenden Abschnitt abheben. 20-35 Durch diese Szene macht Markus deutlich, dass die Gemeinschaft, die mit Jesus entsteht, einen eigenen und neuen Charakter hat, der sich von der Gemeinschaft der Familie unterscheidet. Deutlich wird dadurch auch, dass es selbst unter den eigenen Landsleuten und der eigene Familie Menschen gibt, die das nicht verstehen oder nachvollziehen können. </w:t>
        <w:br/>
        <w:br/>
        <w:t>[[@BibleTOBIBLE:Mk 3:1]]</w:t>
      </w:r>
      <w:r>
        <w:rPr>
          <w:b/>
        </w:rPr>
        <w:t>1</w:t>
      </w:r>
      <w:r>
        <w:rPr/>
        <w:t xml:space="preserve"> {{field-on:bible}} </w:t>
      </w:r>
      <w:r>
        <w:rPr>
          <w:rStyle w:val="Funotenanker"/>
        </w:rPr>
        <w:footnoteReference w:customMarkFollows="1" w:id="3907"/>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908"/>
        <w:t>a</w:t>
      </w:r>
      <w:r>
        <w:rPr/>
        <w:t xml:space="preserve"> Hand hatte. </w:t>
      </w:r>
      <w:r>
        <w:rPr>
          <w:rStyle w:val="Funotenanker"/>
        </w:rPr>
        <w:footnoteReference w:customMarkFollows="1" w:id="3909"/>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910"/>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911"/>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912"/>
        <w:t>e</w:t>
      </w:r>
      <w:r>
        <w:rPr/>
        <w:t xml:space="preserve"> zu dem Mann mit der verkümmerten </w:t>
      </w:r>
      <w:r>
        <w:rPr>
          <w:color w:val="808080"/>
        </w:rPr>
        <w:t>(gelähmten, verdorrten)</w:t>
      </w:r>
      <w:r>
        <w:rPr/>
        <w:t xml:space="preserve"> Hand </w:t>
      </w:r>
      <w:r>
        <w:rPr>
          <w:rStyle w:val="Funotenanker"/>
        </w:rPr>
        <w:footnoteReference w:customMarkFollows="1" w:id="3913"/>
        <w:t>f</w:t>
      </w:r>
      <w:r>
        <w:rPr/>
        <w:t xml:space="preserve">: „Komm </w:t>
      </w:r>
      <w:r>
        <w:rPr>
          <w:color w:val="808080"/>
        </w:rPr>
        <w:t>(Steh auf)</w:t>
      </w:r>
      <w:r>
        <w:rPr/>
        <w:t xml:space="preserve"> </w:t>
      </w:r>
      <w:r>
        <w:rPr>
          <w:rStyle w:val="Funotenanker"/>
        </w:rPr>
        <w:footnoteReference w:customMarkFollows="1" w:id="3914"/>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915"/>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916"/>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917"/>
        <w:t>j</w:t>
      </w:r>
      <w:r>
        <w:rPr/>
        <w:t xml:space="preserve"> alle der Reihe nach </w:t>
      </w:r>
      <w:r>
        <w:rPr>
          <w:color w:val="808080"/>
        </w:rPr>
        <w:t>(ringsum)</w:t>
      </w:r>
      <w:r>
        <w:rPr/>
        <w:t xml:space="preserve"> an. </w:t>
      </w:r>
      <w:r>
        <w:rPr>
          <w:rStyle w:val="Funotenanker"/>
        </w:rPr>
        <w:footnoteReference w:customMarkFollows="1" w:id="3918"/>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919"/>
        <w:t>l</w:t>
      </w:r>
      <w:r>
        <w:rPr/>
        <w:t xml:space="preserve"> ihrer Herzen </w:t>
      </w:r>
      <w:r>
        <w:rPr>
          <w:rStyle w:val="Funotenanker"/>
        </w:rPr>
        <w:footnoteReference w:customMarkFollows="1" w:id="3920"/>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921"/>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922"/>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923"/>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924"/>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925"/>
        <w:t>r</w:t>
      </w:r>
      <w:r>
        <w:rPr/>
        <w:t xml:space="preserve"> eine große Menge zu ihm, die </w:t>
      </w:r>
      <w:r>
        <w:rPr>
          <w:color w:val="808080"/>
        </w:rPr>
        <w:t>(weil/als sie)</w:t>
      </w:r>
      <w:r>
        <w:rPr/>
        <w:t xml:space="preserve"> hörten, </w:t>
      </w:r>
      <w:r>
        <w:rPr>
          <w:rStyle w:val="Funotenanker"/>
        </w:rPr>
        <w:footnoteReference w:customMarkFollows="1" w:id="3926"/>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927"/>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928"/>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929"/>
        <w:t>v</w:t>
      </w:r>
      <w:r>
        <w:rPr/>
        <w:t xml:space="preserve"> </w:t>
      </w:r>
      <w:r>
        <w:rPr>
          <w:strike/>
          <w:color w:val="808080"/>
        </w:rPr>
        <w:t>{dass}</w:t>
      </w:r>
      <w:r>
        <w:rPr/>
        <w:t xml:space="preserve"> </w:t>
      </w:r>
      <w:r>
        <w:rPr>
          <w:rStyle w:val="Funotenanker"/>
        </w:rPr>
        <w:footnoteReference w:customMarkFollows="1" w:id="3930"/>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931"/>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932"/>
        <w:t>y</w:t>
      </w:r>
      <w:r>
        <w:rPr/>
        <w:t xml:space="preserve"> diejenigen zu sich, die er selbst sich ausgesucht hatte </w:t>
      </w:r>
      <w:r>
        <w:rPr>
          <w:rStyle w:val="Funotenanker"/>
        </w:rPr>
        <w:footnoteReference w:customMarkFollows="1" w:id="3933"/>
        <w:t>z</w:t>
      </w:r>
      <w:r>
        <w:rPr/>
        <w:t xml:space="preserve">; und sie kamen zu ihm </w:t>
      </w:r>
      <w:r>
        <w:rPr>
          <w:rStyle w:val="Funotenanker"/>
        </w:rPr>
        <w:footnoteReference w:customMarkFollows="1" w:id="3934"/>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935"/>
        <w:t>ab</w:t>
      </w:r>
      <w:r>
        <w:rPr/>
        <w:t xml:space="preserve"> zwölf, damit sie mit ihm seien und damit er sie zum Predigen </w:t>
      </w:r>
      <w:r>
        <w:rPr>
          <w:color w:val="808080"/>
        </w:rPr>
        <w:t>(Verkündigen)</w:t>
      </w:r>
      <w:r>
        <w:rPr/>
        <w:t xml:space="preserve"> aussenden </w:t>
      </w:r>
      <w:r>
        <w:rPr>
          <w:b/>
          <w:color w:val="808080"/>
        </w:rPr>
        <w:t>[</w:t>
      </w:r>
      <w:r>
        <w:rPr/>
        <w:t>könnte</w:t>
      </w:r>
      <w:r>
        <w:rPr>
          <w:b/>
          <w:color w:val="808080"/>
        </w:rPr>
        <w:t>]</w:t>
      </w:r>
      <w:r>
        <w:rPr/>
        <w:t xml:space="preserve"> {{field-off:bible}} </w:t>
        <w:br/>
        <w:t>[[@BibleTOBIBLE:Mk 3:15]]</w:t>
      </w:r>
      <w:r>
        <w:rPr>
          <w:b/>
        </w:rPr>
        <w:t>15</w:t>
      </w:r>
      <w:r>
        <w:rPr/>
        <w:t xml:space="preserve"> {{field-on:bible}}und </w:t>
      </w:r>
      <w:r>
        <w:rPr>
          <w:b/>
          <w:color w:val="808080"/>
        </w:rPr>
        <w:t>[</w:t>
      </w:r>
      <w:r>
        <w:rPr/>
        <w:t>damit sie</w:t>
      </w:r>
      <w:r>
        <w:rPr>
          <w:b/>
          <w:color w:val="808080"/>
        </w:rPr>
        <w:t>]</w:t>
      </w:r>
      <w:r>
        <w:rPr/>
        <w:t xml:space="preserve"> Macht </w:t>
      </w:r>
      <w:r>
        <w:rPr>
          <w:color w:val="808080"/>
        </w:rPr>
        <w:t>(Vollmacht, Autorität, Ermächtigung)</w:t>
      </w:r>
      <w:r>
        <w:rPr/>
        <w:t xml:space="preserve"> zum Austreiben </w:t>
      </w:r>
      <w:r>
        <w:rPr>
          <w:b/>
          <w:color w:val="808080"/>
        </w:rPr>
        <w:t>[</w:t>
      </w:r>
      <w:r>
        <w:rPr/>
        <w:t>von</w:t>
      </w:r>
      <w:r>
        <w:rPr>
          <w:b/>
          <w:color w:val="808080"/>
        </w:rPr>
        <w:t>]</w:t>
      </w:r>
      <w:r>
        <w:rPr/>
        <w:t xml:space="preserve"> Dämonen hätten.{{field-off:bible}}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936"/>
        <w:t>ac</w:t>
      </w:r>
      <w:r>
        <w:rPr/>
        <w:t xml:space="preserve"> , das heißt </w:t>
      </w:r>
      <w:r>
        <w:rPr>
          <w:rStyle w:val="Funotenanker"/>
        </w:rPr>
        <w:footnoteReference w:customMarkFollows="1" w:id="3937"/>
        <w:t>ad</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938"/>
        <w:t>ae</w:t>
      </w:r>
      <w:r>
        <w:rPr/>
        <w:t xml:space="preserve"> {{field-off:bible}} </w:t>
        <w:br/>
        <w:t>[[@BibleTOBIBLE:Mk 3:19]]</w:t>
      </w:r>
      <w:r>
        <w:rPr>
          <w:b/>
        </w:rPr>
        <w:t>19</w:t>
      </w:r>
      <w:r>
        <w:rPr/>
        <w:t xml:space="preserve"> {{field-on:bible}}und Judas Iskariot </w:t>
      </w:r>
      <w:r>
        <w:rPr>
          <w:rStyle w:val="Funotenanker"/>
        </w:rPr>
        <w:footnoteReference w:customMarkFollows="1" w:id="3939"/>
        <w:t>af</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940"/>
        <w:t>ag</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941"/>
        <w:t>ah</w:t>
      </w:r>
      <w:r>
        <w:rPr/>
        <w:t xml:space="preserve"> Und wieder versammelte </w:t>
      </w:r>
      <w:r>
        <w:rPr>
          <w:rStyle w:val="Funotenanker"/>
        </w:rPr>
        <w:footnoteReference w:customMarkFollows="1" w:id="3942"/>
        <w:t>ai</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943"/>
        <w:t>aj</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944"/>
        <w:t>ak</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945"/>
        <w:t>al</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946"/>
        <w:t>am</w:t>
      </w:r>
      <w:r>
        <w:rPr/>
        <w:t xml:space="preserve"> verbreiteten </w:t>
      </w:r>
      <w:r>
        <w:rPr>
          <w:color w:val="808080"/>
        </w:rPr>
        <w:t>(meinten, sagten)</w:t>
      </w:r>
      <w:r>
        <w:rPr/>
        <w:t xml:space="preserve"> </w:t>
      </w:r>
      <w:r>
        <w:rPr>
          <w:rStyle w:val="Funotenanker"/>
        </w:rPr>
        <w:footnoteReference w:customMarkFollows="1" w:id="3947"/>
        <w:t>an</w:t>
      </w:r>
      <w:r>
        <w:rPr/>
        <w:t xml:space="preserve"> </w:t>
      </w:r>
      <w:r>
        <w:rPr>
          <w:strike/>
          <w:color w:val="808080"/>
        </w:rPr>
        <w:t>{dass}</w:t>
      </w:r>
      <w:r>
        <w:rPr/>
        <w:t xml:space="preserve">: „Er ist von Beelzebul besessen!“ </w:t>
      </w:r>
      <w:r>
        <w:rPr>
          <w:rStyle w:val="Funotenanker"/>
        </w:rPr>
        <w:footnoteReference w:customMarkFollows="1" w:id="3948"/>
        <w:t>ao</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949"/>
        <w:t>ap</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950"/>
        <w:t>aq</w:t>
      </w:r>
      <w:r>
        <w:rPr/>
        <w:t xml:space="preserve"> zu ihnen: „Wie kann Satan </w:t>
      </w:r>
      <w:r>
        <w:rPr>
          <w:rStyle w:val="Funotenanker"/>
        </w:rPr>
        <w:footnoteReference w:customMarkFollows="1" w:id="3951"/>
        <w:t>ar</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952"/>
        <w:t>as</w:t>
      </w:r>
      <w:r>
        <w:rPr/>
        <w:t xml:space="preserve"> ein Königreich </w:t>
      </w:r>
      <w:r>
        <w:rPr>
          <w:color w:val="808080"/>
        </w:rPr>
        <w:t>(Reich, Staat)</w:t>
      </w:r>
      <w:r>
        <w:rPr/>
        <w:t xml:space="preserve"> sich mit sich selbst verfeindet </w:t>
      </w:r>
      <w:r>
        <w:rPr>
          <w:rStyle w:val="Funotenanker"/>
        </w:rPr>
        <w:footnoteReference w:customMarkFollows="1" w:id="3953"/>
        <w:t>at</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954"/>
        <w:t>au</w:t>
      </w:r>
      <w:r>
        <w:rPr/>
        <w:t xml:space="preserve">.{{field-off:bible}} </w:t>
        <w:br/>
        <w:t>[[@BibleTOBIBLE:Mk 3:27]]</w:t>
      </w:r>
      <w:r>
        <w:rPr>
          <w:b/>
        </w:rPr>
        <w:t>27</w:t>
      </w:r>
      <w:r>
        <w:rPr/>
        <w:t xml:space="preserve"> {{field-on:bible}}Doch niemand kann </w:t>
      </w:r>
      <w:r>
        <w:rPr>
          <w:rStyle w:val="Funotenanker"/>
        </w:rPr>
        <w:footnoteReference w:customMarkFollows="1" w:id="3955"/>
        <w:t>av</w:t>
      </w:r>
      <w:r>
        <w:rPr/>
        <w:t xml:space="preserve"> in das Haus des Starken eindringen </w:t>
      </w:r>
      <w:r>
        <w:rPr>
          <w:color w:val="808080"/>
        </w:rPr>
        <w:t>(einbrechen, hineingehen)</w:t>
      </w:r>
      <w:r>
        <w:rPr/>
        <w:t xml:space="preserve"> und </w:t>
      </w:r>
      <w:r>
        <w:rPr>
          <w:rStyle w:val="Funotenanker"/>
        </w:rPr>
        <w:footnoteReference w:customMarkFollows="1" w:id="3956"/>
        <w:t>aw</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957"/>
        <w:t>ax</w:t>
      </w:r>
      <w:r>
        <w:rPr/>
        <w:t xml:space="preserve"> dann erst kann er sein Haus ausplündern </w:t>
      </w:r>
      <w:r>
        <w:rPr>
          <w:rStyle w:val="Funotenanker"/>
        </w:rPr>
        <w:footnoteReference w:customMarkFollows="1" w:id="3958"/>
        <w:t>ay</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959"/>
        <w:t>az</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960"/>
        <w:t>ba</w:t>
      </w:r>
      <w:r>
        <w:rPr/>
        <w:t xml:space="preserve"> kann </w:t>
      </w:r>
      <w:r>
        <w:rPr>
          <w:color w:val="808080"/>
        </w:rPr>
        <w:t>(wird)</w:t>
      </w:r>
      <w:r>
        <w:rPr/>
        <w:t xml:space="preserve"> alles vergeben werden </w:t>
      </w:r>
      <w:r>
        <w:rPr>
          <w:rStyle w:val="Funotenanker"/>
        </w:rPr>
        <w:footnoteReference w:customMarkFollows="1" w:id="3961"/>
        <w:t>bb</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962"/>
        <w:t>bc</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963"/>
        <w:t>bd</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964"/>
        <w:t>be</w:t>
      </w:r>
      <w:r>
        <w:rPr/>
        <w:t xml:space="preserve"> seine Mutter und seine Geschwister </w:t>
      </w:r>
      <w:r>
        <w:rPr>
          <w:color w:val="808080"/>
        </w:rPr>
        <w:t>(Brüder)</w:t>
      </w:r>
      <w:r>
        <w:rPr/>
        <w:t xml:space="preserve"> </w:t>
      </w:r>
      <w:r>
        <w:rPr>
          <w:rStyle w:val="Funotenanker"/>
        </w:rPr>
        <w:footnoteReference w:customMarkFollows="1" w:id="3965"/>
        <w:t>bf</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966"/>
        <w:t>bg</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967"/>
        <w:t>bh</w:t>
      </w:r>
      <w:r>
        <w:rPr/>
        <w:t xml:space="preserve"> um </w:t>
      </w:r>
      <w:r>
        <w:rPr>
          <w:color w:val="808080"/>
        </w:rPr>
        <w:t>(wobei sie)</w:t>
      </w:r>
      <w:r>
        <w:rPr/>
        <w:t xml:space="preserve"> ihn zu rufen. </w:t>
      </w:r>
      <w:r>
        <w:rPr>
          <w:rStyle w:val="Funotenanker"/>
        </w:rPr>
        <w:footnoteReference w:customMarkFollows="1" w:id="3968"/>
        <w:t>bi</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969"/>
        <w:t>bj</w:t>
      </w:r>
      <w:r>
        <w:rPr/>
        <w:t xml:space="preserve"> zu ihm: „Da draußen </w:t>
      </w:r>
      <w:r>
        <w:rPr>
          <w:rStyle w:val="Funotenanker"/>
        </w:rPr>
        <w:footnoteReference w:customMarkFollows="1" w:id="3970"/>
        <w:t>bk</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971"/>
        <w:t>bl</w:t>
      </w:r>
      <w:r>
        <w:rPr/>
        <w:t xml:space="preserve">: „Wer sind </w:t>
      </w:r>
      <w:r>
        <w:rPr>
          <w:rStyle w:val="Funotenanker"/>
        </w:rPr>
        <w:footnoteReference w:customMarkFollows="1" w:id="3972"/>
        <w:t>bm</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973"/>
        <w:t>bn</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974"/>
        <w:t>bo</w:t>
      </w:r>
      <w:r>
        <w:rPr/>
        <w:t xml:space="preserve"> um ihn saßen, </w:t>
      </w:r>
      <w:r>
        <w:rPr>
          <w:rStyle w:val="Funotenanker"/>
        </w:rPr>
        <w:footnoteReference w:customMarkFollows="1" w:id="3975"/>
        <w:t>bp</w:t>
      </w:r>
      <w:r>
        <w:rPr/>
        <w:t xml:space="preserve"> sagte er: „Siehe, </w:t>
      </w:r>
      <w:r>
        <w:rPr>
          <w:color w:val="808080"/>
        </w:rPr>
        <w:t>(Das hier sind, Ihr hier seid)</w:t>
      </w:r>
      <w:r>
        <w:rPr/>
        <w:t xml:space="preserve"> </w:t>
      </w:r>
      <w:r>
        <w:rPr>
          <w:rStyle w:val="Funotenanker"/>
        </w:rPr>
        <w:footnoteReference w:customMarkFollows="1" w:id="3976"/>
        <w:t>bq</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1-9 Das Gleichnis beschreibt mit einem komplexen Bild, dass in der Gegenwart die Königsherrschaft Gottes zahlreichen Mißerfolgen und Widerständen begegnet und zugleich drückt es die Zuversicht Jesu auf das kommende Heil aus. 10-12 Durch dieses Jeuswort betont Markus das Herausgehobensein der Nachfolger Jesu, vor allem in Bezug auf das Verstehen der neuen Lehre. 13-20 Der Hörer der Gleichnisdeutung soll dazu angereget werden, seine eigene Rolle als Glaubender zu überprüfen. 21-25 Diese Verse fügen inhatlich die beiden vorhergehenden Abschnitte zusammen: Das Geheimnis wird gelüftet werden und die Hörenden unter das Gericht gestellt. 26-29 Mit diesem Gleichnis macht Markus deutlich, dass die das von Jesus zugesagte Heil nicht erst in Endzeit zu erwarten ist, sondern in der Gegenwart zu erwarten ist. 30-32 Das Gleichnis illustriert erneut die Sicherheit, mit der das Reich Gottes kommt, auch wenn dessen Anfang zunächst unbedeutend wirkt. 33-34 Markus macht in diesen Versen deutlich, dass der Zeitpunkt der eigentlichen Offenbarung noch aussteht, allein die Nachfolger Jesu haben bereits mehr erfahren. Die aufgeschrieben Gleichnisse Jesu stellen lediglich eine vorläufige Erklärung dar. 35-41 Mit der Situation der Jünger im Boot formuliert Markus ein facettenreiches Bild für den Glauben heraus. Einige dieser Themen, die Markus impliziert sind: Glaube muss gelernt werden, Glaube in Notsituationen ist schwer, auf Jesus kann man sich verlassen. </w:t>
        <w:br/>
        <w:br/>
        <w:t>[[@BibleTOBIBLE:Mk 4:1]]</w:t>
      </w:r>
      <w:r>
        <w:rPr>
          <w:b/>
        </w:rPr>
        <w:t>1</w:t>
      </w:r>
      <w:r>
        <w:rPr/>
        <w:t xml:space="preserve"> {{field-on:bible}} </w:t>
      </w:r>
      <w:r>
        <w:rPr>
          <w:rStyle w:val="Funotenanker"/>
        </w:rPr>
        <w:footnoteReference w:customMarkFollows="1" w:id="3977"/>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978"/>
        <w:t>a</w:t>
      </w:r>
      <w:r>
        <w:rPr/>
        <w:t xml:space="preserve"> zu lehren. Und eine so gewaltige Menschenmenge versammelte sich bei ihm, dass er in ein Boot stieg und </w:t>
      </w:r>
      <w:r>
        <w:rPr>
          <w:rStyle w:val="Funotenanker"/>
        </w:rPr>
        <w:footnoteReference w:customMarkFollows="1" w:id="3979"/>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980"/>
        <w:t>c</w:t>
      </w:r>
      <w:r>
        <w:rPr/>
        <w:t xml:space="preserve"> , und die ganze Menschenmenge blieb </w:t>
      </w:r>
      <w:r>
        <w:rPr>
          <w:color w:val="808080"/>
        </w:rPr>
        <w:t>(war)</w:t>
      </w:r>
      <w:r>
        <w:rPr/>
        <w:t xml:space="preserve"> </w:t>
      </w:r>
      <w:r>
        <w:rPr>
          <w:rStyle w:val="Funotenanker"/>
        </w:rPr>
        <w:footnoteReference w:customMarkFollows="1" w:id="3981"/>
        <w:t>d</w:t>
      </w:r>
      <w:r>
        <w:rPr/>
        <w:t xml:space="preserve"> am Ufer </w:t>
      </w:r>
      <w:r>
        <w:rPr>
          <w:rStyle w:val="Funotenanker"/>
        </w:rPr>
        <w:footnoteReference w:customMarkFollows="1" w:id="3982"/>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983"/>
        <w:t>f</w:t>
      </w:r>
      <w:r>
        <w:rPr/>
        <w:t xml:space="preserve"> zu ihnen, während er lehrte </w:t>
      </w:r>
      <w:r>
        <w:rPr>
          <w:color w:val="808080"/>
        </w:rPr>
        <w:t>(bei/in/während seiner Lehre)</w:t>
      </w:r>
      <w:r>
        <w:rPr/>
        <w:t xml:space="preserve"> </w:t>
      </w:r>
      <w:r>
        <w:rPr>
          <w:rStyle w:val="Funotenanker"/>
        </w:rPr>
        <w:footnoteReference w:customMarkFollows="1" w:id="3984"/>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985"/>
        <w:t>h</w:t>
      </w:r>
      <w:r>
        <w:rPr/>
        <w:t xml:space="preserve"> an den Wegesrand </w:t>
      </w:r>
      <w:r>
        <w:rPr>
          <w:color w:val="808080"/>
        </w:rPr>
        <w:t>(auf den Weg)</w:t>
      </w:r>
      <w:r>
        <w:rPr/>
        <w:t xml:space="preserve"> </w:t>
      </w:r>
      <w:r>
        <w:rPr>
          <w:rStyle w:val="Funotenanker"/>
        </w:rPr>
        <w:footnoteReference w:customMarkFollows="1" w:id="3986"/>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987"/>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988"/>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989"/>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990"/>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991"/>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992"/>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993"/>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994"/>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995"/>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996"/>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997"/>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998"/>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999"/>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4000"/>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4001"/>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4002"/>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4003"/>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4004"/>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4005"/>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4006"/>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4007"/>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4008"/>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4009"/>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4010"/>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4011"/>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4012"/>
        <w:t>ai</w:t>
      </w:r>
      <w:r>
        <w:rPr/>
        <w:t xml:space="preserve"> aller Samenkörner ist </w:t>
      </w:r>
      <w:r>
        <w:rPr>
          <w:rStyle w:val="Funotenanker"/>
        </w:rPr>
        <w:footnoteReference w:customMarkFollows="1" w:id="4013"/>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4014"/>
        <w:t>ak</w:t>
      </w:r>
      <w:r>
        <w:rPr/>
        <w:t xml:space="preserve"> aller Gartenpflanzen, und es treibt so große Zweige, dass in seinem Schatten </w:t>
      </w:r>
      <w:r>
        <w:rPr>
          <w:rStyle w:val="Funotenanker"/>
        </w:rPr>
        <w:footnoteReference w:customMarkFollows="1" w:id="4015"/>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4016"/>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4017"/>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4018"/>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4019"/>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4020"/>
        <w:t>aq</w:t>
      </w:r>
      <w:r>
        <w:rPr/>
        <w:t xml:space="preserve"> „Fahren wir doch </w:t>
      </w:r>
      <w:r>
        <w:rPr>
          <w:color w:val="808080"/>
        </w:rPr>
        <w:t>(lasst uns)</w:t>
      </w:r>
      <w:r>
        <w:rPr/>
        <w:t xml:space="preserve"> ans andere Ufer.“ </w:t>
      </w:r>
      <w:r>
        <w:rPr>
          <w:rStyle w:val="Funotenanker"/>
        </w:rPr>
        <w:footnoteReference w:customMarkFollows="1" w:id="4021"/>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4022"/>
        <w:t>as</w:t>
      </w:r>
      <w:r>
        <w:rPr/>
        <w:t xml:space="preserve"> nahmen sie ihn im Boot mit </w:t>
      </w:r>
      <w:r>
        <w:rPr>
          <w:color w:val="808080"/>
        </w:rPr>
        <w:t>(zu sich ins Boot)</w:t>
      </w:r>
      <w:r>
        <w:rPr/>
        <w:t xml:space="preserve">, wie er war, </w:t>
      </w:r>
      <w:r>
        <w:rPr>
          <w:rStyle w:val="Funotenanker"/>
        </w:rPr>
        <w:footnoteReference w:customMarkFollows="1" w:id="4023"/>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4024"/>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4025"/>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4026"/>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4027"/>
        <w:t>ax</w:t>
      </w:r>
      <w:r>
        <w:rPr/>
        <w:t xml:space="preserve"> unterwarf </w:t>
      </w:r>
      <w:r>
        <w:rPr>
          <w:color w:val="808080"/>
        </w:rPr>
        <w:t>(fuhr an)</w:t>
      </w:r>
      <w:r>
        <w:rPr/>
        <w:t xml:space="preserve"> </w:t>
      </w:r>
      <w:r>
        <w:rPr>
          <w:rStyle w:val="Funotenanker"/>
        </w:rPr>
        <w:footnoteReference w:customMarkFollows="1" w:id="4028"/>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4029"/>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4030"/>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4031"/>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4032"/>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4033"/>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4034"/>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4035"/>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4036"/>
        <w:t>e</w:t>
      </w:r>
      <w:r>
        <w:rPr/>
        <w:t xml:space="preserve"> und die Fußfesseln zerrieben </w:t>
      </w:r>
      <w:r>
        <w:rPr>
          <w:color w:val="808080"/>
        </w:rPr>
        <w:t>(zerschmettert)</w:t>
      </w:r>
      <w:r>
        <w:rPr/>
        <w:t xml:space="preserve">, </w:t>
      </w:r>
      <w:r>
        <w:rPr>
          <w:rStyle w:val="Funotenanker"/>
        </w:rPr>
        <w:footnoteReference w:customMarkFollows="1" w:id="4037"/>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4038"/>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4039"/>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4040"/>
        <w:t>i</w:t>
      </w:r>
      <w:r>
        <w:rPr/>
        <w:t xml:space="preserve"> kam er angerannt und warf sich vor ihm nieder </w:t>
      </w:r>
      <w:r>
        <w:rPr>
          <w:rStyle w:val="Funotenanker"/>
        </w:rPr>
        <w:footnoteReference w:customMarkFollows="1" w:id="4041"/>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4042"/>
        <w:t>k</w:t>
      </w:r>
      <w:r>
        <w:rPr/>
        <w:t xml:space="preserve"> sagte: „Was willst du von mir </w:t>
      </w:r>
      <w:r>
        <w:rPr>
          <w:rStyle w:val="Funotenanker"/>
        </w:rPr>
        <w:footnoteReference w:customMarkFollows="1" w:id="4043"/>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4044"/>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4045"/>
        <w:t>n</w:t>
      </w:r>
      <w:r>
        <w:rPr/>
        <w:t xml:space="preserve">, </w:t>
      </w:r>
      <w:r>
        <w:rPr>
          <w:rStyle w:val="Funotenanker"/>
        </w:rPr>
        <w:footnoteReference w:customMarkFollows="1" w:id="4046"/>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4047"/>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4048"/>
        <w:t>q</w:t>
      </w:r>
      <w:r>
        <w:rPr/>
        <w:t xml:space="preserve"> gerade </w:t>
      </w:r>
      <w:r>
        <w:rPr>
          <w:rStyle w:val="Funotenanker"/>
        </w:rPr>
        <w:footnoteReference w:customMarkFollows="1" w:id="4049"/>
        <w:t>r</w:t>
      </w:r>
      <w:r>
        <w:rPr/>
        <w:t xml:space="preserve"> eine große Schweineherde </w:t>
      </w:r>
      <w:r>
        <w:rPr>
          <w:rStyle w:val="Funotenanker"/>
        </w:rPr>
        <w:footnoteReference w:customMarkFollows="1" w:id="4050"/>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4051"/>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4052"/>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4053"/>
        <w:t>v</w:t>
      </w:r>
      <w:r>
        <w:rPr/>
        <w:t xml:space="preserve">.{{field-off:bible}} </w:t>
        <w:br/>
        <w:t>[[@BibleTOBIBLE:Mk 5:14]]</w:t>
      </w:r>
      <w:r>
        <w:rPr>
          <w:b/>
        </w:rPr>
        <w:t>14</w:t>
      </w:r>
      <w:r>
        <w:rPr/>
        <w:t xml:space="preserve"> {{field-on:bible}}Und ihre Hirten </w:t>
      </w:r>
      <w:r>
        <w:rPr>
          <w:rStyle w:val="Funotenanker"/>
        </w:rPr>
        <w:footnoteReference w:customMarkFollows="1" w:id="4054"/>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4055"/>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4056"/>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4057"/>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4058"/>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4059"/>
        <w:t>ab</w:t>
      </w:r>
      <w:r>
        <w:rPr/>
        <w:t xml:space="preserve"> bat </w:t>
      </w:r>
      <w:r>
        <w:rPr>
          <w:color w:val="808080"/>
        </w:rPr>
        <w:t>(flehte)</w:t>
      </w:r>
      <w:r>
        <w:rPr/>
        <w:t xml:space="preserve"> ihn der, der besessen gewesen war, </w:t>
      </w:r>
      <w:r>
        <w:rPr>
          <w:rStyle w:val="Funotenanker"/>
        </w:rPr>
        <w:footnoteReference w:customMarkFollows="1" w:id="4060"/>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4061"/>
        <w:t>ad</w:t>
      </w:r>
      <w:r>
        <w:rPr/>
        <w:t xml:space="preserve"> zu erzählen </w:t>
      </w:r>
      <w:r>
        <w:rPr>
          <w:color w:val="808080"/>
        </w:rPr>
        <w:t>(predigen, verkündigen)</w:t>
      </w:r>
      <w:r>
        <w:rPr/>
        <w:t xml:space="preserve">, was Jesus ihm getan hatte, </w:t>
      </w:r>
      <w:r>
        <w:rPr>
          <w:rStyle w:val="Funotenanker"/>
        </w:rPr>
        <w:footnoteReference w:customMarkFollows="1" w:id="4062"/>
        <w:t>ae</w:t>
      </w:r>
      <w:r>
        <w:rPr/>
        <w:t xml:space="preserve"> und alle staunten </w:t>
      </w:r>
      <w:r>
        <w:rPr>
          <w:color w:val="808080"/>
        </w:rPr>
        <w:t>(wunderten sich)</w:t>
      </w:r>
      <w:r>
        <w:rPr/>
        <w:t xml:space="preserve"> </w:t>
      </w:r>
      <w:r>
        <w:rPr>
          <w:rStyle w:val="Funotenanker"/>
        </w:rPr>
        <w:footnoteReference w:customMarkFollows="1" w:id="4063"/>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4064"/>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4065"/>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4066"/>
        <w:t>ai</w:t>
      </w:r>
      <w:r>
        <w:rPr/>
        <w:t xml:space="preserve"> namens Jairus </w:t>
      </w:r>
      <w:r>
        <w:rPr>
          <w:rStyle w:val="Funotenanker"/>
        </w:rPr>
        <w:footnoteReference w:customMarkFollows="1" w:id="4067"/>
        <w:t>aj</w:t>
      </w:r>
      <w:r>
        <w:rPr/>
        <w:t xml:space="preserve"> kam, und als er ihn sah, </w:t>
      </w:r>
      <w:r>
        <w:rPr>
          <w:rStyle w:val="Funotenanker"/>
        </w:rPr>
        <w:footnoteReference w:customMarkFollows="1" w:id="4068"/>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4069"/>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4070"/>
        <w:t>am</w:t>
      </w:r>
      <w:r>
        <w:rPr/>
        <w:t xml:space="preserve"> – komm doch und </w:t>
      </w:r>
      <w:r>
        <w:rPr>
          <w:rStyle w:val="Funotenanker"/>
        </w:rPr>
        <w:footnoteReference w:customMarkFollows="1" w:id="4071"/>
        <w:t>an</w:t>
      </w:r>
      <w:r>
        <w:rPr/>
        <w:t xml:space="preserve"> lege ihr deine Hände auf, </w:t>
      </w:r>
      <w:r>
        <w:rPr>
          <w:rStyle w:val="Funotenanker"/>
        </w:rPr>
        <w:footnoteReference w:customMarkFollows="1" w:id="4072"/>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4073"/>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4074"/>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4075"/>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4076"/>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4077"/>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4078"/>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4079"/>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4080"/>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4081"/>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4082"/>
        <w:t>ay</w:t>
      </w:r>
      <w:r>
        <w:rPr/>
        <w:t xml:space="preserve"> drehte sich in der Menschenmenge um und fragte </w:t>
      </w:r>
      <w:r>
        <w:rPr>
          <w:color w:val="808080"/>
        </w:rPr>
        <w:t>(sagte, wiederholte)</w:t>
      </w:r>
      <w:r>
        <w:rPr/>
        <w:t xml:space="preserve"> </w:t>
      </w:r>
      <w:r>
        <w:rPr>
          <w:rStyle w:val="Funotenanker"/>
        </w:rPr>
        <w:footnoteReference w:customMarkFollows="1" w:id="4083"/>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4084"/>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4085"/>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4086"/>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4087"/>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4088"/>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4089"/>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4090"/>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4091"/>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4092"/>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4093"/>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4094"/>
        <w:t>bk</w:t>
      </w:r>
      <w:r>
        <w:rPr/>
        <w:t xml:space="preserve"> und sagte zu ihr: „Talita kum!“ </w:t>
      </w:r>
      <w:r>
        <w:rPr>
          <w:rStyle w:val="Funotenanker"/>
        </w:rPr>
        <w:footnoteReference w:customMarkFollows="1" w:id="4095"/>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4096"/>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4097"/>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4098"/>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4099"/>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4100"/>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4101"/>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4102"/>
        <w:t>b</w:t>
      </w:r>
      <w:r>
        <w:rPr/>
        <w:t xml:space="preserve"> begann er, in der Synagoge zu lehren </w:t>
      </w:r>
      <w:r>
        <w:rPr>
          <w:color w:val="808080"/>
        </w:rPr>
        <w:t>(lehrte er)</w:t>
      </w:r>
      <w:r>
        <w:rPr/>
        <w:t xml:space="preserve"> </w:t>
      </w:r>
      <w:r>
        <w:rPr>
          <w:rStyle w:val="Funotenanker"/>
        </w:rPr>
        <w:footnoteReference w:customMarkFollows="1" w:id="4103"/>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4104"/>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4105"/>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4106"/>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4107"/>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4108"/>
        <w:t>h</w:t>
      </w:r>
      <w:r>
        <w:rPr/>
        <w:t xml:space="preserve"> aus, </w:t>
      </w:r>
      <w:r>
        <w:rPr>
          <w:rStyle w:val="Funotenanker"/>
        </w:rPr>
        <w:footnoteReference w:customMarkFollows="1" w:id="4109"/>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4110"/>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4111"/>
        <w:t>k</w:t>
      </w:r>
      <w:r>
        <w:rPr/>
        <w:t xml:space="preserve">, „und zieht keine zwei Unterhemden an!“ </w:t>
      </w:r>
      <w:r>
        <w:rPr>
          <w:rStyle w:val="Funotenanker"/>
        </w:rPr>
        <w:footnoteReference w:customMarkFollows="1" w:id="4112"/>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4113"/>
        <w:t>m</w:t>
      </w:r>
      <w:r>
        <w:rPr/>
        <w:t xml:space="preserve"> dann schüttelt beim Aufbruch </w:t>
      </w:r>
      <w:r>
        <w:rPr>
          <w:color w:val="808080"/>
        </w:rPr>
        <w:t>(geht von dort weg und)</w:t>
      </w:r>
      <w:r>
        <w:rPr/>
        <w:t xml:space="preserve"> </w:t>
      </w:r>
      <w:r>
        <w:rPr>
          <w:rStyle w:val="Funotenanker"/>
        </w:rPr>
        <w:footnoteReference w:customMarkFollows="1" w:id="4114"/>
        <w:t>n</w:t>
      </w:r>
      <w:r>
        <w:rPr/>
        <w:t xml:space="preserve"> den Staub von euren Schuhsohlen </w:t>
      </w:r>
      <w:r>
        <w:rPr>
          <w:rStyle w:val="Funotenanker"/>
        </w:rPr>
        <w:footnoteReference w:customMarkFollows="1" w:id="4115"/>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4116"/>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4117"/>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4118"/>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4119"/>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4120"/>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4121"/>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4122"/>
        <w:t>v</w:t>
      </w:r>
      <w:r>
        <w:rPr/>
        <w:t xml:space="preserve"> glaubte </w:t>
      </w:r>
      <w:r>
        <w:rPr>
          <w:color w:val="808080"/>
        </w:rPr>
        <w:t>(sagte, rief)</w:t>
      </w:r>
      <w:r>
        <w:rPr/>
        <w:t xml:space="preserve"> er </w:t>
      </w:r>
      <w:r>
        <w:rPr>
          <w:rStyle w:val="Funotenanker"/>
        </w:rPr>
        <w:footnoteReference w:customMarkFollows="1" w:id="4123"/>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4124"/>
        <w:t>x</w:t>
      </w:r>
      <w:r>
        <w:rPr/>
        <w:t xml:space="preserve"> lassen </w:t>
      </w:r>
      <w:r>
        <w:rPr>
          <w:rStyle w:val="Funotenanker"/>
        </w:rPr>
        <w:footnoteReference w:customMarkFollows="1" w:id="4125"/>
        <w:t>y</w:t>
      </w:r>
      <w:r>
        <w:rPr/>
        <w:t xml:space="preserve">. </w:t>
      </w:r>
      <w:r>
        <w:rPr>
          <w:b/>
          <w:color w:val="808080"/>
        </w:rPr>
        <w:t>[</w:t>
      </w:r>
      <w:r>
        <w:rPr/>
        <w:t>Das tat er</w:t>
      </w:r>
      <w:r>
        <w:rPr>
          <w:b/>
          <w:color w:val="808080"/>
        </w:rPr>
        <w:t>]</w:t>
      </w:r>
      <w:r>
        <w:rPr/>
        <w:t xml:space="preserve"> </w:t>
      </w:r>
      <w:r>
        <w:rPr>
          <w:rStyle w:val="Funotenanker"/>
        </w:rPr>
        <w:footnoteReference w:customMarkFollows="1" w:id="4126"/>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4127"/>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4128"/>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4129"/>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4130"/>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4131"/>
        <w:t>ae</w:t>
      </w:r>
      <w:r>
        <w:rPr/>
        <w:t xml:space="preserve">, und wenn er ihm zuhörte </w:t>
      </w:r>
      <w:r>
        <w:rPr>
          <w:color w:val="808080"/>
        </w:rPr>
        <w:t>(zugehört hatte)</w:t>
      </w:r>
      <w:r>
        <w:rPr/>
        <w:t xml:space="preserve">, </w:t>
      </w:r>
      <w:r>
        <w:rPr>
          <w:rStyle w:val="Funotenanker"/>
        </w:rPr>
        <w:footnoteReference w:customMarkFollows="1" w:id="4132"/>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4133"/>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4134"/>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4135"/>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4136"/>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4137"/>
        <w:t>ak</w:t>
      </w:r>
      <w:r>
        <w:rPr/>
        <w:t xml:space="preserve"> hereinkam und tanzte, </w:t>
      </w:r>
      <w:r>
        <w:rPr>
          <w:rStyle w:val="Funotenanker"/>
        </w:rPr>
        <w:footnoteReference w:customMarkFollows="1" w:id="4138"/>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4139"/>
        <w:t>am</w:t>
      </w:r>
      <w:r>
        <w:rPr/>
        <w:t xml:space="preserve">. Der König sagte zu dem Mädchen </w:t>
      </w:r>
      <w:r>
        <w:rPr>
          <w:rStyle w:val="Funotenanker"/>
        </w:rPr>
        <w:footnoteReference w:customMarkFollows="1" w:id="4140"/>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4141"/>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142"/>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143"/>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144"/>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145"/>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146"/>
        <w:t>at</w:t>
      </w:r>
      <w:r>
        <w:rPr/>
        <w:t xml:space="preserve"> wollte er sie nicht abweisen.{{field-off:bible}} </w:t>
        <w:br/>
        <w:t>[[@BibleTOBIBLE:Mk 6:27]]</w:t>
      </w:r>
      <w:r>
        <w:rPr>
          <w:b/>
        </w:rPr>
        <w:t>27</w:t>
      </w:r>
      <w:r>
        <w:rPr/>
        <w:t xml:space="preserve"> {{field-on:bible}}Also </w:t>
      </w:r>
      <w:r>
        <w:rPr>
          <w:rStyle w:val="Funotenanker"/>
        </w:rPr>
        <w:footnoteReference w:customMarkFollows="1" w:id="4147"/>
        <w:t>au</w:t>
      </w:r>
      <w:r>
        <w:rPr/>
        <w:t xml:space="preserve"> schickte der König einen Henker und </w:t>
      </w:r>
      <w:r>
        <w:rPr>
          <w:rStyle w:val="Funotenanker"/>
        </w:rPr>
        <w:footnoteReference w:customMarkFollows="1" w:id="4148"/>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149"/>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150"/>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151"/>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152"/>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153"/>
        <w:t>ba</w:t>
      </w:r>
      <w:r>
        <w:rPr/>
        <w:t xml:space="preserve"> an.{{field-off:bible}} </w:t>
        <w:br/>
        <w:t>[[@BibleTOBIBLE:Mk 6:34]]</w:t>
      </w:r>
      <w:r>
        <w:rPr>
          <w:b/>
        </w:rPr>
        <w:t>34</w:t>
      </w:r>
      <w:r>
        <w:rPr/>
        <w:t xml:space="preserve"> {{field-on:bible}}Und als er ausstieg, </w:t>
      </w:r>
      <w:r>
        <w:rPr>
          <w:rStyle w:val="Funotenanker"/>
        </w:rPr>
        <w:footnoteReference w:customMarkFollows="1" w:id="4154"/>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155"/>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156"/>
        <w:t>bd</w:t>
      </w:r>
      <w:r>
        <w:rPr/>
        <w:t xml:space="preserve"> kamen seine Jünger zu ihm und </w:t>
      </w:r>
      <w:r>
        <w:rPr>
          <w:rStyle w:val="Funotenanker"/>
        </w:rPr>
        <w:footnoteReference w:customMarkFollows="1" w:id="4157"/>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158"/>
        <w:t>bf</w:t>
      </w:r>
      <w:r>
        <w:rPr/>
        <w:t xml:space="preserve"> und Dörfern gehen und </w:t>
      </w:r>
      <w:r>
        <w:rPr>
          <w:rStyle w:val="Funotenanker"/>
        </w:rPr>
        <w:footnoteReference w:customMarkFollows="1" w:id="4159"/>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160"/>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161"/>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162"/>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163"/>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164"/>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165"/>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166"/>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167"/>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168"/>
        <w:t>bp</w:t>
      </w:r>
      <w:r>
        <w:rPr/>
        <w:t xml:space="preserve"> auf, auch von den Fischen </w:t>
      </w:r>
      <w:r>
        <w:rPr>
          <w:rStyle w:val="Funotenanker"/>
        </w:rPr>
        <w:footnoteReference w:customMarkFollows="1" w:id="4169"/>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170"/>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171"/>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172"/>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173"/>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174"/>
        <w:t>bv</w:t>
      </w:r>
      <w:r>
        <w:rPr/>
        <w:t xml:space="preserve"> in ihre Richtung, indem er auf dem Meer lief. </w:t>
      </w:r>
      <w:r>
        <w:rPr>
          <w:rStyle w:val="Funotenanker"/>
        </w:rPr>
        <w:footnoteReference w:customMarkFollows="1" w:id="4175"/>
        <w:t>bw</w:t>
      </w:r>
      <w:r>
        <w:rPr/>
        <w:t xml:space="preserve"> Dabei </w:t>
      </w:r>
      <w:r>
        <w:rPr>
          <w:color w:val="808080"/>
        </w:rPr>
        <w:t>(und)</w:t>
      </w:r>
      <w:r>
        <w:rPr/>
        <w:t xml:space="preserve"> wollte </w:t>
      </w:r>
      <w:r>
        <w:rPr>
          <w:rStyle w:val="Funotenanker"/>
        </w:rPr>
        <w:footnoteReference w:customMarkFollows="1" w:id="4176"/>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177"/>
        <w:t>by</w:t>
      </w:r>
      <w:r>
        <w:rPr/>
        <w:t xml:space="preserve"> meinten sie, dass es ein Gespenst sei, und schrien auf </w:t>
      </w:r>
      <w:r>
        <w:rPr>
          <w:color w:val="808080"/>
        </w:rPr>
        <w:t>(fingen an zu schreien)</w:t>
      </w:r>
      <w:r>
        <w:rPr/>
        <w:t xml:space="preserve"> </w:t>
      </w:r>
      <w:r>
        <w:rPr>
          <w:rStyle w:val="Funotenanker"/>
        </w:rPr>
        <w:footnoteReference w:customMarkFollows="1" w:id="4178"/>
        <w:t>bz</w:t>
      </w:r>
      <w:r>
        <w:rPr/>
        <w:t xml:space="preserve">.{{field-off:bible}} </w:t>
        <w:br/>
        <w:t>[[@BibleTOBIBLE:Mk 6:50]]</w:t>
      </w:r>
      <w:r>
        <w:rPr>
          <w:b/>
        </w:rPr>
        <w:t>50</w:t>
      </w:r>
      <w:r>
        <w:rPr/>
        <w:t xml:space="preserve"> {{field-on:bible}}Denn alle sahen ihn und erschraken </w:t>
      </w:r>
      <w:r>
        <w:rPr>
          <w:rStyle w:val="Funotenanker"/>
        </w:rPr>
        <w:footnoteReference w:customMarkFollows="1" w:id="4179"/>
        <w:t>ca</w:t>
      </w:r>
      <w:r>
        <w:rPr/>
        <w:t xml:space="preserve">. Doch er begann sofort mit ihnen zu reden </w:t>
      </w:r>
      <w:r>
        <w:rPr>
          <w:rStyle w:val="Funotenanker"/>
        </w:rPr>
        <w:footnoteReference w:customMarkFollows="1" w:id="4180"/>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181"/>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182"/>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183"/>
        <w:t>ce</w:t>
      </w:r>
      <w:r>
        <w:rPr/>
        <w:t xml:space="preserve">, sondern ihr Herz war verstockt </w:t>
      </w:r>
      <w:r>
        <w:rPr>
          <w:color w:val="808080"/>
        </w:rPr>
        <w:t>(verhärtet)</w:t>
      </w:r>
      <w:r>
        <w:rPr/>
        <w:t xml:space="preserve"> </w:t>
      </w:r>
      <w:r>
        <w:rPr>
          <w:rStyle w:val="Funotenanker"/>
        </w:rPr>
        <w:footnoteReference w:customMarkFollows="1" w:id="4184"/>
        <w:t>cf</w:t>
      </w:r>
      <w:r>
        <w:rPr/>
        <w:t xml:space="preserve">.{{field-off:bible}} </w:t>
        <w:br/>
        <w:t>[[@BibleTOBIBLE:Mk 6:53]]</w:t>
      </w:r>
      <w:r>
        <w:rPr>
          <w:b/>
        </w:rPr>
        <w:t>53</w:t>
      </w:r>
      <w:r>
        <w:rPr/>
        <w:t xml:space="preserve"> {{field-on:bible}}Und nachdem sie übergesetzt hatten, </w:t>
      </w:r>
      <w:r>
        <w:rPr>
          <w:rStyle w:val="Funotenanker"/>
        </w:rPr>
        <w:footnoteReference w:customMarkFollows="1" w:id="4185"/>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186"/>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187"/>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188"/>
        <w:t>cj</w:t>
      </w:r>
      <w:r>
        <w:rPr/>
        <w:t xml:space="preserve"> gesamte Gegend, und sie trugen </w:t>
      </w:r>
      <w:r>
        <w:rPr>
          <w:color w:val="808080"/>
        </w:rPr>
        <w:t>(fingen an zu tragen)</w:t>
      </w:r>
      <w:r>
        <w:rPr/>
        <w:t xml:space="preserve"> </w:t>
      </w:r>
      <w:r>
        <w:rPr>
          <w:rStyle w:val="Funotenanker"/>
        </w:rPr>
        <w:footnoteReference w:customMarkFollows="1" w:id="4189"/>
        <w:t>ck</w:t>
      </w:r>
      <w:r>
        <w:rPr/>
        <w:t xml:space="preserve"> diejenigen, denen es schlecht ging </w:t>
      </w:r>
      <w:r>
        <w:rPr>
          <w:color w:val="808080"/>
        </w:rPr>
        <w:t>(die Kranken)</w:t>
      </w:r>
      <w:r>
        <w:rPr/>
        <w:t xml:space="preserve"> </w:t>
      </w:r>
      <w:r>
        <w:rPr>
          <w:rStyle w:val="Funotenanker"/>
        </w:rPr>
        <w:footnoteReference w:customMarkFollows="1" w:id="4190"/>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191"/>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192"/>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193"/>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194"/>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195"/>
        <w:t>c</w:t>
      </w:r>
      <w:r>
        <w:rPr/>
        <w:t xml:space="preserve"> die Brote </w:t>
      </w:r>
      <w:r>
        <w:rPr>
          <w:color w:val="808080"/>
        </w:rPr>
        <w:t>(ihr Essen)</w:t>
      </w:r>
      <w:r>
        <w:rPr/>
        <w:t xml:space="preserve"> aßen </w:t>
      </w:r>
      <w:r>
        <w:rPr>
          <w:rStyle w:val="Funotenanker"/>
        </w:rPr>
        <w:footnoteReference w:customMarkFollows="1" w:id="4196"/>
        <w:t>d</w:t>
      </w:r>
      <w:r>
        <w:rPr/>
        <w:t xml:space="preserve"> – </w:t>
      </w:r>
      <w:r>
        <w:rPr>
          <w:rStyle w:val="Funotenanker"/>
        </w:rPr>
        <w:footnoteReference w:customMarkFollows="1" w:id="4197"/>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198"/>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199"/>
        <w:t>g</w:t>
      </w:r>
      <w:r>
        <w:rPr/>
        <w:t xml:space="preserve"> festzuhalten, </w:t>
      </w:r>
      <w:r>
        <w:rPr>
          <w:rStyle w:val="Funotenanker"/>
        </w:rPr>
        <w:footnoteReference w:customMarkFollows="1" w:id="4200"/>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201"/>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202"/>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203"/>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204"/>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205"/>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206"/>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207"/>
        <w:t>o</w:t>
      </w:r>
      <w:r>
        <w:rPr/>
        <w:t xml:space="preserve"> außer Acht lasst, </w:t>
      </w:r>
      <w:r>
        <w:rPr>
          <w:rStyle w:val="Funotenanker"/>
        </w:rPr>
        <w:footnoteReference w:customMarkFollows="1" w:id="4208"/>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209"/>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210"/>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211"/>
        <w:t>s</w:t>
      </w:r>
      <w:r>
        <w:rPr/>
        <w:t xml:space="preserve">, das heißt »Opfergabe </w:t>
      </w:r>
      <w:r>
        <w:rPr>
          <w:color w:val="808080"/>
        </w:rPr>
        <w:t>(Geschenk)</w:t>
      </w:r>
      <w:r>
        <w:rPr/>
        <w:t>«,</w:t>
      </w:r>
      <w:r>
        <w:rPr>
          <w:rStyle w:val="Funotenanker"/>
        </w:rPr>
        <w:footnoteReference w:customMarkFollows="1" w:id="4212"/>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213"/>
        <w:t>u</w:t>
      </w:r>
      <w:r>
        <w:rPr/>
        <w:t xml:space="preserve"> ihr ihm nicht mehr, etwas </w:t>
      </w:r>
      <w:r>
        <w:rPr>
          <w:rStyle w:val="Funotenanker"/>
        </w:rPr>
        <w:footnoteReference w:customMarkFollows="1" w:id="4214"/>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215"/>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216"/>
        <w:t>x</w:t>
      </w:r>
      <w:r>
        <w:rPr/>
        <w:t xml:space="preserve"> auf </w:t>
      </w:r>
      <w:r>
        <w:rPr>
          <w:rStyle w:val="Funotenanker"/>
        </w:rPr>
        <w:footnoteReference w:customMarkFollows="1" w:id="4217"/>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218"/>
        <w:t>z</w:t>
      </w:r>
      <w:r>
        <w:rPr/>
        <w:t xml:space="preserve"> sprach nun </w:t>
      </w:r>
      <w:r>
        <w:rPr>
          <w:rStyle w:val="Funotenanker"/>
        </w:rPr>
        <w:footnoteReference w:customMarkFollows="1" w:id="4219"/>
        <w:t>aa</w:t>
      </w:r>
      <w:r>
        <w:rPr/>
        <w:t xml:space="preserve"> zu ihnen: „Hört mir alle zu und versteht </w:t>
      </w:r>
      <w:r>
        <w:rPr>
          <w:rStyle w:val="Funotenanker"/>
        </w:rPr>
        <w:footnoteReference w:customMarkFollows="1" w:id="4220"/>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221"/>
        <w:t>ac</w:t>
      </w:r>
      <w:r>
        <w:rPr/>
        <w:t xml:space="preserve"> Es ist vielmehr, was aus dem Menschen herauskommt, das den Menschen verunreinigt </w:t>
      </w:r>
      <w:r>
        <w:rPr>
          <w:rStyle w:val="Funotenanker"/>
        </w:rPr>
        <w:footnoteReference w:customMarkFollows="1" w:id="4222"/>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223"/>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224"/>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225"/>
        <w:t>ag</w:t>
      </w:r>
      <w:r>
        <w:rPr/>
        <w:t xml:space="preserve"> ausgeschieden wird </w:t>
      </w:r>
      <w:r>
        <w:rPr>
          <w:color w:val="808080"/>
        </w:rPr>
        <w:t>(hinausgelangt)</w:t>
      </w:r>
      <w:r>
        <w:rPr/>
        <w:t xml:space="preserve">?“ So erklärte [Jesus] alle Speisen für rein. </w:t>
      </w:r>
      <w:r>
        <w:rPr>
          <w:rStyle w:val="Funotenanker"/>
        </w:rPr>
        <w:footnoteReference w:customMarkFollows="1" w:id="4226"/>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227"/>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228"/>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229"/>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230"/>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231"/>
        <w:t>am</w:t>
      </w:r>
      <w:r>
        <w:rPr/>
        <w:t xml:space="preserve">. Und er begab sich in ein Haus und </w:t>
      </w:r>
      <w:r>
        <w:rPr>
          <w:rStyle w:val="Funotenanker"/>
        </w:rPr>
        <w:footnoteReference w:customMarkFollows="1" w:id="4232"/>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233"/>
        <w:t>ao</w:t>
      </w:r>
      <w:r>
        <w:rPr/>
        <w:t xml:space="preserve">, und </w:t>
      </w:r>
      <w:r>
        <w:rPr>
          <w:rStyle w:val="Funotenanker"/>
        </w:rPr>
        <w:footnoteReference w:customMarkFollows="1" w:id="4234"/>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235"/>
        <w:t>aq</w:t>
      </w:r>
      <w:r>
        <w:rPr/>
        <w:t xml:space="preserve"> – Und sie bat ihn hartnäckig </w:t>
      </w:r>
      <w:r>
        <w:rPr>
          <w:color w:val="808080"/>
        </w:rPr>
        <w:t>(immer wieder)</w:t>
      </w:r>
      <w:r>
        <w:rPr/>
        <w:t xml:space="preserve"> </w:t>
      </w:r>
      <w:r>
        <w:rPr>
          <w:rStyle w:val="Funotenanker"/>
        </w:rPr>
        <w:footnoteReference w:customMarkFollows="1" w:id="4236"/>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237"/>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238"/>
        <w:t>at</w:t>
      </w:r>
      <w:r>
        <w:rPr/>
        <w:t xml:space="preserve">, geh </w:t>
      </w:r>
      <w:r>
        <w:rPr>
          <w:rStyle w:val="Funotenanker"/>
        </w:rPr>
        <w:footnoteReference w:customMarkFollows="1" w:id="4239"/>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240"/>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241"/>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242"/>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243"/>
        <w:t>ay</w:t>
      </w:r>
      <w:r>
        <w:rPr/>
        <w:t xml:space="preserve"> zu ihm und baten </w:t>
      </w:r>
      <w:r>
        <w:rPr>
          <w:color w:val="808080"/>
        </w:rPr>
        <w:t>(forderten auf)</w:t>
      </w:r>
      <w:r>
        <w:rPr/>
        <w:t xml:space="preserve"> ihn, ihm die Hand aufzulegen </w:t>
      </w:r>
      <w:r>
        <w:rPr>
          <w:rStyle w:val="Funotenanker"/>
        </w:rPr>
        <w:footnoteReference w:customMarkFollows="1" w:id="4244"/>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245"/>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246"/>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247"/>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248"/>
        <w:t>bd</w:t>
      </w:r>
      <w:r>
        <w:rPr/>
        <w:t xml:space="preserve"> seiner Zunge löste sich, und er konnte richtig sprechen </w:t>
      </w:r>
      <w:r>
        <w:rPr>
          <w:rStyle w:val="Funotenanker"/>
        </w:rPr>
        <w:footnoteReference w:customMarkFollows="1" w:id="4249"/>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250"/>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251"/>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252"/>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253"/>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254"/>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255"/>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256"/>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257"/>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258"/>
        <w:t>g</w:t>
      </w:r>
      <w:r>
        <w:rPr/>
        <w:t xml:space="preserve"> gelangte </w:t>
      </w:r>
      <w:r>
        <w:rPr>
          <w:color w:val="808080"/>
        </w:rPr>
        <w:t>(kam)</w:t>
      </w:r>
      <w:r>
        <w:rPr/>
        <w:t xml:space="preserve"> in das Gebiet von Dalmanuta </w:t>
      </w:r>
      <w:r>
        <w:rPr>
          <w:rStyle w:val="Funotenanker"/>
        </w:rPr>
        <w:footnoteReference w:customMarkFollows="1" w:id="4259"/>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260"/>
        <w:t>i</w:t>
      </w:r>
      <w:r>
        <w:rPr/>
        <w:t xml:space="preserve"> und begannen mit ihm zu streiten, wobei sie von ihm ein Zeichen vom Himmel verlangten, </w:t>
      </w:r>
      <w:r>
        <w:rPr>
          <w:rStyle w:val="Funotenanker"/>
        </w:rPr>
        <w:footnoteReference w:customMarkFollows="1" w:id="4261"/>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262"/>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263"/>
        <w:t>l</w:t>
      </w:r>
      <w:r>
        <w:rPr/>
        <w:t xml:space="preserve"> auf und </w:t>
      </w:r>
      <w:r>
        <w:rPr>
          <w:rStyle w:val="Funotenanker"/>
        </w:rPr>
        <w:footnoteReference w:customMarkFollows="1" w:id="4264"/>
        <w:t>m</w:t>
      </w:r>
      <w:r>
        <w:rPr/>
        <w:t xml:space="preserve"> sagte: „Wie!? </w:t>
      </w:r>
      <w:r>
        <w:rPr>
          <w:rStyle w:val="Funotenanker"/>
        </w:rPr>
        <w:footnoteReference w:customMarkFollows="1" w:id="4265"/>
        <w:t>n</w:t>
      </w:r>
      <w:r>
        <w:rPr/>
        <w:t xml:space="preserve"> Diese Generation </w:t>
      </w:r>
      <w:r>
        <w:rPr>
          <w:color w:val="808080"/>
        </w:rPr>
        <w:t>(Dieses Pack)</w:t>
      </w:r>
      <w:r>
        <w:rPr/>
        <w:t xml:space="preserve"> </w:t>
      </w:r>
      <w:r>
        <w:rPr>
          <w:rStyle w:val="Funotenanker"/>
        </w:rPr>
        <w:footnoteReference w:customMarkFollows="1" w:id="4266"/>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267"/>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268"/>
        <w:t>q</w:t>
      </w:r>
      <w:r>
        <w:rPr/>
        <w:t xml:space="preserve"> hatten vergessen </w:t>
      </w:r>
      <w:r>
        <w:rPr>
          <w:color w:val="808080"/>
        </w:rPr>
        <w:t>(vergaßen)</w:t>
      </w:r>
      <w:r>
        <w:rPr/>
        <w:t xml:space="preserve">, </w:t>
      </w:r>
      <w:r>
        <w:rPr>
          <w:rStyle w:val="Funotenanker"/>
        </w:rPr>
        <w:footnoteReference w:customMarkFollows="1" w:id="4269"/>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270"/>
        <w:t>s</w:t>
      </w:r>
      <w:r>
        <w:rPr/>
        <w:t xml:space="preserve"> „Passt auf </w:t>
      </w:r>
      <w:r>
        <w:rPr>
          <w:color w:val="808080"/>
        </w:rPr>
        <w:t>(Seht zu)</w:t>
      </w:r>
      <w:r>
        <w:rPr/>
        <w:t xml:space="preserve">, hütet euch vor dem Sauerteig </w:t>
      </w:r>
      <w:r>
        <w:rPr>
          <w:rStyle w:val="Funotenanker"/>
        </w:rPr>
        <w:footnoteReference w:customMarkFollows="1" w:id="4271"/>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272"/>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273"/>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274"/>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275"/>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276"/>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277"/>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278"/>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279"/>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280"/>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281"/>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282"/>
        <w:t>ae</w:t>
      </w:r>
      <w:r>
        <w:rPr/>
        <w:t xml:space="preserve"> führte ihn aus dem Dorf hinaus, und nachdem er ihm in die Augen gespuckt </w:t>
      </w:r>
      <w:r>
        <w:rPr>
          <w:rStyle w:val="Funotenanker"/>
        </w:rPr>
        <w:footnoteReference w:customMarkFollows="1" w:id="4283"/>
        <w:t>af</w:t>
      </w:r>
      <w:r>
        <w:rPr/>
        <w:t xml:space="preserve"> und ihm die Hände aufgelegt hatte, </w:t>
      </w:r>
      <w:r>
        <w:rPr>
          <w:rStyle w:val="Funotenanker"/>
        </w:rPr>
        <w:footnoteReference w:customMarkFollows="1" w:id="4284"/>
        <w:t>ag</w:t>
      </w:r>
      <w:r>
        <w:rPr/>
        <w:t xml:space="preserve"> fragte er ihn: „Siehst du etwas?“</w:t>
      </w:r>
      <w:r>
        <w:rPr>
          <w:rStyle w:val="Funotenanker"/>
        </w:rPr>
        <w:footnoteReference w:customMarkFollows="1" w:id="4285"/>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286"/>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287"/>
        <w:t>aj</w:t>
      </w:r>
      <w:r>
        <w:rPr/>
        <w:t xml:space="preserve"> wie Bäume, ich sehe sie umhergehen.“ </w:t>
      </w:r>
      <w:r>
        <w:rPr>
          <w:rStyle w:val="Funotenanker"/>
        </w:rPr>
        <w:footnoteReference w:customMarkFollows="1" w:id="4288"/>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289"/>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290"/>
        <w:t>am</w:t>
      </w:r>
      <w:r>
        <w:rPr/>
        <w:t xml:space="preserve"> „Geh auch </w:t>
      </w:r>
      <w:r>
        <w:rPr>
          <w:color w:val="808080"/>
        </w:rPr>
        <w:t>(aber)</w:t>
      </w:r>
      <w:r>
        <w:rPr/>
        <w:t xml:space="preserve"> nicht ins Dorf! </w:t>
      </w:r>
      <w:r>
        <w:rPr>
          <w:rStyle w:val="Funotenanker"/>
        </w:rPr>
        <w:footnoteReference w:customMarkFollows="1" w:id="4291"/>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292"/>
        <w:t>ao</w:t>
      </w:r>
      <w:r>
        <w:rPr/>
        <w:t xml:space="preserve">; und auf dem Weg befragte er seine Jünger </w:t>
      </w:r>
      <w:r>
        <w:rPr>
          <w:strike/>
          <w:color w:val="808080"/>
        </w:rPr>
        <w:t>{und sagte zu ihnen}</w:t>
      </w:r>
      <w:r>
        <w:rPr/>
        <w:t xml:space="preserve"> </w:t>
      </w:r>
      <w:r>
        <w:rPr>
          <w:rStyle w:val="Funotenanker"/>
        </w:rPr>
        <w:footnoteReference w:customMarkFollows="1" w:id="4293"/>
        <w:t>ap</w:t>
      </w:r>
      <w:r>
        <w:rPr/>
        <w:t xml:space="preserve">: „Für wen halten mich die Leute?“ </w:t>
      </w:r>
      <w:r>
        <w:rPr>
          <w:rStyle w:val="Funotenanker"/>
        </w:rPr>
        <w:footnoteReference w:customMarkFollows="1" w:id="4294"/>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295"/>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296"/>
        <w:t>as</w:t>
      </w:r>
      <w:r>
        <w:rPr/>
        <w:t xml:space="preserve"> Und </w:t>
      </w:r>
      <w:r>
        <w:rPr>
          <w:strike/>
          <w:color w:val="808080"/>
        </w:rPr>
        <w:t>{antwortend}</w:t>
      </w:r>
      <w:r>
        <w:rPr/>
        <w:t xml:space="preserve"> </w:t>
      </w:r>
      <w:r>
        <w:rPr>
          <w:rStyle w:val="Funotenanker"/>
        </w:rPr>
        <w:footnoteReference w:customMarkFollows="1" w:id="4297"/>
        <w:t>at</w:t>
      </w:r>
      <w:r>
        <w:rPr/>
        <w:t xml:space="preserve"> sagte Petrus zu ihm: „Du bist der Messias </w:t>
      </w:r>
      <w:r>
        <w:rPr>
          <w:color w:val="808080"/>
        </w:rPr>
        <w:t>(Gesalbte; Christus)</w:t>
      </w:r>
      <w:r>
        <w:rPr/>
        <w:t xml:space="preserve">!“ </w:t>
      </w:r>
      <w:r>
        <w:rPr>
          <w:rStyle w:val="Funotenanker"/>
        </w:rPr>
        <w:footnoteReference w:customMarkFollows="1" w:id="4298"/>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299"/>
        <w:t>av</w:t>
      </w:r>
      <w:r>
        <w:rPr/>
        <w:t xml:space="preserve"> viel leiden, und von den Ältesten und den obersten </w:t>
      </w:r>
      <w:r>
        <w:rPr>
          <w:color w:val="808080"/>
        </w:rPr>
        <w:t>(führenden, Hohen)</w:t>
      </w:r>
      <w:r>
        <w:rPr/>
        <w:t xml:space="preserve"> Priestern </w:t>
      </w:r>
      <w:r>
        <w:rPr>
          <w:rStyle w:val="Funotenanker"/>
        </w:rPr>
        <w:footnoteReference w:customMarkFollows="1" w:id="4300"/>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301"/>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302"/>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303"/>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304"/>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305"/>
        <w:t>bb</w:t>
      </w:r>
      <w:r>
        <w:rPr/>
        <w:t xml:space="preserve">, Satan </w:t>
      </w:r>
      <w:r>
        <w:rPr>
          <w:color w:val="808080"/>
        </w:rPr>
        <w:t>(Widersacher)</w:t>
      </w:r>
      <w:r>
        <w:rPr/>
        <w:t xml:space="preserve"> </w:t>
      </w:r>
      <w:r>
        <w:rPr>
          <w:rStyle w:val="Funotenanker"/>
        </w:rPr>
        <w:footnoteReference w:customMarkFollows="1" w:id="4306"/>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307"/>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308"/>
        <w:t>be</w:t>
      </w:r>
      <w:r>
        <w:rPr/>
        <w:t xml:space="preserve"> sagte zu ihnen: „Wenn jemand mir nachfolgen </w:t>
      </w:r>
      <w:r>
        <w:rPr>
          <w:rStyle w:val="Funotenanker"/>
        </w:rPr>
        <w:footnoteReference w:customMarkFollows="1" w:id="4309"/>
        <w:t>bf</w:t>
      </w:r>
      <w:r>
        <w:rPr/>
        <w:t xml:space="preserve"> will, dann muss </w:t>
      </w:r>
      <w:r>
        <w:rPr>
          <w:color w:val="808080"/>
        </w:rPr>
        <w:t>(soll)</w:t>
      </w:r>
      <w:r>
        <w:rPr/>
        <w:t xml:space="preserve"> </w:t>
      </w:r>
      <w:r>
        <w:rPr>
          <w:rStyle w:val="Funotenanker"/>
        </w:rPr>
        <w:footnoteReference w:customMarkFollows="1" w:id="4310"/>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311"/>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312"/>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313"/>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314"/>
        <w:t>bk</w:t>
      </w:r>
      <w:r>
        <w:rPr/>
        <w:t xml:space="preserve"> über </w:t>
      </w:r>
      <w:r>
        <w:rPr>
          <w:color w:val="808080"/>
        </w:rPr>
        <w:t>(wegen)</w:t>
      </w:r>
      <w:r>
        <w:rPr/>
        <w:t xml:space="preserve"> mich und meine Worte schämt, </w:t>
      </w:r>
      <w:r>
        <w:rPr>
          <w:rStyle w:val="Funotenanker"/>
        </w:rPr>
        <w:footnoteReference w:customMarkFollows="1" w:id="4315"/>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316"/>
        <w:t>Status</w:t>
      </w:r>
      <w:r>
        <w:rPr/>
        <w:t xml:space="preserve"> Und weiter </w:t>
      </w:r>
      <w:r>
        <w:rPr>
          <w:rStyle w:val="Funotenanker"/>
        </w:rPr>
        <w:footnoteReference w:customMarkFollows="1" w:id="4317"/>
        <w:t>a</w:t>
      </w:r>
      <w:r>
        <w:rPr/>
        <w:t xml:space="preserve"> sagte er zu ihnen: „Amen </w:t>
      </w:r>
      <w:r>
        <w:rPr>
          <w:color w:val="808080"/>
        </w:rPr>
        <w:t>(Wahrlich, Ja)</w:t>
      </w:r>
      <w:r>
        <w:rPr/>
        <w:t xml:space="preserve">, ich sage euch: </w:t>
      </w:r>
      <w:r>
        <w:rPr>
          <w:rStyle w:val="Funotenanker"/>
        </w:rPr>
        <w:footnoteReference w:customMarkFollows="1" w:id="4318"/>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319"/>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320"/>
        <w:t>d</w:t>
      </w:r>
      <w:r>
        <w:rPr/>
        <w:t xml:space="preserve"> mit Macht </w:t>
      </w:r>
      <w:r>
        <w:rPr>
          <w:color w:val="808080"/>
        </w:rPr>
        <w:t>(Kraft)</w:t>
      </w:r>
      <w:r>
        <w:rPr/>
        <w:t xml:space="preserve"> gekommen ist. </w:t>
      </w:r>
      <w:r>
        <w:rPr>
          <w:rStyle w:val="Funotenanker"/>
        </w:rPr>
        <w:footnoteReference w:customMarkFollows="1" w:id="4321"/>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322"/>
        <w:t>f</w:t>
      </w:r>
      <w:r>
        <w:rPr/>
        <w:t xml:space="preserve"> für sich, allein, </w:t>
      </w:r>
      <w:r>
        <w:rPr>
          <w:rStyle w:val="Funotenanker"/>
        </w:rPr>
        <w:footnoteReference w:customMarkFollows="1" w:id="4323"/>
        <w:t>g</w:t>
      </w:r>
      <w:r>
        <w:rPr/>
        <w:t xml:space="preserve"> auf einen hohen Berg, und er wurde vor ihnen </w:t>
      </w:r>
      <w:r>
        <w:rPr>
          <w:color w:val="808080"/>
        </w:rPr>
        <w:t>(vor ihren Augen)</w:t>
      </w:r>
      <w:r>
        <w:rPr/>
        <w:t xml:space="preserve"> </w:t>
      </w:r>
      <w:r>
        <w:rPr>
          <w:rStyle w:val="Funotenanker"/>
        </w:rPr>
        <w:footnoteReference w:customMarkFollows="1" w:id="4324"/>
        <w:t>h</w:t>
      </w:r>
      <w:r>
        <w:rPr/>
        <w:t xml:space="preserve"> verwandelt </w:t>
      </w:r>
      <w:r>
        <w:rPr>
          <w:color w:val="808080"/>
        </w:rPr>
        <w:t>(verwandelte sich)</w:t>
      </w:r>
      <w:r>
        <w:rPr/>
        <w:t xml:space="preserve">: </w:t>
      </w:r>
      <w:r>
        <w:rPr>
          <w:rStyle w:val="Funotenanker"/>
        </w:rPr>
        <w:footnoteReference w:customMarkFollows="1" w:id="4325"/>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326"/>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327"/>
        <w:t>k</w:t>
      </w:r>
      <w:r>
        <w:rPr/>
        <w:t xml:space="preserve"> , wie sie kein Walker</w:t>
      </w:r>
      <w:r>
        <w:rPr>
          <w:rStyle w:val="Funotenanker"/>
        </w:rPr>
        <w:footnoteReference w:customMarkFollows="1" w:id="4328"/>
        <w:t>l</w:t>
      </w:r>
      <w:r>
        <w:rPr/>
        <w:t xml:space="preserve"> auf der </w:t>
      </w:r>
      <w:r>
        <w:rPr>
          <w:b/>
          <w:color w:val="808080"/>
        </w:rPr>
        <w:t>[</w:t>
      </w:r>
      <w:r>
        <w:rPr/>
        <w:t>ganzen</w:t>
      </w:r>
      <w:r>
        <w:rPr>
          <w:b/>
          <w:color w:val="808080"/>
        </w:rPr>
        <w:t>]</w:t>
      </w:r>
      <w:r>
        <w:rPr/>
        <w:t xml:space="preserve"> Erde </w:t>
      </w:r>
      <w:r>
        <w:rPr>
          <w:rStyle w:val="Funotenanker"/>
        </w:rPr>
        <w:footnoteReference w:customMarkFollows="1" w:id="4329"/>
        <w:t>m</w:t>
      </w:r>
      <w:r>
        <w:rPr/>
        <w:t xml:space="preserve"> </w:t>
      </w:r>
      <w:r>
        <w:rPr>
          <w:strike/>
          <w:color w:val="808080"/>
        </w:rPr>
        <w:t>{derart}</w:t>
      </w:r>
      <w:r>
        <w:rPr/>
        <w:t xml:space="preserve"> </w:t>
      </w:r>
      <w:r>
        <w:rPr>
          <w:rStyle w:val="Funotenanker"/>
        </w:rPr>
        <w:footnoteReference w:customMarkFollows="1" w:id="4330"/>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331"/>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332"/>
        <w:t>p</w:t>
      </w:r>
      <w:r>
        <w:rPr/>
        <w:t xml:space="preserve"> sprach Petrus zu Jesus: „Meister </w:t>
      </w:r>
      <w:r>
        <w:rPr>
          <w:color w:val="808080"/>
        </w:rPr>
        <w:t>(Rabbi)</w:t>
      </w:r>
      <w:r>
        <w:rPr/>
        <w:t xml:space="preserve"> </w:t>
      </w:r>
      <w:r>
        <w:rPr>
          <w:rStyle w:val="Funotenanker"/>
        </w:rPr>
        <w:footnoteReference w:customMarkFollows="1" w:id="4333"/>
        <w:t>q</w:t>
      </w:r>
      <w:r>
        <w:rPr/>
        <w:t xml:space="preserve"> , es ist gut, dass wir hier sind! Und lass uns </w:t>
      </w:r>
      <w:r>
        <w:rPr>
          <w:color w:val="808080"/>
        </w:rPr>
        <w:t>(so lass uns denn)</w:t>
      </w:r>
      <w:r>
        <w:rPr/>
        <w:t xml:space="preserve"> </w:t>
      </w:r>
      <w:r>
        <w:rPr>
          <w:rStyle w:val="Funotenanker"/>
        </w:rPr>
        <w:footnoteReference w:customMarkFollows="1" w:id="4334"/>
        <w:t>r</w:t>
      </w:r>
      <w:r>
        <w:rPr/>
        <w:t xml:space="preserve"> drei Hütten </w:t>
      </w:r>
      <w:r>
        <w:rPr>
          <w:color w:val="808080"/>
        </w:rPr>
        <w:t>(Zelte)</w:t>
      </w:r>
      <w:r>
        <w:rPr/>
        <w:t xml:space="preserve"> bauen - dir eine, Mose eine und Elija eine!“ </w:t>
      </w:r>
      <w:r>
        <w:rPr>
          <w:rStyle w:val="Funotenanker"/>
        </w:rPr>
        <w:footnoteReference w:customMarkFollows="1" w:id="4335"/>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336"/>
        <w:t>t</w:t>
      </w:r>
      <w:r>
        <w:rPr/>
        <w:t xml:space="preserve"> sie </w:t>
      </w:r>
      <w:r>
        <w:rPr>
          <w:rStyle w:val="Funotenanker"/>
        </w:rPr>
        <w:footnoteReference w:customMarkFollows="1" w:id="4337"/>
        <w:t>u</w:t>
      </w:r>
      <w:r>
        <w:rPr/>
        <w:t xml:space="preserve"> ein, und eine Stimme kam aus der Wolke: „Dies ist mein geliebter </w:t>
      </w:r>
      <w:r>
        <w:rPr>
          <w:color w:val="808080"/>
        </w:rPr>
        <w:t>(einziger)</w:t>
      </w:r>
      <w:r>
        <w:rPr/>
        <w:t xml:space="preserve"> </w:t>
      </w:r>
      <w:r>
        <w:rPr>
          <w:rStyle w:val="Funotenanker"/>
        </w:rPr>
        <w:footnoteReference w:customMarkFollows="1" w:id="4338"/>
        <w:t>v</w:t>
      </w:r>
      <w:r>
        <w:rPr/>
        <w:t xml:space="preserve"> Sohn, </w:t>
      </w:r>
      <w:r>
        <w:rPr>
          <w:b/>
          <w:color w:val="808080"/>
        </w:rPr>
        <w:t>[</w:t>
      </w:r>
      <w:r>
        <w:rPr/>
        <w:t>darum</w:t>
      </w:r>
      <w:r>
        <w:rPr>
          <w:b/>
          <w:color w:val="808080"/>
        </w:rPr>
        <w:t>]</w:t>
      </w:r>
      <w:r>
        <w:rPr/>
        <w:t xml:space="preserve"> </w:t>
      </w:r>
      <w:r>
        <w:rPr>
          <w:rStyle w:val="Funotenanker"/>
        </w:rPr>
        <w:footnoteReference w:customMarkFollows="1" w:id="4339"/>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340"/>
        <w:t>x</w:t>
      </w:r>
      <w:r>
        <w:rPr/>
        <w:t xml:space="preserve"> mehr bei sich </w:t>
      </w:r>
      <w:r>
        <w:rPr>
          <w:rStyle w:val="Funotenanker"/>
        </w:rPr>
        <w:footnoteReference w:customMarkFollows="1" w:id="4341"/>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342"/>
        <w:t>z</w:t>
      </w:r>
      <w:r>
        <w:rPr/>
        <w:t xml:space="preserve"> Berg herabstiegen, befahl er ihnen </w:t>
      </w:r>
      <w:r>
        <w:rPr>
          <w:strike/>
          <w:color w:val="808080"/>
        </w:rPr>
        <w:t>{damit}</w:t>
      </w:r>
      <w:r>
        <w:rPr/>
        <w:t xml:space="preserve">, </w:t>
      </w:r>
      <w:r>
        <w:rPr>
          <w:rStyle w:val="Funotenanker"/>
        </w:rPr>
        <w:footnoteReference w:customMarkFollows="1" w:id="4343"/>
        <w:t>aa</w:t>
      </w:r>
      <w:r>
        <w:rPr/>
        <w:t xml:space="preserve"> niemandem zu erzählen, was sie gesehen hatten - erst </w:t>
      </w:r>
      <w:r>
        <w:rPr>
          <w:color w:val="808080"/>
        </w:rPr>
        <w:t>(außer)</w:t>
      </w:r>
      <w:r>
        <w:rPr/>
        <w:t xml:space="preserve"> </w:t>
      </w:r>
      <w:r>
        <w:rPr>
          <w:rStyle w:val="Funotenanker"/>
        </w:rPr>
        <w:footnoteReference w:customMarkFollows="1" w:id="4344"/>
        <w:t>ab</w:t>
      </w:r>
      <w:r>
        <w:rPr/>
        <w:t xml:space="preserve"> , wenn der Menschensohn </w:t>
      </w:r>
      <w:r>
        <w:rPr>
          <w:rStyle w:val="Funotenanker"/>
        </w:rPr>
        <w:footnoteReference w:customMarkFollows="1" w:id="4345"/>
        <w:t>ac</w:t>
      </w:r>
      <w:r>
        <w:rPr/>
        <w:t xml:space="preserve"> von den Toten </w:t>
      </w:r>
      <w:r>
        <w:rPr>
          <w:rStyle w:val="Funotenanker"/>
        </w:rPr>
        <w:footnoteReference w:customMarkFollows="1" w:id="4346"/>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347"/>
        <w:t>ae</w:t>
      </w:r>
      <w:r>
        <w:rPr/>
        <w:t xml:space="preserve"> aber, was dies sei - „von den Toten Auferstehen“. </w:t>
      </w:r>
      <w:r>
        <w:rPr>
          <w:rStyle w:val="Funotenanker"/>
        </w:rPr>
        <w:footnoteReference w:customMarkFollows="1" w:id="4348"/>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349"/>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350"/>
        <w:t>ah</w:t>
      </w:r>
      <w:r>
        <w:rPr/>
        <w:t xml:space="preserve"> kommt </w:t>
      </w:r>
      <w:r>
        <w:rPr>
          <w:rStyle w:val="Funotenanker"/>
        </w:rPr>
        <w:footnoteReference w:customMarkFollows="1" w:id="4351"/>
        <w:t>ai</w:t>
      </w:r>
      <w:r>
        <w:rPr/>
        <w:t xml:space="preserve"> Elija zuerst und stellt alles wieder her. </w:t>
      </w:r>
      <w:r>
        <w:rPr>
          <w:rStyle w:val="Funotenanker"/>
        </w:rPr>
        <w:footnoteReference w:customMarkFollows="1" w:id="4352"/>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353"/>
        <w:t>ak</w:t>
      </w:r>
      <w:r>
        <w:rPr/>
        <w:t xml:space="preserve"> Elija ist auch </w:t>
      </w:r>
      <w:r>
        <w:rPr>
          <w:color w:val="808080"/>
        </w:rPr>
        <w:t>(sogar)</w:t>
      </w:r>
      <w:r>
        <w:rPr/>
        <w:t xml:space="preserve"> </w:t>
      </w:r>
      <w:r>
        <w:rPr>
          <w:rStyle w:val="Funotenanker"/>
        </w:rPr>
        <w:footnoteReference w:customMarkFollows="1" w:id="4354"/>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355"/>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356"/>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357"/>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358"/>
        <w:t>ap</w:t>
      </w:r>
      <w:r>
        <w:rPr/>
        <w:t xml:space="preserve"> aus </w:t>
      </w:r>
      <w:r>
        <w:rPr>
          <w:color w:val="808080"/>
        </w:rPr>
        <w:t>(aus heraus)</w:t>
      </w:r>
      <w:r>
        <w:rPr/>
        <w:t xml:space="preserve"> </w:t>
      </w:r>
      <w:r>
        <w:rPr>
          <w:rStyle w:val="Funotenanker"/>
        </w:rPr>
        <w:footnoteReference w:customMarkFollows="1" w:id="4359"/>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360"/>
        <w:t>ar</w:t>
      </w:r>
      <w:r>
        <w:rPr/>
        <w:t xml:space="preserve"> weil </w:t>
      </w:r>
      <w:r>
        <w:rPr>
          <w:rStyle w:val="Funotenanker"/>
        </w:rPr>
        <w:footnoteReference w:customMarkFollows="1" w:id="4361"/>
        <w:t>as</w:t>
      </w:r>
      <w:r>
        <w:rPr/>
        <w:t xml:space="preserve"> er einen stummen Geist </w:t>
      </w:r>
      <w:r>
        <w:rPr>
          <w:color w:val="808080"/>
        </w:rPr>
        <w:t>(einen Geist, der ihn stumm macht)</w:t>
      </w:r>
      <w:r>
        <w:rPr/>
        <w:t xml:space="preserve"> </w:t>
      </w:r>
      <w:r>
        <w:rPr>
          <w:rStyle w:val="Funotenanker"/>
        </w:rPr>
        <w:footnoteReference w:customMarkFollows="1" w:id="4362"/>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363"/>
        <w:t>au</w:t>
      </w:r>
      <w:r>
        <w:rPr/>
        <w:t xml:space="preserve"> er ihn anfällt </w:t>
      </w:r>
      <w:r>
        <w:rPr>
          <w:color w:val="808080"/>
        </w:rPr>
        <w:t>(packt)</w:t>
      </w:r>
      <w:r>
        <w:rPr/>
        <w:t xml:space="preserve">, </w:t>
      </w:r>
      <w:r>
        <w:rPr>
          <w:rStyle w:val="Funotenanker"/>
        </w:rPr>
        <w:footnoteReference w:customMarkFollows="1" w:id="4364"/>
        <w:t>av</w:t>
      </w:r>
      <w:r>
        <w:rPr/>
        <w:t xml:space="preserve"> zerrt er ihn hin und her </w:t>
      </w:r>
      <w:r>
        <w:rPr>
          <w:color w:val="808080"/>
        </w:rPr>
        <w:t>(wirft er ihn zu Boden)</w:t>
      </w:r>
      <w:r>
        <w:rPr/>
        <w:t xml:space="preserve"> </w:t>
      </w:r>
      <w:r>
        <w:rPr>
          <w:rStyle w:val="Funotenanker"/>
        </w:rPr>
        <w:footnoteReference w:customMarkFollows="1" w:id="4365"/>
        <w:t>aw</w:t>
      </w:r>
      <w:r>
        <w:rPr/>
        <w:t xml:space="preserve"> und ihm tritt Schaum vor den Mund </w:t>
      </w:r>
      <w:r>
        <w:rPr>
          <w:color w:val="808080"/>
        </w:rPr>
        <w:t>(er schäumt)</w:t>
      </w:r>
      <w:r>
        <w:rPr/>
        <w:t xml:space="preserve"> </w:t>
      </w:r>
      <w:r>
        <w:rPr>
          <w:rStyle w:val="Funotenanker"/>
        </w:rPr>
        <w:footnoteReference w:customMarkFollows="1" w:id="4366"/>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367"/>
        <w:t>ay</w:t>
      </w:r>
      <w:r>
        <w:rPr/>
        <w:t xml:space="preserve"> sie konnten es nicht </w:t>
      </w:r>
      <w:r>
        <w:rPr>
          <w:color w:val="808080"/>
        </w:rPr>
        <w:t>(sie waren zu schwach dafür)</w:t>
      </w:r>
      <w:r>
        <w:rPr/>
        <w:t xml:space="preserve">. </w:t>
      </w:r>
      <w:r>
        <w:rPr>
          <w:rStyle w:val="Funotenanker"/>
        </w:rPr>
        <w:footnoteReference w:customMarkFollows="1" w:id="4368"/>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369"/>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370"/>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371"/>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372"/>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373"/>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374"/>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375"/>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376"/>
        <w:t>bh</w:t>
      </w:r>
      <w:r>
        <w:rPr/>
        <w:t xml:space="preserve"> wenn du etwas vermagst </w:t>
      </w:r>
      <w:r>
        <w:rPr>
          <w:color w:val="808080"/>
        </w:rPr>
        <w:t>(wenn etwas in deiner Macht steht)</w:t>
      </w:r>
      <w:r>
        <w:rPr/>
        <w:t xml:space="preserve">, </w:t>
      </w:r>
      <w:r>
        <w:rPr>
          <w:rStyle w:val="Funotenanker"/>
        </w:rPr>
        <w:footnoteReference w:customMarkFollows="1" w:id="4377"/>
        <w:t>bi</w:t>
      </w:r>
      <w:r>
        <w:rPr/>
        <w:t xml:space="preserve"> dann hilf uns und hab Mitleid mit uns </w:t>
      </w:r>
      <w:r>
        <w:rPr>
          <w:color w:val="808080"/>
        </w:rPr>
        <w:t>(erbarme dich unser)</w:t>
      </w:r>
      <w:r>
        <w:rPr/>
        <w:t xml:space="preserve">! </w:t>
      </w:r>
      <w:r>
        <w:rPr>
          <w:rStyle w:val="Funotenanker"/>
        </w:rPr>
        <w:footnoteReference w:customMarkFollows="1" w:id="4378"/>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379"/>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380"/>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381"/>
        <w:t>bm</w:t>
      </w:r>
      <w:r>
        <w:rPr/>
        <w:t xml:space="preserve"> schrie </w:t>
      </w:r>
      <w:r>
        <w:rPr>
          <w:color w:val="808080"/>
        </w:rPr>
        <w:t>(schluchzte)</w:t>
      </w:r>
      <w:r>
        <w:rPr/>
        <w:t xml:space="preserve"> </w:t>
      </w:r>
      <w:r>
        <w:rPr>
          <w:rStyle w:val="Funotenanker"/>
        </w:rPr>
        <w:footnoteReference w:customMarkFollows="1" w:id="4382"/>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383"/>
        <w:t>bo</w:t>
      </w:r>
      <w:r>
        <w:rPr/>
        <w:t xml:space="preserve">, </w:t>
      </w:r>
      <w:r>
        <w:rPr>
          <w:rStyle w:val="Funotenanker"/>
        </w:rPr>
        <w:footnoteReference w:customMarkFollows="1" w:id="4384"/>
        <w:t>bp</w:t>
      </w:r>
      <w:r>
        <w:rPr/>
        <w:t xml:space="preserve"> gebot er dem unreinen Geist </w:t>
      </w:r>
      <w:r>
        <w:rPr>
          <w:strike/>
          <w:color w:val="808080"/>
        </w:rPr>
        <w:t>{und sagte zu ihm}</w:t>
      </w:r>
      <w:r>
        <w:rPr/>
        <w:t xml:space="preserve">: „Du stummer und tauber Geist, </w:t>
      </w:r>
      <w:r>
        <w:rPr>
          <w:rStyle w:val="Funotenanker"/>
        </w:rPr>
        <w:footnoteReference w:customMarkFollows="1" w:id="4385"/>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386"/>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387"/>
        <w:t>bs</w:t>
      </w:r>
      <w:r>
        <w:rPr/>
        <w:t xml:space="preserve"> wie tot, daher </w:t>
      </w:r>
      <w:r>
        <w:rPr>
          <w:color w:val="808080"/>
        </w:rPr>
        <w:t>(sodass)</w:t>
      </w:r>
      <w:r>
        <w:rPr/>
        <w:t xml:space="preserve"> </w:t>
      </w:r>
      <w:r>
        <w:rPr>
          <w:rStyle w:val="Funotenanker"/>
        </w:rPr>
        <w:footnoteReference w:customMarkFollows="1" w:id="4388"/>
        <w:t>bt</w:t>
      </w:r>
      <w:r>
        <w:rPr/>
        <w:t xml:space="preserve"> die Meisten </w:t>
      </w:r>
      <w:r>
        <w:rPr>
          <w:color w:val="808080"/>
        </w:rPr>
        <w:t>(die Menge)</w:t>
      </w:r>
      <w:r>
        <w:rPr/>
        <w:t xml:space="preserve"> </w:t>
      </w:r>
      <w:r>
        <w:rPr>
          <w:rStyle w:val="Funotenanker"/>
        </w:rPr>
        <w:footnoteReference w:customMarkFollows="1" w:id="4389"/>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390"/>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391"/>
        <w:t>bw</w:t>
      </w:r>
      <w:r>
        <w:rPr/>
        <w:t xml:space="preserve"> „Dass wir ihn nicht austreiben konnten </w:t>
      </w:r>
      <w:r>
        <w:rPr>
          <w:color w:val="808080"/>
        </w:rPr>
        <w:t>(Warum konnten wir ihn nicht austreiben)</w:t>
      </w:r>
      <w:r>
        <w:rPr/>
        <w:t xml:space="preserve">?“ </w:t>
      </w:r>
      <w:r>
        <w:rPr>
          <w:rStyle w:val="Funotenanker"/>
        </w:rPr>
        <w:footnoteReference w:customMarkFollows="1" w:id="4392"/>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393"/>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394"/>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395"/>
        <w:t>ca</w:t>
      </w:r>
      <w:r>
        <w:rPr/>
        <w:t xml:space="preserve"> seine Jünger und sagte zu ihnen: „Der Menschensohn ist in die Hände der Menschen </w:t>
      </w:r>
      <w:r>
        <w:rPr>
          <w:rStyle w:val="Funotenanker"/>
        </w:rPr>
        <w:footnoteReference w:customMarkFollows="1" w:id="4396"/>
        <w:t>cb</w:t>
      </w:r>
      <w:r>
        <w:rPr/>
        <w:t xml:space="preserve"> ausgeliefert </w:t>
      </w:r>
      <w:r>
        <w:rPr>
          <w:color w:val="808080"/>
        </w:rPr>
        <w:t>(wird ausgeliefert werden)</w:t>
      </w:r>
      <w:r>
        <w:rPr/>
        <w:t xml:space="preserve">, </w:t>
      </w:r>
      <w:r>
        <w:rPr>
          <w:rStyle w:val="Funotenanker"/>
        </w:rPr>
        <w:footnoteReference w:customMarkFollows="1" w:id="4397"/>
        <w:t>cc</w:t>
      </w:r>
      <w:r>
        <w:rPr/>
        <w:t xml:space="preserve"> und sie werden ihn töten, und nachdem </w:t>
      </w:r>
      <w:r>
        <w:rPr>
          <w:color w:val="808080"/>
        </w:rPr>
        <w:t>(obwohl)</w:t>
      </w:r>
      <w:r>
        <w:rPr/>
        <w:t xml:space="preserve"> </w:t>
      </w:r>
      <w:r>
        <w:rPr>
          <w:rStyle w:val="Funotenanker"/>
        </w:rPr>
        <w:footnoteReference w:customMarkFollows="1" w:id="4398"/>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399"/>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400"/>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401"/>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402"/>
        <w:t>ch</w:t>
      </w:r>
      <w:r>
        <w:rPr/>
        <w:t xml:space="preserve"> „Wenn jemand der Erste sein will, wird </w:t>
      </w:r>
      <w:r>
        <w:rPr>
          <w:color w:val="808080"/>
        </w:rPr>
        <w:t>(muss)</w:t>
      </w:r>
      <w:r>
        <w:rPr/>
        <w:t xml:space="preserve"> </w:t>
      </w:r>
      <w:r>
        <w:rPr>
          <w:rStyle w:val="Funotenanker"/>
        </w:rPr>
        <w:footnoteReference w:customMarkFollows="1" w:id="4403"/>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404"/>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405"/>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406"/>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407"/>
        <w:t>cm</w:t>
      </w:r>
      <w:r>
        <w:rPr/>
        <w:t xml:space="preserve"> Wir hinderten ihn daran </w:t>
      </w:r>
      <w:r>
        <w:rPr>
          <w:color w:val="808080"/>
        </w:rPr>
        <w:t>(haben versucht, ihn daran hindern)</w:t>
      </w:r>
      <w:r>
        <w:rPr/>
        <w:t xml:space="preserve">, </w:t>
      </w:r>
      <w:r>
        <w:rPr>
          <w:rStyle w:val="Funotenanker"/>
        </w:rPr>
        <w:footnoteReference w:customMarkFollows="1" w:id="4408"/>
        <w:t>cn</w:t>
      </w:r>
      <w:r>
        <w:rPr/>
        <w:t xml:space="preserve"> weil er uns nicht folgt </w:t>
      </w:r>
      <w:r>
        <w:rPr>
          <w:color w:val="808080"/>
        </w:rPr>
        <w:t>(nicht zu uns gehört)</w:t>
      </w:r>
      <w:r>
        <w:rPr/>
        <w:t xml:space="preserve">. </w:t>
      </w:r>
      <w:r>
        <w:rPr>
          <w:rStyle w:val="Funotenanker"/>
        </w:rPr>
        <w:footnoteReference w:customMarkFollows="1" w:id="4409"/>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410"/>
        <w:t>cp</w:t>
      </w:r>
      <w:r>
        <w:rPr/>
        <w:t xml:space="preserve"> wirkt und schnell </w:t>
      </w:r>
      <w:r>
        <w:rPr>
          <w:rStyle w:val="Funotenanker"/>
        </w:rPr>
        <w:footnoteReference w:customMarkFollows="1" w:id="4411"/>
        <w:t>cq</w:t>
      </w:r>
      <w:r>
        <w:rPr/>
        <w:t xml:space="preserve"> schlecht von mir zu sprechen vermag </w:t>
      </w:r>
      <w:r>
        <w:rPr>
          <w:color w:val="808080"/>
        </w:rPr>
        <w:t>(von mir sprechen kann)</w:t>
      </w:r>
      <w:r>
        <w:rPr/>
        <w:t xml:space="preserve">. </w:t>
      </w:r>
      <w:r>
        <w:rPr>
          <w:rStyle w:val="Funotenanker"/>
        </w:rPr>
        <w:footnoteReference w:customMarkFollows="1" w:id="4412"/>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413"/>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414"/>
        <w:t>ct</w:t>
      </w:r>
      <w:r>
        <w:rPr/>
        <w:t xml:space="preserve"> „</w:t>
      </w:r>
      <w:r>
        <w:rPr>
          <w:strike/>
          <w:color w:val="808080"/>
        </w:rPr>
        <w:t>{Denn}</w:t>
      </w:r>
      <w:r>
        <w:rPr/>
        <w:t xml:space="preserve"> </w:t>
      </w:r>
      <w:r>
        <w:rPr>
          <w:rStyle w:val="Funotenanker"/>
        </w:rPr>
        <w:footnoteReference w:customMarkFollows="1" w:id="4415"/>
        <w:t>cu</w:t>
      </w:r>
      <w:r>
        <w:rPr/>
        <w:t xml:space="preserve"> Wer euch </w:t>
      </w:r>
      <w:r>
        <w:rPr>
          <w:b/>
          <w:color w:val="808080"/>
        </w:rPr>
        <w:t>[</w:t>
      </w:r>
      <w:r>
        <w:rPr/>
        <w:t>auch nur</w:t>
      </w:r>
      <w:r>
        <w:rPr>
          <w:b/>
          <w:color w:val="808080"/>
        </w:rPr>
        <w:t>]</w:t>
      </w:r>
      <w:r>
        <w:rPr/>
        <w:t xml:space="preserve"> </w:t>
      </w:r>
      <w:r>
        <w:rPr>
          <w:rStyle w:val="Funotenanker"/>
        </w:rPr>
        <w:footnoteReference w:customMarkFollows="1" w:id="4416"/>
        <w:t>cv</w:t>
      </w:r>
      <w:r>
        <w:rPr/>
        <w:t xml:space="preserve"> einen Becher Wasser zu trinken gibt, </w:t>
      </w:r>
      <w:r>
        <w:rPr>
          <w:rStyle w:val="Funotenanker"/>
        </w:rPr>
        <w:footnoteReference w:customMarkFollows="1" w:id="4417"/>
        <w:t>cw</w:t>
      </w:r>
      <w:r>
        <w:rPr/>
        <w:t xml:space="preserve"> weil </w:t>
      </w:r>
      <w:r>
        <w:rPr>
          <w:color w:val="808080"/>
        </w:rPr>
        <w:t>(im Namen, dass)</w:t>
      </w:r>
      <w:r>
        <w:rPr/>
        <w:t xml:space="preserve"> </w:t>
      </w:r>
      <w:r>
        <w:rPr>
          <w:rStyle w:val="Funotenanker"/>
        </w:rPr>
        <w:footnoteReference w:customMarkFollows="1" w:id="4418"/>
        <w:t>cx</w:t>
      </w:r>
      <w:r>
        <w:rPr/>
        <w:t xml:space="preserve"> ihr zu Christus gehört - Amen, ich sage euch </w:t>
      </w:r>
      <w:r>
        <w:rPr>
          <w:rStyle w:val="Funotenanker"/>
        </w:rPr>
        <w:footnoteReference w:customMarkFollows="1" w:id="4419"/>
        <w:t>cy</w:t>
      </w:r>
      <w:r>
        <w:rPr/>
        <w:t xml:space="preserve"> - der wird seinen Lohn nicht verlieren </w:t>
      </w:r>
      <w:r>
        <w:rPr>
          <w:color w:val="808080"/>
        </w:rPr>
        <w:t>(wird ihn bekommen)</w:t>
      </w:r>
      <w:r>
        <w:rPr/>
        <w:t xml:space="preserve">. </w:t>
      </w:r>
      <w:r>
        <w:rPr>
          <w:rStyle w:val="Funotenanker"/>
        </w:rPr>
        <w:footnoteReference w:customMarkFollows="1" w:id="4420"/>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421"/>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422"/>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423"/>
        <w:t>dc</w:t>
      </w:r>
      <w:r>
        <w:rPr/>
        <w:t xml:space="preserve"> - für den ist </w:t>
      </w:r>
      <w:r>
        <w:rPr>
          <w:color w:val="808080"/>
        </w:rPr>
        <w:t>(wäre)</w:t>
      </w:r>
      <w:r>
        <w:rPr/>
        <w:t xml:space="preserve"> </w:t>
      </w:r>
      <w:r>
        <w:rPr>
          <w:rStyle w:val="Funotenanker"/>
        </w:rPr>
        <w:footnoteReference w:customMarkFollows="1" w:id="4424"/>
        <w:t>dd</w:t>
      </w:r>
      <w:r>
        <w:rPr/>
        <w:t xml:space="preserve"> es gut </w:t>
      </w:r>
      <w:r>
        <w:rPr>
          <w:color w:val="808080"/>
        </w:rPr>
        <w:t>(besser)</w:t>
      </w:r>
      <w:r>
        <w:rPr/>
        <w:t xml:space="preserve">, </w:t>
      </w:r>
      <w:r>
        <w:rPr>
          <w:rStyle w:val="Funotenanker"/>
        </w:rPr>
        <w:footnoteReference w:customMarkFollows="1" w:id="4425"/>
        <w:t>de</w:t>
      </w:r>
      <w:r>
        <w:rPr/>
        <w:t xml:space="preserve"> wenn ein Eselsmühlstein um seinen Hals gehängt und er ins Meer geworfen würde. </w:t>
      </w:r>
      <w:r>
        <w:rPr>
          <w:rStyle w:val="Funotenanker"/>
        </w:rPr>
        <w:footnoteReference w:customMarkFollows="1" w:id="4426"/>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427"/>
        <w:t>dg</w:t>
      </w:r>
      <w:r>
        <w:rPr/>
        <w:t xml:space="preserve"> hau sie ab! </w:t>
      </w:r>
      <w:r>
        <w:rPr>
          <w:b/>
          <w:color w:val="808080"/>
        </w:rPr>
        <w:t>[</w:t>
      </w:r>
      <w:r>
        <w:rPr/>
        <w:t>Denn</w:t>
      </w:r>
      <w:r>
        <w:rPr>
          <w:b/>
          <w:color w:val="808080"/>
        </w:rPr>
        <w:t>]</w:t>
      </w:r>
      <w:r>
        <w:rPr/>
        <w:t xml:space="preserve"> </w:t>
      </w:r>
      <w:r>
        <w:rPr>
          <w:rStyle w:val="Funotenanker"/>
        </w:rPr>
        <w:footnoteReference w:customMarkFollows="1" w:id="4428"/>
        <w:t>dh</w:t>
      </w:r>
      <w:r>
        <w:rPr/>
        <w:t xml:space="preserve"> es ist gut </w:t>
      </w:r>
      <w:r>
        <w:rPr>
          <w:color w:val="808080"/>
        </w:rPr>
        <w:t>(besser)</w:t>
      </w:r>
      <w:r>
        <w:rPr/>
        <w:t xml:space="preserve">, dass du verstümmelt in das Leben </w:t>
      </w:r>
      <w:r>
        <w:rPr>
          <w:rStyle w:val="Funotenanker"/>
        </w:rPr>
        <w:footnoteReference w:customMarkFollows="1" w:id="4429"/>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430"/>
        <w:t>dj</w:t>
      </w:r>
      <w:r>
        <w:rPr/>
        <w:t xml:space="preserve"> einzugehen </w:t>
      </w:r>
      <w:r>
        <w:rPr>
          <w:color w:val="808080"/>
        </w:rPr>
        <w:t>(geworfen zu werden)</w:t>
      </w:r>
      <w:r>
        <w:rPr/>
        <w:t xml:space="preserve">: </w:t>
      </w:r>
      <w:r>
        <w:rPr>
          <w:rStyle w:val="Funotenanker"/>
        </w:rPr>
        <w:footnoteReference w:customMarkFollows="1" w:id="4431"/>
        <w:t>dk</w:t>
      </w:r>
      <w:r>
        <w:rPr/>
        <w:t xml:space="preserve"> in das unauslöschliche Feuer, </w:t>
      </w:r>
      <w:r>
        <w:rPr>
          <w:rStyle w:val="Funotenanker"/>
        </w:rPr>
        <w:footnoteReference w:customMarkFollows="1" w:id="4432"/>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433"/>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434"/>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435"/>
        <w:t>do</w:t>
      </w:r>
      <w:r>
        <w:rPr/>
        <w:t xml:space="preserve"> Jeder wird mit Feuer gesalzen werden. </w:t>
      </w:r>
      <w:r>
        <w:rPr>
          <w:rStyle w:val="Funotenanker"/>
        </w:rPr>
        <w:footnoteReference w:customMarkFollows="1" w:id="4436"/>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437"/>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438"/>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439"/>
        <w:t>ds</w:t>
      </w:r>
      <w:r>
        <w:rPr/>
        <w:t xml:space="preserve"> euch, und haltet </w:t>
      </w:r>
      <w:r>
        <w:rPr>
          <w:b/>
          <w:color w:val="808080"/>
        </w:rPr>
        <w:t>[</w:t>
      </w:r>
      <w:r>
        <w:rPr/>
        <w:t>so</w:t>
      </w:r>
      <w:r>
        <w:rPr>
          <w:b/>
          <w:color w:val="808080"/>
        </w:rPr>
        <w:t>]</w:t>
      </w:r>
      <w:r>
        <w:rPr/>
        <w:t xml:space="preserve"> </w:t>
      </w:r>
      <w:r>
        <w:rPr>
          <w:rStyle w:val="Funotenanker"/>
        </w:rPr>
        <w:footnoteReference w:customMarkFollows="1" w:id="4440"/>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441"/>
        <w:t>Status</w:t>
      </w:r>
      <w:r>
        <w:rPr/>
        <w:t xml:space="preserve"> Und von dort brach </w:t>
      </w:r>
      <w:r>
        <w:rPr>
          <w:color w:val="808080"/>
        </w:rPr>
        <w:t>(stand)</w:t>
      </w:r>
      <w:r>
        <w:rPr/>
        <w:t xml:space="preserve"> er auf und </w:t>
      </w:r>
      <w:r>
        <w:rPr>
          <w:rStyle w:val="Funotenanker"/>
        </w:rPr>
        <w:footnoteReference w:customMarkFollows="1" w:id="4442"/>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443"/>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444"/>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445"/>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446"/>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447"/>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448"/>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449"/>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450"/>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451"/>
        <w:t>j</w:t>
      </w:r>
      <w:r>
        <w:rPr/>
        <w:t xml:space="preserve"> aber die Jünger wiesen sie unfreundlich ab </w:t>
      </w:r>
      <w:r>
        <w:rPr>
          <w:color w:val="808080"/>
        </w:rPr>
        <w:t>(schimpften sie)</w:t>
      </w:r>
      <w:r>
        <w:rPr/>
        <w:t xml:space="preserve"> </w:t>
      </w:r>
      <w:r>
        <w:rPr>
          <w:rStyle w:val="Funotenanker"/>
        </w:rPr>
        <w:footnoteReference w:customMarkFollows="1" w:id="4452"/>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453"/>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454"/>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455"/>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456"/>
        <w:t>o</w:t>
      </w:r>
      <w:r>
        <w:rPr/>
        <w:t xml:space="preserve"> segnete sie, indem er ihnen die Hände auflegte. </w:t>
      </w:r>
      <w:r>
        <w:rPr>
          <w:rStyle w:val="Funotenanker"/>
        </w:rPr>
        <w:footnoteReference w:customMarkFollows="1" w:id="4457"/>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458"/>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459"/>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460"/>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461"/>
        <w:t>t</w:t>
      </w:r>
      <w:r>
        <w:rPr/>
        <w:t xml:space="preserve"> gewann ihn lieb </w:t>
      </w:r>
      <w:r>
        <w:rPr>
          <w:rStyle w:val="Funotenanker"/>
        </w:rPr>
        <w:footnoteReference w:customMarkFollows="1" w:id="4462"/>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463"/>
        <w:t>v</w:t>
      </w:r>
      <w:r>
        <w:rPr/>
        <w:t xml:space="preserve"> über diese Forderung </w:t>
      </w:r>
      <w:r>
        <w:rPr>
          <w:color w:val="808080"/>
        </w:rPr>
        <w:t>(das Gesagte; Wort)</w:t>
      </w:r>
      <w:r>
        <w:rPr/>
        <w:t xml:space="preserve"> und </w:t>
      </w:r>
      <w:r>
        <w:rPr>
          <w:rStyle w:val="Funotenanker"/>
        </w:rPr>
        <w:footnoteReference w:customMarkFollows="1" w:id="4464"/>
        <w:t>w</w:t>
      </w:r>
      <w:r>
        <w:rPr/>
        <w:t xml:space="preserve"> ging traurig davon, denn er besaß </w:t>
      </w:r>
      <w:r>
        <w:rPr>
          <w:rStyle w:val="Funotenanker"/>
        </w:rPr>
        <w:footnoteReference w:customMarkFollows="1" w:id="4465"/>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466"/>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467"/>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468"/>
        <w:t>aa</w:t>
      </w:r>
      <w:r>
        <w:rPr/>
        <w:t xml:space="preserve">. Doch Jesus sagte noch einmal zu ihnen </w:t>
      </w:r>
      <w:r>
        <w:rPr>
          <w:rStyle w:val="Funotenanker"/>
        </w:rPr>
        <w:footnoteReference w:customMarkFollows="1" w:id="4469"/>
        <w:t>ab</w:t>
      </w:r>
      <w:r>
        <w:rPr/>
        <w:t xml:space="preserve">: »Kinder </w:t>
      </w:r>
      <w:r>
        <w:rPr>
          <w:rStyle w:val="Funotenanker"/>
        </w:rPr>
        <w:footnoteReference w:customMarkFollows="1" w:id="4470"/>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471"/>
        <w:t>ad</w:t>
      </w:r>
      <w:r>
        <w:rPr/>
        <w:t xml:space="preserve">, durch das Nadelöhr </w:t>
      </w:r>
      <w:r>
        <w:rPr>
          <w:rStyle w:val="Funotenanker"/>
        </w:rPr>
        <w:footnoteReference w:customMarkFollows="1" w:id="4472"/>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473"/>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474"/>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475"/>
        <w:t>ah</w:t>
      </w:r>
      <w:r>
        <w:rPr/>
        <w:t xml:space="preserve"> zu ihm: »Du weißt </w:t>
      </w:r>
      <w:r>
        <w:rPr>
          <w:color w:val="808080"/>
        </w:rPr>
        <w:t>(Siehe)</w:t>
      </w:r>
      <w:r>
        <w:rPr/>
        <w:t xml:space="preserve">, </w:t>
      </w:r>
      <w:r>
        <w:rPr>
          <w:rStyle w:val="Funotenanker"/>
        </w:rPr>
        <w:footnoteReference w:customMarkFollows="1" w:id="4476"/>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477"/>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478"/>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479"/>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480"/>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481"/>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482"/>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483"/>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484"/>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485"/>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486"/>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487"/>
        <w:t>at</w:t>
      </w:r>
      <w:r>
        <w:rPr/>
        <w:t xml:space="preserve"> tun soll?«{{field-off:bible}} </w:t>
        <w:br/>
        <w:t>[[@BibleTOBIBLE:Mk 10:37]]</w:t>
      </w:r>
      <w:r>
        <w:rPr>
          <w:b/>
        </w:rPr>
        <w:t>37</w:t>
      </w:r>
      <w:r>
        <w:rPr/>
        <w:t xml:space="preserve"> {{field-on:bible}}Sie sagten zu ihm: »Gewähre uns </w:t>
      </w:r>
      <w:r>
        <w:rPr>
          <w:rStyle w:val="Funotenanker"/>
        </w:rPr>
        <w:footnoteReference w:customMarkFollows="1" w:id="4488"/>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489"/>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w:t>
      </w:r>
      <w:r>
        <w:rPr>
          <w:rStyle w:val="Funotenanker"/>
        </w:rPr>
        <w:footnoteReference w:customMarkFollows="1" w:id="4490"/>
        <w:t>aw</w:t>
      </w:r>
      <w:r>
        <w:rPr/>
        <w:t xml:space="preserve"> oder </w:t>
      </w:r>
      <w:r>
        <w:rPr>
          <w:b/>
          <w:color w:val="808080"/>
        </w:rPr>
        <w:t>[</w:t>
      </w:r>
      <w:r>
        <w:rPr/>
        <w:t>mit</w:t>
      </w:r>
      <w:r>
        <w:rPr>
          <w:b/>
          <w:color w:val="808080"/>
        </w:rPr>
        <w:t>]</w:t>
      </w:r>
      <w:r>
        <w:rPr/>
        <w:t xml:space="preserve"> der Taufe getauft werden </w:t>
      </w:r>
      <w:r>
        <w:rPr>
          <w:rStyle w:val="Funotenanker"/>
        </w:rPr>
        <w:footnoteReference w:customMarkFollows="1" w:id="4491"/>
        <w:t>ax</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492"/>
        <w:t>ay</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493"/>
        <w:t>az</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494"/>
        <w:t>ba</w:t>
      </w:r>
      <w:r>
        <w:rPr/>
        <w:t xml:space="preserve"> waren sie wütend </w:t>
      </w:r>
      <w:r>
        <w:rPr>
          <w:color w:val="808080"/>
        </w:rPr>
        <w:t>(ärgerten sie sich)</w:t>
      </w:r>
      <w:r>
        <w:rPr/>
        <w:t xml:space="preserve"> </w:t>
      </w:r>
      <w:r>
        <w:rPr>
          <w:rStyle w:val="Funotenanker"/>
        </w:rPr>
        <w:footnoteReference w:customMarkFollows="1" w:id="4495"/>
        <w:t>bb</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496"/>
        <w:t>bc</w:t>
      </w:r>
      <w:r>
        <w:rPr/>
        <w:t xml:space="preserve"> die Menschen </w:t>
      </w:r>
      <w:r>
        <w:rPr>
          <w:rStyle w:val="Funotenanker"/>
        </w:rPr>
        <w:footnoteReference w:customMarkFollows="1" w:id="4497"/>
        <w:t>bd</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498"/>
        <w:t>be</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499"/>
        <w:t>bf</w:t>
      </w:r>
      <w:r>
        <w:rPr/>
        <w:t xml:space="preserve"> ein blinder Bettler, am Straßenrand </w:t>
      </w:r>
      <w:r>
        <w:rPr>
          <w:rStyle w:val="Funotenanker"/>
        </w:rPr>
        <w:footnoteReference w:customMarkFollows="1" w:id="4500"/>
        <w:t>bg</w:t>
      </w:r>
      <w:r>
        <w:rPr/>
        <w:t xml:space="preserve">,{{field-off:bible}} </w:t>
        <w:br/>
        <w:t>[[@BibleTOBIBLE:Mk 10:47]]</w:t>
      </w:r>
      <w:r>
        <w:rPr>
          <w:b/>
        </w:rPr>
        <w:t>47</w:t>
      </w:r>
      <w:r>
        <w:rPr/>
        <w:t xml:space="preserve"> {{field-on:bible}}Und als er hörte, </w:t>
      </w:r>
      <w:r>
        <w:rPr>
          <w:rStyle w:val="Funotenanker"/>
        </w:rPr>
        <w:footnoteReference w:customMarkFollows="1" w:id="4501"/>
        <w:t>bh</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502"/>
        <w:t>bi</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503"/>
        <w:t>bj</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504"/>
        <w:t>bk</w:t>
      </w:r>
      <w:r>
        <w:rPr/>
        <w:t xml:space="preserve"> kam zu Jesus.{{field-off:bible}} </w:t>
        <w:br/>
        <w:t>[[@BibleTOBIBLE:Mk 10:51]]</w:t>
      </w:r>
      <w:r>
        <w:rPr>
          <w:b/>
        </w:rPr>
        <w:t>51</w:t>
      </w:r>
      <w:r>
        <w:rPr/>
        <w:t xml:space="preserve"> {{field-on:bible}}Und Jesus fragte ihn </w:t>
      </w:r>
      <w:r>
        <w:rPr>
          <w:rStyle w:val="Funotenanker"/>
        </w:rPr>
        <w:footnoteReference w:customMarkFollows="1" w:id="4505"/>
        <w:t>bl</w:t>
      </w:r>
      <w:r>
        <w:rPr/>
        <w:t xml:space="preserve">: »Was willst du, dass ich für dich tue?« Da sagte der Blinde zu ihm: »Rabbuni </w:t>
      </w:r>
      <w:r>
        <w:rPr>
          <w:rStyle w:val="Funotenanker"/>
        </w:rPr>
        <w:footnoteReference w:customMarkFollows="1" w:id="4506"/>
        <w:t>bm</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507"/>
        <w:t>bn</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508"/>
        <w:t>bo</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509"/>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510"/>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511"/>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512"/>
        <w:t>c</w:t>
      </w:r>
      <w:r>
        <w:rPr/>
        <w:t xml:space="preserve"> werdet ihr ein Eselsfohlen </w:t>
      </w:r>
      <w:r>
        <w:rPr>
          <w:color w:val="808080"/>
        </w:rPr>
        <w:t>(Fohlen)</w:t>
      </w:r>
      <w:r>
        <w:rPr/>
        <w:t xml:space="preserve"> </w:t>
      </w:r>
      <w:r>
        <w:rPr>
          <w:rStyle w:val="Funotenanker"/>
        </w:rPr>
        <w:footnoteReference w:customMarkFollows="1" w:id="4513"/>
        <w:t>d</w:t>
      </w:r>
      <w:r>
        <w:rPr/>
        <w:t xml:space="preserve"> angebunden finden, auf dem noch nie ein Mensch </w:t>
      </w:r>
      <w:r>
        <w:rPr>
          <w:rStyle w:val="Funotenanker"/>
        </w:rPr>
        <w:footnoteReference w:customMarkFollows="1" w:id="4514"/>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515"/>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516"/>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517"/>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518"/>
        <w:t>i</w:t>
      </w:r>
      <w:r>
        <w:rPr/>
        <w:t xml:space="preserve">: „Hosanna! </w:t>
      </w:r>
      <w:r>
        <w:rPr>
          <w:rStyle w:val="Funotenanker"/>
        </w:rPr>
        <w:footnoteReference w:customMarkFollows="1" w:id="4519"/>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520"/>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521"/>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522"/>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523"/>
        <w:t>n</w:t>
      </w:r>
      <w:r>
        <w:rPr/>
        <w:t xml:space="preserve"> „Nie mehr, bis in Ewigkeit, soll jemand </w:t>
      </w:r>
      <w:r>
        <w:rPr>
          <w:rStyle w:val="Funotenanker"/>
        </w:rPr>
        <w:footnoteReference w:customMarkFollows="1" w:id="4524"/>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525"/>
        <w:t>p</w:t>
      </w:r>
      <w:r>
        <w:rPr/>
        <w:t xml:space="preserve"> ging er in den Tempel </w:t>
      </w:r>
      <w:r>
        <w:rPr>
          <w:color w:val="808080"/>
        </w:rPr>
        <w:t>(Tempelbezirk)</w:t>
      </w:r>
      <w:r>
        <w:rPr/>
        <w:t xml:space="preserve"> und </w:t>
      </w:r>
      <w:r>
        <w:rPr>
          <w:rStyle w:val="Funotenanker"/>
        </w:rPr>
        <w:footnoteReference w:customMarkFollows="1" w:id="4526"/>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527"/>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528"/>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529"/>
        <w:t>t</w:t>
      </w:r>
      <w:r>
        <w:rPr/>
        <w:t xml:space="preserve"> „Heißt es nicht </w:t>
      </w:r>
      <w:r>
        <w:rPr>
          <w:color w:val="808080"/>
        </w:rPr>
        <w:t>(Steht nicht geschrieben)</w:t>
      </w:r>
      <w:r>
        <w:rPr/>
        <w:t>: »Mein Haus wird ein Haus des Gebets für alle Völker</w:t>
      </w:r>
      <w:r>
        <w:rPr>
          <w:rStyle w:val="Funotenanker"/>
        </w:rPr>
        <w:footnoteReference w:customMarkFollows="1" w:id="4530"/>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531"/>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532"/>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533"/>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534"/>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535"/>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536"/>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537"/>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538"/>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539"/>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540"/>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541"/>
        <w:t>af</w:t>
      </w:r>
      <w:r>
        <w:rPr/>
        <w:t xml:space="preserve"> dann werden sie </w:t>
      </w:r>
      <w:r>
        <w:rPr>
          <w:strike/>
          <w:color w:val="808080"/>
        </w:rPr>
        <w:t>{für euch}</w:t>
      </w:r>
      <w:r>
        <w:rPr/>
        <w:t xml:space="preserve"> eintreffen. </w:t>
      </w:r>
      <w:r>
        <w:rPr>
          <w:rStyle w:val="Funotenanker"/>
        </w:rPr>
        <w:footnoteReference w:customMarkFollows="1" w:id="4542"/>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543"/>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544"/>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545"/>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546"/>
        <w:t>ak</w:t>
      </w:r>
      <w:r>
        <w:rPr/>
        <w:t xml:space="preserve"> </w:t>
      </w:r>
      <w:r>
        <w:rPr>
          <w:strike/>
          <w:color w:val="808080"/>
        </w:rPr>
        <w:t>{und}</w:t>
      </w:r>
      <w:r>
        <w:rPr/>
        <w:t xml:space="preserve"> Antwortet mir, </w:t>
      </w:r>
      <w:r>
        <w:rPr>
          <w:rStyle w:val="Funotenanker"/>
        </w:rPr>
        <w:footnoteReference w:customMarkFollows="1" w:id="4547"/>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548"/>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549"/>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550"/>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551"/>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552"/>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553"/>
        <w:t>d</w:t>
      </w:r>
      <w:r>
        <w:rPr/>
        <w:t xml:space="preserve"> </w:t>
        <w:br/>
        <w:br/>
        <w:t>[[@BibleTOBIBLE:Mk 12:1]]</w:t>
      </w:r>
      <w:r>
        <w:rPr>
          <w:b/>
        </w:rPr>
        <w:t>1</w:t>
      </w:r>
      <w:r>
        <w:rPr/>
        <w:t xml:space="preserve"> {{field-on:bible}} </w:t>
      </w:r>
      <w:r>
        <w:rPr>
          <w:rStyle w:val="Funotenanker"/>
        </w:rPr>
        <w:footnoteReference w:customMarkFollows="1" w:id="4554"/>
        <w:t>Status</w:t>
      </w:r>
      <w:r>
        <w:rPr/>
        <w:t xml:space="preserve"> </w:t>
      </w:r>
      <w:r>
        <w:rPr>
          <w:rStyle w:val="Funotenanker"/>
        </w:rPr>
        <w:footnoteReference w:customMarkFollows="1" w:id="4555"/>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556"/>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557"/>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558"/>
        <w:t>h</w:t>
      </w:r>
      <w:r>
        <w:rPr/>
        <w:t xml:space="preserve"> aus und baute einen Wachtturm </w:t>
      </w:r>
      <w:r>
        <w:rPr>
          <w:rStyle w:val="Funotenanker"/>
        </w:rPr>
        <w:footnoteReference w:customMarkFollows="1" w:id="4559"/>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560"/>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561"/>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562"/>
        <w:t>l</w:t>
      </w:r>
      <w:r>
        <w:rPr/>
        <w:t xml:space="preserve"> und entehrten ihn </w:t>
      </w:r>
      <w:r>
        <w:rPr>
          <w:color w:val="808080"/>
        </w:rPr>
        <w:t>(behandelten ihn verächtlich)</w:t>
      </w:r>
      <w:r>
        <w:rPr/>
        <w:t>.</w:t>
      </w:r>
      <w:r>
        <w:rPr>
          <w:rStyle w:val="Funotenanker"/>
        </w:rPr>
        <w:footnoteReference w:customMarkFollows="1" w:id="4563"/>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564"/>
        <w:t>n</w:t>
      </w:r>
      <w:r>
        <w:rPr/>
        <w:t xml:space="preserve"> – manche verprügelten sie, andere brachten sie um</w:t>
      </w:r>
      <w:r>
        <w:rPr>
          <w:rStyle w:val="Funotenanker"/>
        </w:rPr>
        <w:footnoteReference w:customMarkFollows="1" w:id="4565"/>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566"/>
        <w:t>p</w:t>
      </w:r>
      <w:r>
        <w:rPr/>
        <w:t xml:space="preserve">. Er sandte ihn als letzten zu ihnen, weil er glaubte </w:t>
      </w:r>
      <w:r>
        <w:rPr>
          <w:color w:val="808080"/>
        </w:rPr>
        <w:t>(dachte, sich sagte)</w:t>
      </w:r>
      <w:r>
        <w:rPr/>
        <w:t xml:space="preserve">: </w:t>
      </w:r>
      <w:r>
        <w:rPr>
          <w:rStyle w:val="Funotenanker"/>
        </w:rPr>
        <w:footnoteReference w:customMarkFollows="1" w:id="4567"/>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568"/>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569"/>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570"/>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571"/>
        <w:t>u</w:t>
      </w:r>
      <w:r>
        <w:rPr/>
        <w:t xml:space="preserve">, den die Bauleute abgelehnt </w:t>
      </w:r>
      <w:r>
        <w:rPr>
          <w:color w:val="808080"/>
        </w:rPr>
        <w:t>(verworfen, zurückgewiesen)</w:t>
      </w:r>
      <w:r>
        <w:rPr/>
        <w:t xml:space="preserve"> haben,</w:t>
        <w:br/>
        <w:t>''der''</w:t>
      </w:r>
      <w:r>
        <w:rPr>
          <w:rStyle w:val="Funotenanker"/>
        </w:rPr>
        <w:footnoteReference w:customMarkFollows="1" w:id="4572"/>
        <w:t>v</w:t>
      </w:r>
      <w:r>
        <w:rPr/>
        <w:t xml:space="preserve"> ist zum Schlussstein </w:t>
      </w:r>
      <w:r>
        <w:rPr>
          <w:color w:val="808080"/>
        </w:rPr>
        <w:t>(Kopfstein, Eckstein)</w:t>
      </w:r>
      <w:r>
        <w:rPr/>
        <w:t xml:space="preserve"> </w:t>
      </w:r>
      <w:r>
        <w:rPr>
          <w:rStyle w:val="Funotenanker"/>
        </w:rPr>
        <w:footnoteReference w:customMarkFollows="1" w:id="4573"/>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574"/>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575"/>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576"/>
        <w:t>z</w:t>
      </w:r>
      <w:r>
        <w:rPr/>
        <w:t xml:space="preserve">, dass er das Gleichnis gegen sie gesprochen hatte </w:t>
      </w:r>
      <w:r>
        <w:rPr>
          <w:rStyle w:val="Funotenanker"/>
        </w:rPr>
        <w:footnoteReference w:customMarkFollows="1" w:id="4577"/>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578"/>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579"/>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580"/>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581"/>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582"/>
        <w:t>af</w:t>
      </w:r>
      <w:r>
        <w:rPr/>
        <w:t xml:space="preserve"> den Weg Gottes </w:t>
      </w:r>
      <w:r>
        <w:rPr>
          <w:rStyle w:val="Funotenanker"/>
        </w:rPr>
        <w:footnoteReference w:customMarkFollows="1" w:id="4583"/>
        <w:t>ag</w:t>
      </w:r>
      <w:r>
        <w:rPr/>
        <w:t xml:space="preserve">. Darf man </w:t>
      </w:r>
      <w:r>
        <w:rPr>
          <w:rStyle w:val="Funotenanker"/>
        </w:rPr>
        <w:footnoteReference w:customMarkFollows="1" w:id="4584"/>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585"/>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586"/>
        <w:t>aj</w:t>
      </w:r>
      <w:r>
        <w:rPr/>
        <w:t xml:space="preserve"> sagte zu ihnen: „Warum stellt ihr mir eine Falle </w:t>
      </w:r>
      <w:r>
        <w:rPr>
          <w:color w:val="808080"/>
        </w:rPr>
        <w:t>(versucht ihr mich)</w:t>
      </w:r>
      <w:r>
        <w:rPr/>
        <w:t xml:space="preserve">? </w:t>
      </w:r>
      <w:r>
        <w:rPr>
          <w:rStyle w:val="Funotenanker"/>
        </w:rPr>
        <w:footnoteReference w:customMarkFollows="1" w:id="4587"/>
        <w:t>ak</w:t>
      </w:r>
      <w:r>
        <w:rPr/>
        <w:t xml:space="preserve"> Bringt mir einen Denar </w:t>
      </w:r>
      <w:r>
        <w:rPr>
          <w:rStyle w:val="Funotenanker"/>
        </w:rPr>
        <w:footnoteReference w:customMarkFollows="1" w:id="4588"/>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589"/>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590"/>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591"/>
        <w:t>ao</w:t>
      </w:r>
      <w:r>
        <w:rPr/>
        <w:t>: »Wenn jemandes Bruder stirbt, und eine Frau zurücklässt</w:t>
      </w:r>
      <w:r>
        <w:rPr>
          <w:rStyle w:val="Funotenanker"/>
        </w:rPr>
        <w:footnoteReference w:customMarkFollows="1" w:id="4592"/>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593"/>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594"/>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595"/>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596"/>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597"/>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598"/>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599"/>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600"/>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601"/>
        <w:t>a</w:t>
      </w:r>
      <w:r>
        <w:rPr/>
        <w:t xml:space="preserve"> als er aus dem Tempel hinausging </w:t>
      </w:r>
      <w:r>
        <w:rPr>
          <w:color w:val="808080"/>
        </w:rPr>
        <w:t>(hinausgeht)</w:t>
      </w:r>
      <w:r>
        <w:rPr/>
        <w:t xml:space="preserve"> </w:t>
      </w:r>
      <w:r>
        <w:rPr>
          <w:rStyle w:val="Funotenanker"/>
        </w:rPr>
        <w:footnoteReference w:customMarkFollows="1" w:id="4602"/>
        <w:t>b</w:t>
      </w:r>
      <w:r>
        <w:rPr/>
        <w:t xml:space="preserve">, sagte </w:t>
      </w:r>
      <w:r>
        <w:rPr>
          <w:color w:val="808080"/>
        </w:rPr>
        <w:t>(sagt)</w:t>
      </w:r>
      <w:r>
        <w:rPr/>
        <w:t xml:space="preserve"> </w:t>
      </w:r>
      <w:r>
        <w:rPr>
          <w:rStyle w:val="Funotenanker"/>
        </w:rPr>
        <w:footnoteReference w:customMarkFollows="1" w:id="4603"/>
        <w:t>c</w:t>
      </w:r>
      <w:r>
        <w:rPr/>
        <w:t xml:space="preserve"> einer</w:t>
      </w:r>
      <w:r>
        <w:rPr>
          <w:rStyle w:val="Funotenanker"/>
        </w:rPr>
        <w:footnoteReference w:customMarkFollows="1" w:id="4604"/>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605"/>
        <w:t>e</w:t>
      </w:r>
      <w:r>
        <w:rPr/>
        <w:t xml:space="preserve"> Was für Steine und was für Gebäude!</w:t>
      </w:r>
      <w:r>
        <w:rPr>
          <w:rStyle w:val="Funotenanker"/>
        </w:rPr>
        <w:footnoteReference w:customMarkFollows="1" w:id="4606"/>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607"/>
        <w:t>g</w:t>
      </w:r>
      <w:r>
        <w:rPr/>
        <w:t xml:space="preserve"> Nicht </w:t>
      </w:r>
      <w:r>
        <w:rPr>
          <w:color w:val="808080"/>
        </w:rPr>
        <w:t>(Keinesfalls)</w:t>
      </w:r>
      <w:r>
        <w:rPr/>
        <w:t xml:space="preserve"> </w:t>
      </w:r>
      <w:r>
        <w:rPr>
          <w:rStyle w:val="Funotenanker"/>
        </w:rPr>
        <w:footnoteReference w:customMarkFollows="1" w:id="4608"/>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609"/>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610"/>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611"/>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612"/>
        <w:t>l</w:t>
      </w:r>
      <w:r>
        <w:rPr/>
        <w:t xml:space="preserve"> Wann wird dies</w:t>
      </w:r>
      <w:r>
        <w:rPr>
          <w:rStyle w:val="Funotenanker"/>
        </w:rPr>
        <w:footnoteReference w:customMarkFollows="1" w:id="4613"/>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614"/>
        <w:t>n</w:t>
      </w:r>
      <w:r>
        <w:rPr/>
        <w:t xml:space="preserve">, zu geschehen </w:t>
      </w:r>
      <w:r>
        <w:rPr>
          <w:color w:val="808080"/>
        </w:rPr>
        <w:t>(vollendet zu werden, zu enden)</w:t>
      </w:r>
      <w:r>
        <w:rPr/>
        <w:t xml:space="preserve"> </w:t>
      </w:r>
      <w:r>
        <w:rPr>
          <w:rStyle w:val="Funotenanker"/>
        </w:rPr>
        <w:footnoteReference w:customMarkFollows="1" w:id="4615"/>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616"/>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617"/>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618"/>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619"/>
        <w:t>s</w:t>
      </w:r>
      <w:r>
        <w:rPr/>
        <w:t xml:space="preserve"> nämlich </w:t>
      </w:r>
      <w:r>
        <w:rPr>
          <w:color w:val="808080"/>
        </w:rPr>
        <w:t>(denn)</w:t>
      </w:r>
      <w:r>
        <w:rPr/>
        <w:t xml:space="preserve"> </w:t>
      </w:r>
      <w:r>
        <w:rPr>
          <w:rStyle w:val="Funotenanker"/>
        </w:rPr>
        <w:footnoteReference w:customMarkFollows="1" w:id="4620"/>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621"/>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622"/>
        <w:t>v</w:t>
      </w:r>
      <w:r>
        <w:rPr/>
        <w:t xml:space="preserve"> ausliefern</w:t>
      </w:r>
      <w:r>
        <w:rPr>
          <w:rStyle w:val="Funotenanker"/>
        </w:rPr>
        <w:footnoteReference w:customMarkFollows="1" w:id="4623"/>
        <w:t>w</w:t>
      </w:r>
      <w:r>
        <w:rPr/>
        <w:t xml:space="preserve"> an Synhedrien</w:t>
      </w:r>
      <w:r>
        <w:rPr>
          <w:rStyle w:val="Funotenanker"/>
        </w:rPr>
        <w:footnoteReference w:customMarkFollows="1" w:id="4624"/>
        <w:t>x</w:t>
      </w:r>
      <w:r>
        <w:rPr/>
        <w:t xml:space="preserve"> und Synagogen</w:t>
      </w:r>
      <w:r>
        <w:rPr>
          <w:rStyle w:val="Funotenanker"/>
        </w:rPr>
        <w:footnoteReference w:customMarkFollows="1" w:id="4625"/>
        <w:t>y</w:t>
      </w:r>
      <w:r>
        <w:rPr/>
        <w:t>, ihr werdet geprügelt werden und ihr werdet meinetwegen vor Statthalter und Könige gestellt werden, ihnen zum Zeugnis</w:t>
      </w:r>
      <w:r>
        <w:rPr>
          <w:rStyle w:val="Funotenanker"/>
        </w:rPr>
        <w:footnoteReference w:customMarkFollows="1" w:id="4626"/>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627"/>
        <w:t>aa</w:t>
      </w:r>
      <w:r>
        <w:rPr/>
        <w:t xml:space="preserve"> zuerst</w:t>
      </w:r>
      <w:r>
        <w:rPr>
          <w:rStyle w:val="Funotenanker"/>
        </w:rPr>
        <w:footnoteReference w:customMarkFollows="1" w:id="4628"/>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629"/>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630"/>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631"/>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632"/>
        <w:t>af</w:t>
      </w:r>
      <w:r>
        <w:rPr/>
        <w:t>. Der aber, der bis zum Ende</w:t>
      </w:r>
      <w:r>
        <w:rPr>
          <w:rStyle w:val="Funotenanker"/>
        </w:rPr>
        <w:footnoteReference w:customMarkFollows="1" w:id="4633"/>
        <w:t>ag</w:t>
      </w:r>
      <w:r>
        <w:rPr/>
        <w:t xml:space="preserve"> standhaft bleibt </w:t>
      </w:r>
      <w:r>
        <w:rPr>
          <w:color w:val="808080"/>
        </w:rPr>
        <w:t>(dies erduldet)</w:t>
      </w:r>
      <w:r>
        <w:rPr/>
        <w:t xml:space="preserve"> </w:t>
      </w:r>
      <w:r>
        <w:rPr>
          <w:rStyle w:val="Funotenanker"/>
        </w:rPr>
        <w:footnoteReference w:customMarkFollows="1" w:id="4634"/>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635"/>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636"/>
        <w:t>aj</w:t>
      </w:r>
      <w:r>
        <w:rPr/>
        <w:t xml:space="preserve"> –, dann sollen die in Judäa in die Berge fliehen</w:t>
      </w:r>
      <w:r>
        <w:rPr>
          <w:rStyle w:val="Funotenanker"/>
        </w:rPr>
        <w:footnoteReference w:customMarkFollows="1" w:id="4637"/>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638"/>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639"/>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640"/>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641"/>
        <w:t>ao</w:t>
      </w:r>
      <w:r>
        <w:rPr/>
        <w:t>, die in jenen Tagen</w:t>
      </w:r>
      <w:r>
        <w:rPr>
          <w:rStyle w:val="Funotenanker"/>
        </w:rPr>
        <w:footnoteReference w:customMarkFollows="1" w:id="4642"/>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643"/>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644"/>
        <w:t>ar</w:t>
      </w:r>
      <w:r>
        <w:rPr/>
        <w:t xml:space="preserve"> bis jetzt nicht geschehen ist und niemals geschehen wird</w:t>
      </w:r>
      <w:r>
        <w:rPr>
          <w:rStyle w:val="Funotenanker"/>
        </w:rPr>
        <w:footnoteReference w:customMarkFollows="1" w:id="4645"/>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646"/>
        <w:t>at</w:t>
      </w:r>
      <w:r>
        <w:rPr/>
        <w:t xml:space="preserve"> würde absolut niemand</w:t>
      </w:r>
      <w:r>
        <w:rPr>
          <w:rStyle w:val="Funotenanker"/>
        </w:rPr>
        <w:footnoteReference w:customMarkFollows="1" w:id="4647"/>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648"/>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649"/>
        <w:t>aw</w:t>
      </w:r>
      <w:r>
        <w:rPr/>
        <w:t xml:space="preserve"> werden sie Zeichen und Wunder,</w:t>
      </w:r>
      <w:r>
        <w:rPr>
          <w:rStyle w:val="Funotenanker"/>
        </w:rPr>
        <w:footnoteReference w:customMarkFollows="1" w:id="4650"/>
        <w:t>ax</w:t>
      </w:r>
      <w:r>
        <w:rPr/>
        <w:t xml:space="preserve"> um – wenn möglich – die Auserwählten zu verführen </w:t>
      </w:r>
      <w:r>
        <w:rPr>
          <w:color w:val="808080"/>
        </w:rPr>
        <w:t>(irrezuführen)</w:t>
      </w:r>
      <w:r>
        <w:rPr/>
        <w:t xml:space="preserve"> </w:t>
      </w:r>
      <w:r>
        <w:rPr>
          <w:rStyle w:val="Funotenanker"/>
        </w:rPr>
        <w:footnoteReference w:customMarkFollows="1" w:id="4651"/>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652"/>
        <w:t>az</w:t>
      </w:r>
      <w:r>
        <w:rPr/>
        <w:t xml:space="preserve"> seid achtsam! Ich habe euch alles vorausgesagt.</w:t>
      </w:r>
      <w:r>
        <w:rPr>
          <w:rStyle w:val="Funotenanker"/>
        </w:rPr>
        <w:footnoteReference w:customMarkFollows="1" w:id="4653"/>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654"/>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655"/>
        <w:t>bc</w:t>
      </w:r>
      <w:r>
        <w:rPr/>
        <w:t xml:space="preserve"> den in den Wolken kommenden Menschensohn</w:t>
      </w:r>
      <w:r>
        <w:rPr>
          <w:rStyle w:val="Funotenanker"/>
        </w:rPr>
        <w:footnoteReference w:customMarkFollows="1" w:id="4656"/>
        <w:t>bd</w:t>
      </w:r>
      <w:r>
        <w:rPr/>
        <w:t>, mit großer Macht</w:t>
      </w:r>
      <w:r>
        <w:rPr>
          <w:rStyle w:val="Funotenanker"/>
        </w:rPr>
        <w:footnoteReference w:customMarkFollows="1" w:id="4657"/>
        <w:t>be</w:t>
      </w:r>
      <w:r>
        <w:rPr/>
        <w:t xml:space="preserve"> und Herrlichkeit</w:t>
      </w:r>
      <w:r>
        <w:rPr>
          <w:rStyle w:val="Funotenanker"/>
        </w:rPr>
        <w:footnoteReference w:customMarkFollows="1" w:id="4658"/>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659"/>
        <w:t>bg</w:t>
      </w:r>
      <w:r>
        <w:rPr/>
        <w:t xml:space="preserve"> vom Ende der Erde bis zum Ende des Himmels</w:t>
      </w:r>
      <w:r>
        <w:rPr>
          <w:rStyle w:val="Funotenanker"/>
        </w:rPr>
        <w:footnoteReference w:customMarkFollows="1" w:id="4660"/>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661"/>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662"/>
        <w:t>bj</w:t>
      </w:r>
      <w:r>
        <w:rPr/>
        <w:t xml:space="preserve"> seine Zweige</w:t>
      </w:r>
      <w:r>
        <w:rPr>
          <w:rStyle w:val="Funotenanker"/>
        </w:rPr>
        <w:footnoteReference w:customMarkFollows="1" w:id="4663"/>
        <w:t>bk</w:t>
      </w:r>
      <w:r>
        <w:rPr/>
        <w:t xml:space="preserve"> weich werden </w:t>
      </w:r>
      <w:r>
        <w:rPr>
          <w:rStyle w:val="Funotenanker"/>
        </w:rPr>
        <w:footnoteReference w:customMarkFollows="1" w:id="4664"/>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665"/>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666"/>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667"/>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668"/>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669"/>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670"/>
        <w:t>br</w:t>
      </w:r>
      <w:r>
        <w:rPr/>
        <w:t xml:space="preserve"> weder die Engel </w:t>
      </w:r>
      <w:r>
        <w:rPr>
          <w:color w:val="808080"/>
        </w:rPr>
        <w:t>(Boten)</w:t>
      </w:r>
      <w:r>
        <w:rPr/>
        <w:t xml:space="preserve"> </w:t>
      </w:r>
      <w:r>
        <w:rPr>
          <w:rStyle w:val="Funotenanker"/>
        </w:rPr>
        <w:footnoteReference w:customMarkFollows="1" w:id="4671"/>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672"/>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673"/>
        <w:t>bu</w:t>
      </w:r>
      <w:r>
        <w:rPr/>
        <w:t xml:space="preserve"> </w:t>
      </w:r>
      <w:r>
        <w:rPr>
          <w:rStyle w:val="Funotenanker"/>
        </w:rPr>
        <w:footnoteReference w:customMarkFollows="1" w:id="4674"/>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675"/>
        <w:t>bw</w:t>
      </w:r>
      <w:r>
        <w:rPr/>
        <w:t xml:space="preserve"> dem Torhüter gebot, dass er wachsam sei </w:t>
      </w:r>
      <w:r>
        <w:rPr>
          <w:color w:val="808080"/>
        </w:rPr>
        <w:t>(Wache halte)</w:t>
      </w:r>
      <w:r>
        <w:rPr/>
        <w:t>.</w:t>
      </w:r>
      <w:r>
        <w:rPr>
          <w:rStyle w:val="Funotenanker"/>
        </w:rPr>
        <w:footnoteReference w:customMarkFollows="1" w:id="4676"/>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677"/>
        <w:t>by</w:t>
      </w:r>
      <w:r>
        <w:rPr/>
        <w:t xml:space="preserve"> - ob am Abend, zur Mitternacht, zum Hahnenschrei oder im Morgengrauen</w:t>
      </w:r>
      <w:r>
        <w:rPr>
          <w:rStyle w:val="Funotenanker"/>
        </w:rPr>
        <w:footnoteReference w:customMarkFollows="1" w:id="4678"/>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679"/>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werden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680"/>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681"/>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angebracht.&lt;small&gt;Neu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682"/>
        <w:t>c</w:t>
      </w:r>
      <w:r>
        <w:rPr/>
        <w:t xml:space="preserve"> Gelegentlich wurde daher der Alternativbegriff „Gabeworte“ vorgeschlagen, den wir daher auch hier verwenden werden.&lt;/small&gt;Den Ablauf des Letzten Abendmahls, das Mk hier als Paschamahl schildert (s. dazu den Exkurs zur Zeitrechnung), haben wir uns als ein etwas ausgebautes hellenistisches Gastmahl vorzustellen: Es begann mit einer im Sitzen eingenommenen Vorspeise, nach der sich die Tischgesellschaft geschlossen in den Speisesaal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er/sie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So kann auch und sollte dann besser der Text in Mk und Mt verstanden werden.Beide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683"/>
        <w:t>d</w:t>
      </w:r>
      <w:r>
        <w:rPr/>
        <w:t xml:space="preserve"> Manchmal wurden diese beiden Bräuche wohl auch miteinander kombiniert (vgl. z.B. Smith 2002, S. 30; Tolles 1943, S. 86f), und eine solche Kombination haben wir uns auch für das Letzte Abendmahl zu denken. Vielsagend ist hier gerade bei Mk, dass er mit der Rede vom „Bundesblut“ Ex 24,6-8 einspielt, und auch dort wird die eine Hälfte des Blutes vor Gott ausgegossen, die andere Hälfte des Blutes wird über das Volk „ausgesprengt“.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684"/>
        <w:t>e</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Mit Vv. 26-31 beginnt nun die eigentliche Passion: Jesus begibt sich an den Ort seiner Gefangennahme. Aus dem Alten Testament weiß er bereits um diese Gefangennahme und den folgenden Leidensweg; aus dem Alten Testament weiß er aber auch, wie es mit seinen Jüngern weitergehen wird. Sie alle werden „zu Fall kommen“. Paradigmatisch für dieses zu-Fall-Kommen der Jünger ist Petrus; mit Vv. 26-31 beginnt eine Abfolge von Perikopen, in denen gleichzeitig vom Leiden Christi und dem Scheitern Petri berichtet wird: Vv. 26-31: Jesus prophezeit seinen Tod, das Scheitern der Jünger (V. 27) und den dreimaligen Verrat Petri (V. 30); Vv. 32-42: Jesus betet, er möge nicht sterben müssen, während es den Jüngern und speziell Petrus (V. 37) dreimal nicht gelingt, wach zu bleiben und zu beten, „um nicht in Versuchung zu geraten“ (V. 38); Vv. 43-65: Jesus wird gefangengenommen und steht vor Gericht, Vv. 54.66-72: Petrus verleugnet dreimal Jesus. Zusätzlich hervorgehoben wird dieses dreimalige Scheitern Petri durch die sehr redundante dreifache Zeitangabe in V. 30. Eingeschaltet in diese Perikopenfolge ist das radikalstmögliche Scheitern der Jünger: Judas verrät Jesus. Vv. 26-31 betonen: Die Passion Im Mk-Ev. ist nicht nur eine Geschichte vom Leiden und Tod Christi, sondern auch eine Geschichte vom Scheitern all seiner Freunde. Vv. 32-42 enthalten recht eigentlich eine Doppelerzählung. Die Vordergründige ist leicht erkennbar; erzählt wird, wie Jesus im Gebet und im Beistand seiner Jünger nach Kraft für seine letzte, größte Aufgabe sucht. Schon die Ortswechsel drücken aber aus, dass Jesus diese Aufgabe alleine stemmen muss: In V. 32 entfernen Jesus und alle Jünger sich von der Stadt, in V. 33 entfernt er sich mit drei Jüngern von den anderen, in V. 35 dann ist er ganz allein. Unterstrichen wird dies aber außerdem von der zweiten Erzählung, nämlich der von den Jüngern und davon, dass sie durchaus nicht in der Lage sind, Jesus Beistand zu leisten – weil sie nicht einmal imstande sind, wach zu bleiben. Schlüssel zum Verständnis ist wohl der im vorigen Kapitel zu lesende Aufruf Jesu zu Wachheit und Wachsamkeit und seiner Erzählung vom Hausherrn, der seine Torhüter schlafend vorfindet (Mk 13,32-37): Diese Wachsamkeit soll einesteils vorbereiten auf und wach machen für die endzeitlichen Bedrängnisse, die in Mk 13,14-31 geschildert werden, andernteils aber auf und für die davor noch anstehenden Verhöre von Christen in Synhedrien, Synagogen, vor Statthaltern und Königen (Mk 13,9-13). Diese Verhöre werden in unserem Kapitel noch einmal wesentlich deutlicher in Vv. 54-72 thematisiert (s.u.); die Stoßrichtung ist dann hier wohl die selbe wie dort: Die Jünger sind nicht wachsam (Vv. 37.40), bleiben nicht standhaft (V. 38), wissen nicht, was sie sagen sollen (V. 40; vgl. dagegen Mk 13,11) – gerade Petrus, Jakobus und Johannes, Jesu angesehenste Nachfolger! –, doch gerade weil sie die sind, die sie sind, wird ihnen niemand diese mangelnde Achtsamkeit und Wachsamkeit zur Last legen können. In Vv. 34-42 wie in Vv. 54-72 werden also andere Teile des Mk entschärft. Vv. 43-53 berichten dann von Jesu Gefangennahme und Abführung. Vv. 43-47 zeigen dabei wohl v.a., welch „feine Gesellschaft“ es ist, die Jesus da gefangennimmt: Zunächst ist da Judas, der Verräter aus dem Zwölferkreis, der Jesu zu allem Überfluss auch noch mit einem Kuss verrät. Sodann die zur Gefangennahme entsandten Truppen, die – das Festtagsverbot von Waffen missachtend – mit Schwertern und Keulen gegen Jesus ausziehen, als handle es sich bei ihm um einen gefährlichen Räuber. Entsandt sind diese u.a. vom Hohepriester, und sollte es nicht schon sein bisheriges (und mehr noch sein direkt bevorstehendes) Handeln deutlich gezeigt haben, macht es der symbolische Angriff auf ihn in V. 47 deutlich: Ebenso, wie Judas nicht wert ist, einer der Zwölf zu sein und die Häscher Jesu durchaus nicht rechtmäßig handeln, sondern gar den Tod verdienen, ist auch der Hohepriester durchaus seines Amtes nicht würdig.Diese sind es also, die Jesus hier gefangennehmen, und Jesus weist auf diese Unrechtmäßigkeit in Vv. 48f. auch deutlich hin, fügt sich aber, gestärkt durch das in der vorhergehenden Perikope Geschilderte, in sein Schicksal: Gottes Wille muss erfüllt werden.In Vv. 50-53 wird berichtet, wie die Personenkonstellation um Jesus sich ändert: Als Reaktion auf dieses sein sich-Fügen fliehen seine Anhänger allesamt. Jesus ist endgültig allein. Dafür aber versammeln sich alle obersten Priester im Haus des Hohepriesters um Jesus: Statt von Freunden und Anhängern ist Jesus nun nur noch von Feinden umgeben. Vv. 51f., über die viel gerätselt wurde, schildern dabei wohl nur einen Spezialfall der fliehenden Anhänger Jesu, um die Schmach dieser allgemeinen Flucht zu veranschaulichen.</w:t>
      </w:r>
      <w:r>
        <w:rPr>
          <w:rStyle w:val="Funotenanker"/>
        </w:rPr>
        <w:footnoteReference w:customMarkFollows="1" w:id="4685"/>
        <w:t>f</w:t>
      </w:r>
      <w:r>
        <w:rPr/>
        <w:t xml:space="preserve"> In Vv. 54-72 sind, wie dies für das Mk typisch ist, zwei Erzählungen ineinander verschachtelt: Vv. 55-65 handeln vom Verhör Jesu durch die obersten Priester Israels, Vv. 54.66-72 vom „Verhör“ Petri durch Bedienstete des Hohepriesters. Wie häufig werden auch hier auf diese Weise die beiden Erzählungen miteinander kontrastiert: Während bei Jesus aufgrund nicht übereinstimmender Falschaussagen seiner Ankläger nicht beizukommen ist und er sich dann geradezu selbst verurteilen muss, indem er in aller Freimut bekennt, Messias, Sohn Gottes, „Menschensohn“ und endzeitlicher Heilsbringer zu sein, scheitert Petrus kläglich. Verknüpft werden die beiden Erzählungen auch durch die traurige Ironie, dass die Erzählung um Jesu endet mit der sarkastischen Aufforderung „Prophezeie!“ (V. 65), worauf direkt sich anschließt, wie eine eben erst (V. 30) ausgesprochene Prophezeiung Jesu sich tatsächlich bewahrheitet: Petrus verleugnet Jesus gleich drei Mal.Das Mk wurde kurze Zeit nach der grausamen Christenverfolgung durch Nero verfasst. Zu dieser Christenverfolgung gehörte auch das Verhör von Christen, in dem sie sich entweder als Märtyrer zu ihrem Christsein bekennen oder Christus „verleugnen“ und so zu Apostaten werden konnten. Plinius berichtet darüber in einem Brief an Kaiser Trajan, er habe Christen stets drei Mal gefragt, ob sie Christen seien, und erst nach ihrem dritten Bejahen habe er sie abführen lassen (Plinius, Epp. X 96,3). Von einige Methoden dieser Befragung lesen wir z.B. in den Märtyrerakten des Polykarp. Dieser soll zum arneisthai gebracht werden, zum „Leugnen“ (das selbe Wort wie in Vv. 70.72), und Ausdruck dieser Verleugnung war z.B., dass mutmaßliche Christen Christus „schmähten“ (MartPol 9.3; auch Epp. X 96.6) und z.B. bei einer Statue des als göttlich angesehenen Kaisers „schworen“, keine Christen zu sein. All diese Züge finden sich in der Szene vom Verhör des Petrus wieder: Gerade der Apostelfürst Petrus wird hier zum Exemplum eines verhörten Christen – und versagt auf ganzer Linie.Ein zeitgenössischer christlicher Leser wusste natürlich um die Vorbildlichkeit des Petrus; war er doch nach Christi Tod einer der drei Leiter der Jerusalemer Urgemeinde. Gerade deshalb eignete er sich besonders gut als Paradigma eines beim Verhör Gescheiterten: Von ihm wusste man, dass ihm sein Scheitern verziehen worden war, dass er danach sogar an die Spitze der Hierarchie der Christen gelangt war. Gerade vor dem Hintergrund von Vv. 55-65 werden so Vv. 66-72 zur Mahnung, wie mit beim Verhör gescheiterten Christen zu verfahren sei (so gut Lampe 1973) – in den Worten von Theophylakt: „Schande über die (...), die jenen die Rückkehr (in die christliche Gemeinde) veweigern wollen, die (...) gesündigt haben! Schaut auf Petrus, der am makellosen Leib und Blut teilhatte, dann den Herrn verleugnete, und dann für seine Reue zurückkehren durfte!“ (Üs. nach Stade 2008, S. 130) </w:t>
        <w:br/>
        <w:br/>
        <w:t>[[@BibleTOBIBLE:Mk 14:1]]</w:t>
      </w:r>
      <w:r>
        <w:rPr>
          <w:b/>
        </w:rPr>
        <w:t>1</w:t>
      </w:r>
      <w:r>
        <w:rPr/>
        <w:t xml:space="preserve"> {{field-on:bible}} </w:t>
      </w:r>
      <w:r>
        <w:rPr>
          <w:rStyle w:val="Funotenanker"/>
        </w:rPr>
        <w:footnoteReference w:customMarkFollows="1" w:id="4686"/>
        <w:t>Status</w:t>
      </w:r>
      <w:r>
        <w:rPr/>
        <w:t xml:space="preserve"> Das Pascha-Fest und </w:t>
      </w:r>
      <w:r>
        <w:rPr>
          <w:b/>
          <w:color w:val="808080"/>
        </w:rPr>
        <w:t>[</w:t>
      </w:r>
      <w:r>
        <w:rPr/>
        <w:t>das Fest der</w:t>
      </w:r>
      <w:r>
        <w:rPr>
          <w:b/>
          <w:color w:val="808080"/>
        </w:rPr>
        <w:t>]</w:t>
      </w:r>
      <w:r>
        <w:rPr/>
        <w:t xml:space="preserve"> ungesäuerten Brote waren </w:t>
      </w:r>
      <w:r>
        <w:rPr>
          <w:strike/>
          <w:color w:val="808080"/>
        </w:rPr>
        <w:t>{aber}</w:t>
      </w:r>
      <w:r>
        <w:rPr/>
        <w:t xml:space="preserve"> in zwei Tagen.</w:t>
      </w:r>
      <w:r>
        <w:rPr>
          <w:rStyle w:val="Funotenanker"/>
        </w:rPr>
        <w:footnoteReference w:customMarkFollows="1" w:id="4687"/>
        <w:t>g</w:t>
      </w:r>
      <w:r>
        <w:rPr/>
        <w:t xml:space="preserve"> Da suchten die Hohepriester und die Schriftgelehrten</w:t>
      </w:r>
      <w:r>
        <w:rPr>
          <w:rStyle w:val="Funotenanker"/>
        </w:rPr>
        <w:footnoteReference w:customMarkFollows="1" w:id="4688"/>
        <w:t>h</w:t>
      </w:r>
      <w:r>
        <w:rPr/>
        <w:t xml:space="preserve">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„Nicht während des Festes,</w:t>
      </w:r>
      <w:r>
        <w:rPr>
          <w:rStyle w:val="Funotenanker"/>
        </w:rPr>
        <w:footnoteReference w:customMarkFollows="1" w:id="4689"/>
        <w:t>i</w:t>
      </w:r>
      <w:r>
        <w:rPr/>
        <w:t xml:space="preserve"> sonst wird es einen Aufruhr der Volksgemeinde geben.“</w:t>
      </w:r>
      <w:r>
        <w:rPr>
          <w:rStyle w:val="Funotenanker"/>
        </w:rPr>
        <w:footnoteReference w:customMarkFollows="1" w:id="4690"/>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691"/>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692"/>
        <w:t>l</w:t>
      </w:r>
      <w:r>
        <w:rPr/>
        <w:t xml:space="preserve"> – kam eine Frau,</w:t>
      </w:r>
      <w:r>
        <w:rPr>
          <w:rStyle w:val="Funotenanker"/>
        </w:rPr>
        <w:footnoteReference w:customMarkFollows="1" w:id="4693"/>
        <w:t>m</w:t>
      </w:r>
      <w:r>
        <w:rPr/>
        <w:t xml:space="preserve"> die ein Alabastergefäß voll kostbaren, reinem Nardenparfums</w:t>
      </w:r>
      <w:r>
        <w:rPr>
          <w:rStyle w:val="Funotenanker"/>
        </w:rPr>
        <w:footnoteReference w:customMarkFollows="1" w:id="4694"/>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695"/>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verärgert </w:t>
      </w:r>
      <w:r>
        <w:rPr>
          <w:color w:val="808080"/>
        </w:rPr>
        <w:t>(voller Empörung)</w:t>
      </w:r>
      <w:r>
        <w:rPr/>
        <w:t xml:space="preserve">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696"/>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697"/>
        <w:t>q</w:t>
      </w:r>
      <w:r>
        <w:rPr/>
        <w:t xml:space="preserve"> Und sie machten ihr Vorwürfe.{{field-off:bible}} </w:t>
        <w:br/>
        <w:t>[[@BibleTOBIBLE:Mk 14:6]]</w:t>
      </w:r>
      <w:r>
        <w:rPr>
          <w:b/>
        </w:rPr>
        <w:t>6</w:t>
      </w:r>
      <w:r>
        <w:rPr/>
        <w:t xml:space="preserve"> {{field-on:bible}}Jesus aber sprach: „Lasst sie! Was macht ihr ihr Beschwerden?</w:t>
      </w:r>
      <w:r>
        <w:rPr>
          <w:rStyle w:val="Funotenanker"/>
        </w:rPr>
        <w:footnoteReference w:customMarkFollows="1" w:id="4698"/>
        <w:t>r</w:t>
      </w:r>
      <w:r>
        <w:rPr/>
        <w:t xml:space="preserve"> Sie hat ein gutes Werk</w:t>
      </w:r>
      <w:r>
        <w:rPr>
          <w:rStyle w:val="Funotenanker"/>
        </w:rPr>
        <w:footnoteReference w:customMarkFollows="1" w:id="4699"/>
        <w:t>s</w:t>
      </w:r>
      <w:r>
        <w:rPr/>
        <w:t xml:space="preserve"> an mir getan –{{field-off:bible}} </w:t>
        <w:br/>
        <w:t>[[@BibleTOBIBLE:Mk 14:7]]</w:t>
      </w:r>
      <w:r>
        <w:rPr>
          <w:b/>
        </w:rPr>
        <w:t>7</w:t>
      </w:r>
      <w:r>
        <w:rPr/>
        <w:t xml:space="preserve"> {{field-on:bible}}und</w:t>
      </w:r>
      <w:r>
        <w:rPr>
          <w:rStyle w:val="Funotenanker"/>
        </w:rPr>
        <w:footnoteReference w:customMarkFollows="1" w:id="4700"/>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701"/>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w:t>
      </w:r>
      <w:r>
        <w:rPr>
          <w:rStyle w:val="Funotenanker"/>
        </w:rPr>
        <w:footnoteReference w:customMarkFollows="1" w:id="4702"/>
        <w:t>v</w:t>
      </w:r>
      <w:r>
        <w:rPr/>
        <w:t xml:space="preserve"> hat sie getan: Sie hat es vorweggenommen, meinen Leib für das Begräbnis einzubalsamieren</w:t>
      </w:r>
      <w:r>
        <w:rPr>
          <w:rStyle w:val="Funotenanker"/>
        </w:rPr>
        <w:footnoteReference w:customMarkFollows="1" w:id="4703"/>
        <w:t>w</w:t>
      </w:r>
      <w:r>
        <w:rPr/>
        <w:t xml:space="preserve">.{{field-off:bible}} </w:t>
        <w:br/>
        <w:t>[[@BibleTOBIBLE:Mk 14:9]]</w:t>
      </w:r>
      <w:r>
        <w:rPr>
          <w:b/>
        </w:rPr>
        <w:t>9</w:t>
      </w:r>
      <w:r>
        <w:rPr/>
        <w:t xml:space="preserve"> {{field-on:bible}}Amen, ich sage euch,</w:t>
      </w:r>
      <w:r>
        <w:rPr>
          <w:rStyle w:val="Funotenanker"/>
        </w:rPr>
        <w:footnoteReference w:customMarkFollows="1" w:id="4704"/>
        <w:t>x</w:t>
      </w:r>
      <w:r>
        <w:rPr/>
        <w:t xml:space="preserve"> wo auch immer diese Freuden-Botschaft </w:t>
      </w:r>
      <w:r>
        <w:rPr>
          <w:color w:val="808080"/>
        </w:rPr>
        <w:t>(dieses Evangelium)</w:t>
      </w:r>
      <w:r>
        <w:rPr/>
        <w:t xml:space="preserve"> </w:t>
      </w:r>
      <w:r>
        <w:rPr>
          <w:rStyle w:val="Funotenanker"/>
        </w:rPr>
        <w:footnoteReference w:customMarkFollows="1" w:id="4705"/>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706"/>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707"/>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w:t>
      </w:r>
      <w:r>
        <w:rPr>
          <w:rStyle w:val="Funotenanker"/>
        </w:rPr>
        <w:footnoteReference w:customMarkFollows="1" w:id="4708"/>
        <w:t>ab</w:t>
      </w:r>
      <w:r>
        <w:rPr/>
        <w:t xml:space="preserve"> fragten</w:t>
      </w:r>
      <w:r>
        <w:rPr>
          <w:rStyle w:val="Funotenanker"/>
        </w:rPr>
        <w:footnoteReference w:customMarkFollows="1" w:id="4709"/>
        <w:t>ac</w:t>
      </w:r>
      <w:r>
        <w:rPr/>
        <w:t xml:space="preserve">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710"/>
        <w:t>ad</w:t>
      </w:r>
      <w:r>
        <w:rPr/>
        <w:t xml:space="preserve"> und sagte zu ihnen: „Geht in die Stadt, und es wird ein Mann auf euch zutreten,</w:t>
      </w:r>
      <w:r>
        <w:rPr>
          <w:rStyle w:val="Funotenanker"/>
        </w:rPr>
        <w:footnoteReference w:customMarkFollows="1" w:id="4711"/>
        <w:t>ae</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712"/>
        <w:t>af</w:t>
      </w:r>
      <w:r>
        <w:rPr/>
        <w:t xml:space="preserve"> {{field-off:bible}} </w:t>
        <w:br/>
        <w:t>[[@BibleTOBIBLE:Mk 14:15]]</w:t>
      </w:r>
      <w:r>
        <w:rPr>
          <w:b/>
        </w:rPr>
        <w:t>15</w:t>
      </w:r>
      <w:r>
        <w:rPr/>
        <w:t xml:space="preserve"> {{field-on:bible}}Und dieser wird euch ein großes Zimmer im Obergeschoss zeigen, möbliert und vorbereitet. Dort bereitet für uns vor!“</w:t>
      </w:r>
      <w:r>
        <w:rPr>
          <w:rStyle w:val="Funotenanker"/>
        </w:rPr>
        <w:footnoteReference w:customMarkFollows="1" w:id="4713"/>
        <w:t>ag</w:t>
      </w:r>
      <w:r>
        <w:rPr/>
        <w:t xml:space="preserve"> {{field-off:bible}}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w:t>
      </w:r>
      <w:r>
        <w:rPr>
          <w:color w:val="808080"/>
        </w:rPr>
        <w:t>(als)</w:t>
      </w:r>
      <w:r>
        <w:rPr/>
        <w:t xml:space="preserve"> </w:t>
      </w:r>
      <w:r>
        <w:rPr>
          <w:rStyle w:val="Funotenanker"/>
        </w:rPr>
        <w:footnoteReference w:customMarkFollows="1" w:id="4714"/>
        <w:t>ah</w:t>
      </w:r>
      <w:r>
        <w:rPr/>
        <w:t xml:space="preserve"> sie zum Essen lagen,</w:t>
      </w:r>
      <w:r>
        <w:rPr>
          <w:rStyle w:val="Funotenanker"/>
        </w:rPr>
        <w:footnoteReference w:customMarkFollows="1" w:id="4715"/>
        <w:t>ai</w:t>
      </w:r>
      <w:r>
        <w:rPr/>
        <w:t xml:space="preserve"> sagte Jesus: „Amen, ich sage euch: Einer von euch, der mit mir isst,</w:t>
      </w:r>
      <w:r>
        <w:rPr>
          <w:rStyle w:val="Funotenanker"/>
        </w:rPr>
        <w:footnoteReference w:customMarkFollows="1" w:id="4716"/>
        <w:t>aj</w:t>
      </w:r>
      <w:r>
        <w:rPr/>
        <w:t xml:space="preserve"> wird mich ausliefern</w:t>
      </w:r>
      <w:r>
        <w:rPr>
          <w:rStyle w:val="Funotenanker"/>
        </w:rPr>
        <w:footnoteReference w:customMarkFollows="1" w:id="4717"/>
        <w:t>ak</w:t>
      </w:r>
      <w:r>
        <w:rPr/>
        <w:t xml:space="preserve">.“{{field-off:bible}} </w:t>
        <w:br/>
        <w:t>[[@BibleTOBIBLE:Mk 14:19]]</w:t>
      </w:r>
      <w:r>
        <w:rPr>
          <w:b/>
        </w:rPr>
        <w:t>19</w:t>
      </w:r>
      <w:r>
        <w:rPr/>
        <w:t xml:space="preserve"> {{field-on:bible}}Das machte sie bestürzt </w:t>
      </w:r>
      <w:r>
        <w:rPr>
          <w:color w:val="808080"/>
        </w:rPr>
        <w:t>(traurig)</w:t>
      </w:r>
      <w:r>
        <w:rPr/>
        <w:t xml:space="preserve"> und einer nach dem anderen sagte zu ihm: „Doch nicht etwa ich?“{{field-off:bible}} </w:t>
        <w:br/>
        <w:t>[[@BibleTOBIBLE:Mk 14:20]]</w:t>
      </w:r>
      <w:r>
        <w:rPr>
          <w:b/>
        </w:rPr>
        <w:t>20</w:t>
      </w:r>
      <w:r>
        <w:rPr/>
        <w:t xml:space="preserve"> {{field-on:bible}}Da sagte er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718"/>
        <w:t>al</w:t>
      </w:r>
      <w:r>
        <w:rPr/>
        <w:t xml:space="preserve"> Schüssel tunkt.</w:t>
      </w:r>
      <w:r>
        <w:rPr>
          <w:rStyle w:val="Funotenanker"/>
        </w:rPr>
        <w:footnoteReference w:customMarkFollows="1" w:id="4719"/>
        <w:t>am</w:t>
      </w:r>
      <w:r>
        <w:rPr/>
        <w:t xml:space="preserve"> {{field-off:bible}} </w:t>
        <w:br/>
        <w:t>[[@BibleTOBIBLE:Mk 14:21]]</w:t>
      </w:r>
      <w:r>
        <w:rPr>
          <w:b/>
        </w:rPr>
        <w:t>21</w:t>
      </w:r>
      <w:r>
        <w:rPr/>
        <w:t xml:space="preserve"> {{field-on:bible}}Denn der Menschensohn</w:t>
      </w:r>
      <w:r>
        <w:rPr>
          <w:rStyle w:val="Funotenanker"/>
        </w:rPr>
        <w:footnoteReference w:customMarkFollows="1" w:id="4720"/>
        <w:t>an</w:t>
      </w:r>
      <w:r>
        <w:rPr/>
        <w:t xml:space="preserve"> geht</w:t>
      </w:r>
      <w:r>
        <w:rPr>
          <w:rStyle w:val="Funotenanker"/>
        </w:rPr>
        <w:footnoteReference w:customMarkFollows="1" w:id="4721"/>
        <w:t>ao</w:t>
      </w:r>
      <w:r>
        <w:rPr/>
        <w:t xml:space="preserve"> zwar, wie über ihn geschrieben steht,</w:t>
      </w:r>
      <w:r>
        <w:rPr>
          <w:rStyle w:val="Funotenanker"/>
        </w:rPr>
        <w:footnoteReference w:customMarkFollows="1" w:id="4722"/>
        <w:t>ap</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als er bei </w:t>
      </w:r>
      <w:r>
        <w:rPr>
          <w:color w:val="808080"/>
        </w:rPr>
        <w:t>(nach)</w:t>
      </w:r>
      <w:r>
        <w:rPr/>
        <w:t xml:space="preserve"> ihrem Essen ein Brot genommen und </w:t>
      </w:r>
      <w:r>
        <w:rPr>
          <w:b/>
          <w:color w:val="808080"/>
        </w:rPr>
        <w:t>[</w:t>
      </w:r>
      <w:r>
        <w:rPr/>
        <w:t>Gott</w:t>
      </w:r>
      <w:r>
        <w:rPr>
          <w:b/>
          <w:color w:val="808080"/>
        </w:rPr>
        <w:t>]</w:t>
      </w:r>
      <w:r>
        <w:rPr/>
        <w:t xml:space="preserve"> gedankt hatte,</w:t>
      </w:r>
      <w:r>
        <w:rPr>
          <w:rStyle w:val="Funotenanker"/>
        </w:rPr>
        <w:footnoteReference w:customMarkFollows="1" w:id="4723"/>
        <w:t>aq</w:t>
      </w:r>
      <w:r>
        <w:rPr/>
        <w:t xml:space="preserve"> hatte, brach er </w:t>
      </w:r>
      <w:r>
        <w:rPr>
          <w:b/>
          <w:color w:val="808080"/>
        </w:rPr>
        <w:t>[</w:t>
      </w:r>
      <w:r>
        <w:rPr/>
        <w:t>es</w:t>
      </w:r>
      <w:r>
        <w:rPr>
          <w:b/>
          <w:color w:val="808080"/>
        </w:rPr>
        <w:t>]</w:t>
      </w:r>
      <w:r>
        <w:rPr/>
        <w:t>,</w:t>
      </w:r>
      <w:r>
        <w:rPr>
          <w:rStyle w:val="Funotenanker"/>
        </w:rPr>
        <w:footnoteReference w:customMarkFollows="1" w:id="4724"/>
        <w:t>ar</w:t>
      </w:r>
      <w:r>
        <w:rPr/>
        <w:t xml:space="preserve"> gab </w:t>
      </w:r>
      <w:r>
        <w:rPr>
          <w:b/>
          <w:color w:val="808080"/>
        </w:rPr>
        <w:t>[</w:t>
      </w:r>
      <w:r>
        <w:rPr/>
        <w:t>es</w:t>
      </w:r>
      <w:r>
        <w:rPr>
          <w:b/>
          <w:color w:val="808080"/>
        </w:rPr>
        <w:t>]</w:t>
      </w:r>
      <w:r>
        <w:rPr/>
        <w:t xml:space="preserve"> ihnen und sagte: „Nehmt, dies</w:t>
      </w:r>
      <w:r>
        <w:rPr>
          <w:rStyle w:val="Funotenanker"/>
        </w:rPr>
        <w:footnoteReference w:customMarkFollows="1" w:id="4725"/>
        <w:t>as</w:t>
      </w:r>
      <w:r>
        <w:rPr/>
        <w:t xml:space="preserve"> ist mein Leib!“</w:t>
      </w:r>
      <w:r>
        <w:rPr>
          <w:rStyle w:val="Funotenanker"/>
        </w:rPr>
        <w:footnoteReference w:customMarkFollows="1" w:id="4726"/>
        <w:t>at</w:t>
      </w:r>
      <w:r>
        <w:rPr/>
        <w:t xml:space="preserve"> {{field-off:bible}} </w:t>
        <w:br/>
        <w:t>[[@BibleTOBIBLE:Mk 14:23]]</w:t>
      </w:r>
      <w:r>
        <w:rPr>
          <w:b/>
        </w:rPr>
        <w:t>23</w:t>
      </w:r>
      <w:r>
        <w:rPr/>
        <w:t xml:space="preserve"> {{field-on:bible}}Und als er einen Becher </w:t>
      </w:r>
      <w:r>
        <w:rPr>
          <w:color w:val="808080"/>
        </w:rPr>
        <w:t>(Kelch)</w:t>
      </w:r>
      <w:r>
        <w:rPr/>
        <w:t xml:space="preserve"> </w:t>
      </w:r>
      <w:r>
        <w:rPr>
          <w:rStyle w:val="Funotenanker"/>
        </w:rPr>
        <w:footnoteReference w:customMarkFollows="1" w:id="4727"/>
        <w:t>au</w:t>
      </w:r>
      <w:r>
        <w:rPr/>
        <w:t xml:space="preserve"> genommen und </w:t>
      </w:r>
      <w:r>
        <w:rPr>
          <w:b/>
          <w:color w:val="808080"/>
        </w:rPr>
        <w:t>[</w:t>
      </w:r>
      <w:r>
        <w:rPr/>
        <w:t>Gott</w:t>
      </w:r>
      <w:r>
        <w:rPr>
          <w:b/>
          <w:color w:val="808080"/>
        </w:rPr>
        <w:t>]</w:t>
      </w:r>
      <w:r>
        <w:rPr/>
        <w:t xml:space="preserve"> gedankt</w:t>
      </w:r>
      <w:r>
        <w:rPr>
          <w:rStyle w:val="Funotenanker"/>
        </w:rPr>
        <w:footnoteReference w:customMarkFollows="1" w:id="4728"/>
        <w:t>av</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729"/>
        <w:t>aw</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730"/>
        <w:t>ax</w:t>
      </w:r>
      <w:r>
        <w:rPr/>
        <w:t xml:space="preserve"> Bundes, für viele</w:t>
      </w:r>
      <w:r>
        <w:rPr>
          <w:rStyle w:val="Funotenanker"/>
        </w:rPr>
        <w:footnoteReference w:customMarkFollows="1" w:id="4731"/>
        <w:t>ay</w:t>
      </w:r>
      <w:r>
        <w:rPr/>
        <w:t xml:space="preserve"> vergossen.</w:t>
      </w:r>
      <w:r>
        <w:rPr>
          <w:rStyle w:val="Funotenanker"/>
        </w:rPr>
        <w:footnoteReference w:customMarkFollows="1" w:id="4732"/>
        <w:t>az</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733"/>
        <w:t>ba</w:t>
      </w:r>
      <w:r>
        <w:rPr/>
        <w:t xml:space="preserve"> im Reich Gottes trinken werde.“{{field-off:bible}} </w:t>
        <w:br/>
        <w:t>[[@BibleTOBIBLE:Mk 14:26]]</w:t>
      </w:r>
      <w:r>
        <w:rPr>
          <w:b/>
        </w:rPr>
        <w:t>26</w:t>
      </w:r>
      <w:r>
        <w:rPr/>
        <w:t xml:space="preserve"> {{field-on:bible}}Und nachdem sie </w:t>
      </w:r>
      <w:r>
        <w:rPr>
          <w:b/>
          <w:color w:val="808080"/>
        </w:rPr>
        <w:t>[</w:t>
      </w:r>
      <w:r>
        <w:rPr/>
        <w:t>Loblieder</w:t>
      </w:r>
      <w:r>
        <w:rPr>
          <w:b/>
          <w:color w:val="808080"/>
        </w:rPr>
        <w:t>]</w:t>
      </w:r>
      <w:r>
        <w:rPr/>
        <w:t xml:space="preserve"> gesungen hatten,</w:t>
      </w:r>
      <w:r>
        <w:rPr>
          <w:rStyle w:val="Funotenanker"/>
        </w:rPr>
        <w:footnoteReference w:customMarkFollows="1" w:id="4734"/>
        <w:t>bb</w:t>
      </w:r>
      <w:r>
        <w:rPr/>
        <w:t xml:space="preserve"> gingen sie hinaus zum Ölberg.</w:t>
      </w:r>
      <w:r>
        <w:rPr>
          <w:rStyle w:val="Funotenanker"/>
        </w:rPr>
        <w:footnoteReference w:customMarkFollows="1" w:id="4735"/>
        <w:t>bc</w:t>
      </w:r>
      <w:r>
        <w:rPr/>
        <w:t xml:space="preserve"> </w:t>
      </w:r>
      <w:r>
        <w:rPr>
          <w:position w:val="8"/>
          <w:sz w:val="19"/>
        </w:rPr>
        <w:t>[[ ℘ &gt;&gt; BibleTOBIBLE:2Sa 15:30]]</w:t>
      </w:r>
      <w:r>
        <w:rPr/>
        <w:t xml:space="preserve"> {{field-off:bible}} </w:t>
        <w:br/>
        <w:t>[[@BibleTOBIBLE:Mk 14:27]]</w:t>
      </w:r>
      <w:r>
        <w:rPr>
          <w:b/>
        </w:rPr>
        <w:t>27</w:t>
      </w:r>
      <w:r>
        <w:rPr/>
        <w:t xml:space="preserve"> {{field-on:bible}}Da sagt</w:t>
      </w:r>
      <w:r>
        <w:rPr>
          <w:b/>
          <w:color w:val="808080"/>
        </w:rPr>
        <w:t>[</w:t>
      </w:r>
      <w:r>
        <w:rPr/>
        <w:t>e</w:t>
      </w:r>
      <w:r>
        <w:rPr>
          <w:b/>
          <w:color w:val="808080"/>
        </w:rPr>
        <w:t>]</w:t>
      </w:r>
      <w:r>
        <w:rPr/>
        <w:t xml:space="preserve"> Jesus zu ihnen: „Ihr werdet alle zu Fall kommen </w:t>
      </w:r>
      <w:r>
        <w:rPr>
          <w:color w:val="808080"/>
        </w:rPr>
        <w:t>(ärgern)</w:t>
      </w:r>
      <w:r>
        <w:rPr/>
        <w:t>,</w:t>
      </w:r>
      <w:r>
        <w:rPr>
          <w:rStyle w:val="Funotenanker"/>
        </w:rPr>
        <w:footnoteReference w:customMarkFollows="1" w:id="4736"/>
        <w:t>bd</w:t>
      </w:r>
      <w:r>
        <w:rPr/>
        <w:t>,weil geschrieben steht:</w:t>
      </w:r>
      <w:r>
        <w:rPr>
          <w:rStyle w:val="Funotenanker"/>
        </w:rPr>
        <w:footnoteReference w:customMarkFollows="1" w:id="4737"/>
        <w:t>be</w:t>
      </w:r>
      <w:r>
        <w:rPr/>
        <w:t xml:space="preserve"> »Ich werde den Hirten schlagen </w:t>
      </w:r>
      <w:r>
        <w:rPr>
          <w:color w:val="808080"/>
        </w:rPr>
        <w:t>(erschlagen)</w:t>
      </w:r>
      <w:r>
        <w:rPr/>
        <w:t>, und die Schafe werden zerstreut werden.«</w:t>
      </w:r>
      <w:r>
        <w:rPr>
          <w:rStyle w:val="Funotenanker"/>
        </w:rPr>
        <w:footnoteReference w:customMarkFollows="1" w:id="4738"/>
        <w:t>bf</w:t>
      </w:r>
      <w:r>
        <w:rPr/>
        <w:t xml:space="preserve"> </w:t>
      </w:r>
      <w:r>
        <w:rPr>
          <w:position w:val="8"/>
          <w:sz w:val="19"/>
        </w:rPr>
        <w:t>[[ ℘ &gt;&gt; BibleTOBIBLE:Zec 13:7]]</w:t>
      </w:r>
      <w:r>
        <w:rPr/>
        <w:t xml:space="preserve"> {{field-off:bible}} </w:t>
        <w:br/>
        <w:t>[[@BibleTOBIBLE:Mk 14:28]]</w:t>
      </w:r>
      <w:r>
        <w:rPr>
          <w:b/>
        </w:rPr>
        <w:t>28</w:t>
      </w:r>
      <w:r>
        <w:rPr/>
        <w:t xml:space="preserve"> {{field-on:bible}}Doch nachdem ich auferweckt worden sein werde, werde ich euch nach Galiläa vorausgehen </w:t>
      </w:r>
      <w:r>
        <w:rPr>
          <w:color w:val="808080"/>
        </w:rPr>
        <w:t>(in Galiläa anführen)</w:t>
      </w:r>
      <w:r>
        <w:rPr/>
        <w:t xml:space="preserve">.“ </w:t>
      </w:r>
      <w:r>
        <w:rPr>
          <w:position w:val="8"/>
          <w:sz w:val="19"/>
        </w:rPr>
        <w:t>[[ ℘ &gt;&gt; BibleTOBIBLE:Mk 16:7]]</w:t>
      </w:r>
      <w:r>
        <w:rPr/>
        <w:t xml:space="preserve"> {{field-off:bible}} </w:t>
        <w:br/>
        <w:t>[[@BibleTOBIBLE:Mk 14:29]]</w:t>
      </w:r>
      <w:r>
        <w:rPr>
          <w:b/>
        </w:rPr>
        <w:t>29</w:t>
      </w:r>
      <w:r>
        <w:rPr/>
        <w:t xml:space="preserve"> {{field-on:bible}}Petrus aber sagte zu ihm: „Und wenn alle zu Fall kommen </w:t>
      </w:r>
      <w:r>
        <w:rPr>
          <w:color w:val="808080"/>
        </w:rPr>
        <w:t>(sich ärgern)</w:t>
      </w:r>
      <w:r>
        <w:rPr/>
        <w:t xml:space="preserve"> werden – ich aber nicht!“{{field-off:bible}} </w:t>
        <w:br/>
        <w:t>[[@BibleTOBIBLE:Mk 14:30]]</w:t>
      </w:r>
      <w:r>
        <w:rPr>
          <w:b/>
        </w:rPr>
        <w:t>30</w:t>
      </w:r>
      <w:r>
        <w:rPr/>
        <w:t xml:space="preserve"> {{field-on:bible}}Und Jesus sagt</w:t>
      </w:r>
      <w:r>
        <w:rPr>
          <w:b/>
          <w:color w:val="808080"/>
        </w:rPr>
        <w:t>[</w:t>
      </w:r>
      <w:r>
        <w:rPr/>
        <w:t>e</w:t>
      </w:r>
      <w:r>
        <w:rPr>
          <w:b/>
          <w:color w:val="808080"/>
        </w:rPr>
        <w:t>]</w:t>
      </w:r>
      <w:r>
        <w:rPr/>
        <w:t xml:space="preserve"> zu ihm: „Amen, ich sage dir: Du wirst mich heute, in dieser Nacht, vor dem zweimaligen Krähen des Hahns,</w:t>
      </w:r>
      <w:r>
        <w:rPr>
          <w:rStyle w:val="Funotenanker"/>
        </w:rPr>
        <w:footnoteReference w:customMarkFollows="1" w:id="4739"/>
        <w:t>bg</w:t>
      </w:r>
      <w:r>
        <w:rPr/>
        <w:t xml:space="preserve"> dreimal verleugnen.“{{field-off:bible}} </w:t>
        <w:br/>
        <w:t>[[@BibleTOBIBLE:Mk 14:31]]</w:t>
      </w:r>
      <w:r>
        <w:rPr>
          <w:b/>
        </w:rPr>
        <w:t>31</w:t>
      </w:r>
      <w:r>
        <w:rPr/>
        <w:t xml:space="preserve"> {{field-on:bible}}Er aber sagte </w:t>
      </w:r>
      <w:r>
        <w:rPr>
          <w:b/>
          <w:color w:val="808080"/>
        </w:rPr>
        <w:t>[</w:t>
      </w:r>
      <w:r>
        <w:rPr/>
        <w:t>überaus</w:t>
      </w:r>
      <w:r>
        <w:rPr>
          <w:b/>
          <w:color w:val="808080"/>
        </w:rPr>
        <w:t>]</w:t>
      </w:r>
      <w:r>
        <w:rPr/>
        <w:t xml:space="preserve"> vehement:</w:t>
      </w:r>
      <w:r>
        <w:rPr>
          <w:rStyle w:val="Funotenanker"/>
        </w:rPr>
        <w:footnoteReference w:customMarkFollows="1" w:id="4740"/>
        <w:t>bh</w:t>
      </w:r>
      <w:r>
        <w:rPr/>
        <w:t xml:space="preserve"> „Wenn ich zusammen sterben müsste mit dir, werde ich dich keinesfalls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kommen </w:t>
      </w:r>
      <w:r>
        <w:rPr>
          <w:color w:val="808080"/>
        </w:rPr>
        <w:t>(kamen)</w:t>
      </w:r>
      <w:r>
        <w:rPr/>
        <w:t xml:space="preserve"> zu einem Grundstück </w:t>
      </w:r>
      <w:r>
        <w:rPr>
          <w:color w:val="808080"/>
        </w:rPr>
        <w:t>(Landstück)</w:t>
      </w:r>
      <w:r>
        <w:rPr/>
        <w:t>, dessen Name „Getsemani“</w:t>
      </w:r>
      <w:r>
        <w:rPr>
          <w:rStyle w:val="Funotenanker"/>
        </w:rPr>
        <w:footnoteReference w:customMarkFollows="1" w:id="4741"/>
        <w:t>bi</w:t>
      </w:r>
      <w:r>
        <w:rPr/>
        <w:t xml:space="preserve"> </w:t>
      </w:r>
      <w:r>
        <w:rPr>
          <w:b/>
          <w:color w:val="808080"/>
        </w:rPr>
        <w:t>[</w:t>
      </w:r>
      <w:r>
        <w:rPr/>
        <w:t>war</w:t>
      </w:r>
      <w:r>
        <w:rPr>
          <w:b/>
          <w:color w:val="808080"/>
        </w:rPr>
        <w:t>]</w:t>
      </w:r>
      <w:r>
        <w:rPr/>
        <w:t>, und er sagt</w:t>
      </w:r>
      <w:r>
        <w:rPr>
          <w:b/>
          <w:color w:val="808080"/>
        </w:rPr>
        <w:t>[</w:t>
      </w:r>
      <w:r>
        <w:rPr/>
        <w:t>e</w:t>
      </w:r>
      <w:r>
        <w:rPr>
          <w:b/>
          <w:color w:val="808080"/>
        </w:rPr>
        <w:t>]</w:t>
      </w:r>
      <w:r>
        <w:rPr/>
        <w:t xml:space="preserve"> seinen Jüngern: „Setzt euch </w:t>
      </w:r>
      <w:r>
        <w:rPr>
          <w:color w:val="808080"/>
        </w:rPr>
        <w:t>(sitzt)</w:t>
      </w:r>
      <w:r>
        <w:rPr/>
        <w:t xml:space="preserve"> hier, bis ich gebetet habe!“{{field-off:bible}} </w:t>
        <w:br/>
        <w:t>[[@BibleTOBIBLE:Mk 14:33]]</w:t>
      </w:r>
      <w:r>
        <w:rPr>
          <w:b/>
        </w:rPr>
        <w:t>33</w:t>
      </w:r>
      <w:r>
        <w:rPr/>
        <w:t xml:space="preserve"> {{field-on:bible}}Dann nimmt </w:t>
      </w:r>
      <w:r>
        <w:rPr>
          <w:color w:val="808080"/>
        </w:rPr>
        <w:t>(nahm)</w:t>
      </w:r>
      <w:r>
        <w:rPr/>
        <w:t xml:space="preserve"> er Petrus und Jakobus und Johannes mit sich und begann, erschreckt </w:t>
      </w:r>
      <w:r>
        <w:rPr>
          <w:color w:val="808080"/>
        </w:rPr>
        <w:t>(erstaunt)</w:t>
      </w:r>
      <w:r>
        <w:rPr/>
        <w:t xml:space="preserve"> und verängstigt zu sein </w:t>
      </w:r>
      <w:r>
        <w:rPr>
          <w:color w:val="808080"/>
        </w:rPr>
        <w:t>(war erschreckt und verängstigt)</w:t>
      </w:r>
      <w:r>
        <w:rPr/>
        <w:t>,</w:t>
      </w:r>
      <w:r>
        <w:rPr>
          <w:rStyle w:val="Funotenanker"/>
        </w:rPr>
        <w:footnoteReference w:customMarkFollows="1" w:id="4742"/>
        <w:t>bj</w:t>
      </w:r>
      <w:r>
        <w:rPr/>
        <w:t xml:space="preserve"> </w:t>
      </w:r>
      <w:r>
        <w:rPr>
          <w:position w:val="8"/>
          <w:sz w:val="19"/>
        </w:rPr>
        <w:t>[[ ℘ &gt;&gt; BibleTOBIBLE:Ps 42:6]]</w:t>
      </w:r>
      <w:r>
        <w:rPr/>
        <w:t xml:space="preserve"> {{field-off:bible}} </w:t>
        <w:br/>
        <w:t>[[@BibleTOBIBLE:Mk 14:34]]</w:t>
      </w:r>
      <w:r>
        <w:rPr>
          <w:b/>
        </w:rPr>
        <w:t>34</w:t>
      </w:r>
      <w:r>
        <w:rPr/>
        <w:t xml:space="preserve"> {{field-on:bible}}und er sagt</w:t>
      </w:r>
      <w:r>
        <w:rPr>
          <w:b/>
          <w:color w:val="808080"/>
        </w:rPr>
        <w:t>[</w:t>
      </w:r>
      <w:r>
        <w:rPr/>
        <w:t>e</w:t>
      </w:r>
      <w:r>
        <w:rPr>
          <w:b/>
          <w:color w:val="808080"/>
        </w:rPr>
        <w:t>]</w:t>
      </w:r>
      <w:r>
        <w:rPr/>
        <w:t xml:space="preserve"> ihnen: „Meine Seele ist </w:t>
      </w:r>
      <w:r>
        <w:rPr>
          <w:color w:val="808080"/>
        </w:rPr>
        <w:t>(ich bin)</w:t>
      </w:r>
      <w:r>
        <w:rPr/>
        <w:t xml:space="preserve"> zu Tode betrübt</w:t>
      </w:r>
      <w:r>
        <w:rPr>
          <w:rStyle w:val="Funotenanker"/>
        </w:rPr>
        <w:footnoteReference w:customMarkFollows="1" w:id="4743"/>
        <w:t>bk</w:t>
      </w:r>
      <w:r>
        <w:rPr/>
        <w:t xml:space="preserve">; bleibt hier und wacht </w:t>
      </w:r>
      <w:r>
        <w:rPr>
          <w:color w:val="808080"/>
        </w:rPr>
        <w:t>(bleibt wach)</w:t>
      </w:r>
      <w:r>
        <w:rPr/>
        <w:t xml:space="preserve">!“{{field-off:bible}} </w:t>
        <w:br/>
        <w:t>[[@BibleTOBIBLE:Mk 14:35]]</w:t>
      </w:r>
      <w:r>
        <w:rPr>
          <w:b/>
        </w:rPr>
        <w:t>35</w:t>
      </w:r>
      <w:r>
        <w:rPr/>
        <w:t xml:space="preserve"> {{field-on:bible}}Und nachdem er ein wenig weitergegangen war, warf er sich </w:t>
      </w:r>
      <w:r>
        <w:rPr>
          <w:color w:val="808080"/>
        </w:rPr>
        <w:t>(fiel er)</w:t>
      </w:r>
      <w:r>
        <w:rPr/>
        <w:t xml:space="preserve"> auf die Erde</w:t>
      </w:r>
      <w:r>
        <w:rPr>
          <w:rStyle w:val="Funotenanker"/>
        </w:rPr>
        <w:footnoteReference w:customMarkFollows="1" w:id="4744"/>
        <w:t>bl</w:t>
      </w:r>
      <w:r>
        <w:rPr/>
        <w:t xml:space="preserve"> und betete, dass – wenn es möglich sei – die Stunde an ihm vorüberginge,</w:t>
      </w:r>
      <w:r>
        <w:rPr>
          <w:rStyle w:val="Funotenanker"/>
        </w:rPr>
        <w:footnoteReference w:customMarkFollows="1" w:id="4745"/>
        <w:t>bm</w:t>
      </w:r>
      <w:r>
        <w:rPr/>
        <w:t xml:space="preserve"> {{field-off:bible}} </w:t>
        <w:br/>
        <w:t>[[@BibleTOBIBLE:Mk 14:36]]</w:t>
      </w:r>
      <w:r>
        <w:rPr>
          <w:b/>
        </w:rPr>
        <w:t>36</w:t>
      </w:r>
      <w:r>
        <w:rPr/>
        <w:t xml:space="preserve"> {{field-on:bible}}und er sagte: „Abba, Vater,</w:t>
      </w:r>
      <w:r>
        <w:rPr>
          <w:rStyle w:val="Funotenanker"/>
        </w:rPr>
        <w:footnoteReference w:customMarkFollows="1" w:id="4746"/>
        <w:t>bn</w:t>
      </w:r>
      <w:r>
        <w:rPr/>
        <w:t xml:space="preserve"> alles </w:t>
      </w:r>
      <w:r>
        <w:rPr>
          <w:b/>
          <w:color w:val="808080"/>
        </w:rPr>
        <w:t>[</w:t>
      </w:r>
      <w:r>
        <w:rPr/>
        <w:t>ist</w:t>
      </w:r>
      <w:r>
        <w:rPr>
          <w:b/>
          <w:color w:val="808080"/>
        </w:rPr>
        <w:t>]</w:t>
      </w:r>
      <w:r>
        <w:rPr/>
        <w:t xml:space="preserve"> dir möglich. Trag diesen Becher </w:t>
      </w:r>
      <w:r>
        <w:rPr>
          <w:color w:val="808080"/>
        </w:rPr>
        <w:t>(Kelch)</w:t>
      </w:r>
      <w:r>
        <w:rPr/>
        <w:t xml:space="preserve"> </w:t>
      </w:r>
      <w:r>
        <w:rPr>
          <w:rStyle w:val="Funotenanker"/>
        </w:rPr>
        <w:footnoteReference w:customMarkFollows="1" w:id="4747"/>
        <w:t>bo</w:t>
      </w:r>
      <w:r>
        <w:rPr/>
        <w:t xml:space="preserve"> an mir vorüber!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w:t>
      </w:r>
      <w:r>
        <w:rPr>
          <w:color w:val="808080"/>
        </w:rPr>
        <w:t>(kam)</w:t>
      </w:r>
      <w:r>
        <w:rPr/>
        <w:t xml:space="preserve"> und findet </w:t>
      </w:r>
      <w:r>
        <w:rPr>
          <w:color w:val="808080"/>
        </w:rPr>
        <w:t>(fand)</w:t>
      </w:r>
      <w:r>
        <w:rPr/>
        <w:t xml:space="preserve"> sie schlafend </w:t>
      </w:r>
      <w:r>
        <w:rPr>
          <w:b/>
          <w:color w:val="808080"/>
        </w:rPr>
        <w:t>[</w:t>
      </w:r>
      <w:r>
        <w:rPr/>
        <w:t>vor</w:t>
      </w:r>
      <w:r>
        <w:rPr>
          <w:b/>
          <w:color w:val="808080"/>
        </w:rPr>
        <w:t>]</w:t>
      </w:r>
      <w:r>
        <w:rPr/>
        <w:t xml:space="preserve"> und er sagt</w:t>
      </w:r>
      <w:r>
        <w:rPr>
          <w:b/>
          <w:color w:val="808080"/>
        </w:rPr>
        <w:t>[</w:t>
      </w:r>
      <w:r>
        <w:rPr/>
        <w:t>e</w:t>
      </w:r>
      <w:r>
        <w:rPr>
          <w:b/>
          <w:color w:val="808080"/>
        </w:rPr>
        <w:t>]</w:t>
      </w:r>
      <w:r>
        <w:rPr/>
        <w:t xml:space="preserve"> zu Petrus: „Simon, du schläfst!? </w:t>
      </w:r>
      <w:r>
        <w:rPr>
          <w:color w:val="808080"/>
        </w:rPr>
        <w:t>(Schläfst du?)</w:t>
      </w:r>
      <w:r>
        <w:rPr/>
        <w:t xml:space="preserve"> Vermochtest du nicht eine einzige Stunde zu wachen!?{{field-off:bible}} </w:t>
        <w:br/>
        <w:t>[[@BibleTOBIBLE:Mk 14:38]]</w:t>
      </w:r>
      <w:r>
        <w:rPr>
          <w:b/>
        </w:rPr>
        <w:t>38</w:t>
      </w:r>
      <w:r>
        <w:rPr/>
        <w:t xml:space="preserve"> {{field-on:bible}}Seid wach </w:t>
      </w:r>
      <w:r>
        <w:rPr>
          <w:color w:val="808080"/>
        </w:rPr>
        <w:t>(wachsam)</w:t>
      </w:r>
      <w:r>
        <w:rPr/>
        <w:t xml:space="preserve"> und betet darum, dass </w:t>
      </w:r>
      <w:r>
        <w:rPr>
          <w:color w:val="808080"/>
        </w:rPr>
        <w:t>(damit)</w:t>
      </w:r>
      <w:r>
        <w:rPr/>
        <w:t xml:space="preserve"> </w:t>
      </w:r>
      <w:r>
        <w:rPr>
          <w:rStyle w:val="Funotenanker"/>
        </w:rPr>
        <w:footnoteReference w:customMarkFollows="1" w:id="4748"/>
        <w:t>bp</w:t>
      </w:r>
      <w:r>
        <w:rPr/>
        <w:t xml:space="preserve"> ihr nicht in Versuchung geratet! Der Geist</w:t>
      </w:r>
      <w:r>
        <w:rPr>
          <w:rStyle w:val="Funotenanker"/>
        </w:rPr>
        <w:footnoteReference w:customMarkFollows="1" w:id="4749"/>
        <w:t>bq</w:t>
      </w:r>
      <w:r>
        <w:rPr/>
        <w:t xml:space="preserve">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nachdem er erneut weggegangen war, betete und sprach dasselbe Gebet </w:t>
      </w:r>
      <w:r>
        <w:rPr>
          <w:color w:val="808080"/>
        </w:rPr>
        <w:t>(Wort)</w:t>
      </w:r>
      <w:r>
        <w:rPr/>
        <w:t xml:space="preserve">.{{field-off:bible}} </w:t>
        <w:br/>
        <w:t>[[@BibleTOBIBLE:Mk 14:40]]</w:t>
      </w:r>
      <w:r>
        <w:rPr>
          <w:b/>
        </w:rPr>
        <w:t>40</w:t>
      </w:r>
      <w:r>
        <w:rPr/>
        <w:t xml:space="preserve"> {{field-on:bible}}Und nachdem er zurückkehrte, fand er sie erneut schlafend </w:t>
      </w:r>
      <w:r>
        <w:rPr>
          <w:b/>
          <w:color w:val="808080"/>
        </w:rPr>
        <w:t>[</w:t>
      </w:r>
      <w:r>
        <w:rPr/>
        <w:t>vor</w:t>
      </w:r>
      <w:r>
        <w:rPr>
          <w:b/>
          <w:color w:val="808080"/>
        </w:rPr>
        <w:t>]</w:t>
      </w:r>
      <w:r>
        <w:rPr/>
        <w:t>,</w:t>
      </w:r>
      <w:r>
        <w:rPr>
          <w:rStyle w:val="Funotenanker"/>
        </w:rPr>
        <w:footnoteReference w:customMarkFollows="1" w:id="4750"/>
        <w:t>br</w:t>
      </w:r>
      <w:r>
        <w:rPr/>
        <w:t xml:space="preserve"> denn ihre Augen waren schwer. Und sie wussten nicht, was sie ihm antworten sollten.</w:t>
      </w:r>
      <w:r>
        <w:rPr>
          <w:rStyle w:val="Funotenanker"/>
        </w:rPr>
        <w:footnoteReference w:customMarkFollows="1" w:id="4751"/>
        <w:t>bs</w:t>
      </w:r>
      <w:r>
        <w:rPr/>
        <w:t xml:space="preserve"> {{field-off:bible}} </w:t>
        <w:br/>
        <w:t>[[@BibleTOBIBLE:Mk 14:41]]</w:t>
      </w:r>
      <w:r>
        <w:rPr>
          <w:b/>
        </w:rPr>
        <w:t>41</w:t>
      </w:r>
      <w:r>
        <w:rPr/>
        <w:t xml:space="preserve"> {{field-on:bible}}Und er kommt </w:t>
      </w:r>
      <w:r>
        <w:rPr>
          <w:color w:val="808080"/>
        </w:rPr>
        <w:t>(kam)</w:t>
      </w:r>
      <w:r>
        <w:rPr/>
        <w:t xml:space="preserve"> das dritte Mal</w:t>
      </w:r>
      <w:r>
        <w:rPr>
          <w:rStyle w:val="Funotenanker"/>
        </w:rPr>
        <w:footnoteReference w:customMarkFollows="1" w:id="4752"/>
        <w:t>bt</w:t>
      </w:r>
      <w:r>
        <w:rPr/>
        <w:t xml:space="preserve"> und sagt</w:t>
      </w:r>
      <w:r>
        <w:rPr>
          <w:b/>
          <w:color w:val="808080"/>
        </w:rPr>
        <w:t>[</w:t>
      </w:r>
      <w:r>
        <w:rPr/>
        <w:t>e</w:t>
      </w:r>
      <w:r>
        <w:rPr>
          <w:b/>
          <w:color w:val="808080"/>
        </w:rPr>
        <w:t>]</w:t>
      </w:r>
      <w:r>
        <w:rPr/>
        <w:t xml:space="preserve"> ihnen: „Von nun an könnt ihr schlafen und euch ausruhen, es langt.</w:t>
      </w:r>
      <w:r>
        <w:rPr>
          <w:rStyle w:val="Funotenanker"/>
        </w:rPr>
        <w:footnoteReference w:customMarkFollows="1" w:id="4753"/>
        <w:t>bu</w:t>
      </w:r>
      <w:r>
        <w:rPr/>
        <w:t xml:space="preserve"> Die Stunde ist gekommen, siehe!, ausgeliefert wird der Menschensohn in die Hände der Sünder.{{field-off:bible}} </w:t>
        <w:br/>
        <w:t>[[@BibleTOBIBLE:Mk 14:42]]</w:t>
      </w:r>
      <w:r>
        <w:rPr>
          <w:b/>
        </w:rPr>
        <w:t>42</w:t>
      </w:r>
      <w:r>
        <w:rPr/>
        <w:t xml:space="preserve"> {{field-on:bible}}Erhebt euch, lasst uns aufbrechen! Siehe!, der mich ausliefert, ist genaht.“{{field-off:bible}} </w:t>
        <w:br/>
        <w:t>[[@BibleTOBIBLE:Mk 14:43]]</w:t>
      </w:r>
      <w:r>
        <w:rPr>
          <w:b/>
        </w:rPr>
        <w:t>43</w:t>
      </w:r>
      <w:r>
        <w:rPr/>
        <w:t xml:space="preserve"> {{field-on:bible}}Und sogleich, noch während er redete, kommt </w:t>
      </w:r>
      <w:r>
        <w:rPr>
          <w:color w:val="808080"/>
        </w:rPr>
        <w:t>(kam)</w:t>
      </w:r>
      <w:r>
        <w:rPr/>
        <w:t xml:space="preserve"> Judas, einer der Zwölf, und mit ihm eine Menge</w:t>
      </w:r>
      <w:r>
        <w:rPr>
          <w:rStyle w:val="Funotenanker"/>
        </w:rPr>
        <w:footnoteReference w:customMarkFollows="1" w:id="4754"/>
        <w:t>bv</w:t>
      </w:r>
      <w:r>
        <w:rPr/>
        <w:t xml:space="preserve"> mit Schwertern und Keulen </w:t>
      </w:r>
      <w:r>
        <w:rPr>
          <w:color w:val="808080"/>
        </w:rPr>
        <w:t>(Schlagstöcken)</w:t>
      </w:r>
      <w:r>
        <w:rPr/>
        <w:t xml:space="preserve"> </w:t>
      </w:r>
      <w:r>
        <w:rPr>
          <w:rStyle w:val="Funotenanker"/>
        </w:rPr>
        <w:footnoteReference w:customMarkFollows="1" w:id="4755"/>
        <w:t>bw</w:t>
      </w:r>
      <w:r>
        <w:rPr/>
        <w:t xml:space="preserve"> von den Hohepriestern und den Schriftgelehrten und den Ältesten.</w:t>
      </w:r>
      <w:r>
        <w:rPr>
          <w:rStyle w:val="Funotenanker"/>
        </w:rPr>
        <w:footnoteReference w:customMarkFollows="1" w:id="4756"/>
        <w:t>bx</w:t>
      </w:r>
      <w:r>
        <w:rPr/>
        <w:t xml:space="preserve"> {{field-off:bible}} </w:t>
        <w:br/>
        <w:t>[[@BibleTOBIBLE:Mk 14:44]]</w:t>
      </w:r>
      <w:r>
        <w:rPr>
          <w:b/>
        </w:rPr>
        <w:t>44</w:t>
      </w:r>
      <w:r>
        <w:rPr/>
        <w:t xml:space="preserve"> {{field-on:bible}}Aber der ihn auslieferte, hatte ihnen ein Signal gegeben </w:t>
      </w:r>
      <w:r>
        <w:rPr>
          <w:color w:val="808080"/>
        </w:rPr>
        <w:t>(ein Signal mit ihnen vereinbart)</w:t>
      </w:r>
      <w:r>
        <w:rPr/>
        <w:t xml:space="preserve"> </w:t>
      </w:r>
      <w:r>
        <w:rPr>
          <w:strike/>
          <w:color w:val="808080"/>
        </w:rPr>
        <w:t>{, sagend}</w:t>
      </w:r>
      <w:r>
        <w:rPr/>
        <w:t xml:space="preserve">: „Den, welchen ich küssen </w:t>
      </w:r>
      <w:r>
        <w:rPr>
          <w:color w:val="808080"/>
        </w:rPr>
        <w:t>(lieben)</w:t>
      </w:r>
      <w:r>
        <w:rPr/>
        <w:t xml:space="preserve"> werde,</w:t>
      </w:r>
      <w:r>
        <w:rPr>
          <w:rStyle w:val="Funotenanker"/>
        </w:rPr>
        <w:footnoteReference w:customMarkFollows="1" w:id="4757"/>
        <w:t>by</w:t>
      </w:r>
      <w:r>
        <w:rPr/>
        <w:t xml:space="preserve"> der ist es. Ergreift ihn und führt ihn gesichert </w:t>
      </w:r>
      <w:r>
        <w:rPr>
          <w:color w:val="808080"/>
        </w:rPr>
        <w:t>(unter Bewachung, sicher)</w:t>
      </w:r>
      <w:r>
        <w:rPr/>
        <w:t xml:space="preserve"> ab!“{{field-off:bible}} </w:t>
        <w:br/>
        <w:t>[[@BibleTOBIBLE:Mk 14:45]]</w:t>
      </w:r>
      <w:r>
        <w:rPr>
          <w:b/>
        </w:rPr>
        <w:t>45</w:t>
      </w:r>
      <w:r>
        <w:rPr/>
        <w:t xml:space="preserve"> {{field-on:bible}}Und als er kam </w:t>
      </w:r>
      <w:r>
        <w:rPr>
          <w:b/>
          <w:color w:val="808080"/>
        </w:rPr>
        <w:t>[</w:t>
      </w:r>
      <w:r>
        <w:rPr/>
        <w:t>und</w:t>
      </w:r>
      <w:r>
        <w:rPr>
          <w:b/>
          <w:color w:val="808080"/>
        </w:rPr>
        <w:t>]</w:t>
      </w:r>
      <w:r>
        <w:rPr/>
        <w:t xml:space="preserve"> sogleich zu ihm kam, sagt</w:t>
      </w:r>
      <w:r>
        <w:rPr>
          <w:b/>
          <w:color w:val="808080"/>
        </w:rPr>
        <w:t>[</w:t>
      </w:r>
      <w:r>
        <w:rPr/>
        <w:t>e</w:t>
      </w:r>
      <w:r>
        <w:rPr>
          <w:b/>
          <w:color w:val="808080"/>
        </w:rPr>
        <w:t>]</w:t>
      </w:r>
      <w:r>
        <w:rPr/>
        <w:t xml:space="preserve"> er: „Rabbi! </w:t>
      </w:r>
      <w:r>
        <w:rPr>
          <w:color w:val="808080"/>
        </w:rPr>
        <w:t>(Rabbi, Rabbi!)</w:t>
      </w:r>
      <w:r>
        <w:rPr/>
        <w:t>“,,</w:t>
      </w:r>
      <w:r>
        <w:rPr>
          <w:rStyle w:val="Funotenanker"/>
        </w:rPr>
        <w:footnoteReference w:customMarkFollows="1" w:id="4758"/>
        <w:t>bz</w:t>
      </w:r>
      <w:r>
        <w:rPr/>
        <w:t xml:space="preserve"> und er küsste ihn.{{field-off:bible}} </w:t>
        <w:br/>
        <w:t>[[@BibleTOBIBLE:Mk 14:46]]</w:t>
      </w:r>
      <w:r>
        <w:rPr>
          <w:b/>
        </w:rPr>
        <w:t>46</w:t>
      </w:r>
      <w:r>
        <w:rPr/>
        <w:t xml:space="preserve"> {{field-on:bible}}Da legten sie </w:t>
      </w:r>
      <w:r>
        <w:rPr>
          <w:color w:val="808080"/>
        </w:rPr>
        <w:t>(sie aber legten)</w:t>
      </w:r>
      <w:r>
        <w:rPr/>
        <w:t xml:space="preserve"> die Hände an ihn und ergriffen ihn </w:t>
      </w:r>
      <w:r>
        <w:rPr>
          <w:color w:val="808080"/>
        </w:rPr>
        <w:t>(nahmen ihn fest)</w:t>
      </w:r>
      <w:r>
        <w:rPr/>
        <w:t xml:space="preserve">.{{field-off:bible}} </w:t>
        <w:br/>
        <w:t>[[@BibleTOBIBLE:Mk 14:47]]</w:t>
      </w:r>
      <w:r>
        <w:rPr>
          <w:b/>
        </w:rPr>
        <w:t>47</w:t>
      </w:r>
      <w:r>
        <w:rPr/>
        <w:t xml:space="preserve"> {{field-on:bible}}Ein Gewisser aber von den Dabeistehenden</w:t>
      </w:r>
      <w:r>
        <w:rPr>
          <w:rStyle w:val="Funotenanker"/>
        </w:rPr>
        <w:footnoteReference w:customMarkFollows="1" w:id="4759"/>
        <w:t>ca</w:t>
      </w:r>
      <w:r>
        <w:rPr/>
        <w:t xml:space="preserve"> zog das Schwert, schlug den Diener des Hohepriesters und trennte dessen Ohr </w:t>
      </w:r>
      <w:r>
        <w:rPr>
          <w:color w:val="808080"/>
        </w:rPr>
        <w:t>(Ohrläppchen?)</w:t>
      </w:r>
      <w:r>
        <w:rPr/>
        <w:t xml:space="preserve"> ab.</w:t>
      </w:r>
      <w:r>
        <w:rPr>
          <w:rStyle w:val="Funotenanker"/>
        </w:rPr>
        <w:footnoteReference w:customMarkFollows="1" w:id="4760"/>
        <w:t>cb</w:t>
      </w:r>
      <w:r>
        <w:rPr/>
        <w:t xml:space="preserve"> {{field-off:bible}} </w:t>
        <w:br/>
        <w:t>[[@BibleTOBIBLE:Mk 14:48]]</w:t>
      </w:r>
      <w:r>
        <w:rPr>
          <w:b/>
        </w:rPr>
        <w:t>48</w:t>
      </w:r>
      <w:r>
        <w:rPr/>
        <w:t xml:space="preserve"> {{field-on:bible}}Und Jesus antwortete</w:t>
      </w:r>
      <w:r>
        <w:rPr>
          <w:rStyle w:val="Funotenanker"/>
        </w:rPr>
        <w:footnoteReference w:customMarkFollows="1" w:id="4761"/>
        <w:t>cc</w:t>
      </w:r>
      <w:r>
        <w:rPr/>
        <w:t xml:space="preserve"> </w:t>
      </w:r>
      <w:r>
        <w:rPr>
          <w:strike/>
          <w:color w:val="808080"/>
        </w:rPr>
        <w:t>{und sagte zu}</w:t>
      </w:r>
      <w:r>
        <w:rPr/>
        <w:t xml:space="preserve"> ihnen: „Wie gegen einen Räuber </w:t>
      </w:r>
      <w:r>
        <w:rPr>
          <w:color w:val="808080"/>
        </w:rPr>
        <w:t>(Rebellen, Aufwiegler)</w:t>
      </w:r>
      <w:r>
        <w:rPr/>
        <w:t xml:space="preserve"> </w:t>
      </w:r>
      <w:r>
        <w:rPr>
          <w:rStyle w:val="Funotenanker"/>
        </w:rPr>
        <w:footnoteReference w:customMarkFollows="1" w:id="4762"/>
        <w:t>cd</w:t>
      </w:r>
      <w:r>
        <w:rPr/>
        <w:t xml:space="preserve"> seid ihr mit Schwertern und Keulen ausgezogen, um mich festzunehmen!?{{field-off:bible}} </w:t>
        <w:br/>
        <w:t>[[@BibleTOBIBLE:Mk 14:49]]</w:t>
      </w:r>
      <w:r>
        <w:rPr>
          <w:b/>
        </w:rPr>
        <w:t>49</w:t>
      </w:r>
      <w:r>
        <w:rPr/>
        <w:t xml:space="preserve"> {{field-on:bible}}Tag für Tag </w:t>
      </w:r>
      <w:r>
        <w:rPr>
          <w:color w:val="808080"/>
        </w:rPr>
        <w:t>(Tagsüber)</w:t>
      </w:r>
      <w:r>
        <w:rPr/>
        <w:t xml:space="preserve"> </w:t>
      </w:r>
      <w:r>
        <w:rPr>
          <w:rStyle w:val="Funotenanker"/>
        </w:rPr>
        <w:footnoteReference w:customMarkFollows="1" w:id="4763"/>
        <w:t>ce</w:t>
      </w:r>
      <w:r>
        <w:rPr/>
        <w:t xml:space="preserve"> war ich bei euch im Tempel</w:t>
      </w:r>
      <w:r>
        <w:rPr>
          <w:rStyle w:val="Funotenanker"/>
        </w:rPr>
        <w:footnoteReference w:customMarkFollows="1" w:id="4764"/>
        <w:t>cf</w:t>
      </w:r>
      <w:r>
        <w:rPr/>
        <w:t xml:space="preserve"> und lehrte </w:t>
      </w:r>
      <w:r>
        <w:rPr>
          <w:color w:val="808080"/>
        </w:rPr>
        <w:t>(Tag für Tag lehrte ich bei euch im Tempel)</w:t>
      </w:r>
      <w:r>
        <w:rPr/>
        <w:t xml:space="preserve"> und ihr habt mich nicht ergriffen. Aber </w:t>
      </w:r>
      <w:r>
        <w:rPr>
          <w:b/>
          <w:color w:val="808080"/>
        </w:rPr>
        <w:t>[</w:t>
      </w:r>
      <w:r>
        <w:rPr/>
        <w:t>es sei</w:t>
      </w:r>
      <w:r>
        <w:rPr>
          <w:b/>
          <w:color w:val="808080"/>
        </w:rPr>
        <w:t>]</w:t>
      </w:r>
      <w:r>
        <w:rPr/>
        <w:t>, dass die Schriften erfüllt werden!</w:t>
      </w:r>
      <w:r>
        <w:rPr>
          <w:rStyle w:val="Funotenanker"/>
        </w:rPr>
        <w:footnoteReference w:customMarkFollows="1" w:id="4765"/>
        <w:t>cg</w:t>
      </w:r>
      <w:r>
        <w:rPr/>
        <w:t xml:space="preserve"> </w:t>
      </w:r>
      <w:r>
        <w:rPr>
          <w:color w:val="808080"/>
        </w:rPr>
        <w:t xml:space="preserve">(Aber </w:t>
      </w:r>
      <w:r>
        <w:rPr>
          <w:b/>
          <w:color w:val="808080"/>
        </w:rPr>
        <w:t>[</w:t>
      </w:r>
      <w:r>
        <w:rPr>
          <w:color w:val="808080"/>
        </w:rPr>
        <w:t>all dies geschieht</w:t>
      </w:r>
      <w:r>
        <w:rPr>
          <w:b/>
          <w:color w:val="808080"/>
        </w:rPr>
        <w:t>]</w:t>
      </w:r>
      <w:r>
        <w:rPr>
          <w:color w:val="808080"/>
        </w:rPr>
        <w:t>, damit die Schriften erfüllt werden.)</w:t>
      </w:r>
      <w:r>
        <w:rPr/>
        <w:t xml:space="preserve">“{{field-off:bible}} </w:t>
        <w:br/>
        <w:t>[[@BibleTOBIBLE:Mk 14:50]]</w:t>
      </w:r>
      <w:r>
        <w:rPr>
          <w:b/>
        </w:rPr>
        <w:t>50</w:t>
      </w:r>
      <w:r>
        <w:rPr/>
        <w:t xml:space="preserve"> {{field-on:bible}}Und indem sie ihn verließen, flohen alle.{{field-off:bible}} </w:t>
        <w:br/>
        <w:t>[[@BibleTOBIBLE:Mk 14:51]]</w:t>
      </w:r>
      <w:r>
        <w:rPr>
          <w:b/>
        </w:rPr>
        <w:t>51</w:t>
      </w:r>
      <w:r>
        <w:rPr/>
        <w:t xml:space="preserve"> {{field-on:bible}}Und ein gewisser junger Mann folgte ihm</w:t>
      </w:r>
      <w:r>
        <w:rPr>
          <w:rStyle w:val="Funotenanker"/>
        </w:rPr>
        <w:footnoteReference w:customMarkFollows="1" w:id="4766"/>
        <w:t>ch</w:t>
      </w:r>
      <w:r>
        <w:rPr/>
        <w:t xml:space="preserve"> </w:t>
      </w:r>
      <w:r>
        <w:rPr>
          <w:color w:val="808080"/>
        </w:rPr>
        <w:t>(wollte ihm folgen)</w:t>
      </w:r>
      <w:r>
        <w:rPr/>
        <w:t>, bekleidet mit einem Leinentuch</w:t>
      </w:r>
      <w:r>
        <w:rPr>
          <w:rStyle w:val="Funotenanker"/>
        </w:rPr>
        <w:footnoteReference w:customMarkFollows="1" w:id="4767"/>
        <w:t>ci</w:t>
      </w:r>
      <w:r>
        <w:rPr/>
        <w:t xml:space="preserve">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w:t>
      </w:r>
      <w:r>
        <w:rPr>
          <w:color w:val="808080"/>
        </w:rPr>
        <w:t>(ergriffen)</w:t>
      </w:r>
      <w:r>
        <w:rPr/>
        <w:t xml:space="preserve"> ihn,{{field-off:bible}} </w:t>
        <w:br/>
        <w:t>[[@BibleTOBIBLE:Mk 14:52]]</w:t>
      </w:r>
      <w:r>
        <w:rPr>
          <w:b/>
        </w:rPr>
        <w:t>52</w:t>
      </w:r>
      <w:r>
        <w:rPr/>
        <w:t xml:space="preserve"> {{field-on:bible}}aber er ließ das Leinentuch zurück und floh nackt.</w:t>
      </w:r>
      <w:r>
        <w:rPr>
          <w:rStyle w:val="Funotenanker"/>
        </w:rPr>
        <w:footnoteReference w:customMarkFollows="1" w:id="4768"/>
        <w:t>cj</w:t>
      </w:r>
      <w:r>
        <w:rPr/>
        <w:t xml:space="preserve"> {{field-off:bible}} </w:t>
        <w:br/>
        <w:t>[[@BibleTOBIBLE:Mk 14:53]]</w:t>
      </w:r>
      <w:r>
        <w:rPr>
          <w:b/>
        </w:rPr>
        <w:t>53</w:t>
      </w:r>
      <w:r>
        <w:rPr/>
        <w:t xml:space="preserve"> {{field-on:bible}}Und sie führten Jesus zum Hohepriester ab und alle obersten </w:t>
      </w:r>
      <w:r>
        <w:rPr>
          <w:color w:val="808080"/>
        </w:rPr>
        <w:t>(führenden, Hohe-)</w:t>
      </w:r>
      <w:r>
        <w:rPr/>
        <w:t xml:space="preserve"> Priester</w:t>
      </w:r>
      <w:r>
        <w:rPr>
          <w:rStyle w:val="Funotenanker"/>
        </w:rPr>
        <w:footnoteReference w:customMarkFollows="1" w:id="4769"/>
        <w:t>ck</w:t>
      </w:r>
      <w:r>
        <w:rPr/>
        <w:t xml:space="preserve"> und die Ältesten und die Schriftgelehrten kommen </w:t>
      </w:r>
      <w:r>
        <w:rPr>
          <w:color w:val="808080"/>
        </w:rPr>
        <w:t>(kamen)</w:t>
      </w:r>
      <w:r>
        <w:rPr/>
        <w:t xml:space="preserve"> zusammen </w:t>
      </w:r>
      <w:r>
        <w:rPr>
          <w:color w:val="808080"/>
        </w:rPr>
        <w:t>(versammelten sich)</w:t>
      </w:r>
      <w:r>
        <w:rPr/>
        <w:t xml:space="preserve">.{{field-off:bible}} </w:t>
        <w:br/>
        <w:t>[[@BibleTOBIBLE:Mk 14:54]]</w:t>
      </w:r>
      <w:r>
        <w:rPr>
          <w:b/>
        </w:rPr>
        <w:t>54</w:t>
      </w:r>
      <w:r>
        <w:rPr/>
        <w:t xml:space="preserve"> {{field-on:bible}}Und Petrus war ihm in einiger Entfernung bis nach drinnen </w:t>
      </w:r>
      <w:r>
        <w:rPr>
          <w:color w:val="808080"/>
        </w:rPr>
        <w:t>(hinein)</w:t>
      </w:r>
      <w:r>
        <w:rPr/>
        <w:t xml:space="preserve"> in den Innenhof </w:t>
      </w:r>
      <w:r>
        <w:rPr>
          <w:color w:val="808080"/>
        </w:rPr>
        <w:t>(Palast)</w:t>
      </w:r>
      <w:r>
        <w:rPr/>
        <w:t xml:space="preserve"> des Hohepriesters gefolgt,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770"/>
        <w:t>cl</w:t>
      </w:r>
      <w:r>
        <w:rPr/>
        <w:t xml:space="preserve"> bei den Dienern </w:t>
      </w:r>
      <w:r>
        <w:rPr>
          <w:color w:val="808080"/>
        </w:rPr>
        <w:t>(Wächtern)</w:t>
      </w:r>
      <w:r>
        <w:rPr/>
        <w:t xml:space="preserve"> </w:t>
      </w:r>
      <w:r>
        <w:rPr>
          <w:rStyle w:val="Funotenanker"/>
        </w:rPr>
        <w:footnoteReference w:customMarkFollows="1" w:id="4771"/>
        <w:t>cm</w:t>
      </w:r>
      <w:r>
        <w:rPr/>
        <w:t xml:space="preserve"> und wärmte sich am Licht </w:t>
      </w:r>
      <w:r>
        <w:rPr>
          <w:color w:val="808080"/>
        </w:rPr>
        <w:t>(Feuer)</w:t>
      </w:r>
      <w:r>
        <w:rPr/>
        <w:t>.</w:t>
      </w:r>
      <w:r>
        <w:rPr>
          <w:rStyle w:val="Funotenanker"/>
        </w:rPr>
        <w:footnoteReference w:customMarkFollows="1" w:id="4772"/>
        <w:t>cn</w:t>
      </w:r>
      <w:r>
        <w:rPr/>
        <w:t xml:space="preserve"> {{field-off:bible}}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sie fanden keine,{{field-off:bible}} </w:t>
        <w:br/>
        <w:t>[[@BibleTOBIBLE:Mk 14:56]]</w:t>
      </w:r>
      <w:r>
        <w:rPr>
          <w:b/>
        </w:rPr>
        <w:t>56</w:t>
      </w:r>
      <w:r>
        <w:rPr/>
        <w:t xml:space="preserve"> {{field-on:bible}}denn viele machten Falschaussagen gegen ihn, aber ihre Aussagen waren nicht übereinstimmend </w:t>
      </w:r>
      <w:r>
        <w:rPr>
          <w:color w:val="808080"/>
        </w:rPr>
        <w:t>(gleich)</w:t>
      </w:r>
      <w:r>
        <w:rPr/>
        <w:t xml:space="preserve">.{{field-off:bible}} </w:t>
        <w:br/>
        <w:t>[[@BibleTOBIBLE:Mk 14:57]]</w:t>
      </w:r>
      <w:r>
        <w:rPr>
          <w:b/>
        </w:rPr>
        <w:t>57</w:t>
      </w:r>
      <w:r>
        <w:rPr/>
        <w:t xml:space="preserve"> {{field-on:bible}}Und einige standen auf und machten gegen ihn Falschaussagen, </w:t>
      </w:r>
      <w:r>
        <w:rPr>
          <w:strike/>
          <w:color w:val="808080"/>
        </w:rPr>
        <w:t>{sagend}</w:t>
      </w:r>
      <w:r>
        <w:rPr/>
        <w:t xml:space="preserve">:{{field-off:bible}} </w:t>
        <w:br/>
        <w:t>[[@BibleTOBIBLE:Mk 14:58]]</w:t>
      </w:r>
      <w:r>
        <w:rPr>
          <w:b/>
        </w:rPr>
        <w:t>58</w:t>
      </w:r>
      <w:r>
        <w:rPr/>
        <w:t xml:space="preserve"> {{field-on:bible}}„Wir haben gehört, wie </w:t>
      </w:r>
      <w:r>
        <w:rPr>
          <w:color w:val="808080"/>
        </w:rPr>
        <w:t>(dass)</w:t>
      </w:r>
      <w:r>
        <w:rPr/>
        <w:t xml:space="preserve"> er sagte: Ich werde diesen von Hand erbauten</w:t>
      </w:r>
      <w:r>
        <w:rPr>
          <w:rStyle w:val="Funotenanker"/>
        </w:rPr>
        <w:footnoteReference w:customMarkFollows="1" w:id="4773"/>
        <w:t>co</w:t>
      </w:r>
      <w:r>
        <w:rPr/>
        <w:t xml:space="preserve"> Tempel abreißen und innerhalb von drei Tagen einen anderen, nicht von Hand erbauten, errichten!“</w:t>
      </w:r>
      <w:r>
        <w:rPr>
          <w:rStyle w:val="Funotenanker"/>
        </w:rPr>
        <w:footnoteReference w:customMarkFollows="1" w:id="4774"/>
        <w:t>cp</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ihre Aussage </w:t>
      </w:r>
      <w:r>
        <w:rPr>
          <w:color w:val="808080"/>
        </w:rPr>
        <w:t>(ihr Zeugnis)</w:t>
      </w:r>
      <w:r>
        <w:rPr/>
        <w:t xml:space="preserve"> übereinstimmend </w:t>
      </w:r>
      <w:r>
        <w:rPr>
          <w:color w:val="808080"/>
        </w:rPr>
        <w:t>(gleich)</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775"/>
        <w:t>cq</w:t>
      </w:r>
      <w:r>
        <w:rPr/>
        <w:t xml:space="preserve"> in die Mitte und</w:t>
      </w:r>
      <w:r>
        <w:rPr>
          <w:rStyle w:val="Funotenanker"/>
        </w:rPr>
        <w:footnoteReference w:customMarkFollows="1" w:id="4776"/>
        <w:t>cr</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als Aussage machen?“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777"/>
        <w:t>cs</w:t>
      </w:r>
      <w:r>
        <w:rPr/>
        <w:t xml:space="preserve"> und antwortete gar nichts. Wieder fragte </w:t>
      </w:r>
      <w:r>
        <w:rPr>
          <w:color w:val="808080"/>
        </w:rPr>
        <w:t>(befragte, verhörte)</w:t>
      </w:r>
      <w:r>
        <w:rPr/>
        <w:t xml:space="preserve"> ihn der Hohepriester und sagt</w:t>
      </w:r>
      <w:r>
        <w:rPr>
          <w:b/>
          <w:color w:val="808080"/>
        </w:rPr>
        <w:t>[</w:t>
      </w:r>
      <w:r>
        <w:rPr/>
        <w:t>e</w:t>
      </w:r>
      <w:r>
        <w:rPr>
          <w:b/>
          <w:color w:val="808080"/>
        </w:rPr>
        <w:t>]</w:t>
      </w:r>
      <w:r>
        <w:rPr/>
        <w:t xml:space="preserv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778"/>
        <w:t>ct</w:t>
      </w:r>
      <w:r>
        <w:rPr/>
        <w:t xml:space="preserve"> sitzt</w:t>
      </w:r>
      <w:r>
        <w:rPr>
          <w:rStyle w:val="Funotenanker"/>
        </w:rPr>
        <w:footnoteReference w:customMarkFollows="1" w:id="4779"/>
        <w:t>cu</w:t>
      </w:r>
      <w:r>
        <w:rPr/>
        <w:t xml:space="preserve"> und mit den Wolken des Himmels kommt.“</w:t>
      </w:r>
      <w:r>
        <w:rPr>
          <w:rStyle w:val="Funotenanker"/>
        </w:rPr>
        <w:footnoteReference w:customMarkFollows="1" w:id="4780"/>
        <w:t>cv</w:t>
      </w:r>
      <w:r>
        <w:rPr/>
        <w:t xml:space="preserve"> </w:t>
      </w:r>
      <w:r>
        <w:rPr>
          <w:rStyle w:val="Funotenanker"/>
        </w:rPr>
        <w:footnoteReference w:customMarkFollows="1" w:id="4781"/>
        <w:t>cw</w:t>
      </w:r>
      <w:r>
        <w:rPr/>
        <w:t xml:space="preserve"> </w:t>
      </w:r>
      <w:r>
        <w:rPr>
          <w:position w:val="8"/>
          <w:sz w:val="19"/>
        </w:rPr>
        <w:t>[[ ℘ &gt;&gt; BibleTOBIBLE:Da 7:13]]</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782"/>
        <w:t>cx</w:t>
      </w:r>
      <w:r>
        <w:rPr/>
        <w:t xml:space="preserve"> </w:t>
      </w:r>
      <w:r>
        <w:rPr>
          <w:b/>
          <w:color w:val="808080"/>
        </w:rPr>
        <w:t>[</w:t>
      </w:r>
      <w:r>
        <w:rPr/>
        <w:t>und</w:t>
      </w:r>
      <w:r>
        <w:rPr>
          <w:b/>
          <w:color w:val="808080"/>
        </w:rPr>
        <w:t>]</w:t>
      </w:r>
      <w:r>
        <w:rPr/>
        <w:t xml:space="preserve"> sagt</w:t>
      </w:r>
      <w:r>
        <w:rPr>
          <w:b/>
          <w:color w:val="808080"/>
        </w:rPr>
        <w:t>[</w:t>
      </w:r>
      <w:r>
        <w:rPr/>
        <w:t>e</w:t>
      </w:r>
      <w:r>
        <w:rPr>
          <w:b/>
          <w:color w:val="808080"/>
        </w:rPr>
        <w:t>]</w:t>
      </w:r>
      <w:r>
        <w:rPr/>
        <w:t xml:space="preserve">: „Wozu </w:t>
      </w:r>
      <w:r>
        <w:rPr>
          <w:color w:val="808080"/>
        </w:rPr>
        <w:t>(was)</w:t>
      </w:r>
      <w:r>
        <w:rPr/>
        <w:t xml:space="preserve"> bedürfen wir noch Zeugen?{{field-off:bible}} </w:t>
        <w:br/>
        <w:t>[[@BibleTOBIBLE:Mk 14:64]]</w:t>
      </w:r>
      <w:r>
        <w:rPr>
          <w:b/>
        </w:rPr>
        <w:t>64</w:t>
      </w:r>
      <w:r>
        <w:rPr/>
        <w:t xml:space="preserve"> {{field-on:bible}}Ihr habt die Gotteslästerung gehört.</w:t>
      </w:r>
      <w:r>
        <w:rPr>
          <w:rStyle w:val="Funotenanker"/>
        </w:rPr>
        <w:footnoteReference w:customMarkFollows="1" w:id="4783"/>
        <w:t>cy</w:t>
      </w:r>
      <w:r>
        <w:rPr/>
        <w:t xml:space="preserve"> Was ist eurer Urteil </w:t>
      </w:r>
      <w:r>
        <w:rPr>
          <w:color w:val="808080"/>
        </w:rPr>
        <w:t>(eure Meinung)</w:t>
      </w:r>
      <w:r>
        <w:rPr/>
        <w:t xml:space="preserve">?“ Und </w:t>
      </w:r>
      <w:r>
        <w:rPr>
          <w:color w:val="808080"/>
        </w:rPr>
        <w:t>(aber)</w:t>
      </w:r>
      <w:r>
        <w:rPr/>
        <w:t xml:space="preserve"> sie alle verurteilten ihn, des Todes schuldig zu sein. </w:t>
      </w:r>
      <w:r>
        <w:rPr>
          <w:rStyle w:val="Funotenanker"/>
        </w:rPr>
        <w:footnoteReference w:customMarkFollows="1" w:id="4784"/>
        <w:t>cz</w:t>
      </w:r>
      <w:r>
        <w:rPr/>
        <w:t xml:space="preserve"> {{field-off:bible}} </w:t>
        <w:br/>
        <w:t>[[@BibleTOBIBLE:Mk 14:65]]</w:t>
      </w:r>
      <w:r>
        <w:rPr>
          <w:b/>
        </w:rPr>
        <w:t>65</w:t>
      </w:r>
      <w:r>
        <w:rPr/>
        <w:t xml:space="preserve"> {{field-on:bible}}Dann spuckten ihn einige an und verhüllten sein Gesicht und prügelten ihn und sagten ihm:</w:t>
      </w:r>
      <w:r>
        <w:rPr>
          <w:rStyle w:val="Funotenanker"/>
        </w:rPr>
        <w:footnoteReference w:customMarkFollows="1" w:id="4785"/>
        <w:t>da</w:t>
      </w:r>
      <w:r>
        <w:rPr/>
        <w:t xml:space="preserve"> „Prophezeie!“,</w:t>
      </w:r>
      <w:r>
        <w:rPr>
          <w:rStyle w:val="Funotenanker"/>
        </w:rPr>
        <w:footnoteReference w:customMarkFollows="1" w:id="4786"/>
        <w:t>db</w:t>
      </w:r>
      <w:r>
        <w:rPr/>
        <w:t xml:space="preserve"> und </w:t>
      </w:r>
      <w:r>
        <w:rPr>
          <w:b/>
          <w:color w:val="808080"/>
        </w:rPr>
        <w:t>[</w:t>
      </w:r>
      <w:r>
        <w:rPr/>
        <w:t>auch</w:t>
      </w:r>
      <w:r>
        <w:rPr>
          <w:b/>
          <w:color w:val="808080"/>
        </w:rPr>
        <w:t>]</w:t>
      </w:r>
      <w:r>
        <w:rPr/>
        <w:t xml:space="preserve"> die Diener nahmen sich seiner mit Ohrfeigen an.</w:t>
      </w:r>
      <w:r>
        <w:rPr>
          <w:rStyle w:val="Funotenanker"/>
        </w:rPr>
        <w:footnoteReference w:customMarkFollows="1" w:id="4787"/>
        <w:t>dc</w:t>
      </w:r>
      <w:r>
        <w:rPr/>
        <w:t xml:space="preserve"> {{field-off:bible}} </w:t>
        <w:br/>
        <w:t>[[@BibleTOBIBLE:Mk 14:66]]</w:t>
      </w:r>
      <w:r>
        <w:rPr>
          <w:b/>
        </w:rPr>
        <w:t>66</w:t>
      </w:r>
      <w:r>
        <w:rPr/>
        <w:t xml:space="preserve"> {{field-on:bible}}Und während Petrus unten im Hof</w:t>
      </w:r>
      <w:r>
        <w:rPr>
          <w:rStyle w:val="Funotenanker"/>
        </w:rPr>
        <w:footnoteReference w:customMarkFollows="1" w:id="4788"/>
        <w:t>dd</w:t>
      </w:r>
      <w:r>
        <w:rPr/>
        <w:t xml:space="preserve"> war, kommt </w:t>
      </w:r>
      <w:r>
        <w:rPr>
          <w:color w:val="808080"/>
        </w:rPr>
        <w:t>(kam)</w:t>
      </w:r>
      <w:r>
        <w:rPr/>
        <w:t xml:space="preserve"> eine der Mägde des Hohepriesters,{{field-off:bible}} </w:t>
        <w:br/>
        <w:t>[[@BibleTOBIBLE:Mk 14:67]]</w:t>
      </w:r>
      <w:r>
        <w:rPr>
          <w:b/>
        </w:rPr>
        <w:t>67</w:t>
      </w:r>
      <w:r>
        <w:rPr/>
        <w:t xml:space="preserve"> {{field-on:bible}}und als sie sah, dass Petrus sich wärmte, blickte sie ihn an und sagt</w:t>
      </w:r>
      <w:r>
        <w:rPr>
          <w:b/>
          <w:color w:val="808080"/>
        </w:rPr>
        <w:t>[</w:t>
      </w:r>
      <w:r>
        <w:rPr/>
        <w:t>e</w:t>
      </w:r>
      <w:r>
        <w:rPr>
          <w:b/>
          <w:color w:val="808080"/>
        </w:rPr>
        <w:t>]</w:t>
      </w:r>
      <w:r>
        <w:rPr/>
        <w:t>: „Auch du warst mit</w:t>
      </w:r>
      <w:r>
        <w:rPr>
          <w:rStyle w:val="Funotenanker"/>
        </w:rPr>
        <w:footnoteReference w:customMarkFollows="1" w:id="4789"/>
        <w:t>de</w:t>
      </w:r>
      <w:r>
        <w:rPr/>
        <w:t xml:space="preserve"> dem Nazarener Jesus!“{{field-off:bible}} </w:t>
        <w:br/>
        <w:t>[[@BibleTOBIBLE:Mk 14:68]]</w:t>
      </w:r>
      <w:r>
        <w:rPr>
          <w:b/>
        </w:rPr>
        <w:t>68</w:t>
      </w:r>
      <w:r>
        <w:rPr/>
        <w:t xml:space="preserve"> {{field-on:bible}}Aber er leugnete</w:t>
      </w:r>
      <w:r>
        <w:rPr>
          <w:rStyle w:val="Funotenanker"/>
        </w:rPr>
        <w:footnoteReference w:customMarkFollows="1" w:id="4790"/>
        <w:t>df</w:t>
      </w:r>
      <w:r>
        <w:rPr/>
        <w:t xml:space="preserve"> und sagte: „Weder weiß ich noch verstehe ich, was du sagst.“</w:t>
      </w:r>
      <w:r>
        <w:rPr>
          <w:rStyle w:val="Funotenanker"/>
        </w:rPr>
        <w:footnoteReference w:customMarkFollows="1" w:id="4791"/>
        <w:t>dg</w:t>
      </w:r>
      <w:r>
        <w:rPr/>
        <w:t xml:space="preserve"> Und er ging hinaus nach draußen in den Vorhof,</w:t>
      </w:r>
      <w:r>
        <w:rPr>
          <w:rStyle w:val="Funotenanker"/>
        </w:rPr>
        <w:footnoteReference w:customMarkFollows="1" w:id="4792"/>
        <w:t>dh</w:t>
      </w:r>
      <w:r>
        <w:rPr/>
        <w:t xml:space="preserve"> </w:t>
      </w:r>
      <w:r>
        <w:rPr>
          <w:strike/>
          <w:color w:val="808080"/>
        </w:rPr>
        <w:t>{und ein Hahn krähte}</w:t>
      </w:r>
      <w:r>
        <w:rPr/>
        <w:t>.</w:t>
      </w:r>
      <w:r>
        <w:rPr>
          <w:rStyle w:val="Funotenanker"/>
        </w:rPr>
        <w:footnoteReference w:customMarkFollows="1" w:id="4793"/>
        <w:t>di</w:t>
      </w:r>
      <w:r>
        <w:rPr/>
        <w:t xml:space="preserve"> {{field-off:bible}} </w:t>
        <w:br/>
        <w:t>[[@BibleTOBIBLE:Mk 14:69]]</w:t>
      </w:r>
      <w:r>
        <w:rPr>
          <w:b/>
        </w:rPr>
        <w:t>69</w:t>
      </w:r>
      <w:r>
        <w:rPr/>
        <w:t xml:space="preserve"> {{field-on:bible}}Und als die Magd ihn sah, sagte</w:t>
      </w:r>
      <w:r>
        <w:rPr>
          <w:rStyle w:val="Funotenanker"/>
        </w:rPr>
        <w:footnoteReference w:customMarkFollows="1" w:id="4794"/>
        <w:t>dj</w:t>
      </w:r>
      <w:r>
        <w:rPr/>
        <w:t xml:space="preserve"> sie erneut zu den Dabeistehenden: „Dieser gehört zu</w:t>
      </w:r>
      <w:r>
        <w:rPr>
          <w:rStyle w:val="Funotenanker"/>
        </w:rPr>
        <w:footnoteReference w:customMarkFollows="1" w:id="4795"/>
        <w:t>dk</w:t>
      </w:r>
      <w:r>
        <w:rPr/>
        <w:t xml:space="preserve"> ihnen!“{{field-off:bible}} </w:t>
        <w:br/>
        <w:t>[[@BibleTOBIBLE:Mk 14:70]]</w:t>
      </w:r>
      <w:r>
        <w:rPr>
          <w:b/>
        </w:rPr>
        <w:t>70</w:t>
      </w:r>
      <w:r>
        <w:rPr/>
        <w:t xml:space="preserve"> {{field-on:bible}}Aber er leugnete wieder. Und kurz danach sagten diejenigen, die dabeistanden, erneut zu Petrus: „Wahrhaftig, du gehörst zu ihnen, denn du bist auch ein Galiläer!“</w:t>
      </w:r>
      <w:r>
        <w:rPr>
          <w:rStyle w:val="Funotenanker"/>
        </w:rPr>
        <w:footnoteReference w:customMarkFollows="1" w:id="4796"/>
        <w:t>dl</w:t>
      </w:r>
      <w:r>
        <w:rPr/>
        <w:t xml:space="preserve"> {{field-off:bible}} </w:t>
        <w:br/>
        <w:t>[[@BibleTOBIBLE:Mk 14:71]]</w:t>
      </w:r>
      <w:r>
        <w:rPr>
          <w:b/>
        </w:rPr>
        <w:t>71</w:t>
      </w:r>
      <w:r>
        <w:rPr/>
        <w:t xml:space="preserve"> {{field-on:bible}}Er aber verfluchte</w:t>
      </w:r>
      <w:r>
        <w:rPr>
          <w:rStyle w:val="Funotenanker"/>
        </w:rPr>
        <w:footnoteReference w:customMarkFollows="1" w:id="4797"/>
        <w:t>dm</w:t>
      </w:r>
      <w:r>
        <w:rPr/>
        <w:t xml:space="preserve"> und zu schwor: „Ich kenne diesen Menschen nicht, </w:t>
      </w:r>
      <w:r>
        <w:rPr>
          <w:b/>
          <w:color w:val="808080"/>
        </w:rPr>
        <w:t>[</w:t>
      </w:r>
      <w:r>
        <w:rPr/>
        <w:t>von</w:t>
      </w:r>
      <w:r>
        <w:rPr>
          <w:b/>
          <w:color w:val="808080"/>
        </w:rPr>
        <w:t>]</w:t>
      </w:r>
      <w:r>
        <w:rPr/>
        <w:t xml:space="preserve"> den ihr sprecht!“{{field-off:bible}} </w:t>
        <w:br/>
        <w:t>[[@BibleTOBIBLE:Mk 14:72]]</w:t>
      </w:r>
      <w:r>
        <w:rPr>
          <w:b/>
        </w:rPr>
        <w:t>72</w:t>
      </w:r>
      <w:r>
        <w:rPr/>
        <w:t xml:space="preserve"> {{field-on:bible}}Und sogleich krähte zum zweiten Mal </w:t>
      </w:r>
      <w:r>
        <w:rPr>
          <w:color w:val="808080"/>
        </w:rPr>
        <w:t>(</w:t>
      </w:r>
      <w:r>
        <w:rPr>
          <w:strike/>
          <w:color w:val="808080"/>
        </w:rPr>
        <w:t>{zum zweiten Mal}</w:t>
      </w:r>
      <w:r>
        <w:rPr>
          <w:color w:val="808080"/>
        </w:rPr>
        <w:t>)</w:t>
      </w:r>
      <w:r>
        <w:rPr/>
        <w:t xml:space="preserve"> ein Hahn. Da erinnerte sich Petrus an das Wort, wie</w:t>
      </w:r>
      <w:r>
        <w:rPr>
          <w:rStyle w:val="Funotenanker"/>
        </w:rPr>
        <w:footnoteReference w:customMarkFollows="1" w:id="4798"/>
        <w:t>dn</w:t>
      </w:r>
      <w:r>
        <w:rPr/>
        <w:t xml:space="preserve"> Jesus zu ihm gesagt hatte: „Bevor dem zweimaligen Krähen des Hahns wirst du mich dreimal verleugnen.“ Und er brach in Tränen aus.</w:t>
      </w:r>
      <w:r>
        <w:rPr>
          <w:rStyle w:val="Funotenanker"/>
        </w:rPr>
        <w:footnoteReference w:customMarkFollows="1" w:id="4799"/>
        <w:t>do</w:t>
      </w:r>
      <w:r>
        <w:rPr/>
        <w:t xml:space="preserve"> {{field-off:bible}}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800"/>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801"/>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802"/>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803"/>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804"/>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Schädels.{{field-off:bible}}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805"/>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806"/>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sechsten Stunde, geschah eine Finsternis über dem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807"/>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808"/>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809"/>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810"/>
        <w:t>Status</w:t>
      </w:r>
      <w:r>
        <w:rPr/>
        <w:t xml:space="preserve"> Und als der Sabbat vorüber war</w:t>
      </w:r>
      <w:r>
        <w:rPr>
          <w:rStyle w:val="Funotenanker"/>
        </w:rPr>
        <w:footnoteReference w:customMarkFollows="1" w:id="4811"/>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812"/>
        <w:t>b</w:t>
      </w:r>
      <w:r>
        <w:rPr/>
        <w:t xml:space="preserve"> und Salome Spezereien </w:t>
      </w:r>
      <w:r>
        <w:rPr>
          <w:color w:val="808080"/>
        </w:rPr>
        <w:t>(wohlriechende Kräuter, Gewürze)</w:t>
      </w:r>
      <w:r>
        <w:rPr/>
        <w:t xml:space="preserve"> </w:t>
      </w:r>
      <w:r>
        <w:rPr>
          <w:rStyle w:val="Funotenanker"/>
        </w:rPr>
        <w:footnoteReference w:customMarkFollows="1" w:id="4813"/>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814"/>
        <w:t>d</w:t>
      </w:r>
      <w:r>
        <w:rPr/>
        <w:t xml:space="preserve"> gingen sie zum Grab, während </w:t>
      </w:r>
      <w:r>
        <w:rPr>
          <w:color w:val="808080"/>
        </w:rPr>
        <w:t>(als)</w:t>
      </w:r>
      <w:r>
        <w:rPr/>
        <w:t xml:space="preserve"> die Sonne aufging</w:t>
      </w:r>
      <w:r>
        <w:rPr>
          <w:rStyle w:val="Funotenanker"/>
        </w:rPr>
        <w:footnoteReference w:customMarkFollows="1" w:id="4815"/>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816"/>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817"/>
        <w:t>g</w:t>
      </w:r>
      <w:r>
        <w:rPr/>
        <w:t xml:space="preserve"> in das Grab, sahen</w:t>
      </w:r>
      <w:r>
        <w:rPr>
          <w:rStyle w:val="Funotenanker"/>
        </w:rPr>
        <w:footnoteReference w:customMarkFollows="1" w:id="4818"/>
        <w:t>h</w:t>
      </w:r>
      <w:r>
        <w:rPr/>
        <w:t xml:space="preserve"> sie einen Jüngling zur Rechten </w:t>
      </w:r>
      <w:r>
        <w:rPr>
          <w:color w:val="808080"/>
        </w:rPr>
        <w:t>(auf der rechten Seite)</w:t>
      </w:r>
      <w:r>
        <w:rPr/>
        <w:t xml:space="preserve"> </w:t>
      </w:r>
      <w:r>
        <w:rPr>
          <w:rStyle w:val="Funotenanker"/>
        </w:rPr>
        <w:footnoteReference w:customMarkFollows="1" w:id="4819"/>
        <w:t>i</w:t>
      </w:r>
      <w:r>
        <w:rPr/>
        <w:t xml:space="preserve"> sitzen, der ein weißes Gewand an</w:t>
      </w:r>
      <w:r>
        <w:rPr>
          <w:color w:val="808080"/>
        </w:rPr>
        <w:t>(gezogen)</w:t>
      </w:r>
      <w:r>
        <w:rPr/>
        <w:t xml:space="preserve"> </w:t>
      </w:r>
      <w:r>
        <w:rPr>
          <w:rStyle w:val="Funotenanker"/>
        </w:rPr>
        <w:footnoteReference w:customMarkFollows="1" w:id="4820"/>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821"/>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822"/>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823"/>
        <w:t>m</w:t>
      </w:r>
      <w:r>
        <w:rPr/>
        <w:t xml:space="preserve"> euch vorangeht nach Galiläa</w:t>
      </w:r>
      <w:r>
        <w:rPr>
          <w:rStyle w:val="Funotenanker"/>
        </w:rPr>
        <w:footnoteReference w:customMarkFollows="1" w:id="4824"/>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825"/>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826"/>
        <w:t>p</w:t>
      </w:r>
      <w:r>
        <w:rPr/>
        <w:t xml:space="preserve">. Und sie sagten keinem </w:t>
      </w:r>
      <w:r>
        <w:rPr>
          <w:color w:val="808080"/>
        </w:rPr>
        <w:t>(niemandem)</w:t>
      </w:r>
      <w:r>
        <w:rPr/>
        <w:t xml:space="preserve"> etwas; denn</w:t>
      </w:r>
      <w:r>
        <w:rPr>
          <w:rStyle w:val="Funotenanker"/>
        </w:rPr>
        <w:footnoteReference w:customMarkFollows="1" w:id="4827"/>
        <w:t>q</w:t>
      </w:r>
      <w:r>
        <w:rPr/>
        <w:t xml:space="preserve"> sie fürchteten sich. </w:t>
      </w:r>
      <w:r>
        <w:rPr>
          <w:rStyle w:val="Funotenanker"/>
        </w:rPr>
        <w:footnoteReference w:customMarkFollows="1" w:id="4828"/>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829"/>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830"/>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831"/>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832"/>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833"/>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834"/>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835"/>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836"/>
        <w:t>Status</w:t>
      </w:r>
      <w:r>
        <w:rPr/>
        <w:t xml:space="preserve"> Und Maria</w:t>
      </w:r>
      <w:r>
        <w:rPr>
          <w:rStyle w:val="Funotenanker"/>
        </w:rPr>
        <w:footnoteReference w:customMarkFollows="1" w:id="4837"/>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838"/>
        <w:t>b</w:t>
      </w:r>
      <w:r>
        <w:rPr/>
        <w:t xml:space="preserve"> preist </w:t>
      </w:r>
      <w:r>
        <w:rPr>
          <w:color w:val="808080"/>
        </w:rPr>
        <w:t>(macht groß</w:t>
      </w:r>
      <w:r>
        <w:rPr/>
        <w:t xml:space="preserve"> </w:t>
      </w:r>
      <w:r>
        <w:rPr>
          <w:rStyle w:val="Funotenanker"/>
        </w:rPr>
        <w:footnoteReference w:customMarkFollows="1" w:id="4839"/>
        <w:t>c</w:t>
      </w:r>
      <w:r>
        <w:rPr/>
        <w:t xml:space="preserve"> </w:t>
      </w:r>
      <w:r>
        <w:rPr>
          <w:color w:val="808080"/>
        </w:rPr>
        <w:t>, dankt)</w:t>
      </w:r>
      <w:r>
        <w:rPr/>
        <w:t xml:space="preserve"> </w:t>
      </w:r>
      <w:r>
        <w:rPr>
          <w:rStyle w:val="Funotenanker"/>
        </w:rPr>
        <w:footnoteReference w:customMarkFollows="1" w:id="4840"/>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841"/>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842"/>
        <w:t>f</w:t>
      </w:r>
      <w:r>
        <w:rPr/>
        <w:t xml:space="preserve"> seiner Sklavin </w:t>
      </w:r>
      <w:r>
        <w:rPr>
          <w:color w:val="808080"/>
        </w:rPr>
        <w:t>(Magd)</w:t>
      </w:r>
      <w:r>
        <w:rPr/>
        <w:t xml:space="preserve"> </w:t>
      </w:r>
      <w:r>
        <w:rPr>
          <w:rStyle w:val="Funotenanker"/>
        </w:rPr>
        <w:footnoteReference w:customMarkFollows="1" w:id="4843"/>
        <w:t>g</w:t>
      </w:r>
      <w:r>
        <w:rPr/>
        <w:t xml:space="preserve"> hat er geschaut </w:t>
      </w:r>
      <w:r>
        <w:rPr>
          <w:color w:val="808080"/>
        </w:rPr>
        <w:t>(sich angenommen)</w:t>
      </w:r>
      <w:r>
        <w:rPr/>
        <w:t xml:space="preserve"> </w:t>
      </w:r>
      <w:r>
        <w:rPr>
          <w:rStyle w:val="Funotenanker"/>
        </w:rPr>
        <w:footnoteReference w:customMarkFollows="1" w:id="4844"/>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845"/>
        <w:t>i</w:t>
      </w:r>
      <w:r>
        <w:rPr/>
        <w:t xml:space="preserve"> von nun an halten für glücklich </w:t>
      </w:r>
      <w:r>
        <w:rPr>
          <w:color w:val="808080"/>
        </w:rPr>
        <w:t>(werden mich für glücklich halten)</w:t>
      </w:r>
      <w:r>
        <w:rPr/>
        <w:t xml:space="preserve"> </w:t>
      </w:r>
      <w:r>
        <w:rPr>
          <w:rStyle w:val="Funotenanker"/>
        </w:rPr>
        <w:footnoteReference w:customMarkFollows="1" w:id="4846"/>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847"/>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848"/>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849"/>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850"/>
        <w:t>n</w:t>
      </w:r>
      <w:r>
        <w:rPr/>
        <w:t xml:space="preserve"> seine Huld </w:t>
      </w:r>
      <w:r>
        <w:rPr>
          <w:color w:val="808080"/>
        </w:rPr>
        <w:t>(Gnade, Erbarmen, Barmherzigkeit)</w:t>
      </w:r>
      <w:r>
        <w:rPr/>
        <w:t xml:space="preserve"> </w:t>
      </w:r>
      <w:r>
        <w:rPr>
          <w:rStyle w:val="Funotenanker"/>
        </w:rPr>
        <w:footnoteReference w:customMarkFollows="1" w:id="4851"/>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852"/>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853"/>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854"/>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855"/>
        <w:t>s</w:t>
      </w:r>
      <w:r>
        <w:rPr/>
        <w:t xml:space="preserve"> mit seinem Arm </w:t>
      </w:r>
      <w:r>
        <w:rPr>
          <w:color w:val="808080"/>
        </w:rPr>
        <w:t>(Macht)</w:t>
      </w:r>
      <w:r>
        <w:rPr/>
        <w:t>:</w:t>
      </w:r>
      <w:r>
        <w:rPr>
          <w:rStyle w:val="Funotenanker"/>
        </w:rPr>
        <w:footnoteReference w:customMarkFollows="1" w:id="4856"/>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857"/>
        <w:t>u</w:t>
      </w:r>
      <w:r>
        <w:rPr/>
        <w:t xml:space="preserve"> Hochmütige </w:t>
      </w:r>
      <w:r>
        <w:rPr>
          <w:color w:val="808080"/>
        </w:rPr>
        <w:t>(Stolze)</w:t>
      </w:r>
      <w:r>
        <w:rPr/>
        <w:t xml:space="preserve"> </w:t>
      </w:r>
      <w:r>
        <w:rPr>
          <w:rStyle w:val="Funotenanker"/>
        </w:rPr>
        <w:footnoteReference w:customMarkFollows="1" w:id="4858"/>
        <w:t>v</w:t>
      </w:r>
      <w:r>
        <w:rPr/>
        <w:t xml:space="preserve"> an der Gesinnung ihres Gemüts </w:t>
      </w:r>
      <w:r>
        <w:rPr>
          <w:color w:val="808080"/>
        </w:rPr>
        <w:t>(Hochmütige)</w:t>
      </w:r>
      <w:r>
        <w:rPr/>
        <w:t xml:space="preserve"> </w:t>
      </w:r>
      <w:r>
        <w:rPr>
          <w:rStyle w:val="Funotenanker"/>
        </w:rPr>
        <w:footnoteReference w:customMarkFollows="1" w:id="4859"/>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860"/>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861"/>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862"/>
        <w:t>z</w:t>
      </w:r>
      <w:r>
        <w:rPr/>
        <w:t xml:space="preserve"> bereichert </w:t>
      </w:r>
      <w:r>
        <w:rPr>
          <w:color w:val="808080"/>
        </w:rPr>
        <w:t>(füllt, sättigt)</w:t>
      </w:r>
      <w:r>
        <w:rPr/>
        <w:t xml:space="preserve"> </w:t>
      </w:r>
      <w:r>
        <w:rPr>
          <w:rStyle w:val="Funotenanker"/>
        </w:rPr>
        <w:footnoteReference w:customMarkFollows="1" w:id="4863"/>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864"/>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865"/>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866"/>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867"/>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868"/>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869"/>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870"/>
        <w:t>b</w:t>
      </w:r>
      <w:r>
        <w:rPr/>
        <w:t>.</w:t>
      </w:r>
      <w:r>
        <w:rPr>
          <w:rStyle w:val="Funotenanker"/>
        </w:rPr>
        <w:footnoteReference w:customMarkFollows="1" w:id="4871"/>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872"/>
        <w:t>d</w:t>
      </w:r>
      <w:r>
        <w:rPr/>
        <w:t xml:space="preserve"> als </w:t>
      </w:r>
      <w:r>
        <w:rPr>
          <w:color w:val="808080"/>
        </w:rPr>
        <w:t>(während)</w:t>
      </w:r>
      <w:r>
        <w:rPr/>
        <w:t xml:space="preserve"> </w:t>
      </w:r>
      <w:r>
        <w:rPr>
          <w:rStyle w:val="Funotenanker"/>
        </w:rPr>
        <w:footnoteReference w:customMarkFollows="1" w:id="4873"/>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874"/>
        <w:t>f</w:t>
      </w:r>
      <w:r>
        <w:rPr/>
        <w:t xml:space="preserve">,{{field-off:bible}} </w:t>
        <w:br/>
        <w:t>[[@BibleTOBIBLE:Lk 2:5]]</w:t>
      </w:r>
      <w:r>
        <w:rPr>
          <w:b/>
        </w:rPr>
        <w:t>5</w:t>
      </w:r>
      <w:r>
        <w:rPr/>
        <w:t xml:space="preserve"> {{field-on:bible}}um sich mit Maria, seiner Verlobten</w:t>
      </w:r>
      <w:r>
        <w:rPr>
          <w:rStyle w:val="Funotenanker"/>
        </w:rPr>
        <w:footnoteReference w:customMarkFollows="1" w:id="4875"/>
        <w:t>g</w:t>
      </w:r>
      <w:r>
        <w:rPr/>
        <w:t xml:space="preserve"> </w:t>
      </w:r>
      <w:r>
        <w:rPr>
          <w:color w:val="808080"/>
        </w:rPr>
        <w:t>(„seiner ihm angetrauten Frau“</w:t>
      </w:r>
      <w:r>
        <w:rPr/>
        <w:t xml:space="preserve"> </w:t>
      </w:r>
      <w:r>
        <w:rPr>
          <w:rStyle w:val="Funotenanker"/>
        </w:rPr>
        <w:footnoteReference w:customMarkFollows="1" w:id="4876"/>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877"/>
        <w:t>i</w:t>
      </w:r>
      <w:r>
        <w:rPr/>
        <w:t xml:space="preserve">, wurden ihre Tage erfüllt </w:t>
      </w:r>
      <w:r>
        <w:rPr>
          <w:color w:val="808080"/>
        </w:rPr>
        <w:t>(war die Zeit gekommen)</w:t>
      </w:r>
      <w:r>
        <w:rPr/>
        <w:t>, dass sie gebären sollte</w:t>
      </w:r>
      <w:r>
        <w:rPr>
          <w:rStyle w:val="Funotenanker"/>
        </w:rPr>
        <w:footnoteReference w:customMarkFollows="1" w:id="4878"/>
        <w:t>j</w:t>
      </w:r>
      <w:r>
        <w:rPr/>
        <w:t xml:space="preserve"> </w:t>
      </w:r>
      <w:r>
        <w:rPr>
          <w:rStyle w:val="Funotenanker"/>
        </w:rPr>
        <w:footnoteReference w:customMarkFollows="1" w:id="4879"/>
        <w:t>k</w:t>
      </w:r>
      <w:r>
        <w:rPr/>
        <w:t xml:space="preserve">,{{field-off:bible}} </w:t>
        <w:br/>
        <w:t>[[@BibleTOBIBLE:Lk 2:7]]</w:t>
      </w:r>
      <w:r>
        <w:rPr>
          <w:b/>
        </w:rPr>
        <w:t>7</w:t>
      </w:r>
      <w:r>
        <w:rPr/>
        <w:t xml:space="preserve"> {{field-on:bible}}und sie gebar ihren Sohn als Erstgeborenen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880"/>
        <w:t>l</w:t>
      </w:r>
      <w:r>
        <w:rPr/>
        <w:t xml:space="preserve"> lebten und nachts Wache bei ihrer Herde hielten</w:t>
      </w:r>
      <w:r>
        <w:rPr>
          <w:rStyle w:val="Funotenanker"/>
        </w:rPr>
        <w:footnoteReference w:customMarkFollows="1" w:id="4881"/>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882"/>
        <w:t>n</w:t>
      </w:r>
      <w:r>
        <w:rPr/>
        <w:t xml:space="preserve"> große Furcht</w:t>
      </w:r>
      <w:r>
        <w:rPr>
          <w:rStyle w:val="Funotenanker"/>
        </w:rPr>
        <w:footnoteReference w:customMarkFollows="1" w:id="4883"/>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884"/>
        <w:t>p</w:t>
      </w:r>
      <w:r>
        <w:rPr/>
        <w:t xml:space="preserve"> euch große Freude, die</w:t>
      </w:r>
      <w:r>
        <w:rPr>
          <w:rStyle w:val="Funotenanker"/>
        </w:rPr>
        <w:footnoteReference w:customMarkFollows="1" w:id="4885"/>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886"/>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887"/>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888"/>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889"/>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890"/>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891"/>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892"/>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893"/>
        <w:t>y</w:t>
      </w:r>
      <w:r>
        <w:rPr/>
        <w:t>, was ihnen über dieses Neugeborene</w:t>
      </w:r>
      <w:r>
        <w:rPr>
          <w:rStyle w:val="Funotenanker"/>
        </w:rPr>
        <w:footnoteReference w:customMarkFollows="1" w:id="4894"/>
        <w:t>z</w:t>
      </w:r>
      <w:r>
        <w:rPr/>
        <w:t xml:space="preserve"> </w:t>
      </w:r>
      <w:r>
        <w:rPr>
          <w:color w:val="808080"/>
        </w:rPr>
        <w:t>(kleine Kind, Kind)</w:t>
      </w:r>
      <w:r>
        <w:rPr/>
        <w:t xml:space="preserve"> gesagt worden war</w:t>
      </w:r>
      <w:r>
        <w:rPr>
          <w:rStyle w:val="Funotenanker"/>
        </w:rPr>
        <w:footnoteReference w:customMarkFollows="1" w:id="4895"/>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896"/>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897"/>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898"/>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899"/>
        <w:t>ae</w:t>
      </w:r>
      <w:r>
        <w:rPr/>
        <w:t>, da</w:t>
      </w:r>
      <w:r>
        <w:rPr>
          <w:rStyle w:val="Funotenanker"/>
        </w:rPr>
        <w:footnoteReference w:customMarkFollows="1" w:id="4900"/>
        <w:t>af</w:t>
      </w:r>
      <w:r>
        <w:rPr/>
        <w:t xml:space="preserve"> wurde ihm der Name Jesus gegeben</w:t>
      </w:r>
      <w:r>
        <w:rPr>
          <w:rStyle w:val="Funotenanker"/>
        </w:rPr>
        <w:footnoteReference w:customMarkFollows="1" w:id="4901"/>
        <w:t>ag</w:t>
      </w:r>
      <w:r>
        <w:rPr/>
        <w:t>, der von dem Engel genannt worden war</w:t>
      </w:r>
      <w:r>
        <w:rPr>
          <w:rStyle w:val="Funotenanker"/>
        </w:rPr>
        <w:footnoteReference w:customMarkFollows="1" w:id="4902"/>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903"/>
        <w:t>ai</w:t>
      </w:r>
      <w:r>
        <w:rPr/>
        <w:t xml:space="preserve"> nach dem Gesetz des Mose erfüllt waren, führten sie ihn </w:t>
      </w:r>
      <w:r>
        <w:rPr>
          <w:strike/>
          <w:color w:val="808080"/>
        </w:rPr>
        <w:t>{hinauf}</w:t>
      </w:r>
      <w:r>
        <w:rPr/>
        <w:t xml:space="preserve"> </w:t>
      </w:r>
      <w:r>
        <w:rPr>
          <w:rStyle w:val="Funotenanker"/>
        </w:rPr>
        <w:footnoteReference w:customMarkFollows="1" w:id="4904"/>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905"/>
        <w:t>ak</w:t>
      </w:r>
      <w:r>
        <w:rPr/>
        <w:t xml:space="preserve"> </w:t>
      </w:r>
      <w:r>
        <w:rPr>
          <w:rStyle w:val="Funotenanker"/>
        </w:rPr>
        <w:footnoteReference w:customMarkFollows="1" w:id="4906"/>
        <w:t>al</w:t>
      </w:r>
      <w:r>
        <w:rPr/>
        <w:t xml:space="preserve">,{{field-off:bible}} </w:t>
        <w:br/>
        <w:t>[[@BibleTOBIBLE:Lk 2:23]]</w:t>
      </w:r>
      <w:r>
        <w:rPr>
          <w:b/>
        </w:rPr>
        <w:t>23</w:t>
      </w:r>
      <w:r>
        <w:rPr/>
        <w:t xml:space="preserve"> {{field-on:bible}}wie es im Gesetz des Herrn steht</w:t>
      </w:r>
      <w:r>
        <w:rPr>
          <w:rStyle w:val="Funotenanker"/>
        </w:rPr>
        <w:footnoteReference w:customMarkFollows="1" w:id="4907"/>
        <w:t>am</w:t>
      </w:r>
      <w:r>
        <w:rPr/>
        <w:t>:</w:t>
      </w:r>
      <w:r>
        <w:rPr>
          <w:rStyle w:val="Funotenanker"/>
        </w:rPr>
        <w:footnoteReference w:customMarkFollows="1" w:id="4908"/>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909"/>
        <w:t>ao</w:t>
      </w:r>
      <w:r>
        <w:rPr/>
        <w:t>, soll dem Herrn heilig genannt werden</w:t>
      </w:r>
      <w:r>
        <w:rPr>
          <w:rStyle w:val="Funotenanker"/>
        </w:rPr>
        <w:footnoteReference w:customMarkFollows="1" w:id="4910"/>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911"/>
        <w:t>aq</w:t>
      </w:r>
      <w:r>
        <w:rPr/>
        <w:t xml:space="preserve"> im Gesetz des Herrn, ein Paar</w:t>
      </w:r>
      <w:r>
        <w:rPr>
          <w:rStyle w:val="Funotenanker"/>
        </w:rPr>
        <w:footnoteReference w:customMarkFollows="1" w:id="4912"/>
        <w:t>ar</w:t>
      </w:r>
      <w:r>
        <w:rPr/>
        <w:t xml:space="preserve"> Turteltauben oder zwei Taubenjunge</w:t>
      </w:r>
      <w:r>
        <w:rPr>
          <w:rStyle w:val="Funotenanker"/>
        </w:rPr>
        <w:footnoteReference w:customMarkFollows="1" w:id="4913"/>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914"/>
        <w:t>Status</w:t>
      </w:r>
      <w:r>
        <w:rPr/>
        <w:t xml:space="preserve"> Im fünfzehnten Herrschaftsjahr </w:t>
      </w:r>
      <w:r>
        <w:rPr>
          <w:strike/>
          <w:color w:val="808080"/>
        </w:rPr>
        <w:t>{aber}</w:t>
      </w:r>
      <w:r>
        <w:rPr/>
        <w:t xml:space="preserve"> des Kaisers Tiberius, als</w:t>
      </w:r>
      <w:r>
        <w:rPr>
          <w:rStyle w:val="Funotenanker"/>
        </w:rPr>
        <w:footnoteReference w:customMarkFollows="1" w:id="4915"/>
        <w:t>a</w:t>
      </w:r>
      <w:r>
        <w:rPr/>
        <w:t xml:space="preserve"> Pontius Pilatus über Judäa herrschte und als Herodes Vierfürst </w:t>
      </w:r>
      <w:r>
        <w:rPr>
          <w:color w:val="808080"/>
        </w:rPr>
        <w:t>(Tetrarch)</w:t>
      </w:r>
      <w:r>
        <w:rPr/>
        <w:t xml:space="preserve"> </w:t>
      </w:r>
      <w:r>
        <w:rPr>
          <w:rStyle w:val="Funotenanker"/>
        </w:rPr>
        <w:footnoteReference w:customMarkFollows="1" w:id="4916"/>
        <w:t>b</w:t>
      </w:r>
      <w:r>
        <w:rPr/>
        <w:t xml:space="preserve"> über Galiläa war, sein Bruder Philippus </w:t>
      </w:r>
      <w:r>
        <w:rPr>
          <w:strike/>
          <w:color w:val="808080"/>
        </w:rPr>
        <w:t>{aber}</w:t>
      </w:r>
      <w:r>
        <w:rPr/>
        <w:t xml:space="preserve"> Vierfürst über Ituräa und das trachonitische Gebiet sowie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917"/>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918"/>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919"/>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920"/>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921"/>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antwortete er </w:t>
      </w:r>
      <w:r>
        <w:rPr>
          <w:b/>
          <w:color w:val="808080"/>
        </w:rPr>
        <w:t>[</w:t>
      </w:r>
      <w:r>
        <w:rPr/>
        <w:t>jeweils</w:t>
      </w:r>
      <w:r>
        <w:rPr>
          <w:b/>
          <w:color w:val="808080"/>
        </w:rPr>
        <w:t>]</w:t>
      </w:r>
      <w:r>
        <w:rPr/>
        <w:t xml:space="preserve"> </w:t>
      </w:r>
      <w:r>
        <w:rPr>
          <w:rStyle w:val="Funotenanker"/>
        </w:rPr>
        <w:footnoteReference w:customMarkFollows="1" w:id="4922"/>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w:t>
      </w:r>
      <w:r>
        <w:rPr>
          <w:strike/>
          <w:color w:val="808080"/>
        </w:rPr>
        <w:t>{aber}</w:t>
      </w:r>
      <w:r>
        <w:rPr/>
        <w:t xml:space="preserve">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{{field-on:bible}}Als </w:t>
      </w:r>
      <w:r>
        <w:rPr>
          <w:color w:val="808080"/>
        </w:rPr>
        <w:t>(weil)</w:t>
      </w:r>
      <w:r>
        <w:rPr/>
        <w:t xml:space="preserve"> wiederum </w:t>
      </w:r>
      <w:r>
        <w:rPr>
          <w:color w:val="808080"/>
        </w:rPr>
        <w:t>(aber)</w:t>
      </w:r>
      <w:r>
        <w:rPr/>
        <w:t xml:space="preserve">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w:t>
      </w:r>
      <w:r>
        <w:rPr>
          <w:color w:val="808080"/>
        </w:rPr>
        <w:t>(Messias, Gesalbte)</w:t>
      </w:r>
      <w:r>
        <w:rPr/>
        <w:t xml:space="preserve">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923"/>
        <w:t>i</w:t>
      </w:r>
      <w:r>
        <w:rPr/>
        <w:t xml:space="preserve"> stärker ist als ich; ich bin unwürdig, diesem</w:t>
      </w:r>
      <w:r>
        <w:rPr>
          <w:rStyle w:val="Funotenanker"/>
        </w:rPr>
        <w:footnoteReference w:customMarkFollows="1" w:id="4924"/>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925"/>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926"/>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927"/>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928"/>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929"/>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930"/>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931"/>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932"/>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933"/>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934"/>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935"/>
        <w:t>g</w:t>
      </w:r>
      <w:r>
        <w:rPr/>
        <w:t>. Und als</w:t>
      </w:r>
      <w:r>
        <w:rPr>
          <w:rStyle w:val="Funotenanker"/>
        </w:rPr>
        <w:footnoteReference w:customMarkFollows="1" w:id="4936"/>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937"/>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938"/>
        <w:t>j</w:t>
      </w:r>
      <w:r>
        <w:rPr/>
        <w:t xml:space="preserve"> er die Buchrolle zusammengerollt und</w:t>
      </w:r>
      <w:r>
        <w:rPr>
          <w:rStyle w:val="Funotenanker"/>
        </w:rPr>
        <w:footnoteReference w:customMarkFollows="1" w:id="4939"/>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940"/>
        <w:t>l</w:t>
      </w:r>
      <w:r>
        <w:rPr/>
        <w:t>: Heute wurde diese Schriftstelle</w:t>
      </w:r>
      <w:r>
        <w:rPr>
          <w:rStyle w:val="Funotenanker"/>
        </w:rPr>
        <w:footnoteReference w:customMarkFollows="1" w:id="4941"/>
        <w:t>m</w:t>
      </w:r>
      <w:r>
        <w:rPr/>
        <w:t xml:space="preserve"> in</w:t>
      </w:r>
      <w:r>
        <w:rPr>
          <w:rStyle w:val="Funotenanker"/>
        </w:rPr>
        <w:footnoteReference w:customMarkFollows="1" w:id="4942"/>
        <w:t>n</w:t>
      </w:r>
      <w:r>
        <w:rPr/>
        <w:t xml:space="preserve"> euren Ohren erfüllt.{{field-off:bible}} </w:t>
      </w:r>
    </w:p>
    <w:p>
      <w:pPr>
        <w:pStyle w:val="Berschrift3"/>
        <w:rPr/>
      </w:pPr>
      <w:r>
        <w:rPr/>
        <w:t>[[@BibleTOBIBLE:Lk 5]]Kapitel 5</w:t>
      </w:r>
    </w:p>
    <w:p>
      <w:pPr>
        <w:pStyle w:val="Textkrper"/>
        <w:rPr/>
      </w:pPr>
      <w:r>
        <w:rPr/>
        <w:br/>
        <w:t>[[@BibleTOBIBLE:Lk 5:8]]</w:t>
      </w:r>
      <w:r>
        <w:rPr>
          <w:b/>
        </w:rPr>
        <w:t>8</w:t>
      </w:r>
      <w:r>
        <w:rPr/>
        <w:t xml:space="preserve"> {{field-on:bible}}Aber als Simon Petrus </w:t>
      </w:r>
      <w:r>
        <w:rPr>
          <w:b/>
          <w:color w:val="808080"/>
        </w:rPr>
        <w:t>[</w:t>
      </w:r>
      <w:r>
        <w:rPr/>
        <w:t>das</w:t>
      </w:r>
      <w:r>
        <w:rPr>
          <w:b/>
          <w:color w:val="808080"/>
        </w:rPr>
        <w:t>]</w:t>
      </w:r>
      <w:r>
        <w:rPr/>
        <w:t xml:space="preserve"> sah, fiel er vor Jesus auf die Knie und sagte: „Herr! Geh weg von mir, denn ich bin eine sündiger Mensch</w:t>
      </w:r>
      <w:r>
        <w:rPr>
          <w:rStyle w:val="Funotenanker"/>
        </w:rPr>
        <w:footnoteReference w:customMarkFollows="1" w:id="4943"/>
        <w:t>a</w:t>
      </w:r>
      <w:r>
        <w:rPr/>
        <w:t xml:space="preserve">!“{{field-off:bible}} </w:t>
        <w:br/>
        <w:t>[[@BibleTOBIBLE:Lk 5:9]]</w:t>
      </w:r>
      <w:r>
        <w:rPr>
          <w:b/>
        </w:rPr>
        <w:t>9</w:t>
      </w:r>
      <w:r>
        <w:rPr/>
        <w:t xml:space="preserve"> {{field-on:bible}}Denn er erschrak </w:t>
      </w:r>
      <w:r>
        <w:rPr>
          <w:color w:val="808080"/>
        </w:rPr>
        <w:t>(staunte)</w:t>
      </w:r>
      <w:r>
        <w:rPr/>
        <w:t>, und mit ihm alle, die mit ihm waren, über ihren Fischfang</w:t>
      </w:r>
      <w:r>
        <w:rPr>
          <w:rStyle w:val="Funotenanker"/>
        </w:rPr>
        <w:footnoteReference w:customMarkFollows="1" w:id="4944"/>
        <w:t>b</w:t>
      </w:r>
      <w:r>
        <w:rPr/>
        <w:t xml:space="preserve">,{{field-off:bible}} </w:t>
        <w:br/>
        <w:t>[[@BibleTOBIBLE:Lk 5:10]]</w:t>
      </w:r>
      <w:r>
        <w:rPr>
          <w:b/>
        </w:rPr>
        <w:t>10</w:t>
      </w:r>
      <w:r>
        <w:rPr/>
        <w:t xml:space="preserve"> {{field-on:bible}}dazu gehörten </w:t>
      </w:r>
      <w:r>
        <w:rPr>
          <w:color w:val="808080"/>
        </w:rPr>
        <w:t>(ebenso)</w:t>
      </w:r>
      <w:r>
        <w:rPr/>
        <w:t xml:space="preserve"> auch Jakobus und Johannes, die Söhne des Zebedäus, die Arbeitskollegen von Simon </w:t>
      </w:r>
      <w:r>
        <w:rPr>
          <w:strike/>
          <w:color w:val="808080"/>
        </w:rPr>
        <w:t>{waren}</w:t>
      </w:r>
      <w:r>
        <w:rPr/>
        <w:t xml:space="preserve">. Da sagte Jesus zu Simon: „Fürchte dich nicht! Von nun an sollst du Menschen fangen </w:t>
      </w:r>
      <w:r>
        <w:rPr>
          <w:color w:val="808080"/>
        </w:rPr>
        <w:t>(lebendig fischen)</w:t>
      </w:r>
      <w:r>
        <w:rPr/>
        <w:t xml:space="preserve">.“{{field-off:bible}} </w:t>
        <w:br/>
        <w:t>[[@BibleTOBIBLE:Lk 5:11]]</w:t>
      </w:r>
      <w:r>
        <w:rPr>
          <w:b/>
        </w:rPr>
        <w:t>11</w:t>
      </w:r>
      <w:r>
        <w:rPr/>
        <w:t xml:space="preserve"> {{field-on:bible}}Und sie brachten die Boote ans Land, ließen alles zurück und folgten ihm nach.{{field-off:bible}} </w:t>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Schriftgelehrten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6:36]]</w:t>
      </w:r>
      <w:r>
        <w:rPr>
          <w:b/>
        </w:rPr>
        <w:t>36</w:t>
      </w:r>
      <w:r>
        <w:rPr/>
        <w:t xml:space="preserve"> {{field-on:bible}}Seid barmherzig, wie auch</w:t>
      </w:r>
      <w:r>
        <w:rPr>
          <w:rStyle w:val="Funotenanker"/>
        </w:rPr>
        <w:footnoteReference w:customMarkFollows="1" w:id="4945"/>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946"/>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947"/>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948"/>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{{field-on:bible}}Es fragte </w:t>
      </w:r>
      <w:r>
        <w:rPr>
          <w:color w:val="808080"/>
        </w:rPr>
        <w:t>(bat)</w:t>
      </w:r>
      <w:r>
        <w:rPr/>
        <w:t xml:space="preserve"> ihn aber einer der Pharisäer, dass er mit ihm esse, und nachdem er ins Haus des Pharisäers hineingegangen war, legte er sich </w:t>
      </w:r>
      <w:r>
        <w:rPr>
          <w:b/>
          <w:color w:val="808080"/>
        </w:rPr>
        <w:t>[</w:t>
      </w:r>
      <w:r>
        <w:rPr/>
        <w:t>zum Essen</w:t>
      </w:r>
      <w:r>
        <w:rPr>
          <w:b/>
          <w:color w:val="808080"/>
        </w:rPr>
        <w:t>]</w:t>
      </w:r>
      <w:r>
        <w:rPr/>
        <w:t xml:space="preserve"> nieder.{{field-off:bible}} </w:t>
        <w:br/>
        <w:t>[[@BibleTOBIBLE:Lk 7:37]]</w:t>
      </w:r>
      <w:r>
        <w:rPr>
          <w:b/>
        </w:rPr>
        <w:t>37</w:t>
      </w:r>
      <w:r>
        <w:rPr/>
        <w:t xml:space="preserve"> {{field-on:bible}}Und siehe: </w:t>
      </w:r>
      <w:r>
        <w:rPr>
          <w:b/>
          <w:color w:val="808080"/>
        </w:rPr>
        <w:t>[</w:t>
      </w:r>
      <w:r>
        <w:rPr/>
        <w:t>da war</w:t>
      </w:r>
      <w:r>
        <w:rPr>
          <w:b/>
          <w:color w:val="808080"/>
        </w:rPr>
        <w:t>]</w:t>
      </w:r>
      <w:r>
        <w:rPr/>
        <w:t xml:space="preserve"> eine Frau, die in der Stadt war </w:t>
      </w:r>
      <w:r>
        <w:rPr>
          <w:color w:val="808080"/>
        </w:rPr>
        <w:t>(lebte)</w:t>
      </w:r>
      <w:r>
        <w:rPr/>
        <w:t xml:space="preserve">, eine Sünderin, und als sie erfuhr, dass er im Haus des Pharisäers </w:t>
      </w:r>
      <w:r>
        <w:rPr>
          <w:b/>
          <w:color w:val="808080"/>
        </w:rPr>
        <w:t>[</w:t>
      </w:r>
      <w:r>
        <w:rPr/>
        <w:t>zu Tisch</w:t>
      </w:r>
      <w:r>
        <w:rPr>
          <w:b/>
          <w:color w:val="808080"/>
        </w:rPr>
        <w:t>]</w:t>
      </w:r>
      <w:r>
        <w:rPr/>
        <w:t xml:space="preserve"> lag, brachte sie ein Gefäß mit Salböl herbei{{field-off:bible}} </w:t>
        <w:br/>
        <w:t>[[@BibleTOBIBLE:Lk 7:38]]</w:t>
      </w:r>
      <w:r>
        <w:rPr>
          <w:b/>
        </w:rPr>
        <w:t>38</w:t>
      </w:r>
      <w:r>
        <w:rPr/>
        <w:t xml:space="preserve"> {{field-on:bible}}und als sie sich hinter seine Füße gestellt hatte, begann sie weinend, seine Füße mit Tränen zu benetzen und mit den Haaren ihres Kopfes wischte sie </w:t>
      </w:r>
      <w:r>
        <w:rPr>
          <w:b/>
          <w:color w:val="808080"/>
        </w:rPr>
        <w:t>[</w:t>
      </w:r>
      <w:r>
        <w:rPr/>
        <w:t>sie</w:t>
      </w:r>
      <w:r>
        <w:rPr>
          <w:b/>
          <w:color w:val="808080"/>
        </w:rPr>
        <w:t>]</w:t>
      </w:r>
      <w:r>
        <w:rPr/>
        <w:t xml:space="preserve"> ab </w:t>
      </w:r>
      <w:r>
        <w:rPr>
          <w:color w:val="808080"/>
        </w:rPr>
        <w:t>(trocknete sie sie)</w:t>
      </w:r>
      <w:r>
        <w:rPr/>
        <w:t xml:space="preserve"> und küsste seine Füße </w:t>
      </w:r>
      <w:r>
        <w:rPr>
          <w:b/>
          <w:color w:val="808080"/>
        </w:rPr>
        <w:t>[</w:t>
      </w:r>
      <w:r>
        <w:rPr/>
        <w:t xml:space="preserve">immer wieder </w:t>
      </w:r>
      <w:r>
        <w:rPr>
          <w:rStyle w:val="Funotenanker"/>
        </w:rPr>
        <w:footnoteReference w:customMarkFollows="1" w:id="4949"/>
        <w:t>a</w:t>
      </w:r>
      <w:r>
        <w:rPr/>
        <w:t xml:space="preserve"> </w:t>
      </w:r>
      <w:r>
        <w:rPr>
          <w:b/>
          <w:color w:val="808080"/>
        </w:rPr>
        <w:t>]</w:t>
      </w:r>
      <w:r>
        <w:rPr/>
        <w:t xml:space="preserve"> und salbte </w:t>
      </w:r>
      <w:r>
        <w:rPr>
          <w:b/>
          <w:color w:val="808080"/>
        </w:rPr>
        <w:t>[</w:t>
      </w:r>
      <w:r>
        <w:rPr/>
        <w:t>sie</w:t>
      </w:r>
      <w:r>
        <w:rPr>
          <w:b/>
          <w:color w:val="808080"/>
        </w:rPr>
        <w:t>]</w:t>
      </w:r>
      <w:r>
        <w:rPr/>
        <w:t xml:space="preserve"> mit Myrrhe.{{field-off:bible}} </w:t>
        <w:br/>
        <w:t>[[@BibleTOBIBLE:Lk 7:39]]</w:t>
      </w:r>
      <w:r>
        <w:rPr>
          <w:b/>
        </w:rPr>
        <w:t>39</w:t>
      </w:r>
      <w:r>
        <w:rPr/>
        <w:t xml:space="preserve"> {{field-on:bible}}Als aber der Pharisäer das sah, der ihn eingeladen hatte, sprach er zu sich selbst </w:t>
      </w:r>
      <w:r>
        <w:rPr>
          <w:color w:val="808080"/>
        </w:rPr>
        <w:t>(dachte er sich)</w:t>
      </w:r>
      <w:r>
        <w:rPr/>
        <w:t xml:space="preserve">: „Wenn ''dieser'' ein Prophet wäre, wüsste er, wer und was für eine Frau </w:t>
      </w:r>
      <w:r>
        <w:rPr>
          <w:b/>
          <w:color w:val="808080"/>
        </w:rPr>
        <w:t>[</w:t>
      </w:r>
      <w:r>
        <w:rPr/>
        <w:t>es ist</w:t>
      </w:r>
      <w:r>
        <w:rPr>
          <w:b/>
          <w:color w:val="808080"/>
        </w:rPr>
        <w:t>]</w:t>
      </w:r>
      <w:r>
        <w:rPr/>
        <w:t xml:space="preserve">, die ihn berührt: sie ist eine Sünderin.“{{field-off:bible}} </w:t>
        <w:br/>
        <w:t>[[@BibleTOBIBLE:Lk 7:40]]</w:t>
      </w:r>
      <w:r>
        <w:rPr>
          <w:b/>
        </w:rPr>
        <w:t>40</w:t>
      </w:r>
      <w:r>
        <w:rPr/>
        <w:t xml:space="preserve"> {{field-on:bible}}Und Jesus antwortete ihm: „Simon, ich habe dir etwas zu sagen.“ Der aber sagte: „Lehrer, sprich!“{{field-off:bible}} </w:t>
        <w:br/>
        <w:t>[[@BibleTOBIBLE:Lk 7:41]]</w:t>
      </w:r>
      <w:r>
        <w:rPr>
          <w:b/>
        </w:rPr>
        <w:t>41</w:t>
      </w:r>
      <w:r>
        <w:rPr/>
        <w:t xml:space="preserve"> {{field-on:bible}}„Zwei Schuldner </w:t>
      </w:r>
      <w:r>
        <w:rPr>
          <w:b/>
          <w:color w:val="808080"/>
        </w:rPr>
        <w:t>[</w:t>
      </w:r>
      <w:r>
        <w:rPr/>
        <w:t>hatten Schulden bei</w:t>
      </w:r>
      <w:r>
        <w:rPr>
          <w:b/>
          <w:color w:val="808080"/>
        </w:rPr>
        <w:t>]</w:t>
      </w:r>
      <w:r>
        <w:rPr/>
        <w:t xml:space="preserve"> einem </w:t>
      </w:r>
      <w:r>
        <w:rPr>
          <w:color w:val="808080"/>
        </w:rPr>
        <w:t>(irgendeinem)</w:t>
      </w:r>
      <w:r>
        <w:rPr/>
        <w:t xml:space="preserve"> Geldverleiher. Der eine schuldete 500 Denare, der andere 50.{{field-off:bible}} </w:t>
        <w:br/>
        <w:t>[[@BibleTOBIBLE:Lk 7:42]]</w:t>
      </w:r>
      <w:r>
        <w:rPr>
          <w:b/>
        </w:rPr>
        <w:t>42</w:t>
      </w:r>
      <w:r>
        <w:rPr/>
        <w:t xml:space="preserve"> {{field-on:bible}}Weil sie </w:t>
      </w:r>
      <w:r>
        <w:rPr>
          <w:b/>
          <w:color w:val="808080"/>
        </w:rPr>
        <w:t>[</w:t>
      </w:r>
      <w:r>
        <w:rPr/>
        <w:t>ihre Schulden</w:t>
      </w:r>
      <w:r>
        <w:rPr>
          <w:b/>
          <w:color w:val="808080"/>
        </w:rPr>
        <w:t>]</w:t>
      </w:r>
      <w:r>
        <w:rPr/>
        <w:t xml:space="preserve"> nicht zurück zahlen konnten, erließ er beiden </w:t>
      </w:r>
      <w:r>
        <w:rPr>
          <w:b/>
          <w:color w:val="808080"/>
        </w:rPr>
        <w:t>[</w:t>
      </w:r>
      <w:r>
        <w:rPr/>
        <w:t>die Schulden</w:t>
      </w:r>
      <w:r>
        <w:rPr>
          <w:b/>
          <w:color w:val="808080"/>
        </w:rPr>
        <w:t>]</w:t>
      </w:r>
      <w:r>
        <w:rPr/>
        <w:t xml:space="preserve">. Wer nun von ihnen wird ihn mehr lieben?“{{field-off:bible}} </w:t>
        <w:br/>
        <w:t>[[@BibleTOBIBLE:Lk 7:43]]</w:t>
      </w:r>
      <w:r>
        <w:rPr>
          <w:b/>
        </w:rPr>
        <w:t>43</w:t>
      </w:r>
      <w:r>
        <w:rPr/>
        <w:t xml:space="preserve"> {{field-on:bible}}Simon antwortete: „Ich vermute: derjenige, dem mehr erlassen wurde.“ Der </w:t>
      </w:r>
      <w:r>
        <w:rPr>
          <w:color w:val="808080"/>
        </w:rPr>
        <w:t>(Jesus)</w:t>
      </w:r>
      <w:r>
        <w:rPr/>
        <w:t xml:space="preserve"> aber antwortete ihm: „Recht </w:t>
      </w:r>
      <w:r>
        <w:rPr>
          <w:color w:val="808080"/>
        </w:rPr>
        <w:t>(richtig)</w:t>
      </w:r>
      <w:r>
        <w:rPr/>
        <w:t xml:space="preserve">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Myrrhe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950"/>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{{field-on:bible}}Die 70 </w:t>
      </w:r>
      <w:r>
        <w:rPr>
          <w:b/>
          <w:color w:val="808080"/>
        </w:rPr>
        <w:t>[</w:t>
      </w:r>
      <w:r>
        <w:rPr/>
        <w:t>Jünger</w:t>
      </w:r>
      <w:r>
        <w:rPr>
          <w:b/>
          <w:color w:val="808080"/>
        </w:rPr>
        <w:t>]</w:t>
      </w:r>
      <w:r>
        <w:rPr/>
        <w:t xml:space="preserve"> aber kehrten zurück, und</w:t>
      </w:r>
      <w:r>
        <w:rPr>
          <w:rStyle w:val="Funotenanker"/>
        </w:rPr>
        <w:footnoteReference w:customMarkFollows="1" w:id="4951"/>
        <w:t>a</w:t>
      </w:r>
      <w:r>
        <w:rPr/>
        <w:t xml:space="preserve"> zwei </w:t>
      </w:r>
      <w:r>
        <w:rPr>
          <w:b/>
          <w:color w:val="808080"/>
        </w:rPr>
        <w:t>[</w:t>
      </w:r>
      <w:r>
        <w:rPr/>
        <w:t>von ihnen</w:t>
      </w:r>
      <w:r>
        <w:rPr>
          <w:b/>
          <w:color w:val="808080"/>
        </w:rPr>
        <w:t>]</w:t>
      </w:r>
      <w:r>
        <w:rPr/>
        <w:t xml:space="preserve"> </w:t>
      </w:r>
      <w:r>
        <w:rPr>
          <w:rStyle w:val="Funotenanker"/>
        </w:rPr>
        <w:footnoteReference w:customMarkFollows="1" w:id="4952"/>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953"/>
        <w:t>c</w:t>
      </w:r>
      <w:r>
        <w:rPr/>
        <w:t xml:space="preserve"> gehorchen </w:t>
      </w:r>
      <w:r>
        <w:rPr>
          <w:color w:val="808080"/>
        </w:rPr>
        <w:t>(unterwerfen sich, ordnen sich unter)</w:t>
      </w:r>
      <w:r>
        <w:rPr/>
        <w:t xml:space="preserve"> </w:t>
      </w:r>
      <w:r>
        <w:rPr>
          <w:rStyle w:val="Funotenanker"/>
        </w:rPr>
        <w:footnoteReference w:customMarkFollows="1" w:id="4954"/>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955"/>
        <w:t>e</w:t>
      </w:r>
      <w:r>
        <w:rPr/>
        <w:t xml:space="preserve"> wie einen Blitz</w:t>
      </w:r>
      <w:r>
        <w:rPr>
          <w:rStyle w:val="Funotenanker"/>
        </w:rPr>
        <w:footnoteReference w:customMarkFollows="1" w:id="4956"/>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957"/>
        <w:t>g</w:t>
      </w:r>
      <w:r>
        <w:rPr/>
        <w:t xml:space="preserve"> aufgeschrieben sind!{{field-off:bible}}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958"/>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{{field-on:bible}}Und er trieb einen taubstummen </w:t>
      </w:r>
      <w:r>
        <w:rPr>
          <w:rStyle w:val="Funotenanker"/>
        </w:rPr>
        <w:footnoteReference w:customMarkFollows="1" w:id="4959"/>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960"/>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{{field-on:bible}}Eure Hüfte</w:t>
      </w:r>
      <w:r>
        <w:rPr>
          <w:rStyle w:val="Funotenanker"/>
        </w:rPr>
        <w:footnoteReference w:customMarkFollows="1" w:id="4961"/>
        <w:t>a</w:t>
      </w:r>
      <w:r>
        <w:rPr/>
        <w:t xml:space="preserve"> sei umgürtet</w:t>
      </w:r>
      <w:r>
        <w:rPr>
          <w:rStyle w:val="Funotenanker"/>
        </w:rPr>
        <w:footnoteReference w:customMarkFollows="1" w:id="4962"/>
        <w:t>b</w:t>
      </w:r>
      <w:r>
        <w:rPr/>
        <w:t xml:space="preserve"> und eure Lampen seien brennend</w:t>
      </w:r>
      <w:r>
        <w:rPr>
          <w:rStyle w:val="Funotenanker"/>
        </w:rPr>
        <w:footnoteReference w:customMarkFollows="1" w:id="4963"/>
        <w:t>c</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w:t>
      </w:r>
      <w:r>
        <w:rPr>
          <w:rStyle w:val="Funotenanker"/>
        </w:rPr>
        <w:footnoteReference w:customMarkFollows="1" w:id="4964"/>
        <w:t>d</w:t>
      </w:r>
      <w:r>
        <w:rPr/>
        <w:t xml:space="preserve"> Leute </w:t>
      </w:r>
      <w:r>
        <w:rPr>
          <w:color w:val="808080"/>
        </w:rPr>
        <w:t>(Menschen)</w:t>
      </w:r>
      <w:r>
        <w:rPr/>
        <w:t xml:space="preserve">, die ihren Herrn erwarten </w:t>
      </w:r>
      <w:r>
        <w:rPr>
          <w:color w:val="808080"/>
        </w:rPr>
        <w:t>(auf ihn warten)</w:t>
      </w:r>
      <w:r>
        <w:rPr/>
        <w:t xml:space="preserve">, wann er von der </w:t>
      </w:r>
      <w:r>
        <w:rPr>
          <w:color w:val="808080"/>
        </w:rPr>
        <w:t>(einem)</w:t>
      </w:r>
      <w:r>
        <w:rPr/>
        <w:t xml:space="preserve"> Hochzeit </w:t>
      </w:r>
      <w:r>
        <w:rPr>
          <w:color w:val="808080"/>
        </w:rPr>
        <w:t>(Fest)</w:t>
      </w:r>
      <w:r>
        <w:rPr/>
        <w:t xml:space="preserve"> zurückkehrt </w:t>
      </w:r>
      <w:r>
        <w:rPr>
          <w:color w:val="808080"/>
        </w:rPr>
        <w:t>(zurück kommt)</w:t>
      </w:r>
      <w:r>
        <w:rPr/>
        <w:t xml:space="preserve"> , damit, wenn</w:t>
      </w:r>
      <w:r>
        <w:rPr>
          <w:rStyle w:val="Funotenanker"/>
        </w:rPr>
        <w:footnoteReference w:customMarkFollows="1" w:id="4965"/>
        <w:t>e</w:t>
      </w:r>
      <w:r>
        <w:rPr/>
        <w:t xml:space="preserve"> er kommt und klopft, sie ihm sofort </w:t>
      </w:r>
      <w:r>
        <w:rPr>
          <w:b/>
          <w:color w:val="808080"/>
        </w:rPr>
        <w:t>[</w:t>
      </w:r>
      <w:r>
        <w:rPr/>
        <w:t>die Tür</w:t>
      </w:r>
      <w:r>
        <w:rPr>
          <w:b/>
          <w:color w:val="808080"/>
        </w:rPr>
        <w:t>]</w:t>
      </w:r>
      <w:r>
        <w:rPr/>
        <w:t xml:space="preserve"> öffnen </w:t>
      </w:r>
      <w:r>
        <w:rPr>
          <w:b/>
          <w:color w:val="808080"/>
        </w:rPr>
        <w:t>[</w:t>
      </w:r>
      <w:r>
        <w:rPr/>
        <w:t>können</w:t>
      </w:r>
      <w:r>
        <w:rPr>
          <w:b/>
          <w:color w:val="808080"/>
        </w:rPr>
        <w:t>]</w:t>
      </w:r>
      <w:r>
        <w:rPr/>
        <w:t xml:space="preserve">.{{field-off:bible}} </w:t>
        <w:br/>
        <w:t>[[@BibleTOBIBLE:Lk 12:37]]</w:t>
      </w:r>
      <w:r>
        <w:rPr>
          <w:b/>
        </w:rPr>
        <w:t>37</w:t>
      </w:r>
      <w:r>
        <w:rPr/>
        <w:t xml:space="preserve"> {{field-on:bible}}Glücklich </w:t>
      </w:r>
      <w:r>
        <w:rPr>
          <w:b/>
          <w:color w:val="808080"/>
        </w:rPr>
        <w:t>[</w:t>
      </w:r>
      <w:r>
        <w:rPr/>
        <w:t>sind</w:t>
      </w:r>
      <w:r>
        <w:rPr>
          <w:b/>
          <w:color w:val="808080"/>
        </w:rPr>
        <w:t>]</w:t>
      </w:r>
      <w:r>
        <w:rPr/>
        <w:t xml:space="preserve"> jene Sklaven </w:t>
      </w:r>
      <w:r>
        <w:rPr>
          <w:color w:val="808080"/>
        </w:rPr>
        <w:t>(Knechte, Diener)</w:t>
      </w:r>
      <w:r>
        <w:rPr/>
        <w:t xml:space="preserve">, die der Herr wachend </w:t>
      </w:r>
      <w:r>
        <w:rPr>
          <w:color w:val="808080"/>
        </w:rPr>
        <w:t>(wach, wachsam)</w:t>
      </w:r>
      <w:r>
        <w:rPr/>
        <w:t xml:space="preserve"> </w:t>
      </w:r>
      <w:r>
        <w:rPr>
          <w:rStyle w:val="Funotenanker"/>
        </w:rPr>
        <w:footnoteReference w:customMarkFollows="1" w:id="4966"/>
        <w:t>f</w:t>
      </w:r>
      <w:r>
        <w:rPr/>
        <w:t xml:space="preserve"> findet</w:t>
      </w:r>
      <w:r>
        <w:rPr>
          <w:rStyle w:val="Funotenanker"/>
        </w:rPr>
        <w:footnoteReference w:customMarkFollows="1" w:id="4967"/>
        <w:t>g</w:t>
      </w:r>
      <w:r>
        <w:rPr/>
        <w:t>, wenn er kommt</w:t>
      </w:r>
      <w:r>
        <w:rPr>
          <w:rStyle w:val="Funotenanker"/>
        </w:rPr>
        <w:footnoteReference w:customMarkFollows="1" w:id="4968"/>
        <w:t>h</w:t>
      </w:r>
      <w:r>
        <w:rPr/>
        <w:t>. Amen</w:t>
      </w:r>
      <w:r>
        <w:rPr>
          <w:rStyle w:val="Funotenanker"/>
        </w:rPr>
        <w:footnoteReference w:customMarkFollows="1" w:id="4969"/>
        <w:t>i</w:t>
      </w:r>
      <w:r>
        <w:rPr/>
        <w:t>, ich sage euch:</w:t>
      </w:r>
      <w:r>
        <w:rPr>
          <w:rStyle w:val="Funotenanker"/>
        </w:rPr>
        <w:footnoteReference w:customMarkFollows="1" w:id="4970"/>
        <w:t>j</w:t>
      </w:r>
      <w:r>
        <w:rPr/>
        <w:t xml:space="preserve"> Er wird sich umgürten</w:t>
      </w:r>
      <w:r>
        <w:rPr>
          <w:rStyle w:val="Funotenanker"/>
        </w:rPr>
        <w:footnoteReference w:customMarkFollows="1" w:id="4971"/>
        <w:t>k</w:t>
      </w:r>
      <w:r>
        <w:rPr/>
        <w:t xml:space="preserve"> und sie </w:t>
      </w:r>
      <w:r>
        <w:rPr>
          <w:b/>
          <w:color w:val="808080"/>
        </w:rPr>
        <w:t>[</w:t>
      </w:r>
      <w:r>
        <w:rPr/>
        <w:t>zu Tisch</w:t>
      </w:r>
      <w:r>
        <w:rPr>
          <w:b/>
          <w:color w:val="808080"/>
        </w:rPr>
        <w:t>]</w:t>
      </w:r>
      <w:r>
        <w:rPr/>
        <w:t xml:space="preserve"> hinlegen lassen</w:t>
      </w:r>
      <w:r>
        <w:rPr>
          <w:rStyle w:val="Funotenanker"/>
        </w:rPr>
        <w:footnoteReference w:customMarkFollows="1" w:id="4972"/>
        <w:t>l</w:t>
      </w:r>
      <w:r>
        <w:rPr/>
        <w:t xml:space="preserve"> und herbeikommen</w:t>
      </w:r>
      <w:r>
        <w:rPr>
          <w:rStyle w:val="Funotenanker"/>
        </w:rPr>
        <w:footnoteReference w:customMarkFollows="1" w:id="4973"/>
        <w:t>m</w:t>
      </w:r>
      <w:r>
        <w:rPr/>
        <w:t xml:space="preserve"> und ihnen dienen.{{field-off:bible}} </w:t>
        <w:br/>
        <w:t>[[@BibleTOBIBLE:Lk 12:38]]</w:t>
      </w:r>
      <w:r>
        <w:rPr>
          <w:b/>
        </w:rPr>
        <w:t>38</w:t>
      </w:r>
      <w:r>
        <w:rPr/>
        <w:t xml:space="preserve"> {{field-on:bible}}Und wenn</w:t>
      </w:r>
      <w:r>
        <w:rPr>
          <w:rStyle w:val="Funotenanker"/>
        </w:rPr>
        <w:footnoteReference w:customMarkFollows="1" w:id="4974"/>
        <w:t>n</w:t>
      </w:r>
      <w:r>
        <w:rPr/>
        <w:t xml:space="preserve"> er in der zweiten oder</w:t>
      </w:r>
      <w:r>
        <w:rPr>
          <w:rStyle w:val="Funotenanker"/>
        </w:rPr>
        <w:footnoteReference w:customMarkFollows="1" w:id="4975"/>
        <w:t>o</w:t>
      </w:r>
      <w:r>
        <w:rPr/>
        <w:t xml:space="preserve"> in der dritten Nachtwache</w:t>
      </w:r>
      <w:r>
        <w:rPr>
          <w:rStyle w:val="Funotenanker"/>
        </w:rPr>
        <w:footnoteReference w:customMarkFollows="1" w:id="4976"/>
        <w:t>p</w:t>
      </w:r>
      <w:r>
        <w:rPr/>
        <w:t xml:space="preserve"> kommen und </w:t>
      </w:r>
      <w:r>
        <w:rPr>
          <w:b/>
          <w:color w:val="808080"/>
        </w:rPr>
        <w:t>[</w:t>
      </w:r>
      <w:r>
        <w:rPr/>
        <w:t>sie</w:t>
      </w:r>
      <w:r>
        <w:rPr>
          <w:b/>
          <w:color w:val="808080"/>
        </w:rPr>
        <w:t>]</w:t>
      </w:r>
      <w:r>
        <w:rPr/>
        <w:t xml:space="preserve"> so</w:t>
      </w:r>
      <w:r>
        <w:rPr>
          <w:rStyle w:val="Funotenanker"/>
        </w:rPr>
        <w:footnoteReference w:customMarkFollows="1" w:id="4977"/>
        <w:t>q</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978"/>
        <w:t>r</w:t>
      </w:r>
      <w:r>
        <w:rPr/>
        <w:t xml:space="preserve"> Hätte</w:t>
      </w:r>
      <w:r>
        <w:rPr>
          <w:rStyle w:val="Funotenanker"/>
        </w:rPr>
        <w:footnoteReference w:customMarkFollows="1" w:id="4979"/>
        <w:t>s</w:t>
      </w:r>
      <w:r>
        <w:rPr/>
        <w:t xml:space="preserve"> der Hausherr gewusst, zu welcher Stunde der Dieb kommt, hätte er den Einbruch</w:t>
      </w:r>
      <w:r>
        <w:rPr>
          <w:rStyle w:val="Funotenanker"/>
        </w:rPr>
        <w:footnoteReference w:customMarkFollows="1" w:id="4980"/>
        <w:t>t</w:t>
      </w:r>
      <w:r>
        <w:rPr/>
        <w:t xml:space="preserve"> in sein Haus verhindert</w:t>
      </w:r>
      <w:r>
        <w:rPr>
          <w:rStyle w:val="Funotenanker"/>
        </w:rPr>
        <w:footnoteReference w:customMarkFollows="1" w:id="4981"/>
        <w:t>u</w:t>
      </w:r>
      <w:r>
        <w:rPr/>
        <w:t xml:space="preserve"> {{field-off:bible}} </w:t>
        <w:br/>
        <w:t>[[@BibleTOBIBLE:Lk 12:40]]</w:t>
      </w:r>
      <w:r>
        <w:rPr>
          <w:b/>
        </w:rPr>
        <w:t>40</w:t>
      </w:r>
      <w:r>
        <w:rPr/>
        <w:t xml:space="preserve"> {{field-on:bible}}Auch ihr macht euch</w:t>
      </w:r>
      <w:r>
        <w:rPr>
          <w:rStyle w:val="Funotenanker"/>
        </w:rPr>
        <w:footnoteReference w:customMarkFollows="1" w:id="4982"/>
        <w:t>v</w:t>
      </w:r>
      <w:r>
        <w:rPr/>
        <w:t xml:space="preserve"> bereit</w:t>
      </w:r>
      <w:r>
        <w:rPr>
          <w:rStyle w:val="Funotenanker"/>
        </w:rPr>
        <w:footnoteReference w:customMarkFollows="1" w:id="4983"/>
        <w:t>w</w:t>
      </w:r>
      <w:r>
        <w:rPr/>
        <w:t>, denn zu einer Stunde, zu der ihr es nicht denkt</w:t>
      </w:r>
      <w:r>
        <w:rPr>
          <w:rStyle w:val="Funotenanker"/>
        </w:rPr>
        <w:footnoteReference w:customMarkFollows="1" w:id="4984"/>
        <w:t>x</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985"/>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986"/>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987"/>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4988"/>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16]]Kapitel 16</w:t>
      </w:r>
    </w:p>
    <w:p>
      <w:pPr>
        <w:pStyle w:val="Textkrper"/>
        <w:rPr/>
      </w:pPr>
      <w:r>
        <w:rPr/>
        <w:br/>
        <w:t>[[@BibleTOBIBLE:Lk 16:1]]</w:t>
      </w:r>
      <w:r>
        <w:rPr>
          <w:b/>
        </w:rPr>
        <w:t>1</w:t>
      </w:r>
      <w:r>
        <w:rPr/>
        <w:t xml:space="preserve"> {{field-on:bible}}[Jesus] sprach zu seinen Jüngern: Es war ein reicher Mann, der hatte einen Manager </w:t>
      </w:r>
      <w:r>
        <w:rPr>
          <w:color w:val="808080"/>
        </w:rPr>
        <w:t>(Verwalter)</w:t>
      </w:r>
      <w:r>
        <w:rPr/>
        <w:t xml:space="preserve">. Dieser wurde bei ihm bezichtigt </w:t>
      </w:r>
      <w:r>
        <w:rPr>
          <w:color w:val="808080"/>
        </w:rPr>
        <w:t>(beschuldigt)</w:t>
      </w:r>
      <w:r>
        <w:rPr/>
        <w:t>, seinen Besitz zu verschleudern</w:t>
      </w:r>
      <w:r>
        <w:rPr>
          <w:rStyle w:val="Funotenanker"/>
        </w:rPr>
        <w:footnoteReference w:customMarkFollows="1" w:id="4989"/>
        <w:t>a</w:t>
      </w:r>
      <w:r>
        <w:rPr/>
        <w:t xml:space="preserve"> {{field-off:bible}} </w:t>
        <w:br/>
        <w:t>[[@BibleTOBIBLE:Lk 16:2]]</w:t>
      </w:r>
      <w:r>
        <w:rPr>
          <w:b/>
        </w:rPr>
        <w:t>2</w:t>
      </w:r>
      <w:r>
        <w:rPr/>
        <w:t xml:space="preserve"> {{field-on:bible}} </w:t>
      </w:r>
      <w:r>
        <w:rPr>
          <w:strike/>
          <w:color w:val="808080"/>
        </w:rPr>
        <w:t>{Und}</w:t>
      </w:r>
      <w:r>
        <w:rPr/>
        <w:t xml:space="preserve"> Er rief ihn herbei</w:t>
      </w:r>
      <w:r>
        <w:rPr>
          <w:rStyle w:val="Funotenanker"/>
        </w:rPr>
        <w:footnoteReference w:customMarkFollows="1" w:id="4990"/>
        <w:t>b</w:t>
      </w:r>
      <w:r>
        <w:rPr/>
        <w:t xml:space="preserve"> und sprach zu ihm: Was </w:t>
      </w:r>
      <w:r>
        <w:rPr>
          <w:b/>
          <w:color w:val="808080"/>
        </w:rPr>
        <w:t>[</w:t>
      </w:r>
      <w:r>
        <w:rPr/>
        <w:t>ist</w:t>
      </w:r>
      <w:r>
        <w:rPr>
          <w:b/>
          <w:color w:val="808080"/>
        </w:rPr>
        <w:t>]</w:t>
      </w:r>
      <w:r>
        <w:rPr/>
        <w:t xml:space="preserve"> das, was ich von dir höre? Lege Rechenschaft ab über deine Buchführung, denn du kannst nicht mehr Manager </w:t>
      </w:r>
      <w:r>
        <w:rPr>
          <w:color w:val="808080"/>
        </w:rPr>
        <w:t>(Verwalter)</w:t>
      </w:r>
      <w:r>
        <w:rPr/>
        <w:t xml:space="preserve"> sein.{{field-off:bible}} </w:t>
        <w:br/>
        <w:t>[[@BibleTOBIBLE:Lk 16:3]]</w:t>
      </w:r>
      <w:r>
        <w:rPr>
          <w:b/>
        </w:rPr>
        <w:t>3</w:t>
      </w:r>
      <w:r>
        <w:rPr/>
        <w:t xml:space="preserve"> {{field-on:bible}}Der Manager </w:t>
      </w:r>
      <w:r>
        <w:rPr>
          <w:color w:val="808080"/>
        </w:rPr>
        <w:t>(Verwalter)</w:t>
      </w:r>
      <w:r>
        <w:rPr/>
        <w:t xml:space="preserve"> sagte sich </w:t>
      </w:r>
      <w:r>
        <w:rPr>
          <w:color w:val="808080"/>
        </w:rPr>
        <w:t>(sprach zu sich)</w:t>
      </w:r>
      <w:r>
        <w:rPr/>
        <w:t xml:space="preserve">: Was soll ich tun? </w:t>
      </w:r>
      <w:r>
        <w:rPr>
          <w:strike/>
          <w:color w:val="808080"/>
        </w:rPr>
        <w:t>{Denn}</w:t>
      </w:r>
      <w:r>
        <w:rPr/>
        <w:t xml:space="preserve"> Mein Herr wird mir die Verwaltung nehmen. </w:t>
      </w:r>
      <w:r>
        <w:rPr>
          <w:color w:val="808080"/>
        </w:rPr>
        <w:t>(Zu graben =)</w:t>
      </w:r>
      <w:r>
        <w:rPr/>
        <w:t xml:space="preserve"> Mit den Händen zu arbeiten vermag ich nicht, zu betteln schäme ich mich.{{field-off:bible}} </w:t>
        <w:br/>
        <w:t>[[@BibleTOBIBLE:Lk 16:4]]</w:t>
      </w:r>
      <w:r>
        <w:rPr>
          <w:b/>
        </w:rPr>
        <w:t>4</w:t>
      </w:r>
      <w:r>
        <w:rPr/>
        <w:t xml:space="preserve"> {{field-on:bible}}Ich weiß, was ich tun werde, damit, wenn ich von der Verwaltung abgesetzt werde, sie mich gastlich in ihre Häuser aufnehmen!{{field-off:bible}} </w:t>
        <w:br/>
        <w:t>[[@BibleTOBIBLE:Lk 16:5]]</w:t>
      </w:r>
      <w:r>
        <w:rPr>
          <w:b/>
        </w:rPr>
        <w:t>5</w:t>
      </w:r>
      <w:r>
        <w:rPr/>
        <w:t xml:space="preserve"> {{field-on:bible}}Und er bestellte jeden einzelnen der Schuldner seines Herrn. </w:t>
      </w:r>
      <w:r>
        <w:rPr>
          <w:strike/>
          <w:color w:val="808080"/>
        </w:rPr>
        <w:t>{Und}</w:t>
      </w:r>
      <w:r>
        <w:rPr/>
        <w:t xml:space="preserve"> Er sprach zum ersten: Wieviel schuldest du meinem Herrn?{{field-off:bible}} </w:t>
        <w:br/>
        <w:t>[[@BibleTOBIBLE:Lk 16:6]]</w:t>
      </w:r>
      <w:r>
        <w:rPr>
          <w:b/>
        </w:rPr>
        <w:t>6</w:t>
      </w:r>
      <w:r>
        <w:rPr/>
        <w:t xml:space="preserve"> {{field-on:bible}}Er </w:t>
      </w:r>
      <w:r>
        <w:rPr>
          <w:strike/>
          <w:color w:val="808080"/>
        </w:rPr>
        <w:t>{aber}</w:t>
      </w:r>
      <w:r>
        <w:rPr/>
        <w:t xml:space="preserve"> sprach: Hundert Bat</w:t>
      </w:r>
      <w:r>
        <w:rPr>
          <w:rStyle w:val="Funotenanker"/>
        </w:rPr>
        <w:footnoteReference w:customMarkFollows="1" w:id="4991"/>
        <w:t>c</w:t>
      </w:r>
      <w:r>
        <w:rPr/>
        <w:t xml:space="preserve"> Öl. Er </w:t>
      </w:r>
      <w:r>
        <w:rPr>
          <w:strike/>
          <w:color w:val="808080"/>
        </w:rPr>
        <w:t>{aber}</w:t>
      </w:r>
      <w:r>
        <w:rPr/>
        <w:t xml:space="preserve"> sprach zu ihm: Nimm deinen Schuldschein</w:t>
      </w:r>
      <w:r>
        <w:rPr>
          <w:rStyle w:val="Funotenanker"/>
        </w:rPr>
        <w:footnoteReference w:customMarkFollows="1" w:id="4992"/>
        <w:t>d</w:t>
      </w:r>
      <w:r>
        <w:rPr/>
        <w:t xml:space="preserve">, setz dich gleich hin und schreibe: Fünfzig.{{field-off:bible}} </w:t>
        <w:br/>
        <w:t>[[@BibleTOBIBLE:Lk 16:7]]</w:t>
      </w:r>
      <w:r>
        <w:rPr>
          <w:b/>
        </w:rPr>
        <w:t>7</w:t>
      </w:r>
      <w:r>
        <w:rPr/>
        <w:t xml:space="preserve"> {{field-on:bible}}Darauf sprach er zum nächsten: Wieviel </w:t>
      </w:r>
      <w:r>
        <w:rPr>
          <w:strike/>
          <w:color w:val="808080"/>
        </w:rPr>
        <w:t>{aber}</w:t>
      </w:r>
      <w:r>
        <w:rPr/>
        <w:t xml:space="preserve"> schuldest du? Er </w:t>
      </w:r>
      <w:r>
        <w:rPr>
          <w:strike/>
          <w:color w:val="808080"/>
        </w:rPr>
        <w:t>{aber}</w:t>
      </w:r>
      <w:r>
        <w:rPr/>
        <w:t xml:space="preserve"> sprach: Hundert Kor</w:t>
      </w:r>
      <w:r>
        <w:rPr>
          <w:rStyle w:val="Funotenanker"/>
        </w:rPr>
        <w:footnoteReference w:customMarkFollows="1" w:id="4993"/>
        <w:t>e</w:t>
      </w:r>
      <w:r>
        <w:rPr/>
        <w:t xml:space="preserve"> Weizen. Er spricht zu ihm: Nimm deinen Schuldschein</w:t>
      </w:r>
      <w:r>
        <w:rPr>
          <w:rStyle w:val="Funotenanker"/>
        </w:rPr>
        <w:footnoteReference w:customMarkFollows="1" w:id="4994"/>
        <w:t>f</w:t>
      </w:r>
      <w:r>
        <w:rPr/>
        <w:t xml:space="preserve"> und schreibe: Achtzig.{{field-off:bible}} </w:t>
        <w:br/>
        <w:t>[[@BibleTOBIBLE:Lk 16:8]]</w:t>
      </w:r>
      <w:r>
        <w:rPr>
          <w:b/>
        </w:rPr>
        <w:t>8</w:t>
      </w:r>
      <w:r>
        <w:rPr/>
        <w:t xml:space="preserve"> {{field-on:bible}} </w:t>
      </w:r>
      <w:r>
        <w:rPr>
          <w:strike/>
          <w:color w:val="808080"/>
        </w:rPr>
        <w:t>{Und}</w:t>
      </w:r>
      <w:r>
        <w:rPr/>
        <w:t xml:space="preserve"> Der Herr</w:t>
      </w:r>
      <w:r>
        <w:rPr>
          <w:rStyle w:val="Funotenanker"/>
        </w:rPr>
        <w:footnoteReference w:customMarkFollows="1" w:id="4995"/>
        <w:t>g</w:t>
      </w:r>
      <w:r>
        <w:rPr/>
        <w:t xml:space="preserve"> lobte den ungerechten Manager </w:t>
      </w:r>
      <w:r>
        <w:rPr>
          <w:color w:val="808080"/>
        </w:rPr>
        <w:t>(Verwalter)</w:t>
      </w:r>
      <w:r>
        <w:rPr/>
        <w:t xml:space="preserve">, weil er klug gehandelt hatte: </w:t>
      </w:r>
      <w:r>
        <w:rPr>
          <w:strike/>
          <w:color w:val="808080"/>
        </w:rPr>
        <w:t>{Denn}</w:t>
      </w:r>
      <w:r>
        <w:rPr/>
        <w:t xml:space="preserve"> </w:t>
      </w:r>
      <w:r>
        <w:rPr>
          <w:rStyle w:val="Funotenanker"/>
        </w:rPr>
        <w:footnoteReference w:customMarkFollows="1" w:id="4996"/>
        <w:t>h</w:t>
      </w:r>
      <w:r>
        <w:rPr/>
        <w:t xml:space="preserve"> die Kinder dieser Welt sind klüger als die Kinder des Lichts </w:t>
      </w:r>
      <w:r>
        <w:rPr>
          <w:color w:val="808080"/>
        </w:rPr>
        <w:t>(in Bezug auf=)</w:t>
      </w:r>
      <w:r>
        <w:rPr/>
        <w:t xml:space="preserve"> im Umgang mit ihresgleichen.{{field-off:bible}} </w:t>
        <w:br/>
        <w:t>[[@BibleTOBIBLE:Lk 16:9]]</w:t>
      </w:r>
      <w:r>
        <w:rPr>
          <w:b/>
        </w:rPr>
        <w:t>9</w:t>
      </w:r>
      <w:r>
        <w:rPr/>
        <w:t xml:space="preserve"> {{field-on:bible}} </w:t>
      </w:r>
      <w:r>
        <w:rPr>
          <w:strike/>
          <w:color w:val="808080"/>
        </w:rPr>
        <w:t>{Und}</w:t>
      </w:r>
      <w:r>
        <w:rPr/>
        <w:t xml:space="preserve"> Ich sage euch: Schafft </w:t>
      </w:r>
      <w:r>
        <w:rPr>
          <w:color w:val="808080"/>
        </w:rPr>
        <w:t>(macht)</w:t>
      </w:r>
      <w:r>
        <w:rPr/>
        <w:t xml:space="preserve"> euch Freunde mit dem ungerechten Besitz </w:t>
      </w:r>
      <w:r>
        <w:rPr>
          <w:color w:val="808080"/>
        </w:rPr>
        <w:t>(Vermögen, „Mammon“)</w:t>
      </w:r>
      <w:r>
        <w:rPr/>
        <w:t>, damit, wenn er zu Ende ist, sie euch gastlich aufnehmen in die ewigen Behausungen.</w:t>
      </w:r>
      <w:r>
        <w:rPr>
          <w:rStyle w:val="Funotenanker"/>
        </w:rPr>
        <w:footnoteReference w:customMarkFollows="1" w:id="4997"/>
        <w:t>i</w:t>
      </w:r>
      <w:r>
        <w:rPr/>
        <w:t xml:space="preserve"> {{field-off:bible}} </w:t>
        <w:br/>
        <w:t>[[@BibleTOBIBLE:Lk 16:10]]</w:t>
      </w:r>
      <w:r>
        <w:rPr>
          <w:b/>
        </w:rPr>
        <w:t>10</w:t>
      </w:r>
      <w:r>
        <w:rPr/>
        <w:t xml:space="preserve"> {{field-on:bible}}Wer im Geringsten verlässlich </w:t>
      </w:r>
      <w:r>
        <w:rPr>
          <w:color w:val="808080"/>
        </w:rPr>
        <w:t>(treu)</w:t>
      </w:r>
      <w:r>
        <w:rPr/>
        <w:t xml:space="preserve"> ist, ist auch im Großen verlässlich </w:t>
      </w:r>
      <w:r>
        <w:rPr>
          <w:color w:val="808080"/>
        </w:rPr>
        <w:t>(treu)</w:t>
      </w:r>
      <w:r>
        <w:rPr/>
        <w:t xml:space="preserve">, und wer im Geringsten unzuverlässig </w:t>
      </w:r>
      <w:r>
        <w:rPr>
          <w:color w:val="808080"/>
        </w:rPr>
        <w:t>(unrecht, ungerecht)</w:t>
      </w:r>
      <w:r>
        <w:rPr/>
        <w:t xml:space="preserve"> ist, ist auch im Großen unzuverlässig </w:t>
      </w:r>
      <w:r>
        <w:rPr>
          <w:color w:val="808080"/>
        </w:rPr>
        <w:t>(unrecht, ungerecht)</w:t>
      </w:r>
      <w:r>
        <w:rPr/>
        <w:t xml:space="preserve">.{{field-off:bible}} </w:t>
        <w:br/>
        <w:t>[[@BibleTOBIBLE:Lk 16:11]]</w:t>
      </w:r>
      <w:r>
        <w:rPr>
          <w:b/>
        </w:rPr>
        <w:t>11</w:t>
      </w:r>
      <w:r>
        <w:rPr/>
        <w:t xml:space="preserve"> {{field-on:bible}}Wenn ihr nun mit dem ungerechten Besitz </w:t>
      </w:r>
      <w:r>
        <w:rPr>
          <w:color w:val="808080"/>
        </w:rPr>
        <w:t>(Vermögen, „Mammon“)</w:t>
      </w:r>
      <w:r>
        <w:rPr/>
        <w:t xml:space="preserve"> nicht zuverlässig </w:t>
      </w:r>
      <w:r>
        <w:rPr>
          <w:color w:val="808080"/>
        </w:rPr>
        <w:t>(treu)</w:t>
      </w:r>
      <w:r>
        <w:rPr/>
        <w:t xml:space="preserve"> </w:t>
      </w:r>
      <w:r>
        <w:rPr>
          <w:color w:val="808080"/>
        </w:rPr>
        <w:t>(seid =)</w:t>
      </w:r>
      <w:r>
        <w:rPr/>
        <w:t xml:space="preserve"> umgeht, wer wird euch das, was wirklich zählt </w:t>
      </w:r>
      <w:r>
        <w:rPr>
          <w:color w:val="808080"/>
        </w:rPr>
        <w:t>(das Wahre, das wahre Gut)</w:t>
      </w:r>
      <w:r>
        <w:rPr/>
        <w:t xml:space="preserve"> anvertrauen?{{field-off:bible}} </w:t>
        <w:br/>
        <w:t>[[@BibleTOBIBLE:Lk 16:12]]</w:t>
      </w:r>
      <w:r>
        <w:rPr>
          <w:b/>
        </w:rPr>
        <w:t>12</w:t>
      </w:r>
      <w:r>
        <w:rPr/>
        <w:t xml:space="preserve"> {{field-on:bible}}Und wenn ihr mit dem </w:t>
      </w:r>
      <w:r>
        <w:rPr>
          <w:color w:val="808080"/>
        </w:rPr>
        <w:t>(Fremden =)</w:t>
      </w:r>
      <w:r>
        <w:rPr/>
        <w:t xml:space="preserve">, was euch nicht gehört, nicht zuverlässig </w:t>
      </w:r>
      <w:r>
        <w:rPr>
          <w:color w:val="808080"/>
        </w:rPr>
        <w:t>(treu)</w:t>
      </w:r>
      <w:r>
        <w:rPr/>
        <w:t xml:space="preserve"> </w:t>
      </w:r>
      <w:r>
        <w:rPr>
          <w:color w:val="808080"/>
        </w:rPr>
        <w:t>(seid =)</w:t>
      </w:r>
      <w:r>
        <w:rPr/>
        <w:t xml:space="preserve"> umgeht, wer wird euch das eure geben?{{field-off:bible}} </w:t>
        <w:br/>
        <w:t>[[@BibleTOBIBLE:Lk 16:13]]</w:t>
      </w:r>
      <w:r>
        <w:rPr>
          <w:b/>
        </w:rPr>
        <w:t>13</w:t>
      </w:r>
      <w:r>
        <w:rPr/>
        <w:t xml:space="preserve"> {{field-on:bible}}Kein Sklave kann zwei Herren gehorchen </w:t>
      </w:r>
      <w:r>
        <w:rPr>
          <w:color w:val="808080"/>
        </w:rPr>
        <w:t>(dienen, untertan sein)</w:t>
      </w:r>
      <w:r>
        <w:rPr/>
        <w:t xml:space="preserve">. Entweder wird er </w:t>
      </w:r>
      <w:r>
        <w:rPr>
          <w:strike/>
          <w:color w:val="808080"/>
        </w:rPr>
        <w:t>{nämlich}</w:t>
      </w:r>
      <w:r>
        <w:rPr/>
        <w:t xml:space="preserve"> den einen hassen und den anderen </w:t>
      </w:r>
      <w:r>
        <w:rPr>
          <w:color w:val="808080"/>
        </w:rPr>
        <w:t>(lieben =)</w:t>
      </w:r>
      <w:r>
        <w:rPr/>
        <w:t xml:space="preserve"> mögen, oder an dem einen festhalten und den anderen gering schätzen. Ihr könnt nicht Gott dienen und dem Mammon </w:t>
      </w:r>
      <w:r>
        <w:rPr>
          <w:color w:val="808080"/>
        </w:rPr>
        <w:t>(Besitz Vermögen)</w:t>
      </w:r>
      <w:r>
        <w:rPr/>
        <w:t xml:space="preserve"> </w:t>
      </w:r>
      <w:r>
        <w:rPr>
          <w:rStyle w:val="Funotenanker"/>
        </w:rPr>
        <w:footnoteReference w:customMarkFollows="1" w:id="4998"/>
        <w:t>j</w:t>
      </w:r>
      <w:r>
        <w:rPr/>
        <w:t xml:space="preserve">.{{field-off:bible}} </w:t>
      </w:r>
    </w:p>
    <w:p>
      <w:pPr>
        <w:pStyle w:val="Berschrift3"/>
        <w:rPr/>
      </w:pPr>
      <w:r>
        <w:rPr/>
        <w:t>[[@BibleTOBIBLE:Lk 17]]Kapitel 17</w:t>
      </w:r>
    </w:p>
    <w:p>
      <w:pPr>
        <w:pStyle w:val="Textkrper"/>
        <w:rPr/>
      </w:pPr>
      <w:r>
        <w:rPr/>
        <w:br/>
        <w:t>[[@BibleTOBIBLE:Lk 17:11]]</w:t>
      </w:r>
      <w:r>
        <w:rPr>
          <w:b/>
        </w:rPr>
        <w:t>11</w:t>
      </w:r>
      <w:r>
        <w:rPr/>
        <w:t xml:space="preserve"> {{field-on:bible}}Und es begab sich</w:t>
      </w:r>
      <w:r>
        <w:rPr>
          <w:rStyle w:val="Funotenanker"/>
        </w:rPr>
        <w:footnoteReference w:customMarkFollows="1" w:id="4999"/>
        <w:t>a</w:t>
      </w:r>
      <w:r>
        <w:rPr/>
        <w:t>, während</w:t>
      </w:r>
      <w:r>
        <w:rPr>
          <w:rStyle w:val="Funotenanker"/>
        </w:rPr>
        <w:footnoteReference w:customMarkFollows="1" w:id="5000"/>
        <w:t>b</w:t>
      </w:r>
      <w:r>
        <w:rPr/>
        <w:t xml:space="preserve"> er</w:t>
      </w:r>
      <w:r>
        <w:rPr>
          <w:rStyle w:val="Funotenanker"/>
        </w:rPr>
        <w:footnoteReference w:customMarkFollows="1" w:id="5001"/>
        <w:t>c</w:t>
      </w:r>
      <w:r>
        <w:rPr/>
        <w:t xml:space="preserve"> nach Jerusalem wanderte, da ging er mitten durch</w:t>
      </w:r>
      <w:r>
        <w:rPr>
          <w:rStyle w:val="Funotenanker"/>
        </w:rPr>
        <w:footnoteReference w:customMarkFollows="1" w:id="5002"/>
        <w:t>d</w:t>
      </w:r>
      <w:r>
        <w:rPr/>
        <w:t xml:space="preserve"> Samarien und Galiläa.{{field-off:bible}} </w:t>
        <w:br/>
        <w:t>[[@BibleTOBIBLE:Lk 17:12]]</w:t>
      </w:r>
      <w:r>
        <w:rPr>
          <w:b/>
        </w:rPr>
        <w:t>12</w:t>
      </w:r>
      <w:r>
        <w:rPr/>
        <w:t xml:space="preserve"> {{field-on:bible}}Und als</w:t>
      </w:r>
      <w:r>
        <w:rPr>
          <w:rStyle w:val="Funotenanker"/>
        </w:rPr>
        <w:footnoteReference w:customMarkFollows="1" w:id="5003"/>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5004"/>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5005"/>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5006"/>
        <w:t>h</w:t>
      </w:r>
      <w:r>
        <w:rPr/>
        <w:t xml:space="preserve"> er sah, dass er geheilt war, kehrte um und</w:t>
      </w:r>
      <w:r>
        <w:rPr>
          <w:rStyle w:val="Funotenanker"/>
        </w:rPr>
        <w:footnoteReference w:customMarkFollows="1" w:id="5007"/>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5008"/>
        <w:t>j</w:t>
      </w:r>
      <w:r>
        <w:rPr/>
        <w:t xml:space="preserve"> dankte ihm; und</w:t>
      </w:r>
      <w:r>
        <w:rPr>
          <w:rStyle w:val="Funotenanker"/>
        </w:rPr>
        <w:footnoteReference w:customMarkFollows="1" w:id="5009"/>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5010"/>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5011"/>
        <w:t>m</w:t>
      </w:r>
      <w:r>
        <w:rPr/>
        <w:t xml:space="preserve">, wo </w:t>
      </w:r>
      <w:r>
        <w:rPr>
          <w:b/>
          <w:color w:val="808080"/>
        </w:rPr>
        <w:t>[</w:t>
      </w:r>
      <w:r>
        <w:rPr/>
        <w:t>sind sie</w:t>
      </w:r>
      <w:r>
        <w:rPr>
          <w:b/>
          <w:color w:val="808080"/>
        </w:rPr>
        <w:t>]</w:t>
      </w:r>
      <w:r>
        <w:rPr/>
        <w:t>?</w:t>
      </w:r>
      <w:r>
        <w:rPr>
          <w:rStyle w:val="Funotenanker"/>
        </w:rPr>
        <w:footnoteReference w:customMarkFollows="1" w:id="5012"/>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5013"/>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5014"/>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5015"/>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5016"/>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{{field-on:bible}}Er sprach aber ein Gleichnis zu ihnen über die Notwenigkeit </w:t>
      </w:r>
      <w:r>
        <w:rPr>
          <w:rStyle w:val="Funotenanker"/>
        </w:rPr>
        <w:footnoteReference w:customMarkFollows="1" w:id="5017"/>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5018"/>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5019"/>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5020"/>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5021"/>
        <w:t>e</w:t>
      </w:r>
      <w:r>
        <w:rPr/>
        <w:t>, so will ich ihr Recht verschaffen</w:t>
      </w:r>
      <w:r>
        <w:rPr>
          <w:rStyle w:val="Funotenanker"/>
        </w:rPr>
        <w:footnoteReference w:customMarkFollows="1" w:id="5022"/>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5023"/>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5024"/>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5025"/>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5026"/>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5027"/>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5028"/>
        <w:t>l</w:t>
      </w:r>
      <w:r>
        <w:rPr/>
        <w:t xml:space="preserve"> {{field-off:bible}} </w:t>
        <w:br/>
        <w:t>[[@BibleTOBIBLE:Lk 18:14]]</w:t>
      </w:r>
      <w:r>
        <w:rPr>
          <w:b/>
        </w:rPr>
        <w:t>14</w:t>
      </w:r>
      <w:r>
        <w:rPr/>
        <w:t xml:space="preserve"> {{field-on:bible}}Ich sage euch: Dieser ging gerechtfertigt</w:t>
      </w:r>
      <w:r>
        <w:rPr>
          <w:rStyle w:val="Funotenanker"/>
        </w:rPr>
        <w:footnoteReference w:customMarkFollows="1" w:id="5029"/>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5030"/>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5031"/>
        <w:t>o</w:t>
      </w:r>
      <w:r>
        <w:rPr/>
        <w:t>, soll</w:t>
      </w:r>
      <w:r>
        <w:rPr>
          <w:rStyle w:val="Funotenanker"/>
        </w:rPr>
        <w:footnoteReference w:customMarkFollows="1" w:id="5032"/>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5033"/>
        <w:t>q</w:t>
      </w:r>
      <w:r>
        <w:rPr/>
        <w:t xml:space="preserve"> fragte ihn [Jesus]: „Guter Lehrer</w:t>
      </w:r>
      <w:r>
        <w:rPr>
          <w:rStyle w:val="Funotenanker"/>
        </w:rPr>
        <w:footnoteReference w:customMarkFollows="1" w:id="5034"/>
        <w:t>r</w:t>
      </w:r>
      <w:r>
        <w:rPr/>
        <w:t>, was muss ich machen</w:t>
      </w:r>
      <w:r>
        <w:rPr>
          <w:rStyle w:val="Funotenanker"/>
        </w:rPr>
        <w:footnoteReference w:customMarkFollows="1" w:id="5035"/>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5036"/>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5037"/>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5038"/>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5039"/>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5040"/>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5041"/>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5042"/>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5043"/>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5044"/>
        <w:t>ab</w:t>
      </w:r>
      <w:r>
        <w:rPr/>
        <w:t xml:space="preserve">.“{{field-off:bible}} </w:t>
      </w:r>
    </w:p>
    <w:p>
      <w:pPr>
        <w:pStyle w:val="Berschrift3"/>
        <w:rPr/>
      </w:pPr>
      <w:r>
        <w:rPr/>
        <w:t>[[@BibleTOBIBLE:Lk 19]]Kapitel 19</w:t>
      </w:r>
    </w:p>
    <w:p>
      <w:pPr>
        <w:pStyle w:val="Textkrper"/>
        <w:rPr/>
      </w:pPr>
      <w:r>
        <w:rPr/>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5045"/>
        <w:t>a</w:t>
      </w:r>
      <w:r>
        <w:rPr/>
        <w:t xml:space="preserve"> die Stadt sah, weinte er über sie{{field-off:bible}} </w:t>
        <w:br/>
        <w:t>[[@BibleTOBIBLE:Lk 19:42]]</w:t>
      </w:r>
      <w:r>
        <w:rPr>
          <w:b/>
        </w:rPr>
        <w:t>42</w:t>
      </w:r>
      <w:r>
        <w:rPr/>
        <w:t xml:space="preserve"> {{field-on:bible}}und</w:t>
      </w:r>
      <w:r>
        <w:rPr>
          <w:rStyle w:val="Funotenanker"/>
        </w:rPr>
        <w:footnoteReference w:customMarkFollows="1" w:id="5046"/>
        <w:t>b</w:t>
      </w:r>
      <w:r>
        <w:rPr/>
        <w:t xml:space="preserve"> sprach:</w:t>
      </w:r>
      <w:r>
        <w:rPr>
          <w:rStyle w:val="Funotenanker"/>
        </w:rPr>
        <w:footnoteReference w:customMarkFollows="1" w:id="5047"/>
        <w:t>c</w:t>
      </w:r>
      <w:r>
        <w:rPr/>
        <w:t xml:space="preserve"> Wenn doch auch du an diesem Tag erkannt hättest, was dem Frieden dient</w:t>
      </w:r>
      <w:r>
        <w:rPr>
          <w:rStyle w:val="Funotenanker"/>
        </w:rPr>
        <w:footnoteReference w:customMarkFollows="1" w:id="5048"/>
        <w:t>d</w:t>
      </w:r>
      <w:r>
        <w:rPr/>
        <w:t xml:space="preserve">; nun aber ist es </w:t>
      </w:r>
      <w:r>
        <w:rPr>
          <w:color w:val="808080"/>
        </w:rPr>
        <w:t>(vor deinen Augen =)</w:t>
      </w:r>
      <w:r>
        <w:rPr/>
        <w:t xml:space="preserve"> </w:t>
      </w:r>
      <w:r>
        <w:rPr>
          <w:rStyle w:val="Funotenanker"/>
        </w:rPr>
        <w:footnoteReference w:customMarkFollows="1" w:id="5049"/>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5050"/>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5051"/>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5052"/>
        <w:t>h</w:t>
      </w:r>
      <w:r>
        <w:rPr/>
        <w:t xml:space="preserve"> nicht erkannt hast.{{field-off:bible}} </w:t>
        <w:br/>
        <w:t>[[@BibleTOBIBLE:Lk 19:45]]</w:t>
      </w:r>
      <w:r>
        <w:rPr>
          <w:b/>
        </w:rPr>
        <w:t>45</w:t>
      </w:r>
      <w:r>
        <w:rPr/>
        <w:t xml:space="preserve"> {{field-on:bible}}Und als</w:t>
      </w:r>
      <w:r>
        <w:rPr>
          <w:rStyle w:val="Funotenanker"/>
        </w:rPr>
        <w:footnoteReference w:customMarkFollows="1" w:id="5053"/>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5054"/>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5055"/>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5056"/>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{{field-on:bible}}Und es geschah an einem der Tage, als [Jesus] das Volk im Tempel belehrte und das Evangelium verkündigte</w:t>
      </w:r>
      <w:r>
        <w:rPr>
          <w:rStyle w:val="Funotenanker"/>
        </w:rPr>
        <w:footnoteReference w:customMarkFollows="1" w:id="5057"/>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5058"/>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5059"/>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5060"/>
        <w:t>d</w:t>
      </w:r>
      <w:r>
        <w:rPr/>
        <w:t xml:space="preserve"> euch eine Frage</w:t>
      </w:r>
      <w:r>
        <w:rPr>
          <w:rStyle w:val="Funotenanker"/>
        </w:rPr>
        <w:footnoteReference w:customMarkFollows="1" w:id="5061"/>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5062"/>
        <w:t>f</w:t>
      </w:r>
      <w:r>
        <w:rPr/>
        <w:t xml:space="preserve"> und </w:t>
      </w:r>
      <w:r>
        <w:rPr>
          <w:color w:val="808080"/>
        </w:rPr>
        <w:t>(wobei/indem sie)</w:t>
      </w:r>
      <w:r>
        <w:rPr/>
        <w:t xml:space="preserve"> </w:t>
      </w:r>
      <w:r>
        <w:rPr>
          <w:rStyle w:val="Funotenanker"/>
        </w:rPr>
        <w:footnoteReference w:customMarkFollows="1" w:id="5063"/>
        <w:t>g</w:t>
      </w:r>
      <w:r>
        <w:rPr/>
        <w:t xml:space="preserve"> sprachen</w:t>
      </w:r>
      <w:r>
        <w:rPr>
          <w:rStyle w:val="Funotenanker"/>
        </w:rPr>
        <w:footnoteReference w:customMarkFollows="1" w:id="5064"/>
        <w:t>h</w:t>
      </w:r>
      <w:r>
        <w:rPr/>
        <w:t>: Wenn</w:t>
      </w:r>
      <w:r>
        <w:rPr>
          <w:rStyle w:val="Funotenanker"/>
        </w:rPr>
        <w:footnoteReference w:customMarkFollows="1" w:id="5065"/>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5066"/>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5067"/>
        <w:t>a</w:t>
      </w:r>
      <w:r>
        <w:rPr/>
        <w:t xml:space="preserve"> fortgehen, und die auf dem Land nicht in die Stadt gehen</w:t>
      </w:r>
      <w:r>
        <w:rPr>
          <w:rStyle w:val="Funotenanker"/>
        </w:rPr>
        <w:footnoteReference w:customMarkFollows="1" w:id="5068"/>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5069"/>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5070"/>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5071"/>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5072"/>
        <w:t>d</w:t>
      </w:r>
      <w:r>
        <w:rPr/>
        <w:t>, herrschte ihn an</w:t>
      </w:r>
      <w:r>
        <w:rPr>
          <w:rStyle w:val="Funotenanker"/>
        </w:rPr>
        <w:footnoteReference w:customMarkFollows="1" w:id="5073"/>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5074"/>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5075"/>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5076"/>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5077"/>
        <w:t>a</w:t>
      </w:r>
      <w:r>
        <w:rPr/>
        <w:t xml:space="preserve"> und warum steigen Bedenken </w:t>
      </w:r>
      <w:r>
        <w:rPr>
          <w:color w:val="808080"/>
        </w:rPr>
        <w:t>(Zweifel, Gedanken)</w:t>
      </w:r>
      <w:r>
        <w:rPr/>
        <w:t xml:space="preserve"> in eurem Herzen</w:t>
      </w:r>
      <w:r>
        <w:rPr>
          <w:rStyle w:val="Funotenanker"/>
        </w:rPr>
        <w:footnoteReference w:customMarkFollows="1" w:id="5078"/>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5079"/>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5080"/>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5081"/>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5082"/>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5083"/>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5084"/>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5085"/>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5086"/>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5087"/>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5088"/>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5089"/>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5090"/>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5091"/>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5092"/>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5093"/>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5094"/>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5095"/>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5096"/>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5097"/>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5098"/>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5099"/>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5100"/>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5101"/>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5102"/>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5103"/>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5104"/>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5105"/>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5106"/>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5107"/>
        <w:t>a</w:t>
      </w:r>
      <w:r>
        <w:rPr/>
        <w:t xml:space="preserve"> einen Teich, der auf hebräisch </w:t>
      </w:r>
      <w:r>
        <w:rPr>
          <w:color w:val="808080"/>
        </w:rPr>
        <w:t>(auch)</w:t>
      </w:r>
      <w:r>
        <w:rPr/>
        <w:t xml:space="preserve"> Betzata</w:t>
      </w:r>
      <w:r>
        <w:rPr>
          <w:rStyle w:val="Funotenanker"/>
        </w:rPr>
        <w:footnoteReference w:customMarkFollows="1" w:id="5108"/>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5109"/>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5110"/>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5111"/>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5112"/>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5113"/>
        <w:t>b</w:t>
      </w:r>
      <w:r>
        <w:rPr/>
        <w:t xml:space="preserve"> und sieht</w:t>
      </w:r>
      <w:r>
        <w:rPr>
          <w:rStyle w:val="Funotenanker"/>
        </w:rPr>
        <w:footnoteReference w:customMarkFollows="1" w:id="5114"/>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5115"/>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5116"/>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5117"/>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5118"/>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5119"/>
        <w:t>h</w:t>
      </w:r>
      <w:r>
        <w:rPr/>
        <w:t xml:space="preserve"> Brocken, damit nichts</w:t>
      </w:r>
      <w:r>
        <w:rPr>
          <w:rStyle w:val="Funotenanker"/>
        </w:rPr>
        <w:footnoteReference w:customMarkFollows="1" w:id="5120"/>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5121"/>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5122"/>
        <w:t>k</w:t>
      </w:r>
      <w:r>
        <w:rPr/>
        <w:t>, das er getan hatte, sagten sie:</w:t>
      </w:r>
      <w:r>
        <w:rPr>
          <w:rStyle w:val="Funotenanker"/>
        </w:rPr>
        <w:footnoteReference w:customMarkFollows="1" w:id="5123"/>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5124"/>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5125"/>
        <w:t>n</w:t>
      </w:r>
      <w:r>
        <w:rPr/>
        <w:t xml:space="preserve"> ein Boot </w:t>
      </w:r>
      <w:r>
        <w:rPr>
          <w:color w:val="808080"/>
        </w:rPr>
        <w:t>(Kahn)</w:t>
      </w:r>
      <w:r>
        <w:rPr/>
        <w:t xml:space="preserve"> </w:t>
      </w:r>
      <w:r>
        <w:rPr>
          <w:rStyle w:val="Funotenanker"/>
        </w:rPr>
        <w:footnoteReference w:customMarkFollows="1" w:id="5126"/>
        <w:t>o</w:t>
      </w:r>
      <w:r>
        <w:rPr/>
        <w:t xml:space="preserve"> und fuhren über das Meer nach Kapernaum. Und die Dunkelheit war schon hereingebrochen</w:t>
      </w:r>
      <w:r>
        <w:rPr>
          <w:rStyle w:val="Funotenanker"/>
        </w:rPr>
        <w:footnoteReference w:customMarkFollows="1" w:id="5127"/>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5128"/>
        <w:t>q</w:t>
      </w:r>
      <w:r>
        <w:rPr/>
        <w:t xml:space="preserve"> Wind erregt.{{field-off:bible}} </w:t>
        <w:br/>
        <w:t>[[@BibleTOBIBLE:Jn 6:19]]</w:t>
      </w:r>
      <w:r>
        <w:rPr>
          <w:b/>
        </w:rPr>
        <w:t>19</w:t>
      </w:r>
      <w:r>
        <w:rPr/>
        <w:t xml:space="preserve"> {{field-on:bible}}Nachdem sie</w:t>
      </w:r>
      <w:r>
        <w:rPr>
          <w:rStyle w:val="Funotenanker"/>
        </w:rPr>
        <w:footnoteReference w:customMarkFollows="1" w:id="5129"/>
        <w:t>r</w:t>
      </w:r>
      <w:r>
        <w:rPr/>
        <w:t xml:space="preserve"> also 25 oder 30 Stadien</w:t>
      </w:r>
      <w:r>
        <w:rPr>
          <w:rStyle w:val="Funotenanker"/>
        </w:rPr>
        <w:footnoteReference w:customMarkFollows="1" w:id="5130"/>
        <w:t>s</w:t>
      </w:r>
      <w:r>
        <w:rPr/>
        <w:t xml:space="preserve"> gerudert waren, sehen sie Jesus, wie er auf dem Meer geht</w:t>
      </w:r>
      <w:r>
        <w:rPr>
          <w:rStyle w:val="Funotenanker"/>
        </w:rPr>
        <w:footnoteReference w:customMarkFollows="1" w:id="5131"/>
        <w:t>t</w:t>
      </w:r>
      <w:r>
        <w:rPr/>
        <w:t xml:space="preserve"> und nahe ans Schiff kommt</w:t>
      </w:r>
      <w:r>
        <w:rPr>
          <w:rStyle w:val="Funotenanker"/>
        </w:rPr>
        <w:footnoteReference w:customMarkFollows="1" w:id="5132"/>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5133"/>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5134"/>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5135"/>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w:t>
      </w:r>
      <w:r>
        <w:rPr>
          <w:rStyle w:val="Funotenanker"/>
        </w:rPr>
        <w:footnoteReference w:customMarkFollows="1" w:id="5136"/>
        <w:t>y</w:t>
      </w:r>
      <w:r>
        <w:rPr/>
        <w:t xml:space="preserve">,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5137"/>
        <w:t>z</w:t>
      </w:r>
      <w:r>
        <w:rPr/>
        <w:t xml:space="preserve"> und das der Welt das Leben gibt </w:t>
      </w:r>
      <w:r>
        <w:rPr>
          <w:rStyle w:val="Funotenanker"/>
        </w:rPr>
        <w:footnoteReference w:customMarkFollows="1" w:id="5138"/>
        <w:t>aa</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5139"/>
        <w:t>ab</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5140"/>
        <w:t>ac</w:t>
      </w:r>
      <w:r>
        <w:rPr/>
        <w:t xml:space="preserve"> und mein Blut trinkt</w:t>
      </w:r>
      <w:r>
        <w:rPr>
          <w:rStyle w:val="Funotenanker"/>
        </w:rPr>
        <w:footnoteReference w:customMarkFollows="1" w:id="5141"/>
        <w:t>ad</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5142"/>
        <w:t>ae</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5143"/>
        <w:t>af</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5144"/>
        <w:t>ag</w:t>
      </w:r>
      <w:r>
        <w:rPr/>
        <w:t>, und welcher der ist, der ihn verriet</w:t>
      </w:r>
      <w:r>
        <w:rPr>
          <w:rStyle w:val="Funotenanker"/>
        </w:rPr>
        <w:footnoteReference w:customMarkFollows="1" w:id="5145"/>
        <w:t>ah</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5146"/>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5147"/>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5148"/>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5149"/>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5150"/>
        <w:t>d</w:t>
      </w:r>
      <w:r>
        <w:rPr/>
        <w:t xml:space="preserve"> der Griechen</w:t>
      </w:r>
      <w:r>
        <w:rPr>
          <w:rStyle w:val="Funotenanker"/>
        </w:rPr>
        <w:footnoteReference w:customMarkFollows="1" w:id="5151"/>
        <w:t>e</w:t>
      </w:r>
      <w:r>
        <w:rPr/>
        <w:t xml:space="preserve"> </w:t>
      </w:r>
      <w:r>
        <w:rPr>
          <w:color w:val="808080"/>
        </w:rPr>
        <w:t>(zu)</w:t>
      </w:r>
      <w:r>
        <w:rPr/>
        <w:t xml:space="preserve"> gehen und die Griechen</w:t>
      </w:r>
      <w:r>
        <w:rPr>
          <w:rStyle w:val="Funotenanker"/>
        </w:rPr>
        <w:footnoteReference w:customMarkFollows="1" w:id="5152"/>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5153"/>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5154"/>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5155"/>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5156"/>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5157"/>
        <w:t>Status</w:t>
      </w:r>
      <w:r>
        <w:rPr/>
        <w:t xml:space="preserve"> </w:t>
      </w:r>
      <w:r>
        <w:rPr>
          <w:rStyle w:val="Funotenanker"/>
        </w:rPr>
        <w:footnoteReference w:customMarkFollows="1" w:id="5158"/>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5159"/>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5160"/>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5161"/>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5162"/>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5163"/>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5164"/>
        <w:t>g</w:t>
      </w:r>
      <w:r>
        <w:rPr/>
        <w:t xml:space="preserve"> „Zunächst das, was</w:t>
      </w:r>
      <w:r>
        <w:rPr>
          <w:rStyle w:val="Funotenanker"/>
        </w:rPr>
        <w:footnoteReference w:customMarkFollows="1" w:id="5165"/>
        <w:t>h</w:t>
      </w:r>
      <w:r>
        <w:rPr/>
        <w:t xml:space="preserve"> ich euch auch sage.</w:t>
      </w:r>
      <w:r>
        <w:rPr>
          <w:rStyle w:val="Funotenanker"/>
        </w:rPr>
        <w:footnoteReference w:customMarkFollows="1" w:id="5166"/>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5167"/>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5168"/>
        <w:t>k</w:t>
      </w:r>
      <w:r>
        <w:rPr/>
        <w:t xml:space="preserve"> sprach.{{field-off:bible}} </w:t>
        <w:br/>
        <w:t>[[@BibleTOBIBLE:Jn 8:28]]</w:t>
      </w:r>
      <w:r>
        <w:rPr>
          <w:b/>
        </w:rPr>
        <w:t>28</w:t>
      </w:r>
      <w:r>
        <w:rPr/>
        <w:t xml:space="preserve"> {{field-on:bible}}Sprach daher Jesus zu ihnen</w:t>
      </w:r>
      <w:r>
        <w:rPr>
          <w:rStyle w:val="Funotenanker"/>
        </w:rPr>
        <w:footnoteReference w:customMarkFollows="1" w:id="5169"/>
        <w:t>l</w:t>
      </w:r>
      <w:r>
        <w:rPr/>
        <w:t>: „Wenn ihr den Menschensohn erhöhen</w:t>
      </w:r>
      <w:r>
        <w:rPr>
          <w:rStyle w:val="Funotenanker"/>
        </w:rPr>
        <w:footnoteReference w:customMarkFollows="1" w:id="5170"/>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5171"/>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5172"/>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5173"/>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5174"/>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5175"/>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5176"/>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5177"/>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5178"/>
        <w:t>Status</w:t>
      </w:r>
      <w:r>
        <w:rPr/>
        <w:t xml:space="preserve"> Und im Vorbeigehen </w:t>
      </w:r>
      <w:r>
        <w:rPr>
          <w:color w:val="808080"/>
        </w:rPr>
        <w:t>(beim Weitergehen)</w:t>
      </w:r>
      <w:r>
        <w:rPr/>
        <w:t xml:space="preserve"> </w:t>
      </w:r>
      <w:r>
        <w:rPr>
          <w:rStyle w:val="Funotenanker"/>
        </w:rPr>
        <w:footnoteReference w:customMarkFollows="1" w:id="5179"/>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5180"/>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5181"/>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5182"/>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5183"/>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5184"/>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5185"/>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5186"/>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5187"/>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5188"/>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5189"/>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5190"/>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5191"/>
        <w:t>m</w:t>
      </w:r>
      <w:r>
        <w:rPr/>
        <w:t>?“ Er sagte</w:t>
      </w:r>
      <w:r>
        <w:rPr>
          <w:rStyle w:val="Funotenanker"/>
        </w:rPr>
        <w:footnoteReference w:customMarkFollows="1" w:id="5192"/>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193"/>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194"/>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195"/>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196"/>
        <w:t>r</w:t>
      </w:r>
      <w:r>
        <w:rPr/>
        <w:t xml:space="preserve">, bis sie </w:t>
      </w:r>
      <w:r>
        <w:rPr>
          <w:strike/>
          <w:color w:val="808080"/>
        </w:rPr>
        <w:t>{seine}</w:t>
      </w:r>
      <w:r>
        <w:rPr/>
        <w:t xml:space="preserve"> die Eltern des Geheilten</w:t>
      </w:r>
      <w:r>
        <w:rPr>
          <w:rStyle w:val="Funotenanker"/>
        </w:rPr>
        <w:footnoteReference w:customMarkFollows="1" w:id="5197"/>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198"/>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199"/>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200"/>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201"/>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202"/>
        <w:t>x</w:t>
      </w:r>
      <w:r>
        <w:rPr/>
        <w:t xml:space="preserve">: »Ob er sündig ist, weiß ich nicht! Eines weiß ich: dass ich, der blind war </w:t>
      </w:r>
      <w:r>
        <w:rPr>
          <w:color w:val="808080"/>
        </w:rPr>
        <w:t>(als Blinder)</w:t>
      </w:r>
      <w:r>
        <w:rPr/>
        <w:t>,</w:t>
      </w:r>
      <w:r>
        <w:rPr>
          <w:rStyle w:val="Funotenanker"/>
        </w:rPr>
        <w:footnoteReference w:customMarkFollows="1" w:id="5203"/>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204"/>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205"/>
        <w:t>aa</w:t>
      </w:r>
      <w:r>
        <w:rPr/>
        <w:t xml:space="preserve">: »Das ist ja merkwürdig </w:t>
      </w:r>
      <w:r>
        <w:rPr>
          <w:color w:val="808080"/>
        </w:rPr>
        <w:t>(seltsam, erstaunlich)</w:t>
      </w:r>
      <w:r>
        <w:rPr/>
        <w:t>,</w:t>
      </w:r>
      <w:r>
        <w:rPr>
          <w:rStyle w:val="Funotenanker"/>
        </w:rPr>
        <w:footnoteReference w:customMarkFollows="1" w:id="5206"/>
        <w:t>ab</w:t>
      </w:r>
      <w:r>
        <w:rPr/>
        <w:t xml:space="preserve"> dass ihr nicht wisst, woher er ist, obwohl </w:t>
      </w:r>
      <w:r>
        <w:rPr>
          <w:color w:val="808080"/>
        </w:rPr>
        <w:t>(und)</w:t>
      </w:r>
      <w:r>
        <w:rPr/>
        <w:t xml:space="preserve"> </w:t>
      </w:r>
      <w:r>
        <w:rPr>
          <w:rStyle w:val="Funotenanker"/>
        </w:rPr>
        <w:footnoteReference w:customMarkFollows="1" w:id="5207"/>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208"/>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209"/>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210"/>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211"/>
        <w:t>ag</w:t>
      </w:r>
      <w:r>
        <w:rPr/>
        <w:t>: »Und wer ist es, Herr, damit ich an ihn glauben kann</w:t>
      </w:r>
      <w:r>
        <w:rPr>
          <w:rStyle w:val="Funotenanker"/>
        </w:rPr>
        <w:footnoteReference w:customMarkFollows="1" w:id="5212"/>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213"/>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214"/>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215"/>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216"/>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217"/>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218"/>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219"/>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220"/>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221"/>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222"/>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223"/>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224"/>
        <w:t>b</w:t>
      </w:r>
      <w:r>
        <w:rPr/>
        <w:t xml:space="preserve"> abgetrocknet hatte,</w:t>
      </w:r>
      <w:r>
        <w:rPr>
          <w:rStyle w:val="Funotenanker"/>
        </w:rPr>
        <w:footnoteReference w:customMarkFollows="1" w:id="5225"/>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226"/>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227"/>
        <w:t>e</w:t>
      </w:r>
      <w:r>
        <w:rPr/>
        <w:t xml:space="preserve"> sagte er: „Diese Krankheit führt nicht zum Tod</w:t>
      </w:r>
      <w:r>
        <w:rPr>
          <w:rStyle w:val="Funotenanker"/>
        </w:rPr>
        <w:footnoteReference w:customMarkFollows="1" w:id="5228"/>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229"/>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230"/>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231"/>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232"/>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233"/>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234"/>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235"/>
        <w:t>m</w:t>
      </w:r>
      <w:r>
        <w:rPr/>
        <w:t xml:space="preserve"> {{field-off:bible}} </w:t>
        <w:br/>
        <w:t>[[@BibleTOBIBLE:Jn 11:22]]</w:t>
      </w:r>
      <w:r>
        <w:rPr>
          <w:b/>
        </w:rPr>
        <w:t>22</w:t>
      </w:r>
      <w:r>
        <w:rPr/>
        <w:t xml:space="preserve"> {{field-on:bible}} </w:t>
      </w:r>
      <w:r>
        <w:rPr>
          <w:rStyle w:val="Funotenanker"/>
        </w:rPr>
        <w:footnoteReference w:customMarkFollows="1" w:id="5236"/>
        <w:t>n</w:t>
      </w:r>
      <w:r>
        <w:rPr/>
        <w:t xml:space="preserve">Auch </w:t>
      </w:r>
      <w:r>
        <w:rPr>
          <w:color w:val="808080"/>
        </w:rPr>
        <w:t>(und)</w:t>
      </w:r>
      <w:r>
        <w:rPr/>
        <w:t xml:space="preserve"> jetzt weiß ich, dass Gott dir alles, worum du ihn</w:t>
      </w:r>
      <w:r>
        <w:rPr>
          <w:rStyle w:val="Funotenanker"/>
        </w:rPr>
        <w:footnoteReference w:customMarkFollows="1" w:id="5237"/>
        <w:t>o</w:t>
      </w:r>
      <w:r>
        <w:rPr/>
        <w:t xml:space="preserve"> bittest, geben wird.“</w:t>
      </w:r>
      <w:r>
        <w:rPr>
          <w:rStyle w:val="Funotenanker"/>
        </w:rPr>
        <w:footnoteReference w:customMarkFollows="1" w:id="5238"/>
        <w:t>p</w:t>
      </w:r>
      <w:r>
        <w:rPr/>
        <w:t xml:space="preserve"> {{field-off:bible}} </w:t>
        <w:br/>
        <w:t>[[@BibleTOBIBLE:Jn 11:23]]</w:t>
      </w:r>
      <w:r>
        <w:rPr>
          <w:b/>
        </w:rPr>
        <w:t>23</w:t>
      </w:r>
      <w:r>
        <w:rPr/>
        <w:t xml:space="preserve"> {{field-on:bible}}Jesus sagte</w:t>
      </w:r>
      <w:r>
        <w:rPr>
          <w:rStyle w:val="Funotenanker"/>
        </w:rPr>
        <w:footnoteReference w:customMarkFollows="1" w:id="5239"/>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240"/>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241"/>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242"/>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243"/>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244"/>
        <w:t>v</w:t>
      </w:r>
      <w:r>
        <w:rPr/>
        <w:t xml:space="preserve"> warf sie sich </w:t>
      </w:r>
      <w:r>
        <w:rPr>
          <w:color w:val="808080"/>
        </w:rPr>
        <w:t>(fiel)</w:t>
      </w:r>
      <w:r>
        <w:rPr/>
        <w:t xml:space="preserve"> sie vor seine Füße und sagte</w:t>
      </w:r>
      <w:r>
        <w:rPr>
          <w:rStyle w:val="Funotenanker"/>
        </w:rPr>
        <w:footnoteReference w:customMarkFollows="1" w:id="5245"/>
        <w:t>w</w:t>
      </w:r>
      <w:r>
        <w:rPr/>
        <w:t xml:space="preserve"> zu ihm: „Herr, wenn du hier gewesen wärest, dann wäre mein Bruder nicht gestorben!“</w:t>
      </w:r>
      <w:r>
        <w:rPr>
          <w:rStyle w:val="Funotenanker"/>
        </w:rPr>
        <w:footnoteReference w:customMarkFollows="1" w:id="5246"/>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247"/>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248"/>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249"/>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250"/>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251"/>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252"/>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253"/>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254"/>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255"/>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256"/>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257"/>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258"/>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259"/>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260"/>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261"/>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262"/>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263"/>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264"/>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265"/>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266"/>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267"/>
        <w:t>Status</w:t>
      </w:r>
      <w:r>
        <w:rPr/>
        <w:t xml:space="preserve"> </w:t>
      </w:r>
      <w:r>
        <w:rPr>
          <w:strike/>
          <w:color w:val="808080"/>
        </w:rPr>
        <w:t>{aber}</w:t>
      </w:r>
      <w:r>
        <w:rPr/>
        <w:t xml:space="preserve"> Vor dem Passafest, weil Jesus wusste,</w:t>
      </w:r>
      <w:r>
        <w:rPr>
          <w:rStyle w:val="Funotenanker"/>
        </w:rPr>
        <w:footnoteReference w:customMarkFollows="1" w:id="5268"/>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269"/>
        <w:t>b</w:t>
      </w:r>
      <w:r>
        <w:rPr/>
        <w:t xml:space="preserve"> die in der Welt zu ihm gehören</w:t>
      </w:r>
      <w:r>
        <w:rPr>
          <w:rStyle w:val="Funotenanker"/>
        </w:rPr>
        <w:footnoteReference w:customMarkFollows="1" w:id="5270"/>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271"/>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272"/>
        <w:t>e</w:t>
      </w:r>
      <w:r>
        <w:rPr/>
        <w:t xml:space="preserve"> [Jesus]</w:t>
      </w:r>
      <w:r>
        <w:rPr>
          <w:rStyle w:val="Funotenanker"/>
        </w:rPr>
        <w:footnoteReference w:customMarkFollows="1" w:id="5273"/>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274"/>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275"/>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276"/>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277"/>
        <w:t>j</w:t>
      </w:r>
      <w:r>
        <w:rPr/>
        <w:t xml:space="preserve"> Jesus entgegnete </w:t>
      </w:r>
      <w:r>
        <w:rPr>
          <w:strike/>
          <w:color w:val="808080"/>
        </w:rPr>
        <w:t>{ihm}</w:t>
      </w:r>
      <w:r>
        <w:rPr/>
        <w:t>: „Wenn ich dich nicht wasche, hast du keinen Anteil</w:t>
      </w:r>
      <w:r>
        <w:rPr>
          <w:rStyle w:val="Funotenanker"/>
        </w:rPr>
        <w:footnoteReference w:customMarkFollows="1" w:id="5278"/>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279"/>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280"/>
        <w:t>m</w:t>
      </w:r>
      <w:r>
        <w:rPr/>
        <w:t xml:space="preserve">. Deswegen sagte er: </w:t>
      </w:r>
      <w:r>
        <w:rPr>
          <w:strike/>
          <w:color w:val="808080"/>
        </w:rPr>
        <w:t>{dass}</w:t>
      </w:r>
      <w:r>
        <w:rPr/>
        <w:t xml:space="preserve"> </w:t>
      </w:r>
      <w:r>
        <w:rPr>
          <w:rStyle w:val="Funotenanker"/>
        </w:rPr>
        <w:footnoteReference w:customMarkFollows="1" w:id="5281"/>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282"/>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283"/>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284"/>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285"/>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286"/>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287"/>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288"/>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289"/>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290"/>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291"/>
        <w:t>x</w:t>
      </w:r>
      <w:r>
        <w:rPr/>
        <w:t xml:space="preserve"> nahm es und</w:t>
      </w:r>
      <w:r>
        <w:rPr>
          <w:rStyle w:val="Funotenanker"/>
        </w:rPr>
        <w:footnoteReference w:customMarkFollows="1" w:id="5292"/>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293"/>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294"/>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295"/>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296"/>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297"/>
        <w:t>a</w:t>
      </w:r>
      <w:r>
        <w:rPr/>
        <w:t xml:space="preserve"> Niemand kommt zu dem Vater außer</w:t>
      </w:r>
      <w:r>
        <w:rPr>
          <w:rStyle w:val="Funotenanker"/>
        </w:rPr>
        <w:footnoteReference w:customMarkFollows="1" w:id="5298"/>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299"/>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300"/>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301"/>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302"/>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303"/>
        <w:t>c</w:t>
      </w:r>
      <w:r>
        <w:rPr/>
        <w:t xml:space="preserve"> kommen wird, den ich euch senden werde vom Vater, der Geist der Wahrheit</w:t>
      </w:r>
      <w:r>
        <w:rPr>
          <w:rStyle w:val="Funotenanker"/>
        </w:rPr>
        <w:footnoteReference w:customMarkFollows="1" w:id="5304"/>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305"/>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306"/>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307"/>
        <w:t>a</w:t>
      </w:r>
      <w:r>
        <w:rPr/>
        <w:t xml:space="preserve"> die Zeit kommen, dass jeder, der euch tötet, meint, Gott einen Dienst</w:t>
      </w:r>
      <w:r>
        <w:rPr>
          <w:rStyle w:val="Funotenanker"/>
        </w:rPr>
        <w:footnoteReference w:customMarkFollows="1" w:id="5308"/>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309"/>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310"/>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311"/>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312"/>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313"/>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314"/>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315"/>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316"/>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317"/>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318"/>
        <w:t>f</w:t>
      </w:r>
      <w:r>
        <w:rPr/>
        <w:t xml:space="preserve"> </w:t>
      </w:r>
      <w:r>
        <w:rPr>
          <w:b/>
          <w:color w:val="808080"/>
        </w:rPr>
        <w:t>[</w:t>
      </w:r>
      <w:r>
        <w:rPr/>
        <w:t>der</w:t>
      </w:r>
      <w:r>
        <w:rPr>
          <w:b/>
          <w:color w:val="808080"/>
        </w:rPr>
        <w:t>]</w:t>
      </w:r>
      <w:r>
        <w:rPr/>
        <w:t xml:space="preserve"> Welt</w:t>
      </w:r>
      <w:r>
        <w:rPr>
          <w:rStyle w:val="Funotenanker"/>
        </w:rPr>
        <w:footnoteReference w:customMarkFollows="1" w:id="5319"/>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320"/>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321"/>
        <w:t>Status</w:t>
      </w:r>
      <w:r>
        <w:rPr/>
        <w:t xml:space="preserve"> Nachdem </w:t>
      </w:r>
      <w:r>
        <w:rPr>
          <w:color w:val="808080"/>
        </w:rPr>
        <w:t>(als)</w:t>
      </w:r>
      <w:r>
        <w:rPr/>
        <w:t xml:space="preserve"> Jesus das gesagt hatte,</w:t>
      </w:r>
      <w:r>
        <w:rPr>
          <w:rStyle w:val="Funotenanker"/>
        </w:rPr>
        <w:footnoteReference w:customMarkFollows="1" w:id="5322"/>
        <w:t>a</w:t>
      </w:r>
      <w:r>
        <w:rPr/>
        <w:t xml:space="preserve"> ging er mit seinen Jüngern hinaus, auf die andere Seite </w:t>
      </w:r>
      <w:r>
        <w:rPr>
          <w:color w:val="808080"/>
        </w:rPr>
        <w:t>(über, durch)</w:t>
      </w:r>
      <w:r>
        <w:rPr/>
        <w:t xml:space="preserve"> des Kidrontals</w:t>
      </w:r>
      <w:r>
        <w:rPr>
          <w:rStyle w:val="Funotenanker"/>
        </w:rPr>
        <w:footnoteReference w:customMarkFollows="1" w:id="5323"/>
        <w:t>b</w:t>
      </w:r>
      <w:r>
        <w:rPr/>
        <w:t xml:space="preserve">, wo ein Olivenhain </w:t>
      </w:r>
      <w:r>
        <w:rPr>
          <w:color w:val="808080"/>
        </w:rPr>
        <w:t>(Garten)</w:t>
      </w:r>
      <w:r>
        <w:rPr/>
        <w:t xml:space="preserve"> </w:t>
      </w:r>
      <w:r>
        <w:rPr>
          <w:rStyle w:val="Funotenanker"/>
        </w:rPr>
        <w:footnoteReference w:customMarkFollows="1" w:id="5324"/>
        <w:t>c</w:t>
      </w:r>
      <w:r>
        <w:rPr/>
        <w:t xml:space="preserve"> war, in den er und seine Jünger hineingingen</w:t>
      </w:r>
      <w:r>
        <w:rPr>
          <w:rStyle w:val="Funotenanker"/>
        </w:rPr>
        <w:footnoteReference w:customMarkFollows="1" w:id="5325"/>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326"/>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327"/>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328"/>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329"/>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330"/>
        <w:t>i</w:t>
      </w:r>
      <w:r>
        <w:rPr/>
        <w:t xml:space="preserve"> kam</w:t>
      </w:r>
      <w:r>
        <w:rPr>
          <w:rStyle w:val="Funotenanker"/>
        </w:rPr>
        <w:footnoteReference w:customMarkFollows="1" w:id="5331"/>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332"/>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333"/>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334"/>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335"/>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336"/>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337"/>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338"/>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339"/>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340"/>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341"/>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zurück </w:t>
      </w:r>
      <w:r>
        <w:rPr>
          <w:color w:val="808080"/>
        </w:rPr>
        <w:t>(wieder)</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342"/>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343"/>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344"/>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345"/>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346"/>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347"/>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348"/>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349"/>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350"/>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351"/>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352"/>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353"/>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354"/>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355"/>
        <w:t>a</w:t>
      </w:r>
      <w:r>
        <w:rPr/>
        <w:t xml:space="preserve"> zum Grab und sah, dass der Stein vom Grab entfernt worden war.</w:t>
      </w:r>
      <w:r>
        <w:rPr>
          <w:rStyle w:val="Funotenanker"/>
        </w:rPr>
        <w:footnoteReference w:customMarkFollows="1" w:id="5356"/>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357"/>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358"/>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359"/>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360"/>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361"/>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362"/>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363"/>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364"/>
        <w:t>j</w:t>
      </w:r>
      <w:r>
        <w:rPr/>
        <w:t xml:space="preserve"> aber sie wusste </w:t>
      </w:r>
      <w:r>
        <w:rPr>
          <w:color w:val="808080"/>
        </w:rPr>
        <w:t>(erkannte)</w:t>
      </w:r>
      <w:r>
        <w:rPr/>
        <w:t xml:space="preserve"> nicht, dass es Jesus war</w:t>
      </w:r>
      <w:r>
        <w:rPr>
          <w:rStyle w:val="Funotenanker"/>
        </w:rPr>
        <w:footnoteReference w:customMarkFollows="1" w:id="5365"/>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366"/>
        <w:t>l</w:t>
      </w:r>
      <w:r>
        <w:rPr/>
        <w:t xml:space="preserve"> dachte, dass er der Gärtner war</w:t>
      </w:r>
      <w:r>
        <w:rPr>
          <w:rStyle w:val="Funotenanker"/>
        </w:rPr>
        <w:footnoteReference w:customMarkFollows="1" w:id="5367"/>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368"/>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369"/>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370"/>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371"/>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372"/>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373"/>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374"/>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375"/>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376"/>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377"/>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378"/>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379"/>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380"/>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381"/>
        <w:t>aa</w:t>
      </w:r>
      <w:r>
        <w:rPr/>
        <w:t>.</w:t>
      </w:r>
      <w:r>
        <w:rPr>
          <w:color w:val="808080"/>
        </w:rPr>
        <w:t>(?)</w:t>
      </w:r>
      <w:r>
        <w:rPr/>
        <w:t xml:space="preserve"> </w:t>
      </w:r>
      <w:r>
        <w:rPr>
          <w:rStyle w:val="Funotenanker"/>
        </w:rPr>
        <w:footnoteReference w:customMarkFollows="1" w:id="5382"/>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383"/>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384"/>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385"/>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386"/>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387"/>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388"/>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389"/>
        <w:t>e</w:t>
      </w:r>
      <w:r>
        <w:rPr/>
        <w:t xml:space="preserve"> er ihnen zu: „Männer </w:t>
      </w:r>
      <w:r>
        <w:rPr>
          <w:color w:val="808080"/>
        </w:rPr>
        <w:t>(Kinder)</w:t>
      </w:r>
      <w:r>
        <w:rPr/>
        <w:t xml:space="preserve"> </w:t>
      </w:r>
      <w:r>
        <w:rPr>
          <w:rStyle w:val="Funotenanker"/>
        </w:rPr>
        <w:footnoteReference w:customMarkFollows="1" w:id="5390"/>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391"/>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392"/>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393"/>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394"/>
        <w:t>j</w:t>
      </w:r>
      <w:r>
        <w:rPr/>
        <w:t xml:space="preserve"> und stürzte sich ins Meer </w:t>
      </w:r>
      <w:r>
        <w:rPr>
          <w:color w:val="808080"/>
        </w:rPr>
        <w:t>(in den See)</w:t>
      </w:r>
      <w:r>
        <w:rPr/>
        <w:t xml:space="preserve"> </w:t>
      </w:r>
      <w:r>
        <w:rPr>
          <w:rStyle w:val="Funotenanker"/>
        </w:rPr>
        <w:footnoteReference w:customMarkFollows="1" w:id="5395"/>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396"/>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397"/>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398"/>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399"/>
        <w:t>o</w:t>
      </w:r>
      <w:r>
        <w:rPr/>
        <w:t>, und obwohl es so viele waren,</w:t>
      </w:r>
      <w:r>
        <w:rPr>
          <w:rStyle w:val="Funotenanker"/>
        </w:rPr>
        <w:footnoteReference w:customMarkFollows="1" w:id="5400"/>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401"/>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402"/>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403"/>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404"/>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405"/>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406"/>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407"/>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408"/>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409"/>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410"/>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411"/>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412"/>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413"/>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414"/>
        <w:t>Status</w:t>
      </w:r>
      <w:r>
        <w:rPr/>
        <w:t xml:space="preserve"> Das erste Buch</w:t>
      </w:r>
      <w:r>
        <w:rPr>
          <w:rStyle w:val="Funotenanker"/>
        </w:rPr>
        <w:footnoteReference w:customMarkFollows="1" w:id="5415"/>
        <w:t>a</w:t>
      </w:r>
      <w:r>
        <w:rPr/>
        <w:t xml:space="preserve"> </w:t>
      </w:r>
      <w:r>
        <w:rPr>
          <w:strike/>
          <w:color w:val="808080"/>
        </w:rPr>
        <w:t>{zwar}</w:t>
      </w:r>
      <w:r>
        <w:rPr/>
        <w:t xml:space="preserve"> </w:t>
      </w:r>
      <w:r>
        <w:rPr>
          <w:rStyle w:val="Funotenanker"/>
        </w:rPr>
        <w:footnoteReference w:customMarkFollows="1" w:id="5416"/>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417"/>
        <w:t>c</w:t>
      </w:r>
      <w:r>
        <w:rPr/>
        <w:t xml:space="preserve"> tat und lehrte,{{field-off:bible}} </w:t>
        <w:br/>
        <w:t>[[@BibleTOBIBLE:Ac 1:2]]</w:t>
      </w:r>
      <w:r>
        <w:rPr>
          <w:b/>
        </w:rPr>
        <w:t>2</w:t>
      </w:r>
      <w:r>
        <w:rPr/>
        <w:t xml:space="preserve"> {{field-on:bible}}bis zu dem Tag, als</w:t>
      </w:r>
      <w:r>
        <w:rPr>
          <w:rStyle w:val="Funotenanker"/>
        </w:rPr>
        <w:footnoteReference w:customMarkFollows="1" w:id="5418"/>
        <w:t>d</w:t>
      </w:r>
      <w:r>
        <w:rPr/>
        <w:t xml:space="preserve"> er entrückt </w:t>
      </w:r>
      <w:r>
        <w:rPr>
          <w:color w:val="808080"/>
        </w:rPr>
        <w:t>(in die Höhe genommen, aufgenommen)</w:t>
      </w:r>
      <w:r>
        <w:rPr/>
        <w:t xml:space="preserve"> wurde, nachdem</w:t>
      </w:r>
      <w:r>
        <w:rPr>
          <w:rStyle w:val="Funotenanker"/>
        </w:rPr>
        <w:footnoteReference w:customMarkFollows="1" w:id="5419"/>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420"/>
        <w:t>f</w:t>
      </w:r>
      <w:r>
        <w:rPr/>
        <w:t xml:space="preserve"> nach seinem Sterben</w:t>
      </w:r>
      <w:r>
        <w:rPr>
          <w:rStyle w:val="Funotenanker"/>
        </w:rPr>
        <w:footnoteReference w:customMarkFollows="1" w:id="5421"/>
        <w:t>g</w:t>
      </w:r>
      <w:r>
        <w:rPr/>
        <w:t xml:space="preserve"> durch viele Beweise. Während</w:t>
      </w:r>
      <w:r>
        <w:rPr>
          <w:rStyle w:val="Funotenanker"/>
        </w:rPr>
        <w:footnoteReference w:customMarkFollows="1" w:id="5422"/>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423"/>
        <w:t>i</w:t>
      </w:r>
      <w:r>
        <w:rPr/>
        <w:t>, befahl er ihnen, nicht von Jerusalem fortzugehen, sondern die Verheißung des Vaters</w:t>
      </w:r>
      <w:r>
        <w:rPr>
          <w:rStyle w:val="Funotenanker"/>
        </w:rPr>
        <w:footnoteReference w:customMarkFollows="1" w:id="5424"/>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425"/>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426"/>
        <w:t>l</w:t>
      </w:r>
      <w:r>
        <w:rPr/>
        <w:t xml:space="preserve"> Israel wiederherstellen</w:t>
      </w:r>
      <w:r>
        <w:rPr>
          <w:rStyle w:val="Funotenanker"/>
        </w:rPr>
        <w:footnoteReference w:customMarkFollows="1" w:id="5427"/>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428"/>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429"/>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430"/>
        <w:t>p</w:t>
      </w:r>
      <w:r>
        <w:rPr/>
        <w:t xml:space="preserve"> sie gespannt in den Himmel blickten, wohin</w:t>
      </w:r>
      <w:r>
        <w:rPr>
          <w:rStyle w:val="Funotenanker"/>
        </w:rPr>
        <w:footnoteReference w:customMarkFollows="1" w:id="5431"/>
        <w:t>q</w:t>
      </w:r>
      <w:r>
        <w:rPr/>
        <w:t xml:space="preserve"> er gegangen war, da, </w:t>
      </w:r>
      <w:r>
        <w:rPr>
          <w:color w:val="808080"/>
        </w:rPr>
        <w:t>(siehe =)</w:t>
      </w:r>
      <w:r>
        <w:rPr/>
        <w:t xml:space="preserve"> plötzlich, standen zwei Männer</w:t>
      </w:r>
      <w:r>
        <w:rPr>
          <w:rStyle w:val="Funotenanker"/>
        </w:rPr>
        <w:footnoteReference w:customMarkFollows="1" w:id="5432"/>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433"/>
        <w:t>s</w:t>
      </w:r>
      <w:r>
        <w:rPr/>
        <w:t xml:space="preserve"> sprachen: „Ihr Galiläer, was steht ihr da und</w:t>
      </w:r>
      <w:r>
        <w:rPr>
          <w:rStyle w:val="Funotenanker"/>
        </w:rPr>
        <w:footnoteReference w:customMarkFollows="1" w:id="5434"/>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435"/>
        <w:t>u</w:t>
      </w:r>
      <w:r>
        <w:rPr/>
        <w:t xml:space="preserve">.{{field-off:bible}} </w:t>
        <w:br/>
        <w:t>[[@BibleTOBIBLE:Ac 1:13]]</w:t>
      </w:r>
      <w:r>
        <w:rPr>
          <w:b/>
        </w:rPr>
        <w:t>13</w:t>
      </w:r>
      <w:r>
        <w:rPr/>
        <w:t xml:space="preserve"> {{field-on:bible}}Und als sie hineinkamen</w:t>
      </w:r>
      <w:r>
        <w:rPr>
          <w:rStyle w:val="Funotenanker"/>
        </w:rPr>
        <w:footnoteReference w:customMarkFollows="1" w:id="5436"/>
        <w:t>v</w:t>
      </w:r>
      <w:r>
        <w:rPr/>
        <w:t>, stiegen sie zum Obergemach hinauf, wo sie sich gewöhnlich</w:t>
      </w:r>
      <w:r>
        <w:rPr>
          <w:rStyle w:val="Funotenanker"/>
        </w:rPr>
        <w:footnoteReference w:customMarkFollows="1" w:id="5437"/>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438"/>
        <w:t>x</w:t>
      </w:r>
      <w:r>
        <w:rPr/>
        <w:t xml:space="preserve"> ungefähr 120 –:{{field-off:bible}} </w:t>
        <w:br/>
        <w:t>[[@BibleTOBIBLE:Ac 1:16]]</w:t>
      </w:r>
      <w:r>
        <w:rPr>
          <w:b/>
        </w:rPr>
        <w:t>16</w:t>
      </w:r>
      <w:r>
        <w:rPr/>
        <w:t xml:space="preserve"> {{field-on:bible}}Liebe Brüder</w:t>
      </w:r>
      <w:r>
        <w:rPr>
          <w:rStyle w:val="Funotenanker"/>
        </w:rPr>
        <w:footnoteReference w:customMarkFollows="1" w:id="5439"/>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440"/>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441"/>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442"/>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443"/>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444"/>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445"/>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446"/>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447"/>
        <w:t>Status</w:t>
      </w:r>
      <w:r>
        <w:rPr/>
        <w:t xml:space="preserve"> Und als sich der Tag des Wochenfests</w:t>
      </w:r>
      <w:r>
        <w:rPr>
          <w:rStyle w:val="Funotenanker"/>
        </w:rPr>
        <w:footnoteReference w:customMarkFollows="1" w:id="5448"/>
        <w:t>f</w:t>
      </w:r>
      <w:r>
        <w:rPr/>
        <w:t xml:space="preserve"> erfüllte </w:t>
      </w:r>
      <w:r>
        <w:rPr>
          <w:color w:val="808080"/>
        </w:rPr>
        <w:t>(zu Ende ging)</w:t>
      </w:r>
      <w:r>
        <w:rPr/>
        <w:t>,</w:t>
      </w:r>
      <w:r>
        <w:rPr>
          <w:rStyle w:val="Funotenanker"/>
        </w:rPr>
        <w:footnoteReference w:customMarkFollows="1" w:id="5449"/>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450"/>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451"/>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452"/>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453"/>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454"/>
        <w:t>l</w:t>
      </w:r>
      <w:r>
        <w:rPr/>
        <w:t xml:space="preserve"> </w:t>
      </w:r>
      <w:r>
        <w:rPr>
          <w:strike/>
          <w:color w:val="808080"/>
        </w:rPr>
        <w:t>{aber}</w:t>
      </w:r>
      <w:r>
        <w:rPr/>
        <w:t xml:space="preserve"> Juden in Jerusalem, fromme</w:t>
      </w:r>
      <w:r>
        <w:rPr>
          <w:rStyle w:val="Funotenanker"/>
        </w:rPr>
        <w:footnoteReference w:customMarkFollows="1" w:id="5455"/>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456"/>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457"/>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458"/>
        <w:t>p</w:t>
      </w:r>
      <w:r>
        <w:rPr/>
        <w:t xml:space="preserve"> und Meder und Elamiter und die Bewohner von Mesopotamien, vom Judäischen</w:t>
      </w:r>
      <w:r>
        <w:rPr>
          <w:rStyle w:val="Funotenanker"/>
        </w:rPr>
        <w:footnoteReference w:customMarkFollows="1" w:id="5459"/>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460"/>
        <w:t>r</w:t>
      </w:r>
      <w:r>
        <w:rPr/>
        <w:t xml:space="preserve"> Kreter und Araber - wir hören sie in unseren Zungen die Großtaten Gottes rühmen!“</w:t>
      </w:r>
      <w:r>
        <w:rPr>
          <w:rStyle w:val="Funotenanker"/>
        </w:rPr>
        <w:footnoteReference w:customMarkFollows="1" w:id="5461"/>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462"/>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463"/>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464"/>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465"/>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466"/>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467"/>
        <w:t>y</w:t>
      </w:r>
      <w:r>
        <w:rPr/>
        <w:t xml:space="preserve"> –,{{field-off:bible}} </w:t>
        <w:br/>
        <w:t>[[@BibleTOBIBLE:Ac 2:16]]</w:t>
      </w:r>
      <w:r>
        <w:rPr>
          <w:b/>
        </w:rPr>
        <w:t>16</w:t>
      </w:r>
      <w:r>
        <w:rPr/>
        <w:t xml:space="preserve"> {{field-on:bible}}sondern: Dies ist</w:t>
      </w:r>
      <w:r>
        <w:rPr>
          <w:rStyle w:val="Funotenanker"/>
        </w:rPr>
        <w:footnoteReference w:customMarkFollows="1" w:id="5468"/>
        <w:t>z</w:t>
      </w:r>
      <w:r>
        <w:rPr/>
        <w:t xml:space="preserve"> das durch den Propheten Joel Vorhergesagte:</w:t>
      </w:r>
      <w:r>
        <w:rPr>
          <w:rStyle w:val="Funotenanker"/>
        </w:rPr>
        <w:footnoteReference w:customMarkFollows="1" w:id="5469"/>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470"/>
        <w:t>ab</w:t>
      </w:r>
      <w:r>
        <w:rPr/>
        <w:t xml:space="preserve"> in den Letzten Tagen:«</w:t>
      </w:r>
      <w:r>
        <w:rPr>
          <w:rStyle w:val="Funotenanker"/>
        </w:rPr>
        <w:footnoteReference w:customMarkFollows="1" w:id="5471"/>
        <w:t>ac</w:t>
      </w:r>
      <w:r>
        <w:rPr/>
        <w:t xml:space="preserve"> – sagt Gott</w:t>
      </w:r>
      <w:r>
        <w:rPr>
          <w:rStyle w:val="Funotenanker"/>
        </w:rPr>
        <w:footnoteReference w:customMarkFollows="1" w:id="5472"/>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473"/>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474"/>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475"/>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476"/>
        <w:t>ah</w:t>
      </w:r>
      <w:r>
        <w:rPr/>
        <w:t xml:space="preserve">Vor dem Kommen des Tags des Herrn, des großen und sichtbaren </w:t>
      </w:r>
      <w:r>
        <w:rPr>
          <w:color w:val="808080"/>
        </w:rPr>
        <w:t>(prachtvollen)</w:t>
      </w:r>
      <w:r>
        <w:rPr/>
        <w:t>.</w:t>
      </w:r>
      <w:r>
        <w:rPr>
          <w:rStyle w:val="Funotenanker"/>
        </w:rPr>
        <w:footnoteReference w:customMarkFollows="1" w:id="5477"/>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478"/>
        <w:t>aj</w:t>
      </w:r>
      <w:r>
        <w:rPr/>
        <w:t xml:space="preserve"> Jeder, der den Namen des Herrn anruft,</w:t>
      </w:r>
      <w:r>
        <w:rPr>
          <w:rStyle w:val="Funotenanker"/>
        </w:rPr>
        <w:footnoteReference w:customMarkFollows="1" w:id="5479"/>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480"/>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481"/>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482"/>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483"/>
        <w:t>ao</w:t>
      </w:r>
      <w:r>
        <w:rPr/>
        <w:t xml:space="preserve"> des Todes löste, weil es nicht möglich war, dass er unter ihm gehalten wurde.</w:t>
      </w:r>
      <w:r>
        <w:rPr>
          <w:rStyle w:val="Funotenanker"/>
        </w:rPr>
        <w:footnoteReference w:customMarkFollows="1" w:id="5484"/>
        <w:t>ap</w:t>
      </w:r>
      <w:r>
        <w:rPr/>
        <w:t xml:space="preserve"> {{field-off:bible}} </w:t>
        <w:br/>
        <w:t>[[@BibleTOBIBLE:Ac 2:25]]</w:t>
      </w:r>
      <w:r>
        <w:rPr>
          <w:b/>
        </w:rPr>
        <w:t>25</w:t>
      </w:r>
      <w:r>
        <w:rPr/>
        <w:t xml:space="preserve"> {{field-on:bible}}Denn</w:t>
      </w:r>
      <w:r>
        <w:rPr>
          <w:rStyle w:val="Funotenanker"/>
        </w:rPr>
        <w:footnoteReference w:customMarkFollows="1" w:id="5485"/>
        <w:t>aq</w:t>
      </w:r>
      <w:r>
        <w:rPr/>
        <w:t xml:space="preserve"> David sagt über ihn: </w:t>
        <w:br/>
        <w:t>»Ich hatte den Herrn vor mir vor Augen</w:t>
      </w:r>
      <w:r>
        <w:rPr>
          <w:rStyle w:val="Funotenanker"/>
        </w:rPr>
        <w:footnoteReference w:customMarkFollows="1" w:id="5486"/>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487"/>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488"/>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489"/>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490"/>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491"/>
        <w:t>aw</w:t>
      </w:r>
      <w:r>
        <w:rPr/>
        <w:t xml:space="preserve"> kundgetan,Du wirst mich erfüllen mit Freude vor deinem Gesicht.«</w:t>
      </w:r>
      <w:r>
        <w:rPr>
          <w:rStyle w:val="Funotenanker"/>
        </w:rPr>
        <w:footnoteReference w:customMarkFollows="1" w:id="5492"/>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493"/>
        <w:t>ay</w:t>
      </w:r>
      <w:r>
        <w:rPr/>
        <w:t xml:space="preserve"> {{field-off:bible}} </w:t>
        <w:br/>
        <w:t>[[@BibleTOBIBLE:Ac 2:30]]</w:t>
      </w:r>
      <w:r>
        <w:rPr>
          <w:b/>
        </w:rPr>
        <w:t>30</w:t>
      </w:r>
      <w:r>
        <w:rPr/>
        <w:t xml:space="preserve"> {{field-on:bible}}Weil er nun ein Prophet</w:t>
      </w:r>
      <w:r>
        <w:rPr>
          <w:rStyle w:val="Funotenanker"/>
        </w:rPr>
        <w:footnoteReference w:customMarkFollows="1" w:id="5494"/>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495"/>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496"/>
        <w:t>bb</w:t>
      </w:r>
      <w:r>
        <w:rPr/>
        <w:t xml:space="preserve"> </w:t>
      </w:r>
      <w:r>
        <w:rPr>
          <w:strike/>
          <w:color w:val="808080"/>
        </w:rPr>
        <w:t>{sagt[e] er,}</w:t>
      </w:r>
      <w:r>
        <w:rPr/>
        <w:t xml:space="preserve"> </w:t>
      </w:r>
      <w:r>
        <w:rPr>
          <w:rStyle w:val="Funotenanker"/>
        </w:rPr>
        <w:footnoteReference w:customMarkFollows="1" w:id="5497"/>
        <w:t>bc</w:t>
      </w:r>
      <w:r>
        <w:rPr/>
        <w:t xml:space="preserve"> »und es lasse sich taufen ein jeder von euch auf</w:t>
      </w:r>
      <w:r>
        <w:rPr>
          <w:rStyle w:val="Funotenanker"/>
        </w:rPr>
        <w:footnoteReference w:customMarkFollows="1" w:id="5498"/>
        <w:t>bd</w:t>
      </w:r>
      <w:r>
        <w:rPr/>
        <w:t xml:space="preserve"> den Namen Jesu Christi</w:t>
      </w:r>
      <w:r>
        <w:rPr>
          <w:rStyle w:val="Funotenanker"/>
        </w:rPr>
        <w:footnoteReference w:customMarkFollows="1" w:id="5499"/>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500"/>
        <w:t>bf</w:t>
      </w:r>
      <w:r>
        <w:rPr/>
        <w:t xml:space="preserve"> und euren Kindern, und allen, die fern</w:t>
      </w:r>
      <w:r>
        <w:rPr>
          <w:rStyle w:val="Funotenanker"/>
        </w:rPr>
        <w:footnoteReference w:customMarkFollows="1" w:id="5501"/>
        <w:t>bg</w:t>
      </w:r>
      <w:r>
        <w:rPr/>
        <w:t xml:space="preserve"> </w:t>
      </w:r>
      <w:r>
        <w:rPr>
          <w:b/>
          <w:color w:val="808080"/>
        </w:rPr>
        <w:t>[</w:t>
      </w:r>
      <w:r>
        <w:rPr/>
        <w:t>sind</w:t>
      </w:r>
      <w:r>
        <w:rPr>
          <w:b/>
          <w:color w:val="808080"/>
        </w:rPr>
        <w:t>]</w:t>
      </w:r>
      <w:r>
        <w:rPr/>
        <w:t>, wie viele auch hinzurufen</w:t>
      </w:r>
      <w:r>
        <w:rPr>
          <w:rStyle w:val="Funotenanker"/>
        </w:rPr>
        <w:footnoteReference w:customMarkFollows="1" w:id="5502"/>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503"/>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504"/>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505"/>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506"/>
        <w:t>bl</w:t>
      </w:r>
      <w:r>
        <w:rPr/>
        <w:t xml:space="preserve"> an der Lehre</w:t>
      </w:r>
      <w:r>
        <w:rPr>
          <w:rStyle w:val="Funotenanker"/>
        </w:rPr>
        <w:footnoteReference w:customMarkFollows="1" w:id="5507"/>
        <w:t>bm</w:t>
      </w:r>
      <w:r>
        <w:rPr/>
        <w:t xml:space="preserve"> der Apostel und an der Gemeinschaft,</w:t>
      </w:r>
      <w:r>
        <w:rPr>
          <w:rStyle w:val="Funotenanker"/>
        </w:rPr>
        <w:footnoteReference w:customMarkFollows="1" w:id="5508"/>
        <w:t>bn</w:t>
      </w:r>
      <w:r>
        <w:rPr/>
        <w:t xml:space="preserve"> </w:t>
      </w:r>
      <w:r>
        <w:rPr>
          <w:color w:val="808080"/>
        </w:rPr>
        <w:t>(dem gemeinschaftlichen Brotbrechen)</w:t>
      </w:r>
      <w:r>
        <w:rPr/>
        <w:t xml:space="preserve"> </w:t>
      </w:r>
      <w:r>
        <w:rPr>
          <w:rStyle w:val="Funotenanker"/>
        </w:rPr>
        <w:footnoteReference w:customMarkFollows="1" w:id="5509"/>
        <w:t>bo</w:t>
      </w:r>
      <w:r>
        <w:rPr/>
        <w:t xml:space="preserve"> dem Brotbrechen</w:t>
      </w:r>
      <w:r>
        <w:rPr>
          <w:rStyle w:val="Funotenanker"/>
        </w:rPr>
        <w:footnoteReference w:customMarkFollows="1" w:id="5510"/>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511"/>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512"/>
        <w:t>br</w:t>
      </w:r>
      <w:r>
        <w:rPr/>
        <w:t xml:space="preserve"> </w:t>
      </w:r>
      <w:r>
        <w:rPr>
          <w:strike/>
          <w:color w:val="808080"/>
        </w:rPr>
        <w:t>{und}</w:t>
      </w:r>
      <w:r>
        <w:rPr/>
        <w:t xml:space="preserve"> </w:t>
      </w:r>
      <w:r>
        <w:rPr>
          <w:rStyle w:val="Funotenanker"/>
        </w:rPr>
        <w:footnoteReference w:customMarkFollows="1" w:id="5513"/>
        <w:t>bs</w:t>
      </w:r>
      <w:r>
        <w:rPr/>
        <w:t xml:space="preserve"> sie hatten alles gemeinsam:</w:t>
      </w:r>
      <w:r>
        <w:rPr>
          <w:rStyle w:val="Funotenanker"/>
        </w:rPr>
        <w:footnoteReference w:customMarkFollows="1" w:id="5514"/>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515"/>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516"/>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517"/>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w:t>
      </w:r>
      <w:r>
        <w:rPr>
          <w:b/>
        </w:rPr>
        <w:t>1</w:t>
      </w:r>
      <w:r>
        <w:rPr/>
        <w:t xml:space="preserve"> {{field-on:bible}}Da war ein Mann namens Hananias und seine Frau Saphira. Er verkaufte ein Grundstück{{field-off:bible}} </w:t>
        <w:br/>
        <w:t>[[@BibleTOBIBLE:Ac 5:2]]</w:t>
      </w:r>
      <w:r>
        <w:rPr>
          <w:b/>
        </w:rPr>
        <w:t>2</w:t>
      </w:r>
      <w:r>
        <w:rPr/>
        <w:t xml:space="preserve"> {{field-on:bible}}und behielt etwas von dem Erlös für sich und seine Frau wusste davon. Dann nahm er den </w:t>
      </w:r>
      <w:r>
        <w:rPr>
          <w:b/>
          <w:color w:val="808080"/>
        </w:rPr>
        <w:t>[</w:t>
      </w:r>
      <w:r>
        <w:rPr/>
        <w:t>übrigen</w:t>
      </w:r>
      <w:r>
        <w:rPr>
          <w:b/>
          <w:color w:val="808080"/>
        </w:rPr>
        <w:t>]</w:t>
      </w:r>
      <w:r>
        <w:rPr/>
        <w:t xml:space="preserve"> Teil und gab ihn den Aposteln </w:t>
      </w:r>
      <w:r>
        <w:rPr>
          <w:rStyle w:val="Funotenanker"/>
        </w:rPr>
        <w:footnoteReference w:customMarkFollows="1" w:id="5518"/>
        <w:t>a</w:t>
      </w:r>
      <w:r>
        <w:rPr/>
        <w:t xml:space="preserve">.{{field-off:bible}} </w:t>
        <w:br/>
        <w:t>[[@BibleTOBIBLE:Ac 5:3]]</w:t>
      </w:r>
      <w:r>
        <w:rPr>
          <w:b/>
        </w:rPr>
        <w:t>3</w:t>
      </w:r>
      <w:r>
        <w:rPr/>
        <w:t xml:space="preserve"> {{field-on:bible}}Da sagte Petrus: „Hananias, warum hat der Satan dein Herz erfüllt, den Heiligen Geist zu belügen und einen Teil von dem Erlös des Feldes für dich zu behalten?{{field-off:bible}} </w:t>
        <w:br/>
        <w:t>[[@BibleTOBIBLE:Ac 5:4]]</w:t>
      </w:r>
      <w:r>
        <w:rPr>
          <w:b/>
        </w:rPr>
        <w:t>4</w:t>
      </w:r>
      <w:r>
        <w:rPr/>
        <w:t xml:space="preserve"> {{field-on:bible}}Ist es nicht so, dass es dir gehören würde, wenn du es nicht verkauft hättest? Und </w:t>
      </w:r>
      <w:r>
        <w:rPr>
          <w:b/>
          <w:color w:val="808080"/>
        </w:rPr>
        <w:t>[</w:t>
      </w:r>
      <w:r>
        <w:rPr/>
        <w:t>selbst</w:t>
      </w:r>
      <w:r>
        <w:rPr>
          <w:b/>
          <w:color w:val="808080"/>
        </w:rPr>
        <w:t>]</w:t>
      </w:r>
      <w:r>
        <w:rPr/>
        <w:t xml:space="preserve"> als du es verkauft hattest, stand </w:t>
      </w:r>
      <w:r>
        <w:rPr>
          <w:b/>
          <w:color w:val="808080"/>
        </w:rPr>
        <w:t>[</w:t>
      </w:r>
      <w:r>
        <w:rPr/>
        <w:t>das Geld</w:t>
      </w:r>
      <w:r>
        <w:rPr>
          <w:b/>
          <w:color w:val="808080"/>
        </w:rPr>
        <w:t>]</w:t>
      </w:r>
      <w:r>
        <w:rPr/>
        <w:t xml:space="preserve"> nicht dir zur Verfügung? Wieso hast du dir diese Sache </w:t>
      </w:r>
      <w:r>
        <w:rPr>
          <w:strike/>
          <w:color w:val="808080"/>
        </w:rPr>
        <w:t>{in deinem Herzen}</w:t>
      </w:r>
      <w:r>
        <w:rPr/>
        <w:t xml:space="preserve"> vorgenommen? Du hast nicht Menschen belogen, sondern Gott!“{{field-off:bible}} </w:t>
        <w:br/>
        <w:t>[[@BibleTOBIBLE:Ac 5:5]]</w:t>
      </w:r>
      <w:r>
        <w:rPr>
          <w:b/>
        </w:rPr>
        <w:t>5</w:t>
      </w:r>
      <w:r>
        <w:rPr/>
        <w:t xml:space="preserve"> {{field-on:bible}}Als Hananias das hörte, fiel er um und starb. Alle, die davon hörten, hatten große Angst.{{field-off:bible}} </w:t>
        <w:br/>
        <w:t>[[@BibleTOBIBLE:Ac 5:12]]</w:t>
      </w:r>
      <w:r>
        <w:rPr>
          <w:b/>
        </w:rPr>
        <w:t>12</w:t>
      </w:r>
      <w:r>
        <w:rPr/>
        <w:t xml:space="preserve"> {{field-on:bible}}Durch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519"/>
        <w:t>b</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520"/>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521"/>
        <w:t>b</w:t>
      </w:r>
      <w:r>
        <w:rPr/>
        <w:t>, der nach Jerusalem gekommen war, um anzubeten</w:t>
      </w:r>
      <w:r>
        <w:rPr>
          <w:rStyle w:val="Funotenanker"/>
        </w:rPr>
        <w:footnoteReference w:customMarkFollows="1" w:id="5522"/>
        <w:t>c</w:t>
      </w:r>
      <w:r>
        <w:rPr/>
        <w:t xml:space="preserve"> </w:t>
      </w:r>
      <w:r>
        <w:rPr>
          <w:rStyle w:val="Funotenanker"/>
        </w:rPr>
        <w:footnoteReference w:customMarkFollows="1" w:id="5523"/>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524"/>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525"/>
        <w:t>f</w:t>
      </w:r>
      <w:r>
        <w:rPr/>
        <w:t xml:space="preserve">, hörte er, wie er </w:t>
      </w:r>
      <w:r>
        <w:rPr>
          <w:color w:val="808080"/>
        </w:rPr>
        <w:t>(dass er)</w:t>
      </w:r>
      <w:r>
        <w:rPr/>
        <w:t xml:space="preserve"> den Propheten Jesaja las</w:t>
      </w:r>
      <w:r>
        <w:rPr>
          <w:rStyle w:val="Funotenanker"/>
        </w:rPr>
        <w:footnoteReference w:customMarkFollows="1" w:id="5526"/>
        <w:t>g</w:t>
      </w:r>
      <w:r>
        <w:rPr/>
        <w:t xml:space="preserve"> und sprach: „Verstehst du denn auch, was du liest?“</w:t>
      </w:r>
      <w:r>
        <w:rPr>
          <w:rStyle w:val="Funotenanker"/>
        </w:rPr>
        <w:footnoteReference w:customMarkFollows="1" w:id="5527"/>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528"/>
        <w:t>i</w:t>
      </w:r>
      <w:r>
        <w:rPr/>
        <w:t xml:space="preserve"> seinen Mund und begann</w:t>
      </w:r>
      <w:r>
        <w:rPr>
          <w:rStyle w:val="Funotenanker"/>
        </w:rPr>
        <w:footnoteReference w:customMarkFollows="1" w:id="5529"/>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530"/>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531"/>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532"/>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533"/>
        <w:t>n</w:t>
      </w:r>
      <w:r>
        <w:rPr/>
        <w:t xml:space="preserve"> durch alle Städte und evangelisierte </w:t>
      </w:r>
      <w:r>
        <w:rPr>
          <w:color w:val="808080"/>
        </w:rPr>
        <w:t>(verkündigte)</w:t>
      </w:r>
      <w:r>
        <w:rPr/>
        <w:t xml:space="preserve">, bis er nach Cäsarea kam.{{field-off:bible}} </w:t>
      </w:r>
    </w:p>
    <w:p>
      <w:pPr>
        <w:pStyle w:val="Berschrift3"/>
        <w:rPr/>
      </w:pPr>
      <w:r>
        <w:rPr/>
        <w:t>[[@BibleTOBIBLE:Ac 16]]Kapitel 16</w:t>
      </w:r>
    </w:p>
    <w:p>
      <w:pPr>
        <w:pStyle w:val="Textkrper"/>
        <w:rPr/>
      </w:pPr>
      <w:r>
        <w:rPr/>
        <w:br/>
        <w:t>[[@BibleTOBIBLE:Ac 16:1]]</w:t>
      </w:r>
      <w:r>
        <w:rPr>
          <w:b/>
        </w:rPr>
        <w:t>1</w:t>
      </w:r>
      <w:r>
        <w:rPr/>
        <w:t xml:space="preserve"> {{field-on:bible}}Er kam aber auch nach Derbe und Lystra. </w:t>
      </w:r>
      <w:r>
        <w:rPr>
          <w:strike/>
          <w:color w:val="808080"/>
        </w:rPr>
        <w:t>{Und siehe}</w:t>
      </w:r>
      <w:r>
        <w:rPr/>
        <w:t xml:space="preserve"> dort war ein Jünger </w:t>
      </w:r>
      <w:r>
        <w:rPr>
          <w:color w:val="808080"/>
        </w:rPr>
        <w:t>(Schüler)</w:t>
      </w:r>
      <w:r>
        <w:rPr/>
        <w:t xml:space="preserve"> namens Timotheus, Sohn einer gläubigen Jüdin, sein Vater aber </w:t>
      </w:r>
      <w:r>
        <w:rPr>
          <w:b/>
          <w:color w:val="808080"/>
        </w:rPr>
        <w:t>[</w:t>
      </w:r>
      <w:r>
        <w:rPr/>
        <w:t>war</w:t>
      </w:r>
      <w:r>
        <w:rPr>
          <w:b/>
          <w:color w:val="808080"/>
        </w:rPr>
        <w:t>]</w:t>
      </w:r>
      <w:r>
        <w:rPr/>
        <w:t xml:space="preserve"> Grieche,{{field-off:bible}} </w:t>
        <w:br/>
        <w:t>[[@BibleTOBIBLE:Ac 16:2]]</w:t>
      </w:r>
      <w:r>
        <w:rPr>
          <w:b/>
        </w:rPr>
        <w:t>2</w:t>
      </w:r>
      <w:r>
        <w:rPr/>
        <w:t xml:space="preserve"> {{field-on:bible}}der hatte einen guten Ruf bei den Brüdern </w:t>
      </w:r>
      <w:r>
        <w:rPr>
          <w:color w:val="808080"/>
        </w:rPr>
        <w:t>(Geschwistern)</w:t>
      </w:r>
      <w:r>
        <w:rPr/>
        <w:t xml:space="preserve"> in Lystra und Ikonium.{{field-off:bible}} </w:t>
        <w:br/>
        <w:t>[[@BibleTOBIBLE:Ac 16:3]]</w:t>
      </w:r>
      <w:r>
        <w:rPr>
          <w:b/>
        </w:rPr>
        <w:t>3</w:t>
      </w:r>
      <w:r>
        <w:rPr/>
        <w:t xml:space="preserve"> {{field-on:bible}}Von diesem wollte Paulus, dass er mit ihm hinauszöge, und er nahm ihn mit</w:t>
      </w:r>
      <w:r>
        <w:rPr>
          <w:rStyle w:val="Funotenanker"/>
        </w:rPr>
        <w:footnoteReference w:customMarkFollows="1" w:id="5534"/>
        <w:t>a</w:t>
      </w:r>
      <w:r>
        <w:rPr/>
        <w:t xml:space="preserve"> und beschnitt ihn wegen der Juden, die an jenen Orten waren; denn alle wussten, dass sein Vater Grieche war.{{field-off:bible}} </w:t>
        <w:br/>
        <w:t>[[@BibleTOBIBLE:Ac 16:4]]</w:t>
      </w:r>
      <w:r>
        <w:rPr>
          <w:b/>
        </w:rPr>
        <w:t>4</w:t>
      </w:r>
      <w:r>
        <w:rPr/>
        <w:t xml:space="preserve"> {{field-on:bible}}Als sie </w:t>
      </w:r>
      <w:r>
        <w:rPr>
          <w:strike/>
          <w:color w:val="808080"/>
        </w:rPr>
        <w:t>{aber}</w:t>
      </w:r>
      <w:r>
        <w:rPr/>
        <w:t xml:space="preserve"> die Städte durchzogen, übergaben sie ihnen zur Beachtung </w:t>
      </w:r>
      <w:r>
        <w:rPr>
          <w:color w:val="808080"/>
        </w:rPr>
        <w:t>(= hielten sie sie an, sich zu richten nach)</w:t>
      </w:r>
      <w:r>
        <w:rPr/>
        <w:t xml:space="preserve"> die Gebote, die von den Aposteln und Ältesten in Jerusalem festgelegt </w:t>
      </w:r>
      <w:r>
        <w:rPr>
          <w:color w:val="808080"/>
        </w:rPr>
        <w:t>(beschlossen)</w:t>
      </w:r>
      <w:r>
        <w:rPr/>
        <w:t xml:space="preserve"> worden waren.{{field-off:bible}} </w:t>
        <w:br/>
        <w:t>[[@BibleTOBIBLE:Ac 16:5]]</w:t>
      </w:r>
      <w:r>
        <w:rPr>
          <w:b/>
        </w:rPr>
        <w:t>5</w:t>
      </w:r>
      <w:r>
        <w:rPr/>
        <w:t xml:space="preserve"> {{field-on:bible}}Die Gemeinden </w:t>
      </w:r>
      <w:r>
        <w:rPr>
          <w:strike/>
          <w:color w:val="808080"/>
        </w:rPr>
        <w:t>{nun zwar}</w:t>
      </w:r>
      <w:r>
        <w:rPr/>
        <w:t xml:space="preserve"> wurden fest im Glauben und nahmen täglich zu an Zahl.{{field-off:bible}} </w:t>
        <w:br/>
        <w:t>[[@BibleTOBIBLE:Ac 16:6]]</w:t>
      </w:r>
      <w:r>
        <w:rPr>
          <w:b/>
        </w:rPr>
        <w:t>6</w:t>
      </w:r>
      <w:r>
        <w:rPr/>
        <w:t xml:space="preserve"> {{field-on:bible}}Als</w:t>
      </w:r>
      <w:r>
        <w:rPr>
          <w:rStyle w:val="Funotenanker"/>
        </w:rPr>
        <w:footnoteReference w:customMarkFollows="1" w:id="5535"/>
        <w:t>b</w:t>
      </w:r>
      <w:r>
        <w:rPr/>
        <w:t xml:space="preserve"> sie aber durch das Phrygische und Galatische Gebiet zogen, wurden sie vom heiligen Geist abgehalten </w:t>
      </w:r>
      <w:r>
        <w:rPr>
          <w:color w:val="808080"/>
        </w:rPr>
        <w:t>(daran gehindert, wurde es ihnen verboten)</w:t>
      </w:r>
      <w:r>
        <w:rPr/>
        <w:t xml:space="preserve">, das Wort in der </w:t>
      </w:r>
      <w:r>
        <w:rPr>
          <w:b/>
          <w:color w:val="808080"/>
        </w:rPr>
        <w:t>[</w:t>
      </w:r>
      <w:r>
        <w:rPr/>
        <w:t>Provinz</w:t>
      </w:r>
      <w:r>
        <w:rPr>
          <w:b/>
          <w:color w:val="808080"/>
        </w:rPr>
        <w:t>]</w:t>
      </w:r>
      <w:r>
        <w:rPr/>
        <w:t xml:space="preserve"> Asien zu predigen </w:t>
      </w:r>
      <w:r>
        <w:rPr>
          <w:color w:val="808080"/>
        </w:rPr>
        <w:t>(aussprechen, verkündigen)</w:t>
      </w:r>
      <w:r>
        <w:rPr/>
        <w:t xml:space="preserve">.{{field-off:bible}} </w:t>
        <w:br/>
        <w:t>[[@BibleTOBIBLE:Ac 16:7]]</w:t>
      </w:r>
      <w:r>
        <w:rPr>
          <w:b/>
        </w:rPr>
        <w:t>7</w:t>
      </w:r>
      <w:r>
        <w:rPr/>
        <w:t xml:space="preserve"> {{field-on:bible}}Nachdem</w:t>
      </w:r>
      <w:r>
        <w:rPr>
          <w:rStyle w:val="Funotenanker"/>
        </w:rPr>
        <w:footnoteReference w:customMarkFollows="1" w:id="5536"/>
        <w:t>c</w:t>
      </w:r>
      <w:r>
        <w:rPr/>
        <w:t xml:space="preserve"> sie aber in die Gegend von Mysien gekommen </w:t>
      </w:r>
      <w:r>
        <w:rPr>
          <w:color w:val="808080"/>
        </w:rPr>
        <w:t>(gelangt, gereist)</w:t>
      </w:r>
      <w:r>
        <w:rPr/>
        <w:t xml:space="preserve"> waren, versuchten sie, nach Bithynien zu reisen, aber der Geist Jesu verwehrte ihnen das.{{field-off:bible}} </w:t>
        <w:br/>
        <w:t>[[@BibleTOBIBLE:Ac 16:8]]</w:t>
      </w:r>
      <w:r>
        <w:rPr>
          <w:b/>
        </w:rPr>
        <w:t>8</w:t>
      </w:r>
      <w:r>
        <w:rPr/>
        <w:t xml:space="preserve"> {{field-on:bible}}Nachdem</w:t>
      </w:r>
      <w:r>
        <w:rPr>
          <w:rStyle w:val="Funotenanker"/>
        </w:rPr>
        <w:footnoteReference w:customMarkFollows="1" w:id="5537"/>
        <w:t>d</w:t>
      </w:r>
      <w:r>
        <w:rPr/>
        <w:t xml:space="preserve"> sie </w:t>
      </w:r>
      <w:r>
        <w:rPr>
          <w:strike/>
          <w:color w:val="808080"/>
        </w:rPr>
        <w:t>{aber}</w:t>
      </w:r>
      <w:r>
        <w:rPr/>
        <w:t xml:space="preserve"> an Mysien vorbeigezogen waren, stiegen sie hinab nach Troas.{{field-off:bible}} </w:t>
        <w:br/>
        <w:t>[[@BibleTOBIBLE:Ac 16:9]]</w:t>
      </w:r>
      <w:r>
        <w:rPr>
          <w:b/>
        </w:rPr>
        <w:t>9</w:t>
      </w:r>
      <w:r>
        <w:rPr/>
        <w:t xml:space="preserve"> {{field-on:bible}}Aber </w:t>
      </w:r>
      <w:r>
        <w:rPr>
          <w:strike/>
          <w:color w:val="808080"/>
        </w:rPr>
        <w:t>{und}</w:t>
      </w:r>
      <w:r>
        <w:rPr/>
        <w:t xml:space="preserve"> nachts erschien Paulus eine Vision </w:t>
      </w:r>
      <w:r>
        <w:rPr>
          <w:color w:val="808080"/>
        </w:rPr>
        <w:t>(ein Gesicht)</w:t>
      </w:r>
      <w:r>
        <w:rPr/>
        <w:t xml:space="preserve">, ein makedonischer Mann stand da </w:t>
      </w:r>
      <w:r>
        <w:rPr>
          <w:strike/>
          <w:color w:val="808080"/>
        </w:rPr>
        <w:t>{und}</w:t>
      </w:r>
      <w:r>
        <w:rPr/>
        <w:t xml:space="preserve"> bat ihn und sprach: Setze über nach Makedonien und hilf uns!{{field-off:bible}} </w:t>
        <w:br/>
        <w:t>[[@BibleTOBIBLE:Ac 16:10]]</w:t>
      </w:r>
      <w:r>
        <w:rPr>
          <w:b/>
        </w:rPr>
        <w:t>10</w:t>
      </w:r>
      <w:r>
        <w:rPr/>
        <w:t xml:space="preserve"> {{field-on:bible}}Wie er aber die Vision </w:t>
      </w:r>
      <w:r>
        <w:rPr>
          <w:color w:val="808080"/>
        </w:rPr>
        <w:t>(das Gesicht)</w:t>
      </w:r>
      <w:r>
        <w:rPr/>
        <w:t xml:space="preserve"> sah, schlossen wir</w:t>
      </w:r>
      <w:r>
        <w:rPr>
          <w:rStyle w:val="Funotenanker"/>
        </w:rPr>
        <w:footnoteReference w:customMarkFollows="1" w:id="5538"/>
        <w:t>e</w:t>
      </w:r>
      <w:r>
        <w:rPr/>
        <w:t xml:space="preserve"> </w:t>
      </w:r>
      <w:r>
        <w:rPr>
          <w:color w:val="808080"/>
        </w:rPr>
        <w:t>(legten wir uns zurecht)</w:t>
      </w:r>
      <w:r>
        <w:rPr/>
        <w:t xml:space="preserve"> sofort, dass Gott uns berufen hatte, ihnen das Evangelium zu verkündigen.{{field-off:bible}} </w:t>
        <w:br/>
        <w:t>[[@BibleTOBIBLE:Ac 16:11]]</w:t>
      </w:r>
      <w:r>
        <w:rPr>
          <w:b/>
        </w:rPr>
        <w:t>11</w:t>
      </w:r>
      <w:r>
        <w:rPr/>
        <w:t xml:space="preserve"> {{field-on:bible}}Nachdem </w:t>
      </w:r>
      <w:r>
        <w:rPr>
          <w:rStyle w:val="Funotenanker"/>
        </w:rPr>
        <w:footnoteReference w:customMarkFollows="1" w:id="5539"/>
        <w:t>f</w:t>
      </w:r>
      <w:r>
        <w:rPr/>
        <w:t xml:space="preserve"> wir von Troas ausgelaufen waren, fuhren wir geradewegs nach Samothrake, am folgenden Tag </w:t>
      </w:r>
      <w:r>
        <w:rPr>
          <w:strike/>
          <w:color w:val="808080"/>
        </w:rPr>
        <w:t>{aber}</w:t>
      </w:r>
      <w:r>
        <w:rPr/>
        <w:t xml:space="preserve"> nach Neapolis </w:t>
      </w:r>
      <w:r>
        <w:rPr>
          <w:color w:val="808080"/>
        </w:rPr>
        <w:t>(Neustadt)</w:t>
      </w:r>
      <w:r>
        <w:rPr/>
        <w:t xml:space="preserve"> </w:t>
      </w:r>
      <w:r>
        <w:rPr>
          <w:rStyle w:val="Funotenanker"/>
        </w:rPr>
        <w:footnoteReference w:customMarkFollows="1" w:id="5540"/>
        <w:t>g</w:t>
      </w:r>
      <w:r>
        <w:rPr/>
        <w:t xml:space="preserve">,{{field-off:bible}} </w:t>
        <w:br/>
        <w:t>[[@BibleTOBIBLE:Ac 16:12]]</w:t>
      </w:r>
      <w:r>
        <w:rPr>
          <w:b/>
        </w:rPr>
        <w:t>12</w:t>
      </w:r>
      <w:r>
        <w:rPr/>
        <w:t xml:space="preserve"> {{field-on:bible}}und von dort </w:t>
      </w:r>
      <w:r>
        <w:rPr>
          <w:b/>
          <w:color w:val="808080"/>
        </w:rPr>
        <w:t>[</w:t>
      </w:r>
      <w:r>
        <w:rPr/>
        <w:t>gingen wir</w:t>
      </w:r>
      <w:r>
        <w:rPr>
          <w:b/>
          <w:color w:val="808080"/>
        </w:rPr>
        <w:t>]</w:t>
      </w:r>
      <w:r>
        <w:rPr/>
        <w:t xml:space="preserve"> nach Philippi, das eine Stadt des ersten</w:t>
      </w:r>
      <w:r>
        <w:rPr>
          <w:rStyle w:val="Funotenanker"/>
        </w:rPr>
        <w:footnoteReference w:customMarkFollows="1" w:id="5541"/>
        <w:t>h</w:t>
      </w:r>
      <w:r>
        <w:rPr/>
        <w:t xml:space="preserve"> Teils von Makedonien ist, eine Kolonie. Wir waren aber in dieser Stadt und</w:t>
      </w:r>
      <w:r>
        <w:rPr>
          <w:rStyle w:val="Funotenanker"/>
        </w:rPr>
        <w:footnoteReference w:customMarkFollows="1" w:id="5542"/>
        <w:t>i</w:t>
      </w:r>
      <w:r>
        <w:rPr/>
        <w:t xml:space="preserve"> verweilten </w:t>
      </w:r>
      <w:r>
        <w:rPr>
          <w:color w:val="808080"/>
        </w:rPr>
        <w:t>(brachten zu, verbrachten)</w:t>
      </w:r>
      <w:r>
        <w:rPr/>
        <w:t xml:space="preserve"> einige Tage.{{field-off:bible}} </w:t>
        <w:br/>
        <w:t>[[@BibleTOBIBLE:Ac 16:13]]</w:t>
      </w:r>
      <w:r>
        <w:rPr>
          <w:b/>
        </w:rPr>
        <w:t>13</w:t>
      </w:r>
      <w:r>
        <w:rPr/>
        <w:t xml:space="preserve"> {{field-on:bible}}Am Sabbat aber gingen wir zum Tor hinaus zum Fluss, wo wir eine Synagoge </w:t>
      </w:r>
      <w:r>
        <w:rPr>
          <w:color w:val="808080"/>
        </w:rPr>
        <w:t>(Gebetsstätte)</w:t>
      </w:r>
      <w:r>
        <w:rPr/>
        <w:t xml:space="preserve"> vermuteten</w:t>
      </w:r>
      <w:r>
        <w:rPr>
          <w:rStyle w:val="Funotenanker"/>
        </w:rPr>
        <w:footnoteReference w:customMarkFollows="1" w:id="5543"/>
        <w:t>j</w:t>
      </w:r>
      <w:r>
        <w:rPr/>
        <w:t>, und nachdem wir uns gesetzt hatten</w:t>
      </w:r>
      <w:r>
        <w:rPr>
          <w:rStyle w:val="Funotenanker"/>
        </w:rPr>
        <w:footnoteReference w:customMarkFollows="1" w:id="5544"/>
        <w:t>k</w:t>
      </w:r>
      <w:r>
        <w:rPr/>
        <w:t xml:space="preserve"> sprachen wir mit den Frauen, die </w:t>
      </w:r>
      <w:r>
        <w:rPr>
          <w:b/>
          <w:color w:val="808080"/>
        </w:rPr>
        <w:t>[</w:t>
      </w:r>
      <w:r>
        <w:rPr/>
        <w:t>dort</w:t>
      </w:r>
      <w:r>
        <w:rPr>
          <w:b/>
          <w:color w:val="808080"/>
        </w:rPr>
        <w:t>]</w:t>
      </w:r>
      <w:r>
        <w:rPr/>
        <w:t xml:space="preserve"> zusammengekommen waren.{{field-off:bible}} </w:t>
        <w:br/>
        <w:t>[[@BibleTOBIBLE:Ac 16:14]]</w:t>
      </w:r>
      <w:r>
        <w:rPr>
          <w:b/>
        </w:rPr>
        <w:t>14</w:t>
      </w:r>
      <w:r>
        <w:rPr/>
        <w:t xml:space="preserve"> {{field-on:bible}} </w:t>
      </w:r>
      <w:r>
        <w:rPr>
          <w:strike/>
          <w:color w:val="808080"/>
        </w:rPr>
        <w:t>{Und}</w:t>
      </w:r>
      <w:r>
        <w:rPr/>
        <w:t xml:space="preserve"> eine Frau namens Lydia, eine Purpurwollenhändlerin aus der Stadt Thyatira, eine Gottesfürchtige</w:t>
      </w:r>
      <w:r>
        <w:rPr>
          <w:rStyle w:val="Funotenanker"/>
        </w:rPr>
        <w:footnoteReference w:customMarkFollows="1" w:id="5545"/>
        <w:t>l</w:t>
      </w:r>
      <w:r>
        <w:rPr/>
        <w:t xml:space="preserve">, hörte zu, der öffnete der Herr das Herz, </w:t>
      </w:r>
      <w:r>
        <w:rPr>
          <w:color w:val="808080"/>
        </w:rPr>
        <w:t>(zu hören auf =)</w:t>
      </w:r>
      <w:r>
        <w:rPr/>
        <w:t xml:space="preserve"> dass sie auf das</w:t>
      </w:r>
      <w:r>
        <w:rPr>
          <w:rStyle w:val="Funotenanker"/>
        </w:rPr>
        <w:footnoteReference w:customMarkFollows="1" w:id="5546"/>
        <w:t>m</w:t>
      </w:r>
      <w:r>
        <w:rPr/>
        <w:t xml:space="preserve"> hörte </w:t>
      </w:r>
      <w:r>
        <w:rPr>
          <w:color w:val="808080"/>
        </w:rPr>
        <w:t>(achtete)</w:t>
      </w:r>
      <w:r>
        <w:rPr/>
        <w:t xml:space="preserve">, was Paulus sagte.{{field-off:bible}} </w:t>
        <w:br/>
        <w:t>[[@BibleTOBIBLE:Ac 16:15]]</w:t>
      </w:r>
      <w:r>
        <w:rPr>
          <w:b/>
        </w:rPr>
        <w:t>15</w:t>
      </w:r>
      <w:r>
        <w:rPr/>
        <w:t xml:space="preserve"> {{field-on:bible}}Als sie aber getauft wurde und ihre Hausbewohner </w:t>
      </w:r>
      <w:r>
        <w:rPr>
          <w:color w:val="808080"/>
        </w:rPr>
        <w:t>(ihre Familie)</w:t>
      </w:r>
      <w:r>
        <w:rPr/>
        <w:t xml:space="preserve">, lud sie ein </w:t>
      </w:r>
      <w:r>
        <w:rPr>
          <w:strike/>
          <w:color w:val="808080"/>
        </w:rPr>
        <w:t>{indem sie/ und sprach}</w:t>
      </w:r>
      <w:r>
        <w:rPr/>
        <w:t xml:space="preserve">: Wenn ihr meint </w:t>
      </w:r>
      <w:r>
        <w:rPr>
          <w:color w:val="808080"/>
        </w:rPr>
        <w:t>(überzeugt seid)</w:t>
      </w:r>
      <w:r>
        <w:rPr/>
        <w:t>, dass ich an den Herrn gläubig bin, kommt in mein Haus und</w:t>
      </w:r>
      <w:r>
        <w:rPr>
          <w:rStyle w:val="Funotenanker"/>
        </w:rPr>
        <w:footnoteReference w:customMarkFollows="1" w:id="5547"/>
        <w:t>n</w:t>
      </w:r>
      <w:r>
        <w:rPr/>
        <w:t xml:space="preserve"> bleibt. Und sie drängte </w:t>
      </w:r>
      <w:r>
        <w:rPr>
          <w:color w:val="808080"/>
        </w:rPr>
        <w:t>(nötigte)</w:t>
      </w:r>
      <w:r>
        <w:rPr/>
        <w:t xml:space="preserve"> uns.{{field-off:bible}} </w:t>
        <w:br/>
        <w:t>[[@BibleTOBIBLE:Ac 16:16]]</w:t>
      </w:r>
      <w:r>
        <w:rPr>
          <w:b/>
        </w:rPr>
        <w:t>16</w:t>
      </w:r>
      <w:r>
        <w:rPr/>
        <w:t xml:space="preserve"> {{field-on:bible}}Es begab sich aber, als</w:t>
      </w:r>
      <w:r>
        <w:rPr>
          <w:rStyle w:val="Funotenanker"/>
        </w:rPr>
        <w:footnoteReference w:customMarkFollows="1" w:id="5548"/>
        <w:t>o</w:t>
      </w:r>
      <w:r>
        <w:rPr/>
        <w:t xml:space="preserve"> wir zur Synagoge gingen, begegnete uns </w:t>
      </w:r>
      <w:r>
        <w:rPr>
          <w:color w:val="808080"/>
        </w:rPr>
        <w:t>(ging uns entgegen)</w:t>
      </w:r>
      <w:r>
        <w:rPr/>
        <w:t xml:space="preserve"> eine Sklavin</w:t>
      </w:r>
      <w:r>
        <w:rPr>
          <w:rStyle w:val="Funotenanker"/>
        </w:rPr>
        <w:footnoteReference w:customMarkFollows="1" w:id="5549"/>
        <w:t>p</w:t>
      </w:r>
      <w:r>
        <w:rPr/>
        <w:t xml:space="preserve"> </w:t>
      </w:r>
      <w:r>
        <w:rPr>
          <w:color w:val="808080"/>
        </w:rPr>
        <w:t>(Magd)</w:t>
      </w:r>
      <w:r>
        <w:rPr/>
        <w:t>, die</w:t>
      </w:r>
      <w:r>
        <w:rPr>
          <w:rStyle w:val="Funotenanker"/>
        </w:rPr>
        <w:footnoteReference w:customMarkFollows="1" w:id="5550"/>
        <w:t>q</w:t>
      </w:r>
      <w:r>
        <w:rPr/>
        <w:t xml:space="preserve"> hatte einen Wahrsagegeist</w:t>
      </w:r>
      <w:r>
        <w:rPr>
          <w:rStyle w:val="Funotenanker"/>
        </w:rPr>
        <w:footnoteReference w:customMarkFollows="1" w:id="5551"/>
        <w:t>r</w:t>
      </w:r>
      <w:r>
        <w:rPr/>
        <w:t>, brachte ihren Herren großen Verdienst ein, indem</w:t>
      </w:r>
      <w:r>
        <w:rPr>
          <w:rStyle w:val="Funotenanker"/>
        </w:rPr>
        <w:footnoteReference w:customMarkFollows="1" w:id="5552"/>
        <w:t>s</w:t>
      </w:r>
      <w:r>
        <w:rPr/>
        <w:t xml:space="preserve"> sie wahrsagte.{{field-off:bible}} </w:t>
        <w:br/>
        <w:t>[[@BibleTOBIBLE:Ac 16:17]]</w:t>
      </w:r>
      <w:r>
        <w:rPr>
          <w:b/>
        </w:rPr>
        <w:t>17</w:t>
      </w:r>
      <w:r>
        <w:rPr/>
        <w:t xml:space="preserve"> {{field-on:bible}}Die folge Paulus und uns und</w:t>
      </w:r>
      <w:r>
        <w:rPr>
          <w:rStyle w:val="Funotenanker"/>
        </w:rPr>
        <w:footnoteReference w:customMarkFollows="1" w:id="5553"/>
        <w:t>t</w:t>
      </w:r>
      <w:r>
        <w:rPr/>
        <w:t xml:space="preserve"> schrie </w:t>
      </w:r>
      <w:r>
        <w:rPr>
          <w:strike/>
          <w:color w:val="808080"/>
        </w:rPr>
        <w:t>{indem sie/ und sprach}</w:t>
      </w:r>
      <w:r>
        <w:rPr/>
        <w:t xml:space="preserve">: Diese Menschen sind Sklaven </w:t>
      </w:r>
      <w:r>
        <w:rPr>
          <w:color w:val="808080"/>
        </w:rPr>
        <w:t>(Diener)</w:t>
      </w:r>
      <w:r>
        <w:rPr/>
        <w:t xml:space="preserve"> des höchsten Gottes, die verkündigen euch den Weg der Rettung </w:t>
      </w:r>
      <w:r>
        <w:rPr>
          <w:color w:val="808080"/>
        </w:rPr>
        <w:t>(den Heilsweg)</w:t>
      </w:r>
      <w:r>
        <w:rPr/>
        <w:t xml:space="preserve">.{{field-off:bible}} </w:t>
        <w:br/>
        <w:t>[[@BibleTOBIBLE:Ac 16:18]]</w:t>
      </w:r>
      <w:r>
        <w:rPr>
          <w:b/>
        </w:rPr>
        <w:t>18</w:t>
      </w:r>
      <w:r>
        <w:rPr/>
        <w:t xml:space="preserve"> {{field-on:bible}}Das machte sie </w:t>
      </w:r>
      <w:r>
        <w:rPr>
          <w:strike/>
          <w:color w:val="808080"/>
        </w:rPr>
        <w:t>{aber}</w:t>
      </w:r>
      <w:r>
        <w:rPr/>
        <w:t xml:space="preserve"> über viele Tage hin </w:t>
      </w:r>
      <w:r>
        <w:rPr>
          <w:color w:val="808080"/>
        </w:rPr>
        <w:t>(viele Tage lang)</w:t>
      </w:r>
      <w:r>
        <w:rPr/>
        <w:t xml:space="preserve">. Paulus aber regte </w:t>
      </w:r>
      <w:r>
        <w:rPr>
          <w:b/>
          <w:color w:val="808080"/>
        </w:rPr>
        <w:t>[</w:t>
      </w:r>
      <w:r>
        <w:rPr/>
        <w:t>das</w:t>
      </w:r>
      <w:r>
        <w:rPr>
          <w:b/>
          <w:color w:val="808080"/>
        </w:rPr>
        <w:t>]</w:t>
      </w:r>
      <w:r>
        <w:rPr/>
        <w:t xml:space="preserve"> auf </w:t>
      </w:r>
      <w:r>
        <w:rPr>
          <w:color w:val="808080"/>
        </w:rPr>
        <w:t>(war aufgebracht)</w:t>
      </w:r>
      <w:r>
        <w:rPr/>
        <w:t xml:space="preserve"> und</w:t>
      </w:r>
      <w:r>
        <w:rPr>
          <w:rStyle w:val="Funotenanker"/>
        </w:rPr>
        <w:footnoteReference w:customMarkFollows="1" w:id="5554"/>
        <w:t>u</w:t>
      </w:r>
      <w:r>
        <w:rPr/>
        <w:t xml:space="preserve"> sich umdrehend sprach er zum Geist: Hiermit</w:t>
      </w:r>
      <w:r>
        <w:rPr>
          <w:rStyle w:val="Funotenanker"/>
        </w:rPr>
        <w:footnoteReference w:customMarkFollows="1" w:id="5555"/>
        <w:t>v</w:t>
      </w:r>
      <w:r>
        <w:rPr/>
        <w:t xml:space="preserve"> befehle ich dir im Namen Jesu Christi, von ihr zu verschwinden </w:t>
      </w:r>
      <w:r>
        <w:rPr>
          <w:color w:val="808080"/>
        </w:rPr>
        <w:t>(auszufahren)</w:t>
      </w:r>
      <w:r>
        <w:rPr/>
        <w:t xml:space="preserve">. Und er verschwand </w:t>
      </w:r>
      <w:r>
        <w:rPr>
          <w:color w:val="808080"/>
        </w:rPr>
        <w:t>(fuhr aus)</w:t>
      </w:r>
      <w:r>
        <w:rPr/>
        <w:t xml:space="preserve"> von ihr in dieser Stunde.{{field-off:bible}} </w:t>
        <w:br/>
        <w:t>[[@BibleTOBIBLE:Ac 16:19]]</w:t>
      </w:r>
      <w:r>
        <w:rPr>
          <w:b/>
        </w:rPr>
        <w:t>19</w:t>
      </w:r>
      <w:r>
        <w:rPr/>
        <w:t xml:space="preserve"> {{field-on:bible}}Als</w:t>
      </w:r>
      <w:r>
        <w:rPr>
          <w:rStyle w:val="Funotenanker"/>
        </w:rPr>
        <w:footnoteReference w:customMarkFollows="1" w:id="5556"/>
        <w:t>w</w:t>
      </w:r>
      <w:r>
        <w:rPr/>
        <w:t xml:space="preserve"> aber ihre Herren sahen, dass die Aussicht auf ihren Erwerb verschwunden</w:t>
      </w:r>
      <w:r>
        <w:rPr>
          <w:rStyle w:val="Funotenanker"/>
        </w:rPr>
        <w:footnoteReference w:customMarkFollows="1" w:id="5557"/>
        <w:t>x</w:t>
      </w:r>
      <w:r>
        <w:rPr/>
        <w:t xml:space="preserve"> war, ergriffen sie Paulus und Silas unds</w:t>
      </w:r>
      <w:r>
        <w:rPr>
          <w:rStyle w:val="Funotenanker"/>
        </w:rPr>
        <w:footnoteReference w:customMarkFollows="1" w:id="5558"/>
        <w:t>y</w:t>
      </w:r>
      <w:r>
        <w:rPr/>
        <w:t xml:space="preserve"> schleppten sie zum Marktplatz </w:t>
      </w:r>
      <w:r>
        <w:rPr>
          <w:color w:val="808080"/>
        </w:rPr>
        <w:t>(Forum)</w:t>
      </w:r>
      <w:r>
        <w:rPr/>
        <w:t xml:space="preserve"> zu den Behörden{{field-off:bible}} </w:t>
        <w:br/>
        <w:t>[[@BibleTOBIBLE:Ac 16:20]]</w:t>
      </w:r>
      <w:r>
        <w:rPr>
          <w:b/>
        </w:rPr>
        <w:t>20</w:t>
      </w:r>
      <w:r>
        <w:rPr/>
        <w:t xml:space="preserve"> {{field-on:bible}}und sprachen, als</w:t>
      </w:r>
      <w:r>
        <w:rPr>
          <w:rStyle w:val="Funotenanker"/>
        </w:rPr>
        <w:footnoteReference w:customMarkFollows="1" w:id="5559"/>
        <w:t>z</w:t>
      </w:r>
      <w:r>
        <w:rPr/>
        <w:t xml:space="preserve"> sie sie den Prätoren</w:t>
      </w:r>
      <w:r>
        <w:rPr>
          <w:rStyle w:val="Funotenanker"/>
        </w:rPr>
        <w:footnoteReference w:customMarkFollows="1" w:id="5560"/>
        <w:t>aa</w:t>
      </w:r>
      <w:r>
        <w:rPr/>
        <w:t xml:space="preserve"> vorführten: Diese Menschen, die Juden sind, wiegeln unsere Stadt auf{{field-off:bible}} </w:t>
        <w:br/>
        <w:t>[[@BibleTOBIBLE:Ac 16:21]]</w:t>
      </w:r>
      <w:r>
        <w:rPr>
          <w:b/>
        </w:rPr>
        <w:t>21</w:t>
      </w:r>
      <w:r>
        <w:rPr/>
        <w:t xml:space="preserve"> {{field-on:bible}}und verkündigen Gesetze </w:t>
      </w:r>
      <w:r>
        <w:rPr>
          <w:color w:val="808080"/>
        </w:rPr>
        <w:t>(Riten)</w:t>
      </w:r>
      <w:r>
        <w:rPr/>
        <w:t>, die wir nicht bei uns, die wir Römer sind, gelten lassen noch tun dürfen</w:t>
      </w:r>
      <w:r>
        <w:rPr>
          <w:rStyle w:val="Funotenanker"/>
        </w:rPr>
        <w:footnoteReference w:customMarkFollows="1" w:id="5561"/>
        <w:t>ab</w:t>
      </w:r>
      <w:r>
        <w:rPr/>
        <w:t xml:space="preserve">.{{field-off:bible}} </w:t>
        <w:br/>
        <w:t>[[@BibleTOBIBLE:Ac 16:22]]</w:t>
      </w:r>
      <w:r>
        <w:rPr>
          <w:b/>
        </w:rPr>
        <w:t>22</w:t>
      </w:r>
      <w:r>
        <w:rPr/>
        <w:t xml:space="preserve"> {{field-on:bible}}Und das Volk erhob sich mit </w:t>
      </w:r>
      <w:r>
        <w:rPr>
          <w:color w:val="808080"/>
        </w:rPr>
        <w:t>(ebenfalls)</w:t>
      </w:r>
      <w:r>
        <w:rPr/>
        <w:t xml:space="preserve"> gegen sie und die Prätoren befahlen, nachdem</w:t>
      </w:r>
      <w:r>
        <w:rPr>
          <w:rStyle w:val="Funotenanker"/>
        </w:rPr>
        <w:footnoteReference w:customMarkFollows="1" w:id="5562"/>
        <w:t>ac</w:t>
      </w:r>
      <w:r>
        <w:rPr/>
        <w:t xml:space="preserve"> sie ihnen die Kleider </w:t>
      </w:r>
      <w:r>
        <w:rPr>
          <w:strike/>
          <w:color w:val="808080"/>
        </w:rPr>
        <w:t>{ringsum}</w:t>
      </w:r>
      <w:r>
        <w:rPr/>
        <w:t xml:space="preserve"> heruntergerissen hatten, die Prügelstrafe zu verabreichen</w:t>
      </w:r>
      <w:r>
        <w:rPr>
          <w:rStyle w:val="Funotenanker"/>
        </w:rPr>
        <w:footnoteReference w:customMarkFollows="1" w:id="5563"/>
        <w:t>ad</w:t>
      </w:r>
      <w:r>
        <w:rPr/>
        <w:t xml:space="preserve"> {{field-off:bible}} </w:t>
        <w:br/>
        <w:t>[[@BibleTOBIBLE:Ac 16:23]]</w:t>
      </w:r>
      <w:r>
        <w:rPr>
          <w:b/>
        </w:rPr>
        <w:t>23</w:t>
      </w:r>
      <w:r>
        <w:rPr/>
        <w:t xml:space="preserve"> {{field-on:bible}}Nachdem</w:t>
      </w:r>
      <w:r>
        <w:rPr>
          <w:rStyle w:val="Funotenanker"/>
        </w:rPr>
        <w:footnoteReference w:customMarkFollows="1" w:id="5564"/>
        <w:t>ae</w:t>
      </w:r>
      <w:r>
        <w:rPr/>
        <w:t xml:space="preserve"> man ihnen viele Schläge versetzt hatte, warfen sie sie ins Gefängnis und</w:t>
      </w:r>
      <w:r>
        <w:rPr>
          <w:rStyle w:val="Funotenanker"/>
        </w:rPr>
        <w:footnoteReference w:customMarkFollows="1" w:id="5565"/>
        <w:t>af</w:t>
      </w:r>
      <w:r>
        <w:rPr/>
        <w:t xml:space="preserve"> befahlen dem Gefängniswärter, sie sicher zu verwahren </w:t>
      </w:r>
      <w:r>
        <w:rPr>
          <w:color w:val="808080"/>
        </w:rPr>
        <w:t>(gefangen zu halten)</w:t>
      </w:r>
      <w:r>
        <w:rPr/>
        <w:t xml:space="preserve">.{{field-off:bible}} </w:t>
        <w:br/>
        <w:t>[[@BibleTOBIBLE:Ac 16:24]]</w:t>
      </w:r>
      <w:r>
        <w:rPr>
          <w:b/>
        </w:rPr>
        <w:t>24</w:t>
      </w:r>
      <w:r>
        <w:rPr/>
        <w:t xml:space="preserve"> {{field-on:bible}}Der, nachdem</w:t>
      </w:r>
      <w:r>
        <w:rPr>
          <w:rStyle w:val="Funotenanker"/>
        </w:rPr>
        <w:footnoteReference w:customMarkFollows="1" w:id="5566"/>
        <w:t>ag</w:t>
      </w:r>
      <w:r>
        <w:rPr/>
        <w:t xml:space="preserve"> er eine solche Anweisung erhalten hatte, warf sie in das innere Gefängnis und schloss ihre Füße in den Block ein.{{field-off:bible}} </w:t>
        <w:br/>
        <w:t>[[@BibleTOBIBLE:Ac 16:25]]</w:t>
      </w:r>
      <w:r>
        <w:rPr>
          <w:b/>
        </w:rPr>
        <w:t>25</w:t>
      </w:r>
      <w:r>
        <w:rPr/>
        <w:t xml:space="preserve"> {{field-on:bible}}Aber um Mitternacht beteten Paulus und Silas und</w:t>
      </w:r>
      <w:r>
        <w:rPr>
          <w:rStyle w:val="Funotenanker"/>
        </w:rPr>
        <w:footnoteReference w:customMarkFollows="1" w:id="5567"/>
        <w:t>ah</w:t>
      </w:r>
      <w:r>
        <w:rPr/>
        <w:t xml:space="preserve"> priesen </w:t>
      </w:r>
      <w:r>
        <w:rPr>
          <w:color w:val="808080"/>
        </w:rPr>
        <w:t>(besangen, rühmten)</w:t>
      </w:r>
      <w:r>
        <w:rPr/>
        <w:t xml:space="preserve"> Gott. Die Gefangenen aber hörten ihnen zu.{{field-off:bible}} </w:t>
        <w:br/>
        <w:t>[[@BibleTOBIBLE:Ac 16:26]]</w:t>
      </w:r>
      <w:r>
        <w:rPr>
          <w:b/>
        </w:rPr>
        <w:t>26</w:t>
      </w:r>
      <w:r>
        <w:rPr/>
        <w:t xml:space="preserve"> {{field-on:bible}}Plötzlich aber ereignete sich ein großes Erdbeben, sodass die Fundamente des Gefängnisses ins Wanken gerieten. Sofort aber wurden alle Türen geöffnet und die Fesseln aller gelöst.{{field-off:bible}} </w:t>
        <w:br/>
        <w:t>[[@BibleTOBIBLE:Ac 16:27]]</w:t>
      </w:r>
      <w:r>
        <w:rPr>
          <w:b/>
        </w:rPr>
        <w:t>27</w:t>
      </w:r>
      <w:r>
        <w:rPr/>
        <w:t xml:space="preserve"> {{field-on:bible}}Nachdem</w:t>
      </w:r>
      <w:r>
        <w:rPr>
          <w:rStyle w:val="Funotenanker"/>
        </w:rPr>
        <w:footnoteReference w:customMarkFollows="1" w:id="5568"/>
        <w:t>ai</w:t>
      </w:r>
      <w:r>
        <w:rPr/>
        <w:t xml:space="preserve"> aber der Gefängniswärter wach geworden war und</w:t>
      </w:r>
      <w:r>
        <w:rPr>
          <w:rStyle w:val="Funotenanker"/>
        </w:rPr>
        <w:footnoteReference w:customMarkFollows="1" w:id="5569"/>
        <w:t>aj</w:t>
      </w:r>
      <w:r>
        <w:rPr/>
        <w:t xml:space="preserve"> sah, dass die Türen des Gefängnisses geöffnet worden waren, zog er das Schwert und</w:t>
      </w:r>
      <w:r>
        <w:rPr>
          <w:rStyle w:val="Funotenanker"/>
        </w:rPr>
        <w:footnoteReference w:customMarkFollows="1" w:id="5570"/>
        <w:t>ak</w:t>
      </w:r>
      <w:r>
        <w:rPr/>
        <w:t xml:space="preserve"> wollte sich töten, weil</w:t>
      </w:r>
      <w:r>
        <w:rPr>
          <w:rStyle w:val="Funotenanker"/>
        </w:rPr>
        <w:footnoteReference w:customMarkFollows="1" w:id="5571"/>
        <w:t>al</w:t>
      </w:r>
      <w:r>
        <w:rPr/>
        <w:t xml:space="preserve"> er meinte, die Gefangenen wären entflohen</w:t>
      </w:r>
      <w:r>
        <w:rPr>
          <w:rStyle w:val="Funotenanker"/>
        </w:rPr>
        <w:footnoteReference w:customMarkFollows="1" w:id="5572"/>
        <w:t>am</w:t>
      </w:r>
      <w:r>
        <w:rPr/>
        <w:t xml:space="preserve">.{{field-off:bible}} </w:t>
        <w:br/>
        <w:t>[[@BibleTOBIBLE:Ac 16:28]]</w:t>
      </w:r>
      <w:r>
        <w:rPr>
          <w:b/>
        </w:rPr>
        <w:t>28</w:t>
      </w:r>
      <w:r>
        <w:rPr/>
        <w:t xml:space="preserve"> {{field-on:bible}}Paulus aber rief mit gewaltiger Stimme </w:t>
      </w:r>
      <w:r>
        <w:rPr>
          <w:strike/>
          <w:color w:val="808080"/>
        </w:rPr>
        <w:t>{und sprach}</w:t>
      </w:r>
      <w:r>
        <w:rPr/>
        <w:t xml:space="preserve">: Tu dir nichts Böses </w:t>
      </w:r>
      <w:r>
        <w:rPr>
          <w:color w:val="808080"/>
        </w:rPr>
        <w:t>(Übles)</w:t>
      </w:r>
      <w:r>
        <w:rPr/>
        <w:t xml:space="preserve"> an, wir sind doch alle hier.{{field-off:bible}} </w:t>
        <w:br/>
        <w:t>[[@BibleTOBIBLE:Ac 16:29]]</w:t>
      </w:r>
      <w:r>
        <w:rPr>
          <w:b/>
        </w:rPr>
        <w:t>29</w:t>
      </w:r>
      <w:r>
        <w:rPr/>
        <w:t xml:space="preserve"> {{field-on:bible}}Nachdem</w:t>
      </w:r>
      <w:r>
        <w:rPr>
          <w:rStyle w:val="Funotenanker"/>
        </w:rPr>
        <w:footnoteReference w:customMarkFollows="1" w:id="5573"/>
        <w:t>an</w:t>
      </w:r>
      <w:r>
        <w:rPr/>
        <w:t xml:space="preserve"> er Licht verlangt hatte, sprang</w:t>
      </w:r>
      <w:r>
        <w:rPr>
          <w:rStyle w:val="Funotenanker"/>
        </w:rPr>
        <w:footnoteReference w:customMarkFollows="1" w:id="5574"/>
        <w:t>ao</w:t>
      </w:r>
      <w:r>
        <w:rPr/>
        <w:t xml:space="preserve"> er hinein und fiel Paulus und Silas zu Füßen, während</w:t>
      </w:r>
      <w:r>
        <w:rPr>
          <w:rStyle w:val="Funotenanker"/>
        </w:rPr>
        <w:footnoteReference w:customMarkFollows="1" w:id="5575"/>
        <w:t>ap</w:t>
      </w:r>
      <w:r>
        <w:rPr/>
        <w:t xml:space="preserve"> ihn ein Zittern überfiel.{{field-off:bible}} </w:t>
        <w:br/>
        <w:t>[[@BibleTOBIBLE:Ac 16:30]]</w:t>
      </w:r>
      <w:r>
        <w:rPr>
          <w:b/>
        </w:rPr>
        <w:t>30</w:t>
      </w:r>
      <w:r>
        <w:rPr/>
        <w:t xml:space="preserve"> {{field-on:bible}}Nachdem</w:t>
      </w:r>
      <w:r>
        <w:rPr>
          <w:rStyle w:val="Funotenanker"/>
        </w:rPr>
        <w:footnoteReference w:customMarkFollows="1" w:id="5576"/>
        <w:t>aq</w:t>
      </w:r>
      <w:r>
        <w:rPr/>
        <w:t xml:space="preserve"> er sie hinausgeführt hatte, sagte er: Ihr Herren, was muss ich tun, damit ich gerettet werde?{{field-off:bible}} </w:t>
        <w:br/>
        <w:t>[[@BibleTOBIBLE:Ac 16:31]]</w:t>
      </w:r>
      <w:r>
        <w:rPr>
          <w:b/>
        </w:rPr>
        <w:t>31</w:t>
      </w:r>
      <w:r>
        <w:rPr/>
        <w:t xml:space="preserve"> {{field-on:bible}}Sie aber sprachen: Glaube an den Herrn Jesus, und du wirst gerettet und deine Familie</w:t>
      </w:r>
      <w:r>
        <w:rPr>
          <w:color w:val="808080"/>
        </w:rPr>
        <w:t>(deine Hausbewohner)</w:t>
      </w:r>
      <w:r>
        <w:rPr/>
        <w:t xml:space="preserve">.{{field-off:bible}} </w:t>
        <w:br/>
        <w:t>[[@BibleTOBIBLE:Ac 16:32]]</w:t>
      </w:r>
      <w:r>
        <w:rPr>
          <w:b/>
        </w:rPr>
        <w:t>32</w:t>
      </w:r>
      <w:r>
        <w:rPr/>
        <w:t xml:space="preserve"> {{field-on:bible}}Und die sagten ihm das Wort des Herrn mit allen, die in seinem Haus </w:t>
      </w:r>
      <w:r>
        <w:rPr>
          <w:b/>
          <w:color w:val="808080"/>
        </w:rPr>
        <w:t>[</w:t>
      </w:r>
      <w:r>
        <w:rPr/>
        <w:t>waren</w:t>
      </w:r>
      <w:r>
        <w:rPr>
          <w:b/>
          <w:color w:val="808080"/>
        </w:rPr>
        <w:t>]</w:t>
      </w:r>
      <w:r>
        <w:rPr/>
        <w:t xml:space="preserve">.{{field-off:bible}} </w:t>
        <w:br/>
        <w:t>[[@BibleTOBIBLE:Ac 16:33]]</w:t>
      </w:r>
      <w:r>
        <w:rPr>
          <w:b/>
        </w:rPr>
        <w:t>33</w:t>
      </w:r>
      <w:r>
        <w:rPr/>
        <w:t xml:space="preserve"> {{field-on:bible}}Und er nahm sie zu sich in jener nächtlichen Stunde </w:t>
      </w:r>
      <w:r>
        <w:rPr>
          <w:color w:val="808080"/>
        </w:rPr>
        <w:t>(Stunde der Nacht)</w:t>
      </w:r>
      <w:r>
        <w:rPr/>
        <w:t>, wusch ihnen die Striemen</w:t>
      </w:r>
      <w:r>
        <w:rPr>
          <w:rStyle w:val="Funotenanker"/>
        </w:rPr>
        <w:footnoteReference w:customMarkFollows="1" w:id="5577"/>
        <w:t>ar</w:t>
      </w:r>
      <w:r>
        <w:rPr/>
        <w:t xml:space="preserve"> und wurde sofort getauft und alle die Seinen,{{field-off:bible}} </w:t>
        <w:br/>
        <w:t>[[@BibleTOBIBLE:Ac 16:34]]</w:t>
      </w:r>
      <w:r>
        <w:rPr>
          <w:b/>
        </w:rPr>
        <w:t>34</w:t>
      </w:r>
      <w:r>
        <w:rPr/>
        <w:t xml:space="preserve"> {{field-on:bible}}dann führte er sie hinauf ins Haus und</w:t>
      </w:r>
      <w:r>
        <w:rPr>
          <w:rStyle w:val="Funotenanker"/>
        </w:rPr>
        <w:footnoteReference w:customMarkFollows="1" w:id="5578"/>
        <w:t>as</w:t>
      </w:r>
      <w:r>
        <w:rPr/>
        <w:t xml:space="preserve"> setzte ihnen eine Mahlzeit vor und jubelte mit der ganzen Familie, dass er an Gott gläubig </w:t>
      </w:r>
      <w:r>
        <w:rPr>
          <w:b/>
          <w:color w:val="808080"/>
        </w:rPr>
        <w:t>[</w:t>
      </w:r>
      <w:r>
        <w:rPr/>
        <w:t>geworden war</w:t>
      </w:r>
      <w:r>
        <w:rPr>
          <w:b/>
          <w:color w:val="808080"/>
        </w:rPr>
        <w:t>]</w:t>
      </w:r>
      <w:r>
        <w:rPr/>
        <w:t xml:space="preserve">.{{field-off:bible}} </w:t>
        <w:br/>
        <w:t>[[@BibleTOBIBLE:Ac 16:35]]</w:t>
      </w:r>
      <w:r>
        <w:rPr>
          <w:b/>
        </w:rPr>
        <w:t>35</w:t>
      </w:r>
      <w:r>
        <w:rPr/>
        <w:t xml:space="preserve"> {{field-on:bible}}Als</w:t>
      </w:r>
      <w:r>
        <w:rPr>
          <w:rStyle w:val="Funotenanker"/>
        </w:rPr>
        <w:footnoteReference w:customMarkFollows="1" w:id="5579"/>
        <w:t>at</w:t>
      </w:r>
      <w:r>
        <w:rPr/>
        <w:t xml:space="preserve"> es aber Tag geworden war, schickten die Prätoren die Liktoren</w:t>
      </w:r>
      <w:r>
        <w:rPr>
          <w:rStyle w:val="Funotenanker"/>
        </w:rPr>
        <w:footnoteReference w:customMarkFollows="1" w:id="5580"/>
        <w:t>au</w:t>
      </w:r>
      <w:r>
        <w:rPr/>
        <w:t xml:space="preserve"> </w:t>
      </w:r>
      <w:r>
        <w:rPr>
          <w:strike/>
          <w:color w:val="808080"/>
        </w:rPr>
        <w:t>{und sprachen}</w:t>
      </w:r>
      <w:r>
        <w:rPr/>
        <w:t xml:space="preserve">: Lasst jene Menschen frei!{{field-off:bible}} </w:t>
        <w:br/>
        <w:t>[[@BibleTOBIBLE:Ac 16:36]]</w:t>
      </w:r>
      <w:r>
        <w:rPr>
          <w:b/>
        </w:rPr>
        <w:t>36</w:t>
      </w:r>
      <w:r>
        <w:rPr/>
        <w:t xml:space="preserve"> {{field-on:bible}}Der Gefängniswärter meldete diese Worte dem Paulus:</w:t>
      </w:r>
      <w:r>
        <w:rPr>
          <w:rStyle w:val="Funotenanker"/>
        </w:rPr>
        <w:footnoteReference w:customMarkFollows="1" w:id="5581"/>
        <w:t>av</w:t>
      </w:r>
      <w:r>
        <w:rPr/>
        <w:t xml:space="preserve"> Die Prätoren haben geschickt: ihr sollt freigelassen werden </w:t>
      </w:r>
      <w:r>
        <w:rPr>
          <w:color w:val="808080"/>
        </w:rPr>
        <w:t>(dass ihr freigelassen werdet)</w:t>
      </w:r>
      <w:r>
        <w:rPr/>
        <w:t xml:space="preserve">. Geht also jetzt hinaus und zieht hin in Frieden.{{field-off:bible}} </w:t>
        <w:br/>
        <w:t>[[@BibleTOBIBLE:Ac 16:37]]</w:t>
      </w:r>
      <w:r>
        <w:rPr>
          <w:b/>
        </w:rPr>
        <w:t>37</w:t>
      </w:r>
      <w:r>
        <w:rPr/>
        <w:t xml:space="preserve"> {{field-on:bible}}Aber Paulus sprach zu ihnen</w:t>
      </w:r>
      <w:r>
        <w:rPr>
          <w:rStyle w:val="Funotenanker"/>
        </w:rPr>
        <w:footnoteReference w:customMarkFollows="1" w:id="5582"/>
        <w:t>aw</w:t>
      </w:r>
      <w:r>
        <w:rPr/>
        <w:t xml:space="preserve">: Sie haben uns öffentlich ohne Prozess verprügelt </w:t>
      </w:r>
      <w:r>
        <w:rPr>
          <w:color w:val="808080"/>
        </w:rPr>
        <w:t>(die Prügelstrafe verabreicht)</w:t>
      </w:r>
      <w:r>
        <w:rPr/>
        <w:t>, obwohl</w:t>
      </w:r>
      <w:r>
        <w:rPr>
          <w:rStyle w:val="Funotenanker"/>
        </w:rPr>
        <w:footnoteReference w:customMarkFollows="1" w:id="5583"/>
        <w:t>ax</w:t>
      </w:r>
      <w:r>
        <w:rPr/>
        <w:t xml:space="preserve"> wir Römer sind, sie warfen uns ins Gefängnis, und jetzt entlassen sie uns heimlich? Oh nein! Vielmehr </w:t>
      </w:r>
      <w:r>
        <w:rPr>
          <w:color w:val="808080"/>
        </w:rPr>
        <w:t>(sondern)</w:t>
      </w:r>
      <w:r>
        <w:rPr/>
        <w:t xml:space="preserve"> sollen sie kommen und</w:t>
      </w:r>
      <w:r>
        <w:rPr>
          <w:rStyle w:val="Funotenanker"/>
        </w:rPr>
        <w:footnoteReference w:customMarkFollows="1" w:id="5584"/>
        <w:t>ay</w:t>
      </w:r>
      <w:r>
        <w:rPr/>
        <w:t xml:space="preserve"> uns hinausgeleiten.{{field-off:bible}} </w:t>
        <w:br/>
        <w:t>[[@BibleTOBIBLE:Ac 16:38]]</w:t>
      </w:r>
      <w:r>
        <w:rPr>
          <w:b/>
        </w:rPr>
        <w:t>38</w:t>
      </w:r>
      <w:r>
        <w:rPr/>
        <w:t xml:space="preserve"> {{field-on:bible}}Die Liktoren </w:t>
      </w:r>
      <w:r>
        <w:rPr>
          <w:strike/>
          <w:color w:val="808080"/>
        </w:rPr>
        <w:t>{aber}</w:t>
      </w:r>
      <w:r>
        <w:rPr/>
        <w:t xml:space="preserve"> meldeten </w:t>
      </w:r>
      <w:r>
        <w:rPr>
          <w:color w:val="808080"/>
        </w:rPr>
        <w:t>(berichteten)</w:t>
      </w:r>
      <w:r>
        <w:rPr/>
        <w:t xml:space="preserve"> den Prätoren diese Worte. Sie fürchteten sich aber, als</w:t>
      </w:r>
      <w:r>
        <w:rPr>
          <w:rStyle w:val="Funotenanker"/>
        </w:rPr>
        <w:footnoteReference w:customMarkFollows="1" w:id="5585"/>
        <w:t>az</w:t>
      </w:r>
      <w:r>
        <w:rPr/>
        <w:t xml:space="preserve"> sie hörten:</w:t>
      </w:r>
      <w:r>
        <w:rPr>
          <w:rStyle w:val="Funotenanker"/>
        </w:rPr>
        <w:footnoteReference w:customMarkFollows="1" w:id="5586"/>
        <w:t>ba</w:t>
      </w:r>
      <w:r>
        <w:rPr/>
        <w:t xml:space="preserve"> Sie sind Römer,{{field-off:bible}} </w:t>
        <w:br/>
        <w:t>[[@BibleTOBIBLE:Ac 16:39]]</w:t>
      </w:r>
      <w:r>
        <w:rPr>
          <w:b/>
        </w:rPr>
        <w:t>39</w:t>
      </w:r>
      <w:r>
        <w:rPr/>
        <w:t xml:space="preserve"> {{field-on:bible}}und kamen und</w:t>
      </w:r>
      <w:r>
        <w:rPr>
          <w:rStyle w:val="Funotenanker"/>
        </w:rPr>
        <w:footnoteReference w:customMarkFollows="1" w:id="5587"/>
        <w:t>bb</w:t>
      </w:r>
      <w:r>
        <w:rPr/>
        <w:t xml:space="preserve"> redeten ihnen gut zu </w:t>
      </w:r>
      <w:r>
        <w:rPr>
          <w:color w:val="808080"/>
        </w:rPr>
        <w:t>(gaben ihnen gute Worte, sprachen ihnen freundlich zu)</w:t>
      </w:r>
      <w:r>
        <w:rPr/>
        <w:t xml:space="preserve"> und führten sie hinaus. Dabei</w:t>
      </w:r>
      <w:r>
        <w:rPr>
          <w:rStyle w:val="Funotenanker"/>
        </w:rPr>
        <w:footnoteReference w:customMarkFollows="1" w:id="5588"/>
        <w:t>bc</w:t>
      </w:r>
      <w:r>
        <w:rPr/>
        <w:t xml:space="preserve"> baten sie sie, die Stadt zu verlassen.{{field-off:bible}} </w:t>
        <w:br/>
        <w:t>[[@BibleTOBIBLE:Ac 16:40]]</w:t>
      </w:r>
      <w:r>
        <w:rPr>
          <w:b/>
        </w:rPr>
        <w:t>40</w:t>
      </w:r>
      <w:r>
        <w:rPr/>
        <w:t xml:space="preserve"> {{field-on:bible}}Nachdem</w:t>
      </w:r>
      <w:r>
        <w:rPr>
          <w:rStyle w:val="Funotenanker"/>
        </w:rPr>
        <w:footnoteReference w:customMarkFollows="1" w:id="5589"/>
        <w:t>bd</w:t>
      </w:r>
      <w:r>
        <w:rPr/>
        <w:t xml:space="preserve"> sie aber das Gefängnis verlassen hatten </w:t>
      </w:r>
      <w:r>
        <w:rPr>
          <w:color w:val="808080"/>
        </w:rPr>
        <w:t>(weggegangen waren vom Gefängnis)</w:t>
      </w:r>
      <w:r>
        <w:rPr/>
        <w:t xml:space="preserve"> besuchten sie </w:t>
      </w:r>
      <w:r>
        <w:rPr>
          <w:color w:val="808080"/>
        </w:rPr>
        <w:t>(traten sie ein bei)</w:t>
      </w:r>
      <w:r>
        <w:rPr/>
        <w:t xml:space="preserve"> Lydia. Sie sahen die Brüder und</w:t>
      </w:r>
      <w:r>
        <w:rPr>
          <w:rStyle w:val="Funotenanker"/>
        </w:rPr>
        <w:footnoteReference w:customMarkFollows="1" w:id="5590"/>
        <w:t>be</w:t>
      </w:r>
      <w:r>
        <w:rPr/>
        <w:t xml:space="preserve"> trösteten sie </w:t>
      </w:r>
      <w:r>
        <w:rPr>
          <w:color w:val="808080"/>
        </w:rPr>
        <w:t>(redeten ihnen gut zu)</w:t>
      </w:r>
      <w:r>
        <w:rPr/>
        <w:t xml:space="preserve"> und gingen fort.{{field-off:bible}} </w:t>
      </w:r>
    </w:p>
    <w:p>
      <w:pPr>
        <w:pStyle w:val="Berschrift3"/>
        <w:rPr/>
      </w:pPr>
      <w:r>
        <w:rPr/>
        <w:t>[[@BibleTOBIBLE:Ac 17]]Kapitel 17</w:t>
      </w:r>
    </w:p>
    <w:p>
      <w:pPr>
        <w:pStyle w:val="Textkrper"/>
        <w:rPr/>
      </w:pPr>
      <w:r>
        <w:rPr/>
        <w:br/>
        <w:t>[[@BibleTOBIBLE:Ac 17:16]]</w:t>
      </w:r>
      <w:r>
        <w:rPr>
          <w:b/>
        </w:rPr>
        <w:t>16</w:t>
      </w:r>
      <w:r>
        <w:rPr/>
        <w:t xml:space="preserve"> {{field-on:bible}}Als Paulus sie aber in Athen erwartete, geriet sein Geist in ihm in Wallung</w:t>
      </w:r>
      <w:r>
        <w:rPr>
          <w:rStyle w:val="Funotenanker"/>
        </w:rPr>
        <w:footnoteReference w:customMarkFollows="1" w:id="5591"/>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592"/>
        <w:t>b</w:t>
      </w:r>
      <w:r>
        <w:rPr/>
        <w:t xml:space="preserve"> und auf dem Markt täglich</w:t>
      </w:r>
      <w:r>
        <w:rPr>
          <w:rStyle w:val="Funotenanker"/>
        </w:rPr>
        <w:footnoteReference w:customMarkFollows="1" w:id="5593"/>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594"/>
        <w:t>d</w:t>
      </w:r>
      <w:r>
        <w:rPr/>
        <w:t xml:space="preserve"> Andere aber: „Er scheint ein Verkünder fremder Gottheiten zu sein“, weil er Jesus und die Auferstehung</w:t>
      </w:r>
      <w:r>
        <w:rPr>
          <w:rStyle w:val="Funotenanker"/>
        </w:rPr>
        <w:footnoteReference w:customMarkFollows="1" w:id="5595"/>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596"/>
        <w:t>f</w:t>
      </w:r>
      <w:r>
        <w:rPr/>
        <w:t xml:space="preserve"> hatten, nahmen sie ihn mit zum Areopag</w:t>
      </w:r>
      <w:r>
        <w:rPr>
          <w:rStyle w:val="Funotenanker"/>
        </w:rPr>
        <w:footnoteReference w:customMarkFollows="1" w:id="5597"/>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598"/>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599"/>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600"/>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601"/>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602"/>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603"/>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604"/>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605"/>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{{field-on:bible}}Es geschah aber, während Apollos in Korinth war</w:t>
      </w:r>
      <w:r>
        <w:rPr>
          <w:rStyle w:val="Funotenanker"/>
        </w:rPr>
        <w:footnoteReference w:customMarkFollows="1" w:id="5606"/>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607"/>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608"/>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t xml:space="preserve">16-38 Paulus verabschiedet sich hier von den der Leitung der Gemeinde, die er selbst gegründet hat. Es ist die einzige Rede in der Apostelgeschichte, die an Christen gerichtet ist; aus diesem Grund hat sie starke Ähnlichkeiten mit den Briefen des Paulus. Anhand seines Vorbildes ermahnt er die Gemeinde zur Nachfolge. Lukas berichtet nur diese Abschiedsrede, obwohl sich Paulus auf der Reise nach Jerusalem sich auch mit anderen Gemeinden getroffen hat. </w:t>
        <w:br/>
        <w:br/>
        <w:t>[[@BibleTOBIBLE:Ac 20:16]]</w:t>
      </w:r>
      <w:r>
        <w:rPr>
          <w:b/>
        </w:rPr>
        <w:t>16</w:t>
      </w:r>
      <w:r>
        <w:rPr/>
        <w:t xml:space="preserve"> {{field-on:bible}}Denn Paulus hatte es sich vorgenommen </w:t>
      </w:r>
      <w:r>
        <w:rPr>
          <w:color w:val="808080"/>
        </w:rPr>
        <w:t>(entschieden)</w:t>
      </w:r>
      <w:r>
        <w:rPr/>
        <w:t xml:space="preserve">, an Ephesus vorbei zu fahren, um keine Zeit in </w:t>
      </w:r>
      <w:r>
        <w:rPr>
          <w:b/>
          <w:color w:val="808080"/>
        </w:rPr>
        <w:t>[</w:t>
      </w:r>
      <w:r>
        <w:rPr/>
        <w:t>der Provinz</w:t>
      </w:r>
      <w:r>
        <w:rPr>
          <w:b/>
          <w:color w:val="808080"/>
        </w:rPr>
        <w:t>]</w:t>
      </w:r>
      <w:r>
        <w:rPr/>
        <w:t xml:space="preserve"> Asien zu verlieren; denn er beeilte sich, um am Tag des Pfingstfestes in Jerusalem zu sein, wenn es </w:t>
      </w:r>
      <w:r>
        <w:rPr>
          <w:b/>
          <w:color w:val="808080"/>
        </w:rPr>
        <w:t>[</w:t>
      </w:r>
      <w:r>
        <w:rPr/>
        <w:t>ihm</w:t>
      </w:r>
      <w:r>
        <w:rPr>
          <w:b/>
          <w:color w:val="808080"/>
        </w:rPr>
        <w:t>]</w:t>
      </w:r>
      <w:r>
        <w:rPr/>
        <w:t xml:space="preserve"> möglich ist.{{field-off:bible}} </w:t>
        <w:br/>
        <w:t>[[@BibleTOBIBLE:Ac 20:17]]</w:t>
      </w:r>
      <w:r>
        <w:rPr>
          <w:b/>
        </w:rPr>
        <w:t>17</w:t>
      </w:r>
      <w:r>
        <w:rPr/>
        <w:t xml:space="preserve"> {{field-on:bible}}Von Milet </w:t>
      </w:r>
      <w:r>
        <w:rPr>
          <w:b/>
          <w:color w:val="808080"/>
        </w:rPr>
        <w:t>[</w:t>
      </w:r>
      <w:r>
        <w:rPr/>
        <w:t>aus</w:t>
      </w:r>
      <w:r>
        <w:rPr>
          <w:b/>
          <w:color w:val="808080"/>
        </w:rPr>
        <w:t>]</w:t>
      </w:r>
      <w:r>
        <w:rPr/>
        <w:t xml:space="preserve"> sandte er </w:t>
      </w:r>
      <w:r>
        <w:rPr>
          <w:b/>
          <w:color w:val="808080"/>
        </w:rPr>
        <w:t>[</w:t>
      </w:r>
      <w:r>
        <w:rPr/>
        <w:t>eine Nachricht</w:t>
      </w:r>
      <w:r>
        <w:rPr>
          <w:b/>
          <w:color w:val="808080"/>
        </w:rPr>
        <w:t>]</w:t>
      </w:r>
      <w:r>
        <w:rPr/>
        <w:t xml:space="preserve"> nach Ephesus</w:t>
      </w:r>
      <w:r>
        <w:rPr>
          <w:rStyle w:val="Funotenanker"/>
        </w:rPr>
        <w:footnoteReference w:customMarkFollows="1" w:id="5609"/>
        <w:t>a</w:t>
      </w:r>
      <w:r>
        <w:rPr/>
        <w:t xml:space="preserve">, um die Ältesten der Kirche zu sich kommen zu lassen.{{field-off:bible}} </w:t>
        <w:br/>
        <w:t>[[@BibleTOBIBLE:Ac 20:18]]</w:t>
      </w:r>
      <w:r>
        <w:rPr>
          <w:b/>
        </w:rPr>
        <w:t>18</w:t>
      </w:r>
      <w:r>
        <w:rPr/>
        <w:t xml:space="preserve"> {{field-on:bible}}Als sie bei ihm angekommen waren</w:t>
      </w:r>
      <w:r>
        <w:rPr>
          <w:rStyle w:val="Funotenanker"/>
        </w:rPr>
        <w:footnoteReference w:customMarkFollows="1" w:id="5610"/>
        <w:t>b</w:t>
      </w:r>
      <w:r>
        <w:rPr/>
        <w:t>, sagte er ihnen: „''Ihr'' wisst, wie von dem ersten Tag an, als ich Asien betrat</w:t>
      </w:r>
      <w:r>
        <w:rPr>
          <w:rStyle w:val="Funotenanker"/>
        </w:rPr>
        <w:footnoteReference w:customMarkFollows="1" w:id="5611"/>
        <w:t>c</w:t>
      </w:r>
      <w:r>
        <w:rPr/>
        <w:t xml:space="preserve">, die ganze Zeit </w:t>
      </w:r>
      <w:r>
        <w:rPr>
          <w:color w:val="808080"/>
        </w:rPr>
        <w:t>(immer)</w:t>
      </w:r>
      <w:r>
        <w:rPr/>
        <w:t xml:space="preserve"> mit </w:t>
      </w:r>
      <w:r>
        <w:rPr>
          <w:color w:val="808080"/>
        </w:rPr>
        <w:t>(bei)</w:t>
      </w:r>
      <w:r>
        <w:rPr/>
        <w:t xml:space="preserve"> euch gewesen bin,{{field-off:bible}} </w:t>
        <w:br/>
        <w:t>[[@BibleTOBIBLE:Ac 20:19]]</w:t>
      </w:r>
      <w:r>
        <w:rPr>
          <w:b/>
        </w:rPr>
        <w:t>19</w:t>
      </w:r>
      <w:r>
        <w:rPr/>
        <w:t xml:space="preserve"> {{field-on:bible}}indem ich dem Herrn diente mit aller Demut </w:t>
      </w:r>
      <w:r>
        <w:rPr>
          <w:color w:val="808080"/>
        </w:rPr>
        <w:t>(Bescheidenheit)</w:t>
      </w:r>
      <w:r>
        <w:rPr/>
        <w:t xml:space="preserve"> und </w:t>
      </w:r>
      <w:r>
        <w:rPr>
          <w:b/>
          <w:color w:val="808080"/>
        </w:rPr>
        <w:t>[</w:t>
      </w:r>
      <w:r>
        <w:rPr/>
        <w:t>unter</w:t>
      </w:r>
      <w:r>
        <w:rPr>
          <w:b/>
          <w:color w:val="808080"/>
        </w:rPr>
        <w:t>]</w:t>
      </w:r>
      <w:r>
        <w:rPr/>
        <w:t xml:space="preserve"> Tränen und Versuchungen </w:t>
      </w:r>
      <w:r>
        <w:rPr>
          <w:color w:val="808080"/>
        </w:rPr>
        <w:t>(Prüfungen, Anfechtungen)</w:t>
      </w:r>
      <w:r>
        <w:rPr/>
        <w:t xml:space="preserve"> </w:t>
      </w:r>
      <w:r>
        <w:rPr>
          <w:rStyle w:val="Funotenanker"/>
        </w:rPr>
        <w:footnoteReference w:customMarkFollows="1" w:id="5612"/>
        <w:t>d</w:t>
      </w:r>
      <w:r>
        <w:rPr/>
        <w:t xml:space="preserve">, die mir entgegentraten </w:t>
      </w:r>
      <w:r>
        <w:rPr>
          <w:color w:val="808080"/>
        </w:rPr>
        <w:t>(begegneten)</w:t>
      </w:r>
      <w:r>
        <w:rPr/>
        <w:t xml:space="preserve"> in den Anschlägen der Juden.{{field-off:bible}} </w:t>
        <w:br/>
        <w:t>[[@BibleTOBIBLE:Ac 20:20]]</w:t>
      </w:r>
      <w:r>
        <w:rPr>
          <w:b/>
        </w:rPr>
        <w:t>20</w:t>
      </w:r>
      <w:r>
        <w:rPr/>
        <w:t xml:space="preserve"> {{field-on:bible}} </w:t>
      </w:r>
      <w:r>
        <w:rPr>
          <w:b/>
          <w:color w:val="808080"/>
        </w:rPr>
        <w:t>[</w:t>
      </w:r>
      <w:r>
        <w:rPr/>
        <w:t>Ihr wisst auch,</w:t>
      </w:r>
      <w:r>
        <w:rPr>
          <w:b/>
          <w:color w:val="808080"/>
        </w:rPr>
        <w:t>]</w:t>
      </w:r>
      <w:r>
        <w:rPr/>
        <w:t xml:space="preserve"> wie ich nichts von dem zurückhielt </w:t>
      </w:r>
      <w:r>
        <w:rPr>
          <w:color w:val="808080"/>
        </w:rPr>
        <w:t>(vorenthielt, verschwieg)</w:t>
      </w:r>
      <w:r>
        <w:rPr/>
        <w:t>, was für euch hilfreich ist</w:t>
      </w:r>
      <w:r>
        <w:rPr>
          <w:rStyle w:val="Funotenanker"/>
        </w:rPr>
        <w:footnoteReference w:customMarkFollows="1" w:id="5613"/>
        <w:t>e</w:t>
      </w:r>
      <w:r>
        <w:rPr/>
        <w:t>, indem ich es nicht verkündige</w:t>
      </w:r>
      <w:r>
        <w:rPr>
          <w:rStyle w:val="Funotenanker"/>
        </w:rPr>
        <w:footnoteReference w:customMarkFollows="1" w:id="5614"/>
        <w:t>f</w:t>
      </w:r>
      <w:r>
        <w:rPr/>
        <w:t xml:space="preserve">. </w:t>
      </w:r>
      <w:r>
        <w:rPr>
          <w:b/>
          <w:color w:val="808080"/>
        </w:rPr>
        <w:t>[</w:t>
      </w:r>
      <w:r>
        <w:rPr/>
        <w:t xml:space="preserve">Nein, </w:t>
      </w:r>
      <w:r>
        <w:rPr>
          <w:b/>
          <w:color w:val="808080"/>
        </w:rPr>
        <w:t>]</w:t>
      </w:r>
      <w:r>
        <w:rPr/>
        <w:t xml:space="preserve"> ich habe euch gelehrt öffentlich und in </w:t>
      </w:r>
      <w:r>
        <w:rPr>
          <w:b/>
          <w:color w:val="808080"/>
        </w:rPr>
        <w:t>[</w:t>
      </w:r>
      <w:r>
        <w:rPr/>
        <w:t>euren</w:t>
      </w:r>
      <w:r>
        <w:rPr>
          <w:b/>
          <w:color w:val="808080"/>
        </w:rPr>
        <w:t>]</w:t>
      </w:r>
      <w:r>
        <w:rPr/>
        <w:t xml:space="preserve"> Häusern,{{field-off:bible}} </w:t>
        <w:br/>
        <w:t>[[@BibleTOBIBLE:Ac 20:21]]</w:t>
      </w:r>
      <w:r>
        <w:rPr>
          <w:b/>
        </w:rPr>
        <w:t>21</w:t>
      </w:r>
      <w:r>
        <w:rPr/>
        <w:t xml:space="preserve"> {{field-on:bible}}indem ich sowohl den Juden als auch den Griechen eindrücklich</w:t>
      </w:r>
      <w:r>
        <w:rPr>
          <w:rStyle w:val="Funotenanker"/>
        </w:rPr>
        <w:footnoteReference w:customMarkFollows="1" w:id="5615"/>
        <w:t>g</w:t>
      </w:r>
      <w:r>
        <w:rPr/>
        <w:t xml:space="preserve"> bezeugte, dass sie zu Gott umkehren und an unseren Herrn Jesus Christus glauben sollen.{{field-off:bible}} </w:t>
        <w:br/>
        <w:t>[[@BibleTOBIBLE:Ac 20:22]]</w:t>
      </w:r>
      <w:r>
        <w:rPr>
          <w:b/>
        </w:rPr>
        <w:t>22</w:t>
      </w:r>
      <w:r>
        <w:rPr/>
        <w:t xml:space="preserve"> {{field-on:bible}}Und nun, siehe, </w:t>
      </w:r>
      <w:r>
        <w:rPr>
          <w:b/>
          <w:color w:val="808080"/>
        </w:rPr>
        <w:t>[</w:t>
      </w:r>
      <w:r>
        <w:rPr/>
        <w:t>weil</w:t>
      </w:r>
      <w:r>
        <w:rPr>
          <w:b/>
          <w:color w:val="808080"/>
        </w:rPr>
        <w:t>]</w:t>
      </w:r>
      <w:r>
        <w:rPr/>
        <w:t xml:space="preserve"> ich an den Geist gebunden </w:t>
      </w:r>
      <w:r>
        <w:rPr>
          <w:color w:val="808080"/>
        </w:rPr>
        <w:t>(gefesselt)</w:t>
      </w:r>
      <w:r>
        <w:rPr/>
        <w:t xml:space="preserve"> bin</w:t>
      </w:r>
      <w:r>
        <w:rPr>
          <w:rStyle w:val="Funotenanker"/>
        </w:rPr>
        <w:footnoteReference w:customMarkFollows="1" w:id="5616"/>
        <w:t>h</w:t>
      </w:r>
      <w:r>
        <w:rPr/>
        <w:t xml:space="preserve">, gehe ich nach Jerusalem und weiß nicht, welche </w:t>
      </w:r>
      <w:r>
        <w:rPr>
          <w:b/>
          <w:color w:val="808080"/>
        </w:rPr>
        <w:t>[</w:t>
      </w:r>
      <w:r>
        <w:rPr/>
        <w:t>Dinge</w:t>
      </w:r>
      <w:r>
        <w:rPr>
          <w:b/>
          <w:color w:val="808080"/>
        </w:rPr>
        <w:t>]</w:t>
      </w:r>
      <w:r>
        <w:rPr/>
        <w:t xml:space="preserve"> mir dort geschehen werden.{{field-off:bible}} </w:t>
        <w:br/>
        <w:t>[[@BibleTOBIBLE:Ac 20:23]]</w:t>
      </w:r>
      <w:r>
        <w:rPr>
          <w:b/>
        </w:rPr>
        <w:t>23</w:t>
      </w:r>
      <w:r>
        <w:rPr/>
        <w:t xml:space="preserve"> {{field-on:bible}} </w:t>
      </w:r>
      <w:r>
        <w:rPr>
          <w:b/>
          <w:color w:val="808080"/>
        </w:rPr>
        <w:t>[</w:t>
      </w:r>
      <w:r>
        <w:rPr/>
        <w:t>Ich weiß</w:t>
      </w:r>
      <w:r>
        <w:rPr>
          <w:b/>
          <w:color w:val="808080"/>
        </w:rPr>
        <w:t>]</w:t>
      </w:r>
      <w:r>
        <w:rPr/>
        <w:t xml:space="preserve"> nur, dass der Heilige Geist mir in jeder Stadt sagt, dass mich Fesseln und Bedrängnis erwarten</w:t>
      </w:r>
      <w:r>
        <w:rPr>
          <w:rStyle w:val="Funotenanker"/>
        </w:rPr>
        <w:footnoteReference w:customMarkFollows="1" w:id="5617"/>
        <w:t>i</w:t>
      </w:r>
      <w:r>
        <w:rPr/>
        <w:t xml:space="preserve">.{{field-off:bible}} </w:t>
        <w:br/>
        <w:t>[[@BibleTOBIBLE:Ac 20:24]]</w:t>
      </w:r>
      <w:r>
        <w:rPr>
          <w:b/>
        </w:rPr>
        <w:t>24</w:t>
      </w:r>
      <w:r>
        <w:rPr/>
        <w:t xml:space="preserve"> {{field-on:bible}}Aber mein Leben ist nicht der Rede wert.</w:t>
      </w:r>
      <w:r>
        <w:rPr>
          <w:rStyle w:val="Funotenanker"/>
        </w:rPr>
        <w:footnoteReference w:customMarkFollows="1" w:id="5618"/>
        <w:t>j</w:t>
      </w:r>
      <w:r>
        <w:rPr/>
        <w:t xml:space="preserve"> Wenn ich nur meinen Lauf </w:t>
      </w:r>
      <w:r>
        <w:rPr>
          <w:color w:val="808080"/>
        </w:rPr>
        <w:t>(Wettlauf)</w:t>
      </w:r>
      <w:r>
        <w:rPr/>
        <w:t xml:space="preserve"> vollenden </w:t>
      </w:r>
      <w:r>
        <w:rPr>
          <w:color w:val="808080"/>
        </w:rPr>
        <w:t>(beenden)</w:t>
      </w:r>
      <w:r>
        <w:rPr/>
        <w:t xml:space="preserve"> </w:t>
      </w:r>
      <w:r>
        <w:rPr>
          <w:rStyle w:val="Funotenanker"/>
        </w:rPr>
        <w:footnoteReference w:customMarkFollows="1" w:id="5619"/>
        <w:t>k</w:t>
      </w:r>
      <w:r>
        <w:rPr/>
        <w:t xml:space="preserve"> könnte, den Dienst, den ich durch den Herrn Jesus bekommen habe: das Evangelium der Gnade Gottes zu bezeugen!{{field-off:bible}} </w:t>
        <w:br/>
        <w:t>[[@BibleTOBIBLE:Ac 20:25]]</w:t>
      </w:r>
      <w:r>
        <w:rPr>
          <w:b/>
        </w:rPr>
        <w:t>25</w:t>
      </w:r>
      <w:r>
        <w:rPr/>
        <w:t xml:space="preserve"> {{field-on:bible}}Und nun, siehe, ''ich'' weiß </w:t>
      </w:r>
      <w:r>
        <w:rPr>
          <w:color w:val="808080"/>
        </w:rPr>
        <w:t>(bin mir sicher)</w:t>
      </w:r>
      <w:r>
        <w:rPr/>
        <w:t xml:space="preserve">, dass keiner mehr mein Angesicht sehen wird, ihr alle, unter denen ich das Königreich </w:t>
      </w:r>
      <w:r>
        <w:rPr>
          <w:b/>
          <w:color w:val="808080"/>
        </w:rPr>
        <w:t>[</w:t>
      </w:r>
      <w:r>
        <w:rPr/>
        <w:t>Gottes</w:t>
      </w:r>
      <w:r>
        <w:rPr>
          <w:b/>
          <w:color w:val="808080"/>
        </w:rPr>
        <w:t>]</w:t>
      </w:r>
      <w:r>
        <w:rPr/>
        <w:t xml:space="preserve"> verkündet </w:t>
      </w:r>
      <w:r>
        <w:rPr>
          <w:color w:val="808080"/>
        </w:rPr>
        <w:t>(gepredigt)</w:t>
      </w:r>
      <w:r>
        <w:rPr/>
        <w:t xml:space="preserve"> habe.{{field-off:bible}} </w:t>
        <w:br/>
        <w:t>[[@BibleTOBIBLE:Ac 20:26]]</w:t>
      </w:r>
      <w:r>
        <w:rPr>
          <w:b/>
        </w:rPr>
        <w:t>26</w:t>
      </w:r>
      <w:r>
        <w:rPr/>
        <w:t xml:space="preserve"> {{field-on:bible}}Darum bezeuge ich an diesem Tag, dass ich rein </w:t>
      </w:r>
      <w:r>
        <w:rPr>
          <w:color w:val="808080"/>
        </w:rPr>
        <w:t>(unschuldig)</w:t>
      </w:r>
      <w:r>
        <w:rPr/>
        <w:t xml:space="preserve"> bin von dem Blut aller.</w:t>
      </w:r>
      <w:r>
        <w:rPr>
          <w:rStyle w:val="Funotenanker"/>
        </w:rPr>
        <w:footnoteReference w:customMarkFollows="1" w:id="5620"/>
        <w:t>l</w:t>
      </w:r>
      <w:r>
        <w:rPr/>
        <w:t xml:space="preserve"> {{field-off:bible}} </w:t>
        <w:br/>
        <w:t>[[@BibleTOBIBLE:Ac 20:27]]</w:t>
      </w:r>
      <w:r>
        <w:rPr>
          <w:b/>
        </w:rPr>
        <w:t>27</w:t>
      </w:r>
      <w:r>
        <w:rPr/>
        <w:t xml:space="preserve"> {{field-on:bible}}Denn ich habe nicht verschwiegen, sondern euch den ganzen Willen </w:t>
      </w:r>
      <w:r>
        <w:rPr>
          <w:color w:val="808080"/>
        </w:rPr>
        <w:t>(Absicht, Plan)</w:t>
      </w:r>
      <w:r>
        <w:rPr/>
        <w:t xml:space="preserve"> Gottes verkündet.{{field-off:bible}} </w:t>
        <w:br/>
        <w:t>[[@BibleTOBIBLE:Ac 20:28]]</w:t>
      </w:r>
      <w:r>
        <w:rPr>
          <w:b/>
        </w:rPr>
        <w:t>28</w:t>
      </w:r>
      <w:r>
        <w:rPr/>
        <w:t xml:space="preserve"> {{field-on:bible}}Richtet euren Sinn </w:t>
      </w:r>
      <w:r>
        <w:rPr>
          <w:color w:val="808080"/>
        </w:rPr>
        <w:t>(Gebt acht)</w:t>
      </w:r>
      <w:r>
        <w:rPr/>
        <w:t xml:space="preserve"> auf euch selbst und die ganze Herde, in der euch der Heiligen Geist zu Aufseher </w:t>
      </w:r>
      <w:r>
        <w:rPr>
          <w:color w:val="808080"/>
        </w:rPr>
        <w:t>(Bischöfe, Hirten, Pastoren)</w:t>
      </w:r>
      <w:r>
        <w:rPr/>
        <w:t xml:space="preserve"> </w:t>
      </w:r>
      <w:r>
        <w:rPr>
          <w:rStyle w:val="Funotenanker"/>
        </w:rPr>
        <w:footnoteReference w:customMarkFollows="1" w:id="5621"/>
        <w:t>m</w:t>
      </w:r>
      <w:r>
        <w:rPr/>
        <w:t xml:space="preserve"> bestellt hat, damit ihr die Gemeinde Gottes</w:t>
      </w:r>
      <w:r>
        <w:rPr>
          <w:rStyle w:val="Funotenanker"/>
        </w:rPr>
        <w:footnoteReference w:customMarkFollows="1" w:id="5622"/>
        <w:t>n</w:t>
      </w:r>
      <w:r>
        <w:rPr/>
        <w:t xml:space="preserve"> weidet </w:t>
      </w:r>
      <w:r>
        <w:rPr>
          <w:color w:val="808080"/>
        </w:rPr>
        <w:t>(für sie sorgt)</w:t>
      </w:r>
      <w:r>
        <w:rPr/>
        <w:t>, die er erwählt hat durch sein eigenes Blut</w:t>
      </w:r>
      <w:r>
        <w:rPr>
          <w:rStyle w:val="Funotenanker"/>
        </w:rPr>
        <w:footnoteReference w:customMarkFollows="1" w:id="5623"/>
        <w:t>o</w:t>
      </w:r>
      <w:r>
        <w:rPr/>
        <w:t xml:space="preserve">.{{field-off:bible}} </w:t>
        <w:br/>
        <w:t>[[@BibleTOBIBLE:Ac 20:29]]</w:t>
      </w:r>
      <w:r>
        <w:rPr>
          <w:b/>
        </w:rPr>
        <w:t>29</w:t>
      </w:r>
      <w:r>
        <w:rPr/>
        <w:t xml:space="preserve"> {{field-on:bible}}''Ich'' weiß, dass mit meiner Abreise </w:t>
      </w:r>
      <w:r>
        <w:rPr>
          <w:b/>
          <w:color w:val="808080"/>
        </w:rPr>
        <w:t>[</w:t>
      </w:r>
      <w:r>
        <w:rPr/>
        <w:t>immer wieder</w:t>
      </w:r>
      <w:r>
        <w:rPr>
          <w:b/>
          <w:color w:val="808080"/>
        </w:rPr>
        <w:t>]</w:t>
      </w:r>
      <w:r>
        <w:rPr/>
        <w:t xml:space="preserve"> </w:t>
      </w:r>
      <w:r>
        <w:rPr>
          <w:rStyle w:val="Funotenanker"/>
        </w:rPr>
        <w:footnoteReference w:customMarkFollows="1" w:id="5624"/>
        <w:t>p</w:t>
      </w:r>
      <w:r>
        <w:rPr/>
        <w:t xml:space="preserve"> gefährliche Wölfe hereinbrechen werden in eurer </w:t>
      </w:r>
      <w:r>
        <w:rPr>
          <w:b/>
          <w:color w:val="808080"/>
        </w:rPr>
        <w:t>[</w:t>
      </w:r>
      <w:r>
        <w:rPr/>
        <w:t>Mitte</w:t>
      </w:r>
      <w:r>
        <w:rPr>
          <w:b/>
          <w:color w:val="808080"/>
        </w:rPr>
        <w:t>]</w:t>
      </w:r>
      <w:r>
        <w:rPr/>
        <w:t xml:space="preserve">. Sie werden die Herde nicht verschonen.{{field-off:bible}} </w:t>
        <w:br/>
        <w:t>[[@BibleTOBIBLE:Ac 20:30]]</w:t>
      </w:r>
      <w:r>
        <w:rPr>
          <w:b/>
        </w:rPr>
        <w:t>30</w:t>
      </w:r>
      <w:r>
        <w:rPr/>
        <w:t xml:space="preserve"> {{field-on:bible}}Und aus euch selbst </w:t>
      </w:r>
      <w:r>
        <w:rPr>
          <w:color w:val="808080"/>
        </w:rPr>
        <w:t>(aus eurer Mitte)</w:t>
      </w:r>
      <w:r>
        <w:rPr/>
        <w:t xml:space="preserve"> werden Menschen auftreten, die Verdrehtes reden, um die Jünger wegzuziehen hinter ihnen her</w:t>
      </w:r>
      <w:r>
        <w:rPr>
          <w:rStyle w:val="Funotenanker"/>
        </w:rPr>
        <w:footnoteReference w:customMarkFollows="1" w:id="5625"/>
        <w:t>q</w:t>
      </w:r>
      <w:r>
        <w:rPr/>
        <w:t xml:space="preserve">.{{field-off:bible}} </w:t>
        <w:br/>
        <w:t>[[@BibleTOBIBLE:Ac 20:31]]</w:t>
      </w:r>
      <w:r>
        <w:rPr>
          <w:b/>
        </w:rPr>
        <w:t>31</w:t>
      </w:r>
      <w:r>
        <w:rPr/>
        <w:t xml:space="preserve"> {{field-on:bible}}Darum wachet; erinnert euch daran, dass ich drei Jahre lang Tag und Nacht nicht aufhörte, jeden von euch unter Tränen zu ermahnen.{{field-off:bible}} </w:t>
        <w:br/>
        <w:t>[[@BibleTOBIBLE:Ac 20:32]]</w:t>
      </w:r>
      <w:r>
        <w:rPr>
          <w:b/>
        </w:rPr>
        <w:t>32</w:t>
      </w:r>
      <w:r>
        <w:rPr/>
        <w:t xml:space="preserve"> {{field-on:bible}}Und nun vertraue ich euch Gott und dem Wort </w:t>
      </w:r>
      <w:r>
        <w:rPr>
          <w:color w:val="808080"/>
        </w:rPr>
        <w:t>(Botschaft)</w:t>
      </w:r>
      <w:r>
        <w:rPr/>
        <w:t xml:space="preserve"> seiner Gnade an, das</w:t>
      </w:r>
      <w:r>
        <w:rPr>
          <w:rStyle w:val="Funotenanker"/>
        </w:rPr>
        <w:footnoteReference w:customMarkFollows="1" w:id="5626"/>
        <w:t>r</w:t>
      </w:r>
      <w:r>
        <w:rPr/>
        <w:t xml:space="preserve"> kräftig </w:t>
      </w:r>
      <w:r>
        <w:rPr>
          <w:color w:val="808080"/>
        </w:rPr>
        <w:t>(fähig)</w:t>
      </w:r>
      <w:r>
        <w:rPr/>
        <w:t xml:space="preserve"> ist, </w:t>
      </w:r>
      <w:r>
        <w:rPr>
          <w:b/>
          <w:color w:val="808080"/>
        </w:rPr>
        <w:t>[</w:t>
      </w:r>
      <w:r>
        <w:rPr/>
        <w:t>euch</w:t>
      </w:r>
      <w:r>
        <w:rPr>
          <w:b/>
          <w:color w:val="808080"/>
        </w:rPr>
        <w:t>]</w:t>
      </w:r>
      <w:r>
        <w:rPr/>
        <w:t xml:space="preserve"> aufzubauen und </w:t>
      </w:r>
      <w:r>
        <w:rPr>
          <w:b/>
          <w:color w:val="808080"/>
        </w:rPr>
        <w:t>[</w:t>
      </w:r>
      <w:r>
        <w:rPr/>
        <w:t>euch</w:t>
      </w:r>
      <w:r>
        <w:rPr>
          <w:b/>
          <w:color w:val="808080"/>
        </w:rPr>
        <w:t>]</w:t>
      </w:r>
      <w:r>
        <w:rPr/>
        <w:t xml:space="preserve"> das Erbteil </w:t>
      </w:r>
      <w:r>
        <w:rPr>
          <w:color w:val="808080"/>
        </w:rPr>
        <w:t>(Erbe)</w:t>
      </w:r>
      <w:r>
        <w:rPr/>
        <w:t xml:space="preserve"> unter allen Geheiligten zu geben.{{field-off:bible}} </w:t>
        <w:br/>
        <w:t>[[@BibleTOBIBLE:Ac 20:33]]</w:t>
      </w:r>
      <w:r>
        <w:rPr>
          <w:b/>
        </w:rPr>
        <w:t>33</w:t>
      </w:r>
      <w:r>
        <w:rPr/>
        <w:t xml:space="preserve"> {{field-on:bible}}Silber oder Gold</w:t>
      </w:r>
      <w:r>
        <w:rPr>
          <w:rStyle w:val="Funotenanker"/>
        </w:rPr>
        <w:footnoteReference w:customMarkFollows="1" w:id="5627"/>
        <w:t>s</w:t>
      </w:r>
      <w:r>
        <w:rPr/>
        <w:t xml:space="preserve"> oder Kleidung habe ich von niemandem verlangt </w:t>
      </w:r>
      <w:r>
        <w:rPr>
          <w:color w:val="808080"/>
        </w:rPr>
        <w:t>(begehrt)</w:t>
      </w:r>
      <w:r>
        <w:rPr/>
        <w:t xml:space="preserve">. </w:t>
      </w:r>
      <w:r>
        <w:rPr>
          <w:rStyle w:val="Funotenanker"/>
        </w:rPr>
        <w:footnoteReference w:customMarkFollows="1" w:id="5628"/>
        <w:t>t</w:t>
      </w:r>
      <w:r>
        <w:rPr/>
        <w:t xml:space="preserve"> {{field-off:bible}} </w:t>
        <w:br/>
        <w:t>[[@BibleTOBIBLE:Ac 20:34]]</w:t>
      </w:r>
      <w:r>
        <w:rPr>
          <w:b/>
        </w:rPr>
        <w:t>34</w:t>
      </w:r>
      <w:r>
        <w:rPr/>
        <w:t xml:space="preserve"> {{field-on:bible}}Ihr selbst wisst, dass meinen Bedürfnissen und denen, die mit mir waren, diese meine</w:t>
      </w:r>
      <w:r>
        <w:rPr>
          <w:rStyle w:val="Funotenanker"/>
        </w:rPr>
        <w:footnoteReference w:customMarkFollows="1" w:id="5629"/>
        <w:t>u</w:t>
      </w:r>
      <w:r>
        <w:rPr/>
        <w:t xml:space="preserve"> Hände gedient haben.</w:t>
      </w:r>
      <w:r>
        <w:rPr>
          <w:rStyle w:val="Funotenanker"/>
        </w:rPr>
        <w:footnoteReference w:customMarkFollows="1" w:id="5630"/>
        <w:t>v</w:t>
      </w:r>
      <w:r>
        <w:rPr/>
        <w:t xml:space="preserve"> {{field-off:bible}} </w:t>
        <w:br/>
        <w:t>[[@BibleTOBIBLE:Ac 20:35]]</w:t>
      </w:r>
      <w:r>
        <w:rPr>
          <w:b/>
        </w:rPr>
        <w:t>35</w:t>
      </w:r>
      <w:r>
        <w:rPr/>
        <w:t xml:space="preserve"> {{field-on:bible}}Alles habe ich euch gezeigt, dass während man arbeitet </w:t>
      </w:r>
      <w:r>
        <w:rPr>
          <w:color w:val="808080"/>
        </w:rPr>
        <w:t>(sich abmüht)</w:t>
      </w:r>
      <w:r>
        <w:rPr/>
        <w:t>, es</w:t>
      </w:r>
      <w:r>
        <w:rPr>
          <w:rStyle w:val="Funotenanker"/>
        </w:rPr>
        <w:footnoteReference w:customMarkFollows="1" w:id="5631"/>
        <w:t>w</w:t>
      </w:r>
      <w:r>
        <w:rPr/>
        <w:t xml:space="preserve"> notwendig ist, den Schwachen </w:t>
      </w:r>
      <w:r>
        <w:rPr>
          <w:color w:val="808080"/>
        </w:rPr>
        <w:t>(Kranken)</w:t>
      </w:r>
      <w:r>
        <w:rPr/>
        <w:t xml:space="preserve"> zu helfen</w:t>
      </w:r>
      <w:r>
        <w:rPr>
          <w:rStyle w:val="Funotenanker"/>
        </w:rPr>
        <w:footnoteReference w:customMarkFollows="1" w:id="5632"/>
        <w:t>x</w:t>
      </w:r>
      <w:r>
        <w:rPr/>
        <w:t xml:space="preserve"> und das Wort des Herrn Jesu zu erinnern, der selbst sagte: 'Geben ist seliger </w:t>
      </w:r>
      <w:r>
        <w:rPr>
          <w:color w:val="808080"/>
        </w:rPr>
        <w:t>(macht glücklicher)</w:t>
      </w:r>
      <w:r>
        <w:rPr/>
        <w:t xml:space="preserve"> </w:t>
      </w:r>
      <w:r>
        <w:rPr>
          <w:rStyle w:val="Funotenanker"/>
        </w:rPr>
        <w:footnoteReference w:customMarkFollows="1" w:id="5633"/>
        <w:t>y</w:t>
      </w:r>
      <w:r>
        <w:rPr/>
        <w:t xml:space="preserve"> als Nehmen.'</w:t>
      </w:r>
      <w:r>
        <w:rPr>
          <w:rStyle w:val="Funotenanker"/>
        </w:rPr>
        <w:footnoteReference w:customMarkFollows="1" w:id="5634"/>
        <w:t>z</w:t>
      </w:r>
      <w:r>
        <w:rPr/>
        <w:t xml:space="preserve">“{{field-off:bible}} </w:t>
        <w:br/>
        <w:t>[[@BibleTOBIBLE:Ac 20:36]]</w:t>
      </w:r>
      <w:r>
        <w:rPr>
          <w:b/>
        </w:rPr>
        <w:t>36</w:t>
      </w:r>
      <w:r>
        <w:rPr/>
        <w:t xml:space="preserve"> {{field-on:bible}}Und als er das gesagt hatte, kniete er sich hin und betete mit ihnen allen.{{field-off:bible}} </w:t>
        <w:br/>
        <w:t>[[@BibleTOBIBLE:Ac 20:37]]</w:t>
      </w:r>
      <w:r>
        <w:rPr>
          <w:b/>
        </w:rPr>
        <w:t>37</w:t>
      </w:r>
      <w:r>
        <w:rPr/>
        <w:t xml:space="preserve"> {{field-on:bible}}Danach fingen alle laut </w:t>
      </w:r>
      <w:r>
        <w:rPr>
          <w:color w:val="808080"/>
        </w:rPr>
        <w:t>(stark, viel)</w:t>
      </w:r>
      <w:r>
        <w:rPr/>
        <w:t xml:space="preserve"> an zu weinen, sie fielen Paulus um den Hals und küssten ihn immer wieder</w:t>
      </w:r>
      <w:r>
        <w:rPr>
          <w:rStyle w:val="Funotenanker"/>
        </w:rPr>
        <w:footnoteReference w:customMarkFollows="1" w:id="5635"/>
        <w:t>aa</w:t>
      </w:r>
      <w:r>
        <w:rPr/>
        <w:t xml:space="preserve">.{{field-off:bible}} </w:t>
        <w:br/>
        <w:t>[[@BibleTOBIBLE:Ac 20:38]]</w:t>
      </w:r>
      <w:r>
        <w:rPr>
          <w:b/>
        </w:rPr>
        <w:t>38</w:t>
      </w:r>
      <w:r>
        <w:rPr/>
        <w:t xml:space="preserve"> {{field-on:bible}}Am meisten bekümmerte sie </w:t>
      </w:r>
      <w:r>
        <w:rPr>
          <w:strike/>
          <w:color w:val="808080"/>
        </w:rPr>
        <w:t>{das Wort}</w:t>
      </w:r>
      <w:r>
        <w:rPr/>
        <w:t xml:space="preserve">, dass er </w:t>
      </w:r>
      <w:r>
        <w:rPr>
          <w:strike/>
          <w:color w:val="808080"/>
        </w:rPr>
        <w:t>{ihnen}</w:t>
      </w:r>
      <w:r>
        <w:rPr/>
        <w:t xml:space="preserve"> gesagt hatte, dass sie ihn nicht mehr persönlich sehen werden. Dann begleiteten</w:t>
      </w:r>
      <w:r>
        <w:rPr>
          <w:rStyle w:val="Funotenanker"/>
        </w:rPr>
        <w:footnoteReference w:customMarkFollows="1" w:id="5636"/>
        <w:t>ab</w:t>
      </w:r>
      <w:r>
        <w:rPr/>
        <w:t xml:space="preserve"> sie ihn zum Schiff.{{field-off:bible}}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63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63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63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64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641"/>
        <w:t>d</w:t>
      </w:r>
      <w:r>
        <w:rPr/>
        <w:t xml:space="preserve"> zum „Sohn Gottes in Macht“</w:t>
      </w:r>
      <w:r>
        <w:rPr>
          <w:rStyle w:val="Funotenanker"/>
        </w:rPr>
        <w:footnoteReference w:customMarkFollows="1" w:id="5642"/>
        <w:t>e</w:t>
      </w:r>
      <w:r>
        <w:rPr/>
        <w:t xml:space="preserve"> eingesetzt </w:t>
      </w:r>
      <w:r>
        <w:rPr>
          <w:color w:val="808080"/>
        </w:rPr>
        <w:t>(erklärt)</w:t>
      </w:r>
      <w:r>
        <w:rPr/>
        <w:t xml:space="preserve"> wurde</w:t>
      </w:r>
      <w:r>
        <w:rPr>
          <w:rStyle w:val="Funotenanker"/>
        </w:rPr>
        <w:footnoteReference w:customMarkFollows="1" w:id="564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64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64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64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647"/>
        <w:t>j</w:t>
      </w:r>
      <w:r>
        <w:rPr/>
        <w:t xml:space="preserve">, ist ja </w:t>
      </w:r>
      <w:r>
        <w:rPr>
          <w:color w:val="808080"/>
        </w:rPr>
        <w:t>(nämlich)</w:t>
      </w:r>
      <w:r>
        <w:rPr/>
        <w:t xml:space="preserve"> mein Zeuge, dass ich beständig an euch denke</w:t>
      </w:r>
      <w:r>
        <w:rPr>
          <w:rStyle w:val="Funotenanker"/>
        </w:rPr>
        <w:footnoteReference w:customMarkFollows="1" w:id="564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649"/>
        <w:t>l</w:t>
      </w:r>
      <w:r>
        <w:rPr/>
        <w:t xml:space="preserve"> </w:t>
      </w:r>
      <w:r>
        <w:rPr>
          <w:b/>
          <w:color w:val="808080"/>
        </w:rPr>
        <w:t>[</w:t>
      </w:r>
      <w:r>
        <w:rPr/>
        <w:t>darum</w:t>
      </w:r>
      <w:r>
        <w:rPr>
          <w:b/>
          <w:color w:val="808080"/>
        </w:rPr>
        <w:t>]</w:t>
      </w:r>
      <w:r>
        <w:rPr/>
        <w:t xml:space="preserve"> bitte,</w:t>
      </w:r>
      <w:r>
        <w:rPr>
          <w:rStyle w:val="Funotenanker"/>
        </w:rPr>
        <w:footnoteReference w:customMarkFollows="1" w:id="565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65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65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65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65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65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65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65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65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65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66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66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66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66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66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665"/>
        <w:t>c</w:t>
      </w:r>
      <w:r>
        <w:rPr/>
        <w:t xml:space="preserve"> ihr Unglaube </w:t>
      </w:r>
      <w:r>
        <w:rPr>
          <w:color w:val="808080"/>
        </w:rPr>
        <w:t>(ihre Untreue)</w:t>
      </w:r>
      <w:r>
        <w:rPr/>
        <w:t xml:space="preserve"> die Treue Gottes</w:t>
      </w:r>
      <w:r>
        <w:rPr>
          <w:rStyle w:val="Funotenanker"/>
        </w:rPr>
        <w:footnoteReference w:customMarkFollows="1" w:id="5666"/>
        <w:t>d</w:t>
      </w:r>
      <w:r>
        <w:rPr/>
        <w:t xml:space="preserve"> aufheben?{{field-off:bible}} </w:t>
        <w:br/>
        <w:t>[[@BibleTOBIBLE:Ro 3:4]]</w:t>
      </w:r>
      <w:r>
        <w:rPr>
          <w:b/>
        </w:rPr>
        <w:t>4</w:t>
      </w:r>
      <w:r>
        <w:rPr/>
        <w:t xml:space="preserve"> {{field-on:bible}}Das ist nicht so!</w:t>
      </w:r>
      <w:r>
        <w:rPr>
          <w:rStyle w:val="Funotenanker"/>
        </w:rPr>
        <w:footnoteReference w:customMarkFollows="1" w:id="5667"/>
        <w:t>e</w:t>
      </w:r>
      <w:r>
        <w:rPr/>
        <w:t xml:space="preserve"> Aber es sei </w:t>
      </w:r>
      <w:r>
        <w:rPr>
          <w:b/>
          <w:color w:val="808080"/>
        </w:rPr>
        <w:t>[</w:t>
      </w:r>
      <w:r>
        <w:rPr/>
        <w:t>so</w:t>
      </w:r>
      <w:r>
        <w:rPr>
          <w:b/>
          <w:color w:val="808080"/>
        </w:rPr>
        <w:t>]</w:t>
      </w:r>
      <w:r>
        <w:rPr/>
        <w:t>: Gott ist wahrhaftig</w:t>
      </w:r>
      <w:r>
        <w:rPr>
          <w:rStyle w:val="Funotenanker"/>
        </w:rPr>
        <w:footnoteReference w:customMarkFollows="1" w:id="566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66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67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67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67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67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67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67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676"/>
        <w:t>n</w:t>
      </w:r>
      <w:r>
        <w:rPr/>
        <w:t xml:space="preserve"> aus Glauben und einen Unbeschnittenen</w:t>
      </w:r>
      <w:r>
        <w:rPr>
          <w:rStyle w:val="Funotenanker"/>
        </w:rPr>
        <w:footnoteReference w:customMarkFollows="1" w:id="567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67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67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68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68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68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683"/>
        <w:t>e</w:t>
      </w:r>
      <w:r>
        <w:rPr/>
        <w:t xml:space="preserve"> Nicht als Beschnittener, sondern als Unbeschnittener;</w:t>
      </w:r>
      <w:r>
        <w:rPr>
          <w:rStyle w:val="Funotenanker"/>
        </w:rPr>
        <w:footnoteReference w:customMarkFollows="1" w:id="568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68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68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68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68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68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69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69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69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69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69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69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69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697"/>
        <w:t>Status</w:t>
      </w:r>
      <w:r>
        <w:rPr/>
        <w:t xml:space="preserve"> Als aufgrund von Glauben gerecht Gesprochene</w:t>
      </w:r>
      <w:r>
        <w:rPr>
          <w:rStyle w:val="Funotenanker"/>
        </w:rPr>
        <w:footnoteReference w:customMarkFollows="1" w:id="5698"/>
        <w:t>a</w:t>
      </w:r>
      <w:r>
        <w:rPr/>
        <w:t xml:space="preserve"> nun haben wir Frieden mit</w:t>
      </w:r>
      <w:r>
        <w:rPr>
          <w:rStyle w:val="Funotenanker"/>
        </w:rPr>
        <w:footnoteReference w:customMarkFollows="1" w:id="569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70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701"/>
        <w:t>d</w:t>
      </w:r>
      <w:r>
        <w:rPr/>
        <w:t xml:space="preserve"> Gottes</w:t>
      </w:r>
      <w:r>
        <w:rPr>
          <w:rStyle w:val="Funotenanker"/>
        </w:rPr>
        <w:footnoteReference w:customMarkFollows="1" w:id="570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70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704"/>
        <w:t>g</w:t>
      </w:r>
      <w:r>
        <w:rPr/>
        <w:t xml:space="preserve">, weil die Liebe Gottes ausgegossen </w:t>
      </w:r>
      <w:r>
        <w:rPr>
          <w:strike/>
          <w:color w:val="808080"/>
        </w:rPr>
        <w:t>{worden}</w:t>
      </w:r>
      <w:r>
        <w:rPr/>
        <w:t xml:space="preserve"> ist</w:t>
      </w:r>
      <w:r>
        <w:rPr>
          <w:rStyle w:val="Funotenanker"/>
        </w:rPr>
        <w:footnoteReference w:customMarkFollows="1" w:id="570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70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70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70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70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71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71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712"/>
        <w:t>o</w:t>
      </w:r>
      <w:r>
        <w:rPr/>
        <w:t xml:space="preserve"> Gesetz gibt</w:t>
      </w:r>
      <w:r>
        <w:rPr>
          <w:rStyle w:val="Funotenanker"/>
        </w:rPr>
        <w:footnoteReference w:customMarkFollows="1" w:id="571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714"/>
        <w:t>q</w:t>
      </w:r>
      <w:r>
        <w:rPr/>
        <w:t xml:space="preserve"> auf die gleiche Weise</w:t>
      </w:r>
      <w:r>
        <w:rPr>
          <w:rStyle w:val="Funotenanker"/>
        </w:rPr>
        <w:footnoteReference w:customMarkFollows="1" w:id="571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71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71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71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71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72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72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72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72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72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72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726"/>
        <w:t>d</w:t>
      </w:r>
      <w:r>
        <w:rPr/>
        <w:t xml:space="preserve"> </w:t>
      </w:r>
      <w:r>
        <w:rPr>
          <w:color w:val="808080"/>
        </w:rPr>
        <w:t>)</w:t>
      </w:r>
      <w:r>
        <w:rPr/>
        <w:t>, dass ihr einerseits Tote seid</w:t>
      </w:r>
      <w:r>
        <w:rPr>
          <w:rStyle w:val="Funotenanker"/>
        </w:rPr>
        <w:footnoteReference w:customMarkFollows="1" w:id="572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72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72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73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731"/>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732"/>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733"/>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734"/>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735"/>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736"/>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737"/>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738"/>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739"/>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740"/>
        <w:t>Status</w:t>
      </w:r>
      <w:r>
        <w:rPr/>
        <w:t xml:space="preserve"> Und </w:t>
      </w:r>
      <w:r>
        <w:rPr>
          <w:color w:val="808080"/>
        </w:rPr>
        <w:t>(aber)</w:t>
      </w:r>
      <w:r>
        <w:rPr/>
        <w:t xml:space="preserve"> </w:t>
      </w:r>
      <w:r>
        <w:rPr>
          <w:rStyle w:val="Funotenanker"/>
        </w:rPr>
        <w:footnoteReference w:customMarkFollows="1" w:id="5741"/>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742"/>
        <w:t>i</w:t>
      </w:r>
      <w:r>
        <w:rPr/>
        <w:t xml:space="preserve"> alle Dinge </w:t>
      </w:r>
      <w:r>
        <w:rPr>
          <w:color w:val="808080"/>
        </w:rPr>
        <w:t>(alles)</w:t>
      </w:r>
      <w:r>
        <w:rPr/>
        <w:t xml:space="preserve"> zum Guten</w:t>
      </w:r>
      <w:r>
        <w:rPr>
          <w:rStyle w:val="Funotenanker"/>
        </w:rPr>
        <w:footnoteReference w:customMarkFollows="1" w:id="5743"/>
        <w:t>j</w:t>
      </w:r>
      <w:r>
        <w:rPr/>
        <w:t xml:space="preserve"> zusammenwirken</w:t>
      </w:r>
      <w:r>
        <w:rPr>
          <w:rStyle w:val="Funotenanker"/>
        </w:rPr>
        <w:footnoteReference w:customMarkFollows="1" w:id="5744"/>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745"/>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746"/>
        <w:t>m</w:t>
      </w:r>
      <w:r>
        <w:rPr/>
        <w:t xml:space="preserve"> er vorher kannte</w:t>
      </w:r>
      <w:r>
        <w:rPr>
          <w:rStyle w:val="Funotenanker"/>
        </w:rPr>
        <w:footnoteReference w:customMarkFollows="1" w:id="5747"/>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748"/>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749"/>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750"/>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751"/>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752"/>
        <w:t>c</w:t>
      </w:r>
      <w:r>
        <w:rPr/>
        <w:t>? Denn nicht alle, die aus Israel sind</w:t>
      </w:r>
      <w:r>
        <w:rPr>
          <w:rStyle w:val="Funotenanker"/>
        </w:rPr>
        <w:footnoteReference w:customMarkFollows="1" w:id="5753"/>
        <w:t>d</w:t>
      </w:r>
      <w:r>
        <w:rPr/>
        <w:t xml:space="preserve">, diese </w:t>
      </w:r>
      <w:r>
        <w:rPr>
          <w:b/>
          <w:color w:val="808080"/>
        </w:rPr>
        <w:t>[</w:t>
      </w:r>
      <w:r>
        <w:rPr/>
        <w:t>sind</w:t>
      </w:r>
      <w:r>
        <w:rPr>
          <w:b/>
          <w:color w:val="808080"/>
        </w:rPr>
        <w:t>]</w:t>
      </w:r>
      <w:r>
        <w:rPr/>
        <w:t xml:space="preserve"> Israel</w:t>
      </w:r>
      <w:r>
        <w:rPr>
          <w:rStyle w:val="Funotenanker"/>
        </w:rPr>
        <w:footnoteReference w:customMarkFollows="1" w:id="5754"/>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755"/>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756"/>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757"/>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758"/>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759"/>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760"/>
        <w:t>k</w:t>
      </w:r>
      <w:r>
        <w:rPr/>
        <w:t xml:space="preserve"> wurde zu ihr gesprochen: „Der Größere wird/soll dem Geringeren Sklave sein </w:t>
      </w:r>
      <w:r>
        <w:rPr>
          <w:color w:val="808080"/>
        </w:rPr>
        <w:t>(dienen)</w:t>
      </w:r>
      <w:r>
        <w:rPr/>
        <w:t>“</w:t>
      </w:r>
      <w:r>
        <w:rPr>
          <w:rStyle w:val="Funotenanker"/>
        </w:rPr>
        <w:footnoteReference w:customMarkFollows="1" w:id="5761"/>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762"/>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763"/>
        <w:t>n</w:t>
      </w:r>
      <w:r>
        <w:rPr/>
        <w:t xml:space="preserve">? Ist </w:t>
      </w:r>
      <w:r>
        <w:rPr>
          <w:color w:val="808080"/>
        </w:rPr>
        <w:t>(Herrscht)</w:t>
      </w:r>
      <w:r>
        <w:rPr/>
        <w:t xml:space="preserve"> etwa Ungerechtigkeit bei Gott? So möge es nicht geschehen</w:t>
      </w:r>
      <w:r>
        <w:rPr>
          <w:rStyle w:val="Funotenanker"/>
        </w:rPr>
        <w:footnoteReference w:customMarkFollows="1" w:id="5764"/>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765"/>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766"/>
        <w:t>q</w:t>
      </w:r>
      <w:r>
        <w:rPr/>
        <w:t>, sondern vom erbarmenden Gott ab</w:t>
      </w:r>
      <w:r>
        <w:rPr>
          <w:rStyle w:val="Funotenanker"/>
        </w:rPr>
        <w:footnoteReference w:customMarkFollows="1" w:id="5767"/>
        <w:t>r</w:t>
      </w:r>
      <w:r>
        <w:rPr/>
        <w:t xml:space="preserve">.{{field-off:bible}} </w:t>
        <w:br/>
        <w:t>[[@BibleTOBIBLE:Ro 9:17]]</w:t>
      </w:r>
      <w:r>
        <w:rPr>
          <w:b/>
        </w:rPr>
        <w:t>17</w:t>
      </w:r>
      <w:r>
        <w:rPr/>
        <w:t xml:space="preserve"> {{field-on:bible}}Denn die Schrift sagt zum Pharao: „Eben dazu</w:t>
      </w:r>
      <w:r>
        <w:rPr>
          <w:rStyle w:val="Funotenanker"/>
        </w:rPr>
        <w:footnoteReference w:customMarkFollows="1" w:id="5768"/>
        <w:t>s</w:t>
      </w:r>
      <w:r>
        <w:rPr/>
        <w:t xml:space="preserve"> habe ich dich in Erscheinung treten lassen</w:t>
      </w:r>
      <w:r>
        <w:rPr>
          <w:rStyle w:val="Funotenanker"/>
        </w:rPr>
        <w:footnoteReference w:customMarkFollows="1" w:id="5769"/>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770"/>
        <w:t>u</w:t>
      </w:r>
      <w:r>
        <w:rPr/>
        <w:t xml:space="preserve"> {{field-off:bible}} </w:t>
        <w:br/>
        <w:t>[[@BibleTOBIBLE:Ro 9:18]]</w:t>
      </w:r>
      <w:r>
        <w:rPr>
          <w:b/>
        </w:rPr>
        <w:t>18</w:t>
      </w:r>
      <w:r>
        <w:rPr/>
        <w:t xml:space="preserve"> {{field-on:bible}}Also</w:t>
      </w:r>
      <w:r>
        <w:rPr>
          <w:rStyle w:val="Funotenanker"/>
        </w:rPr>
        <w:footnoteReference w:customMarkFollows="1" w:id="5771"/>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772"/>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773"/>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774"/>
        <w:t>y</w:t>
      </w:r>
      <w:r>
        <w:rPr/>
        <w:t>, oh Mensch</w:t>
      </w:r>
      <w:r>
        <w:rPr>
          <w:rStyle w:val="Funotenanker"/>
        </w:rPr>
        <w:footnoteReference w:customMarkFollows="1" w:id="5775"/>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776"/>
        <w:t>aa</w:t>
      </w:r>
      <w:r>
        <w:rPr/>
        <w:t xml:space="preserve">, antworten lassend </w:t>
      </w:r>
      <w:r>
        <w:rPr>
          <w:rStyle w:val="Funotenanker"/>
        </w:rPr>
        <w:footnoteReference w:customMarkFollows="1" w:id="5777"/>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778"/>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779"/>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780"/>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781"/>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782"/>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783"/>
        <w:t>ah</w:t>
      </w:r>
      <w:r>
        <w:rPr/>
        <w:t xml:space="preserve"> Geliebte</w:t>
      </w:r>
      <w:r>
        <w:rPr>
          <w:rStyle w:val="Funotenanker"/>
        </w:rPr>
        <w:footnoteReference w:customMarkFollows="1" w:id="5784"/>
        <w:t>ai</w:t>
      </w:r>
      <w:r>
        <w:rPr/>
        <w:t>.“</w:t>
      </w:r>
      <w:r>
        <w:rPr>
          <w:rStyle w:val="Funotenanker"/>
        </w:rPr>
        <w:footnoteReference w:customMarkFollows="1" w:id="5785"/>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786"/>
        <w:t>ak</w:t>
      </w:r>
      <w:r>
        <w:rPr/>
        <w:t xml:space="preserve"> gerufen </w:t>
      </w:r>
      <w:r>
        <w:rPr>
          <w:color w:val="808080"/>
        </w:rPr>
        <w:t>(genannt)</w:t>
      </w:r>
      <w:r>
        <w:rPr/>
        <w:t xml:space="preserve"> werden</w:t>
      </w:r>
      <w:r>
        <w:rPr>
          <w:rStyle w:val="Funotenanker"/>
        </w:rPr>
        <w:footnoteReference w:customMarkFollows="1" w:id="5787"/>
        <w:t>al</w:t>
      </w:r>
      <w:r>
        <w:rPr/>
        <w:t>.“</w:t>
      </w:r>
      <w:r>
        <w:rPr>
          <w:rStyle w:val="Funotenanker"/>
        </w:rPr>
        <w:footnoteReference w:customMarkFollows="1" w:id="5788"/>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789"/>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790"/>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791"/>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792"/>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793"/>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794"/>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795"/>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796"/>
        <w:t>au</w:t>
      </w:r>
      <w:r>
        <w:rPr/>
        <w:t xml:space="preserve">, und wer an </w:t>
      </w:r>
      <w:r>
        <w:rPr>
          <w:color w:val="808080"/>
        </w:rPr>
        <w:t>(auf)</w:t>
      </w:r>
      <w:r>
        <w:rPr/>
        <w:t xml:space="preserve"> ihn glaubt</w:t>
      </w:r>
      <w:r>
        <w:rPr>
          <w:rStyle w:val="Funotenanker"/>
        </w:rPr>
        <w:footnoteReference w:customMarkFollows="1" w:id="5797"/>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798"/>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799"/>
        <w:t>b</w:t>
      </w:r>
      <w:r>
        <w:rPr/>
        <w:t>: »Wer wird in den Himmel hinaufsteigen?«“</w:t>
      </w:r>
      <w:r>
        <w:rPr>
          <w:rStyle w:val="Funotenanker"/>
        </w:rPr>
        <w:footnoteReference w:customMarkFollows="1" w:id="5800"/>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801"/>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802"/>
        <w:t>e</w:t>
      </w:r>
      <w:r>
        <w:rPr/>
        <w:t>? „Dir nahe ist das Wort, in deinem Mund und in deinem Herzen“</w:t>
      </w:r>
      <w:r>
        <w:rPr>
          <w:rStyle w:val="Funotenanker"/>
        </w:rPr>
        <w:footnoteReference w:customMarkFollows="1" w:id="5803"/>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804"/>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805"/>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806"/>
        <w:t>Status</w:t>
      </w:r>
      <w:r>
        <w:rPr/>
        <w:t xml:space="preserve"> Nicht lasse dich besiegen </w:t>
      </w:r>
      <w:r>
        <w:rPr>
          <w:color w:val="808080"/>
        </w:rPr>
        <w:t>(unterwerfen, bezwingen, überwinden)</w:t>
      </w:r>
      <w:r>
        <w:rPr/>
        <w:t xml:space="preserve"> </w:t>
      </w:r>
      <w:r>
        <w:rPr>
          <w:rStyle w:val="Funotenanker"/>
        </w:rPr>
        <w:footnoteReference w:customMarkFollows="1" w:id="580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80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809"/>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810"/>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811"/>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812"/>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813"/>
        <w:t>e</w:t>
      </w:r>
      <w:r>
        <w:rPr/>
        <w:t xml:space="preserve"> </w:t>
      </w:r>
      <w:r>
        <w:rPr>
          <w:color w:val="808080"/>
        </w:rPr>
        <w:t>(beende)</w:t>
      </w:r>
      <w:r>
        <w:rPr/>
        <w:t xml:space="preserve"> und ihnen diese Frucht versiegelt habe</w:t>
      </w:r>
      <w:r>
        <w:rPr>
          <w:rStyle w:val="Funotenanker"/>
        </w:rPr>
        <w:footnoteReference w:customMarkFollows="1" w:id="5814"/>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815"/>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816"/>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817"/>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818"/>
        <w:t>Status</w:t>
      </w:r>
      <w:r>
        <w:rPr/>
        <w:t xml:space="preserve"> Paulus, berufener Apostel Christi Jesu durch den Willen Gottes, und Sosthenes, der Bruder,</w:t>
      </w:r>
      <w:r>
        <w:rPr>
          <w:rStyle w:val="Funotenanker"/>
        </w:rPr>
        <w:footnoteReference w:customMarkFollows="1" w:id="5819"/>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820"/>
        <w:t>b</w:t>
      </w:r>
      <w:r>
        <w:rPr/>
        <w:t xml:space="preserve"> Gemeinde Gottes</w:t>
      </w:r>
      <w:r>
        <w:rPr>
          <w:rStyle w:val="Funotenanker"/>
        </w:rPr>
        <w:footnoteReference w:customMarkFollows="1" w:id="5821"/>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822"/>
        <w:t>d</w:t>
      </w:r>
      <w:r>
        <w:rPr/>
        <w:t xml:space="preserve"> in Christus Jesus, berufene Heilige, mit allen, die anrufen</w:t>
      </w:r>
      <w:r>
        <w:rPr>
          <w:rStyle w:val="Funotenanker"/>
        </w:rPr>
        <w:footnoteReference w:customMarkFollows="1" w:id="5823"/>
        <w:t>e</w:t>
      </w:r>
      <w:r>
        <w:rPr/>
        <w:t xml:space="preserve"> den Namen unseres Herrn Jesus Christus an jedem Ort, dem ihrigen und dem unsrigen</w:t>
      </w:r>
      <w:r>
        <w:rPr>
          <w:rStyle w:val="Funotenanker"/>
        </w:rPr>
        <w:footnoteReference w:customMarkFollows="1" w:id="5824"/>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825"/>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826"/>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827"/>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828"/>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829"/>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830"/>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831"/>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832"/>
        <w:t>n</w:t>
      </w:r>
      <w:r>
        <w:rPr/>
        <w:t xml:space="preserve"> ist es eine Dummheit, denen aber gerettet Werdenden </w:t>
      </w:r>
      <w:r>
        <w:rPr>
          <w:rStyle w:val="Funotenanker"/>
        </w:rPr>
        <w:footnoteReference w:customMarkFollows="1" w:id="5833"/>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834"/>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835"/>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836"/>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837"/>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838"/>
        <w:t>t</w:t>
      </w:r>
      <w:r>
        <w:rPr/>
        <w:t xml:space="preserve">, den Heiden </w:t>
      </w:r>
      <w:r>
        <w:rPr>
          <w:color w:val="808080"/>
        </w:rPr>
        <w:t>(Völkern)</w:t>
      </w:r>
      <w:r>
        <w:rPr/>
        <w:t xml:space="preserve"> </w:t>
      </w:r>
      <w:r>
        <w:rPr>
          <w:rStyle w:val="Funotenanker"/>
        </w:rPr>
        <w:footnoteReference w:customMarkFollows="1" w:id="5839"/>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840"/>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841"/>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842"/>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843"/>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844"/>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845"/>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846"/>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847"/>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848"/>
        <w:t>b</w:t>
      </w:r>
      <w:r>
        <w:rPr/>
        <w:t xml:space="preserve"> mich bei euch,{{field-off:bible}} </w:t>
        <w:br/>
        <w:t>[[@BibleTOBIBLE:1Co 2:4]]</w:t>
      </w:r>
      <w:r>
        <w:rPr>
          <w:b/>
        </w:rPr>
        <w:t>4</w:t>
      </w:r>
      <w:r>
        <w:rPr/>
        <w:t xml:space="preserve"> {{field-on:bible}}und meine Rede</w:t>
      </w:r>
      <w:r>
        <w:rPr>
          <w:rStyle w:val="Funotenanker"/>
        </w:rPr>
        <w:footnoteReference w:customMarkFollows="1" w:id="5849"/>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850"/>
        <w:t>d</w:t>
      </w:r>
      <w:r>
        <w:rPr/>
        <w:t xml:space="preserve"> nicht in überredender, geschwätziger Weisheit</w:t>
      </w:r>
      <w:r>
        <w:rPr>
          <w:rStyle w:val="Funotenanker"/>
        </w:rPr>
        <w:footnoteReference w:customMarkFollows="1" w:id="5851"/>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852"/>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853"/>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854"/>
        <w:t>h</w:t>
      </w:r>
      <w:r>
        <w:rPr/>
        <w:t xml:space="preserve"> </w:t>
        <w:br/>
        <w:t>was</w:t>
      </w:r>
      <w:r>
        <w:rPr>
          <w:rStyle w:val="Funotenanker"/>
        </w:rPr>
        <w:footnoteReference w:customMarkFollows="1" w:id="5855"/>
        <w:t>i</w:t>
      </w:r>
      <w:r>
        <w:rPr/>
        <w:t xml:space="preserve"> das Auge nicht sah und das Ohr nicht hörte</w:t>
        <w:br/>
        <w:t>und auf das Herz des Menschen nicht aufstieg</w:t>
      </w:r>
      <w:r>
        <w:rPr>
          <w:rStyle w:val="Funotenanker"/>
        </w:rPr>
        <w:footnoteReference w:customMarkFollows="1" w:id="5856"/>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857"/>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858"/>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859"/>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860"/>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861"/>
        <w:t>o</w:t>
      </w:r>
      <w:r>
        <w:rPr/>
        <w:t xml:space="preserve"> {{field-off:bible}} </w:t>
        <w:br/>
        <w:t>[[@BibleTOBIBLE:1Co 2:14]]</w:t>
      </w:r>
      <w:r>
        <w:rPr>
          <w:b/>
        </w:rPr>
        <w:t>14</w:t>
      </w:r>
      <w:r>
        <w:rPr/>
        <w:t xml:space="preserve"> {{field-on:bible}}Ein diesseitiger</w:t>
      </w:r>
      <w:r>
        <w:rPr>
          <w:rStyle w:val="Funotenanker"/>
        </w:rPr>
        <w:footnoteReference w:customMarkFollows="1" w:id="5862"/>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863"/>
        <w:t>q</w:t>
      </w:r>
      <w:r>
        <w:rPr/>
        <w:t xml:space="preserve"> beurteilt wird</w:t>
      </w:r>
      <w:r>
        <w:rPr>
          <w:rStyle w:val="Funotenanker"/>
        </w:rPr>
        <w:footnoteReference w:customMarkFollows="1" w:id="5864"/>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865"/>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866"/>
        <w:t>Status</w:t>
      </w:r>
      <w:r>
        <w:rPr/>
        <w:t xml:space="preserve"> Ich aber, Brüder, vermochte </w:t>
      </w:r>
      <w:r>
        <w:rPr>
          <w:color w:val="808080"/>
        </w:rPr>
        <w:t>(konnte)</w:t>
      </w:r>
      <w:r>
        <w:rPr/>
        <w:t xml:space="preserve"> nicht mit euch zu reden wie zu Geistlichen</w:t>
      </w:r>
      <w:r>
        <w:rPr>
          <w:rStyle w:val="Funotenanker"/>
        </w:rPr>
        <w:footnoteReference w:customMarkFollows="1" w:id="5867"/>
        <w:t>a</w:t>
      </w:r>
      <w:r>
        <w:rPr/>
        <w:t>, sondern wie zu Fleichschlichen</w:t>
      </w:r>
      <w:r>
        <w:rPr>
          <w:rStyle w:val="Funotenanker"/>
        </w:rPr>
        <w:footnoteReference w:customMarkFollows="1" w:id="5868"/>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869"/>
        <w:t>c</w:t>
      </w:r>
      <w:r>
        <w:rPr/>
        <w:t xml:space="preserve"> nämlich in euch Aggressivität </w:t>
      </w:r>
      <w:r>
        <w:rPr>
          <w:color w:val="808080"/>
        </w:rPr>
        <w:t>(Streitlust)</w:t>
      </w:r>
      <w:r>
        <w:rPr/>
        <w:t xml:space="preserve"> </w:t>
      </w:r>
      <w:r>
        <w:rPr>
          <w:rStyle w:val="Funotenanker"/>
        </w:rPr>
        <w:footnoteReference w:customMarkFollows="1" w:id="5870"/>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871"/>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872"/>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873"/>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874"/>
        <w:t>Status</w:t>
      </w:r>
      <w:r>
        <w:rPr/>
        <w:t xml:space="preserve"> So</w:t>
      </w:r>
      <w:r>
        <w:rPr>
          <w:rStyle w:val="Funotenanker"/>
        </w:rPr>
        <w:footnoteReference w:customMarkFollows="1" w:id="5875"/>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876"/>
        <w:t>b</w:t>
      </w:r>
      <w:r>
        <w:rPr/>
        <w:t>, ob</w:t>
      </w:r>
      <w:r>
        <w:rPr>
          <w:rStyle w:val="Funotenanker"/>
        </w:rPr>
        <w:footnoteReference w:customMarkFollows="1" w:id="5877"/>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878"/>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879"/>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880"/>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881"/>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882"/>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883"/>
        <w:t>i</w:t>
      </w:r>
      <w:r>
        <w:rPr/>
        <w:t xml:space="preserve"> gegen den anderen</w:t>
      </w:r>
      <w:r>
        <w:rPr>
          <w:rStyle w:val="Funotenanker"/>
        </w:rPr>
        <w:footnoteReference w:customMarkFollows="1" w:id="5884"/>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885"/>
        <w:t>k</w:t>
      </w:r>
      <w:r>
        <w:rPr/>
        <w:t xml:space="preserve">?{{field-off:bible}} </w:t>
        <w:br/>
        <w:t>[[@BibleTOBIBLE:1Co 4:8]]</w:t>
      </w:r>
      <w:r>
        <w:rPr>
          <w:b/>
        </w:rPr>
        <w:t>8</w:t>
      </w:r>
      <w:r>
        <w:rPr/>
        <w:t xml:space="preserve"> {{field-on:bible}}Schon seid ihr satt!</w:t>
      </w:r>
      <w:r>
        <w:rPr>
          <w:rStyle w:val="Funotenanker"/>
        </w:rPr>
        <w:footnoteReference w:customMarkFollows="1" w:id="5886"/>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887"/>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888"/>
        <w:t>n</w:t>
      </w:r>
      <w:r>
        <w:rPr/>
        <w:t xml:space="preserve"> der Welt geworden, der Unrat </w:t>
      </w:r>
      <w:r>
        <w:rPr>
          <w:color w:val="808080"/>
        </w:rPr>
        <w:t>(Schmutz, Abschaum)</w:t>
      </w:r>
      <w:r>
        <w:rPr/>
        <w:t xml:space="preserve"> </w:t>
      </w:r>
      <w:r>
        <w:rPr>
          <w:rStyle w:val="Funotenanker"/>
        </w:rPr>
        <w:footnoteReference w:customMarkFollows="1" w:id="5889"/>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890"/>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891"/>
        <w:t>q</w:t>
      </w:r>
      <w:r>
        <w:rPr/>
        <w:t xml:space="preserve"> in Christus habt,</w:t>
      </w:r>
      <w:r>
        <w:rPr>
          <w:rStyle w:val="Funotenanker"/>
        </w:rPr>
        <w:footnoteReference w:customMarkFollows="1" w:id="5892"/>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893"/>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894"/>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{{field-on:bible}}Wenn ihr nun Fälle des alltäglichen Lebens zu entscheiden habt, dann setzt die Übergangenen in der Gemeinde ein, diese und nicht die Ungläubigen!{{field-off:bible}} </w:t>
      </w:r>
    </w:p>
    <w:p>
      <w:pPr>
        <w:pStyle w:val="Berschrift3"/>
        <w:rPr/>
      </w:pPr>
      <w:r>
        <w:rPr/>
        <w:t>[[@BibleTOBIBLE:1Co 7]]Kapitel 7</w:t>
      </w:r>
    </w:p>
    <w:p>
      <w:pPr>
        <w:pStyle w:val="Textkrper"/>
        <w:rPr/>
      </w:pPr>
      <w:r>
        <w:rPr/>
        <w:br/>
        <w:t>[[@BibleTOBIBLE:1Co 7:1]]</w:t>
      </w:r>
      <w:r>
        <w:rPr>
          <w:b/>
        </w:rPr>
        <w:t>1</w:t>
      </w:r>
      <w:r>
        <w:rPr/>
        <w:t xml:space="preserve"> {{field-on:bible}} </w:t>
      </w:r>
      <w:r>
        <w:rPr>
          <w:rStyle w:val="Funotenanker"/>
        </w:rPr>
        <w:footnoteReference w:customMarkFollows="1" w:id="5895"/>
        <w:t>Status</w:t>
      </w:r>
      <w:r>
        <w:rPr/>
        <w:t xml:space="preserve"> Zu dem, was ihr schriebt</w:t>
      </w:r>
      <w:r>
        <w:rPr>
          <w:rStyle w:val="Funotenanker"/>
        </w:rPr>
        <w:footnoteReference w:customMarkFollows="1" w:id="5896"/>
        <w:t>a</w:t>
      </w:r>
      <w:r>
        <w:rPr/>
        <w:t>, es ist gut für einen Mann</w:t>
      </w:r>
      <w:r>
        <w:rPr>
          <w:rStyle w:val="Funotenanker"/>
        </w:rPr>
        <w:footnoteReference w:customMarkFollows="1" w:id="5897"/>
        <w:t>b</w:t>
      </w:r>
      <w:r>
        <w:rPr/>
        <w:t>, eine Frau nicht zu berühren</w:t>
      </w:r>
      <w:r>
        <w:rPr>
          <w:rStyle w:val="Funotenanker"/>
        </w:rPr>
        <w:footnoteReference w:customMarkFollows="1" w:id="5898"/>
        <w:t>c</w:t>
      </w:r>
      <w:r>
        <w:rPr/>
        <w:t xml:space="preserve"> {{field-off:bible}} </w:t>
        <w:br/>
        <w:t>[[@BibleTOBIBLE:1Co 7:2]]</w:t>
      </w:r>
      <w:r>
        <w:rPr>
          <w:b/>
        </w:rPr>
        <w:t>2</w:t>
      </w:r>
      <w:r>
        <w:rPr/>
        <w:t xml:space="preserve"> {{field-on:bible}}Um der Unzucht</w:t>
      </w:r>
      <w:r>
        <w:rPr>
          <w:rStyle w:val="Funotenanker"/>
        </w:rPr>
        <w:footnoteReference w:customMarkFollows="1" w:id="5899"/>
        <w:t>d</w:t>
      </w:r>
      <w:r>
        <w:rPr/>
        <w:t xml:space="preserve"> willen soll jeder </w:t>
      </w:r>
      <w:r>
        <w:rPr>
          <w:b/>
          <w:color w:val="808080"/>
        </w:rPr>
        <w:t>[</w:t>
      </w:r>
      <w:r>
        <w:rPr/>
        <w:t>Mann</w:t>
      </w:r>
      <w:r>
        <w:rPr>
          <w:b/>
          <w:color w:val="808080"/>
        </w:rPr>
        <w:t>]</w:t>
      </w:r>
      <w:r>
        <w:rPr/>
        <w:t xml:space="preserve"> seine eigene Frau haben und jede </w:t>
      </w:r>
      <w:r>
        <w:rPr>
          <w:b/>
          <w:color w:val="808080"/>
        </w:rPr>
        <w:t>[</w:t>
      </w:r>
      <w:r>
        <w:rPr/>
        <w:t>Frau</w:t>
      </w:r>
      <w:r>
        <w:rPr>
          <w:b/>
          <w:color w:val="808080"/>
        </w:rPr>
        <w:t>]</w:t>
      </w:r>
      <w:r>
        <w:rPr/>
        <w:t xml:space="preserve"> ihren eigenen Mann.{{field-off:bible}} </w:t>
        <w:br/>
        <w:t>[[@BibleTOBIBLE:1Co 7:3]]</w:t>
      </w:r>
      <w:r>
        <w:rPr>
          <w:b/>
        </w:rPr>
        <w:t>3</w:t>
      </w:r>
      <w:r>
        <w:rPr/>
        <w:t xml:space="preserve"> {{field-on:bible}}Der Mann soll seine Pflicht der Frau gegenüber erfüllen</w:t>
      </w:r>
      <w:r>
        <w:rPr>
          <w:rStyle w:val="Funotenanker"/>
        </w:rPr>
        <w:footnoteReference w:customMarkFollows="1" w:id="5900"/>
        <w:t>e</w:t>
      </w:r>
      <w:r>
        <w:rPr/>
        <w:t xml:space="preserve">, ebenso </w:t>
      </w:r>
      <w:r>
        <w:rPr>
          <w:color w:val="808080"/>
        </w:rPr>
        <w:t>(in gleicher Weise)</w:t>
      </w:r>
      <w:r>
        <w:rPr/>
        <w:t xml:space="preserve"> die Frau dem Mann gegenüber.{{field-off:bible}} </w:t>
        <w:br/>
        <w:t>[[@BibleTOBIBLE:1Co 7:4]]</w:t>
      </w:r>
      <w:r>
        <w:rPr>
          <w:b/>
        </w:rPr>
        <w:t>4</w:t>
      </w:r>
      <w:r>
        <w:rPr/>
        <w:t xml:space="preserve"> {{field-on:bible}}Die Frau verfügt nicht </w:t>
      </w:r>
      <w:r>
        <w:rPr>
          <w:color w:val="808080"/>
        </w:rPr>
        <w:t>(hat keine Verfügungsgewalt)</w:t>
      </w:r>
      <w:r>
        <w:rPr/>
        <w:t xml:space="preserve"> über ihren </w:t>
      </w:r>
      <w:r>
        <w:rPr>
          <w:strike/>
          <w:color w:val="808080"/>
        </w:rPr>
        <w:t>{eigenen}</w:t>
      </w:r>
      <w:r>
        <w:rPr/>
        <w:t xml:space="preserve"> Körper, sondern der Mann, ebenso </w:t>
      </w:r>
      <w:r>
        <w:rPr>
          <w:color w:val="808080"/>
        </w:rPr>
        <w:t>(in gleicher Weise)</w:t>
      </w:r>
      <w:r>
        <w:rPr/>
        <w:t xml:space="preserve"> verfügt der Mann nicht </w:t>
      </w:r>
      <w:r>
        <w:rPr>
          <w:color w:val="808080"/>
        </w:rPr>
        <w:t>(hat keine Verfügungsgewalt)</w:t>
      </w:r>
      <w:r>
        <w:rPr/>
        <w:t xml:space="preserve"> über seinen </w:t>
      </w:r>
      <w:r>
        <w:rPr>
          <w:strike/>
          <w:color w:val="808080"/>
        </w:rPr>
        <w:t>{eigenen}</w:t>
      </w:r>
      <w:r>
        <w:rPr/>
        <w:t xml:space="preserve"> Körper, sondern die Frau.{{field-off:bible}} </w:t>
        <w:br/>
        <w:t>[[@BibleTOBIBLE:1Co 7:5]]</w:t>
      </w:r>
      <w:r>
        <w:rPr>
          <w:b/>
        </w:rPr>
        <w:t>5</w:t>
      </w:r>
      <w:r>
        <w:rPr/>
        <w:t xml:space="preserve"> {{field-on:bible}}Entzieht euch nicht</w:t>
      </w:r>
      <w:r>
        <w:rPr>
          <w:rStyle w:val="Funotenanker"/>
        </w:rPr>
        <w:footnoteReference w:customMarkFollows="1" w:id="5901"/>
        <w:t>f</w:t>
      </w:r>
      <w:r>
        <w:rPr/>
        <w:t xml:space="preserve"> einander, außer in gegenseitigem Einvernehmen </w:t>
      </w:r>
      <w:r>
        <w:rPr>
          <w:color w:val="808080"/>
        </w:rPr>
        <w:t>(nach Übereinkunft)</w:t>
      </w:r>
      <w:r>
        <w:rPr/>
        <w:t xml:space="preserve"> für einen begrenzten Zeitraum </w:t>
      </w:r>
      <w:r>
        <w:rPr>
          <w:color w:val="808080"/>
        </w:rPr>
        <w:t>(für den gegenwärtigen Augenblick)</w:t>
      </w:r>
      <w:r>
        <w:rPr/>
        <w:t xml:space="preserve">, um euch dem Gebet zu widmen und dann wieder zusammen zu sein, damit euch der Satan nicht versucht durch eure Geilheit </w:t>
      </w:r>
      <w:r>
        <w:rPr>
          <w:color w:val="808080"/>
        </w:rPr>
        <w:t>(Zügellosigkeit)</w:t>
      </w:r>
      <w:r>
        <w:rPr/>
        <w:t xml:space="preserve">.{{field-off:bible}} </w:t>
        <w:br/>
        <w:t>[[@BibleTOBIBLE:1Co 7:6]]</w:t>
      </w:r>
      <w:r>
        <w:rPr>
          <w:b/>
        </w:rPr>
        <w:t>6</w:t>
      </w:r>
      <w:r>
        <w:rPr/>
        <w:t xml:space="preserve"> {{field-on:bible}}Dies aber sage ich als Zugeständnis, nicht als Befehl.{{field-off:bible}} </w:t>
        <w:br/>
        <w:t>[[@BibleTOBIBLE:1Co 7:7]]</w:t>
      </w:r>
      <w:r>
        <w:rPr>
          <w:b/>
        </w:rPr>
        <w:t>7</w:t>
      </w:r>
      <w:r>
        <w:rPr/>
        <w:t xml:space="preserve"> {{field-on:bible}}Ich wollte </w:t>
      </w:r>
      <w:r>
        <w:rPr>
          <w:strike/>
          <w:color w:val="808080"/>
        </w:rPr>
        <w:t>{aber}</w:t>
      </w:r>
      <w:r>
        <w:rPr/>
        <w:t xml:space="preserve">, dass alle Menschen </w:t>
      </w:r>
      <w:r>
        <w:rPr>
          <w:color w:val="808080"/>
        </w:rPr>
        <w:t>(Männer?)</w:t>
      </w:r>
      <w:r>
        <w:rPr/>
        <w:t xml:space="preserve"> wie ich wären; aber jeder hat seine eigene Gabe von Gott, der eine so, der andere so.{{field-off:bible}} </w:t>
        <w:br/>
        <w:t>[[@BibleTOBIBLE:1Co 7:8]]</w:t>
      </w:r>
      <w:r>
        <w:rPr>
          <w:b/>
        </w:rPr>
        <w:t>8</w:t>
      </w:r>
      <w:r>
        <w:rPr/>
        <w:t xml:space="preserve"> {{field-on:bible}}Den Unverheirateten</w:t>
      </w:r>
      <w:r>
        <w:rPr>
          <w:rStyle w:val="Funotenanker"/>
        </w:rPr>
        <w:footnoteReference w:customMarkFollows="1" w:id="5902"/>
        <w:t>g</w:t>
      </w:r>
      <w:r>
        <w:rPr/>
        <w:t xml:space="preserve"> und den Witwen sage ich, dass es gut wäre, wenn sie blieben wie ich.{{field-off:bible}} </w:t>
        <w:br/>
        <w:t>[[@BibleTOBIBLE:1Co 7:9]]</w:t>
      </w:r>
      <w:r>
        <w:rPr>
          <w:b/>
        </w:rPr>
        <w:t>9</w:t>
      </w:r>
      <w:r>
        <w:rPr/>
        <w:t xml:space="preserve"> {{field-on:bible}}Wenn sie aber nicht enthaltsam sein können, sollen sie heiraten, denn es ist besser, zu heiraten als zu brennen</w:t>
      </w:r>
      <w:r>
        <w:rPr>
          <w:rStyle w:val="Funotenanker"/>
        </w:rPr>
        <w:footnoteReference w:customMarkFollows="1" w:id="5903"/>
        <w:t>h</w:t>
      </w:r>
      <w:r>
        <w:rPr/>
        <w:t xml:space="preserve">.{{field-off:bible}} </w:t>
        <w:br/>
        <w:t>[[@BibleTOBIBLE:1Co 7:10]]</w:t>
      </w:r>
      <w:r>
        <w:rPr>
          <w:b/>
        </w:rPr>
        <w:t>10</w:t>
      </w:r>
      <w:r>
        <w:rPr/>
        <w:t xml:space="preserve"> {{field-on:bible}}Den Verheirateten aber befehle </w:t>
      </w:r>
      <w:r>
        <w:rPr>
          <w:strike/>
          <w:color w:val="808080"/>
        </w:rPr>
        <w:t>{ich,}</w:t>
      </w:r>
      <w:r>
        <w:rPr/>
        <w:t xml:space="preserve"> nicht ich, sondern der Herr, dass eine Frau sich vom Mann nicht scheiden soll</w:t>
      </w:r>
      <w:r>
        <w:rPr>
          <w:rStyle w:val="Funotenanker"/>
        </w:rPr>
        <w:footnoteReference w:customMarkFollows="1" w:id="5904"/>
        <w:t>i</w:t>
      </w:r>
      <w:r>
        <w:rPr/>
        <w:t xml:space="preserve"> {{field-off:bible}} </w:t>
        <w:br/>
        <w:t>[[@BibleTOBIBLE:1Co 7:11]]</w:t>
      </w:r>
      <w:r>
        <w:rPr>
          <w:b/>
        </w:rPr>
        <w:t>11</w:t>
      </w:r>
      <w:r>
        <w:rPr/>
        <w:t xml:space="preserve"> {{field-on:bible}}- falls sie aber geschieden ist</w:t>
      </w:r>
      <w:r>
        <w:rPr>
          <w:rStyle w:val="Funotenanker"/>
        </w:rPr>
        <w:footnoteReference w:customMarkFollows="1" w:id="5905"/>
        <w:t>j</w:t>
      </w:r>
      <w:r>
        <w:rPr/>
        <w:t>, soll sie unverheiratet bleiben oder sich mit dem Mann aussöhnen -, und der Mann soll die Frau nicht verstoßen</w:t>
      </w:r>
      <w:r>
        <w:rPr>
          <w:rStyle w:val="Funotenanker"/>
        </w:rPr>
        <w:footnoteReference w:customMarkFollows="1" w:id="5906"/>
        <w:t>k</w:t>
      </w:r>
      <w:r>
        <w:rPr/>
        <w:t xml:space="preserve"> {{field-off:bible}} </w:t>
        <w:br/>
        <w:t>[[@BibleTOBIBLE:1Co 7:12]]</w:t>
      </w:r>
      <w:r>
        <w:rPr>
          <w:b/>
        </w:rPr>
        <w:t>12</w:t>
      </w:r>
      <w:r>
        <w:rPr/>
        <w:t xml:space="preserve"> {{field-on:bible}}Den übrigen</w:t>
      </w:r>
      <w:r>
        <w:rPr>
          <w:rStyle w:val="Funotenanker"/>
        </w:rPr>
        <w:footnoteReference w:customMarkFollows="1" w:id="5907"/>
        <w:t>l</w:t>
      </w:r>
      <w:r>
        <w:rPr/>
        <w:t xml:space="preserve"> aber sage ich, nicht der Herr: Wenn ein Bruder eine nichtgläubige Frau hat, und </w:t>
      </w:r>
      <w:r>
        <w:rPr>
          <w:color w:val="808080"/>
        </w:rPr>
        <w:t>(diese)</w:t>
      </w:r>
      <w:r>
        <w:rPr/>
        <w:t xml:space="preserve"> sie willigt ein, mit ihm </w:t>
      </w:r>
      <w:r>
        <w:rPr>
          <w:color w:val="808080"/>
        </w:rPr>
        <w:t>(ehelich)</w:t>
      </w:r>
      <w:r>
        <w:rPr/>
        <w:t xml:space="preserve"> zusammenzuleben, soll er sie nicht verstoßen.{{field-off:bible}} </w:t>
        <w:br/>
        <w:t>[[@BibleTOBIBLE:1Co 7:13]]</w:t>
      </w:r>
      <w:r>
        <w:rPr>
          <w:b/>
        </w:rPr>
        <w:t>13</w:t>
      </w:r>
      <w:r>
        <w:rPr/>
        <w:t xml:space="preserve"> {{field-on:bible}}Und die Frau, wenn sie einen nichtgläubigen Mann hat, und </w:t>
      </w:r>
      <w:r>
        <w:rPr>
          <w:color w:val="808080"/>
        </w:rPr>
        <w:t>(dieser)</w:t>
      </w:r>
      <w:r>
        <w:rPr/>
        <w:t xml:space="preserve"> er willigt ein, mit ihr </w:t>
      </w:r>
      <w:r>
        <w:rPr>
          <w:color w:val="808080"/>
        </w:rPr>
        <w:t>(ehelich)</w:t>
      </w:r>
      <w:r>
        <w:rPr/>
        <w:t xml:space="preserve"> zusammenzuleben, soll sie ihn nicht verstoßen.{{field-off:bible}} </w:t>
        <w:br/>
        <w:t>[[@BibleTOBIBLE:1Co 7:14]]</w:t>
      </w:r>
      <w:r>
        <w:rPr>
          <w:b/>
        </w:rPr>
        <w:t>14</w:t>
      </w:r>
      <w:r>
        <w:rPr/>
        <w:t xml:space="preserve"> {{field-on:bible}}Denn der nichtgläubige Mann wird durch die Frau geheiligt, und die nichtgläubige Frau durch den Bruder; denn sonst sind demnach ihre Kinder unrein</w:t>
      </w:r>
      <w:r>
        <w:rPr>
          <w:rStyle w:val="Funotenanker"/>
        </w:rPr>
        <w:footnoteReference w:customMarkFollows="1" w:id="5908"/>
        <w:t>m</w:t>
      </w:r>
      <w:r>
        <w:rPr/>
        <w:t xml:space="preserve">, jetzt aber sind sie heilig.{{field-off:bible}} </w:t>
        <w:br/>
        <w:t>[[@BibleTOBIBLE:1Co 7:15]]</w:t>
      </w:r>
      <w:r>
        <w:rPr>
          <w:b/>
        </w:rPr>
        <w:t>15</w:t>
      </w:r>
      <w:r>
        <w:rPr/>
        <w:t xml:space="preserve"> {{field-on:bible}}Wenn aber der Nichtgläubige sich scheiden will, soll er sich scheiden. Der Bruder oder die Schwester ist in diesem Fall nicht </w:t>
      </w:r>
      <w:r>
        <w:rPr>
          <w:b/>
          <w:color w:val="808080"/>
        </w:rPr>
        <w:t>[</w:t>
      </w:r>
      <w:r>
        <w:rPr/>
        <w:t>dem Eheversprechen</w:t>
      </w:r>
      <w:r>
        <w:rPr>
          <w:b/>
          <w:color w:val="808080"/>
        </w:rPr>
        <w:t>]</w:t>
      </w:r>
      <w:r>
        <w:rPr/>
        <w:t xml:space="preserve"> unterworfen. Gott hat euch zum </w:t>
      </w:r>
      <w:r>
        <w:rPr>
          <w:color w:val="808080"/>
        </w:rPr>
        <w:t>(im)</w:t>
      </w:r>
      <w:r>
        <w:rPr/>
        <w:t xml:space="preserve"> Frieden berufen.{{field-off:bible}} </w:t>
        <w:br/>
        <w:t>[[@BibleTOBIBLE:1Co 7:16]]</w:t>
      </w:r>
      <w:r>
        <w:rPr>
          <w:b/>
        </w:rPr>
        <w:t>16</w:t>
      </w:r>
      <w:r>
        <w:rPr/>
        <w:t xml:space="preserve"> {{field-on:bible}}Denn </w:t>
      </w:r>
      <w:r>
        <w:rPr>
          <w:strike/>
          <w:color w:val="808080"/>
        </w:rPr>
        <w:t>{was}</w:t>
      </w:r>
      <w:r>
        <w:rPr/>
        <w:t xml:space="preserve"> weißt du, Frau, ob du den Mann retten wirst? Oder </w:t>
      </w:r>
      <w:r>
        <w:rPr>
          <w:strike/>
          <w:color w:val="808080"/>
        </w:rPr>
        <w:t>{was}</w:t>
      </w:r>
      <w:r>
        <w:rPr/>
        <w:t xml:space="preserve"> weißt du, Mann, ob du die Frau retten wirst?{{field-off:bible}} </w:t>
        <w:br/>
        <w:t>[[@BibleTOBIBLE:1Co 7:17]]</w:t>
      </w:r>
      <w:r>
        <w:rPr>
          <w:b/>
        </w:rPr>
        <w:t>17</w:t>
      </w:r>
      <w:r>
        <w:rPr/>
        <w:t xml:space="preserve"> {{field-on:bible}}Doch </w:t>
      </w:r>
      <w:r>
        <w:rPr>
          <w:color w:val="808080"/>
        </w:rPr>
        <w:t>(Sondern)</w:t>
      </w:r>
      <w:r>
        <w:rPr/>
        <w:t xml:space="preserve"> </w:t>
      </w:r>
      <w:r>
        <w:rPr>
          <w:rStyle w:val="Funotenanker"/>
        </w:rPr>
        <w:footnoteReference w:customMarkFollows="1" w:id="5909"/>
        <w:t>n</w:t>
      </w:r>
      <w:r>
        <w:rPr/>
        <w:t xml:space="preserve"> jeder soll so leben </w:t>
      </w:r>
      <w:r>
        <w:rPr>
          <w:color w:val="808080"/>
        </w:rPr>
        <w:t>(wandeln)</w:t>
      </w:r>
      <w:r>
        <w:rPr/>
        <w:t xml:space="preserve">, wie der Herr es ihm zugeteilt, jeder, wie der Herr ihn berufen hat. </w:t>
      </w:r>
      <w:r>
        <w:rPr>
          <w:strike/>
          <w:color w:val="808080"/>
        </w:rPr>
        <w:t>{Und}</w:t>
      </w:r>
      <w:r>
        <w:rPr/>
        <w:t xml:space="preserve"> so ordne ich es in allen Gemeinden an.{{field-off:bible}} </w:t>
        <w:br/>
        <w:t>[[@BibleTOBIBLE:1Co 7:18]]</w:t>
      </w:r>
      <w:r>
        <w:rPr>
          <w:b/>
        </w:rPr>
        <w:t>18</w:t>
      </w:r>
      <w:r>
        <w:rPr/>
        <w:t xml:space="preserve"> {{field-on:bible}}Wer als Beschnittener berufen wurde, soll nicht die Vorhaut überziehen</w:t>
      </w:r>
      <w:r>
        <w:rPr>
          <w:rStyle w:val="Funotenanker"/>
        </w:rPr>
        <w:footnoteReference w:customMarkFollows="1" w:id="5910"/>
        <w:t>o</w:t>
      </w:r>
      <w:r>
        <w:rPr/>
        <w:t xml:space="preserve">; wer als Unbeschnittener berufen wurde, soll sich nicht beschneiden lassen.{{field-off:bible}} </w:t>
        <w:br/>
        <w:t>[[@BibleTOBIBLE:1Co 7:19]]</w:t>
      </w:r>
      <w:r>
        <w:rPr>
          <w:b/>
        </w:rPr>
        <w:t>19</w:t>
      </w:r>
      <w:r>
        <w:rPr/>
        <w:t xml:space="preserve"> {{field-on:bible}}Die Beschneidung ist nichts und die Unbeschnittenheit ist nichts, sondern die Beachtung der Gebote Gottes.{{field-off:bible}} </w:t>
        <w:br/>
        <w:t>[[@BibleTOBIBLE:1Co 7:20]]</w:t>
      </w:r>
      <w:r>
        <w:rPr>
          <w:b/>
        </w:rPr>
        <w:t>20</w:t>
      </w:r>
      <w:r>
        <w:rPr/>
        <w:t xml:space="preserve"> {{field-on:bible}}Jeder soll in der Berufung </w:t>
      </w:r>
      <w:r>
        <w:rPr>
          <w:color w:val="808080"/>
        </w:rPr>
        <w:t>(dem Beruf)</w:t>
      </w:r>
      <w:r>
        <w:rPr/>
        <w:t xml:space="preserve"> bleiben, in der er berufen wurde </w:t>
      </w:r>
      <w:r>
        <w:rPr>
          <w:color w:val="808080"/>
        </w:rPr>
        <w:t>(in dem ihn der Ruf Gottes traf)</w:t>
      </w:r>
      <w:r>
        <w:rPr/>
        <w:t xml:space="preserve">.{{field-off:bible}} </w:t>
        <w:br/>
        <w:t>[[@BibleTOBIBLE:1Co 7:21]]</w:t>
      </w:r>
      <w:r>
        <w:rPr>
          <w:b/>
        </w:rPr>
        <w:t>21</w:t>
      </w:r>
      <w:r>
        <w:rPr/>
        <w:t xml:space="preserve"> {{field-on:bible}}Du wurdest als Sklave berufen; das soll dich nicht kümmern. Aber wenn du auch Freiheit</w:t>
      </w:r>
      <w:r>
        <w:rPr>
          <w:rStyle w:val="Funotenanker"/>
        </w:rPr>
        <w:footnoteReference w:customMarkFollows="1" w:id="5911"/>
        <w:t>p</w:t>
      </w:r>
      <w:r>
        <w:rPr/>
        <w:t xml:space="preserve"> erlangen kannst, gebrauche sie </w:t>
      </w:r>
      <w:r>
        <w:rPr>
          <w:color w:val="808080"/>
        </w:rPr>
        <w:t>(die Sklaverei? die Freiheit?)</w:t>
      </w:r>
      <w:r>
        <w:rPr/>
        <w:t xml:space="preserve"> </w:t>
      </w:r>
      <w:r>
        <w:rPr>
          <w:rStyle w:val="Funotenanker"/>
        </w:rPr>
        <w:footnoteReference w:customMarkFollows="1" w:id="5912"/>
        <w:t>q</w:t>
      </w:r>
      <w:r>
        <w:rPr/>
        <w:t xml:space="preserve"> um so mehr.{{field-off:bible}} </w:t>
        <w:br/>
        <w:t>[[@BibleTOBIBLE:1Co 7:22]]</w:t>
      </w:r>
      <w:r>
        <w:rPr>
          <w:b/>
        </w:rPr>
        <w:t>22</w:t>
      </w:r>
      <w:r>
        <w:rPr/>
        <w:t xml:space="preserve"> {{field-on:bible}}Denn der Sklave, der durch den </w:t>
      </w:r>
      <w:r>
        <w:rPr>
          <w:color w:val="808080"/>
        </w:rPr>
        <w:t>(im)</w:t>
      </w:r>
      <w:r>
        <w:rPr/>
        <w:t xml:space="preserve"> Herrn berufen wurde, ist ein Freigelassener des Herrn</w:t>
      </w:r>
      <w:r>
        <w:rPr>
          <w:rStyle w:val="Funotenanker"/>
        </w:rPr>
        <w:footnoteReference w:customMarkFollows="1" w:id="5913"/>
        <w:t>r</w:t>
      </w:r>
      <w:r>
        <w:rPr/>
        <w:t xml:space="preserve">, wie </w:t>
      </w:r>
      <w:r>
        <w:rPr>
          <w:color w:val="808080"/>
        </w:rPr>
        <w:t>(in gleicher Weise)</w:t>
      </w:r>
      <w:r>
        <w:rPr/>
        <w:t xml:space="preserve"> der Freie, der berufen wurde, ein Sklave Christi ist.{{field-off:bible}} </w:t>
        <w:br/>
        <w:t>[[@BibleTOBIBLE:1Co 7:23]]</w:t>
      </w:r>
      <w:r>
        <w:rPr>
          <w:b/>
        </w:rPr>
        <w:t>23</w:t>
      </w:r>
      <w:r>
        <w:rPr/>
        <w:t xml:space="preserve"> {{field-on:bible}}Ihr seid bar bezahlt worden </w:t>
      </w:r>
      <w:r>
        <w:rPr>
          <w:color w:val="808080"/>
        </w:rPr>
        <w:t>(wurdet gegen Barzahlung erworben)</w:t>
      </w:r>
      <w:r>
        <w:rPr/>
        <w:t xml:space="preserve">; werdet nicht Sklaven von Menschen.{{field-off:bible}} </w:t>
        <w:br/>
        <w:t>[[@BibleTOBIBLE:1Co 7:24]]</w:t>
      </w:r>
      <w:r>
        <w:rPr>
          <w:b/>
        </w:rPr>
        <w:t>24</w:t>
      </w:r>
      <w:r>
        <w:rPr/>
        <w:t xml:space="preserve"> {{field-on:bible}}Jeder soll darin bleiben, Brüder, worin er von Gott berufen wurde.{{field-off:bible}} </w:t>
        <w:br/>
        <w:t>[[@BibleTOBIBLE:1Co 7:25]]</w:t>
      </w:r>
      <w:r>
        <w:rPr>
          <w:b/>
        </w:rPr>
        <w:t>25</w:t>
      </w:r>
      <w:r>
        <w:rPr/>
        <w:t xml:space="preserve"> {{field-on:bible}}Über die Jungfrauen</w:t>
      </w:r>
      <w:r>
        <w:rPr>
          <w:rStyle w:val="Funotenanker"/>
        </w:rPr>
        <w:footnoteReference w:customMarkFollows="1" w:id="5914"/>
        <w:t>s</w:t>
      </w:r>
      <w:r>
        <w:rPr/>
        <w:t xml:space="preserve"> </w:t>
      </w:r>
      <w:r>
        <w:rPr>
          <w:strike/>
          <w:color w:val="808080"/>
        </w:rPr>
        <w:t>{aber}</w:t>
      </w:r>
      <w:r>
        <w:rPr/>
        <w:t xml:space="preserve"> besitze ich kein Gebot des Herrn. Ich bin aber der Meinung</w:t>
      </w:r>
      <w:r>
        <w:rPr>
          <w:rStyle w:val="Funotenanker"/>
        </w:rPr>
        <w:footnoteReference w:customMarkFollows="1" w:id="5915"/>
        <w:t>t</w:t>
      </w:r>
      <w:r>
        <w:rPr/>
        <w:t>, dass ich ein Vertrauensmann bin</w:t>
      </w:r>
      <w:r>
        <w:rPr>
          <w:rStyle w:val="Funotenanker"/>
        </w:rPr>
        <w:footnoteReference w:customMarkFollows="1" w:id="5916"/>
        <w:t>u</w:t>
      </w:r>
      <w:r>
        <w:rPr/>
        <w:t>, weil</w:t>
      </w:r>
      <w:r>
        <w:rPr>
          <w:rStyle w:val="Funotenanker"/>
        </w:rPr>
        <w:footnoteReference w:customMarkFollows="1" w:id="5917"/>
        <w:t>v</w:t>
      </w:r>
      <w:r>
        <w:rPr/>
        <w:t xml:space="preserve"> ich vom Herrn begnadigt wurde </w:t>
      </w:r>
      <w:r>
        <w:rPr>
          <w:color w:val="808080"/>
        </w:rPr>
        <w:t>(Erbarmen fand)</w:t>
      </w:r>
      <w:r>
        <w:rPr/>
        <w:t xml:space="preserve">.{{field-off:bible}} </w:t>
        <w:br/>
        <w:t>[[@BibleTOBIBLE:1Co 7:26]]</w:t>
      </w:r>
      <w:r>
        <w:rPr>
          <w:b/>
        </w:rPr>
        <w:t>26</w:t>
      </w:r>
      <w:r>
        <w:rPr/>
        <w:t xml:space="preserve"> {{field-on:bible}}Ich meine nun, dies sei gut </w:t>
      </w:r>
      <w:r>
        <w:rPr>
          <w:color w:val="808080"/>
        </w:rPr>
        <w:t>(dass dies gut sei)</w:t>
      </w:r>
      <w:r>
        <w:rPr/>
        <w:t xml:space="preserve"> wegen der bevorstehenden Not</w:t>
      </w:r>
      <w:r>
        <w:rPr>
          <w:rStyle w:val="Funotenanker"/>
        </w:rPr>
        <w:footnoteReference w:customMarkFollows="1" w:id="5918"/>
        <w:t>w</w:t>
      </w:r>
      <w:r>
        <w:rPr/>
        <w:t xml:space="preserve">, dass es für den Menschen gut ist, wenn er bleibt, wie er ist.{{field-off:bible}} </w:t>
        <w:br/>
        <w:t>[[@BibleTOBIBLE:1Co 7:27]]</w:t>
      </w:r>
      <w:r>
        <w:rPr>
          <w:b/>
        </w:rPr>
        <w:t>27</w:t>
      </w:r>
      <w:r>
        <w:rPr/>
        <w:t xml:space="preserve"> {{field-on:bible}}Wurde dir eine Frau gegeben, suche nicht die Scheidung </w:t>
      </w:r>
      <w:r>
        <w:rPr>
          <w:color w:val="808080"/>
        </w:rPr>
        <w:t>(Trennung)</w:t>
      </w:r>
      <w:r>
        <w:rPr/>
        <w:t xml:space="preserve">; hast du dich von einer Frau getrennt </w:t>
      </w:r>
      <w:r>
        <w:rPr>
          <w:color w:val="808080"/>
        </w:rPr>
        <w:t>(frei gemacht)</w:t>
      </w:r>
      <w:r>
        <w:rPr/>
        <w:t xml:space="preserve">, suche keine Frau.{{field-off:bible}} </w:t>
        <w:br/>
        <w:t>[[@BibleTOBIBLE:1Co 7:28]]</w:t>
      </w:r>
      <w:r>
        <w:rPr>
          <w:b/>
        </w:rPr>
        <w:t>28</w:t>
      </w:r>
      <w:r>
        <w:rPr/>
        <w:t xml:space="preserve"> {{field-on:bible}}Wenn du aber heiratest, sündigst du nicht, und wenn die Jungfrau</w:t>
      </w:r>
      <w:r>
        <w:rPr>
          <w:rStyle w:val="Funotenanker"/>
        </w:rPr>
        <w:footnoteReference w:customMarkFollows="1" w:id="5919"/>
        <w:t>x</w:t>
      </w:r>
      <w:r>
        <w:rPr/>
        <w:t xml:space="preserve"> heiratet, sündigt sie nicht. Leibliche Bedrängnis werden diese aber </w:t>
      </w:r>
      <w:r>
        <w:rPr>
          <w:color w:val="808080"/>
        </w:rPr>
        <w:t>(haben =)</w:t>
      </w:r>
      <w:r>
        <w:rPr/>
        <w:t xml:space="preserve"> erleben, ich aber schone euch </w:t>
      </w:r>
      <w:r>
        <w:rPr>
          <w:color w:val="808080"/>
        </w:rPr>
        <w:t>(= würde euch gern schonen?)</w:t>
      </w:r>
      <w:r>
        <w:rPr/>
        <w:t xml:space="preserve">.{{field-off:bible}} </w:t>
        <w:br/>
        <w:t>[[@BibleTOBIBLE:1Co 7:29]]</w:t>
      </w:r>
      <w:r>
        <w:rPr>
          <w:b/>
        </w:rPr>
        <w:t>29</w:t>
      </w:r>
      <w:r>
        <w:rPr/>
        <w:t xml:space="preserve"> {{field-on:bible}}Dies aber sage ich, Brüder, die Zeit ist zusammengedrängt </w:t>
      </w:r>
      <w:r>
        <w:rPr>
          <w:color w:val="808080"/>
        </w:rPr>
        <w:t>(beschränkt)</w:t>
      </w:r>
      <w:r>
        <w:rPr/>
        <w:t xml:space="preserve">. Hinfort </w:t>
      </w:r>
      <w:r>
        <w:rPr>
          <w:color w:val="808080"/>
        </w:rPr>
        <w:t>(zukünftig)</w:t>
      </w:r>
      <w:r>
        <w:rPr/>
        <w:t xml:space="preserve"> sollen</w:t>
      </w:r>
      <w:r>
        <w:rPr>
          <w:rStyle w:val="Funotenanker"/>
        </w:rPr>
        <w:footnoteReference w:customMarkFollows="1" w:id="5920"/>
        <w:t>y</w:t>
      </w:r>
      <w:r>
        <w:rPr/>
        <w:t xml:space="preserve"> die Frauen haben sein, als hätten sie keine,{{field-off:bible}} </w:t>
        <w:br/>
        <w:t>[[@BibleTOBIBLE:1Co 7:30]]</w:t>
      </w:r>
      <w:r>
        <w:rPr>
          <w:b/>
        </w:rPr>
        <w:t>30</w:t>
      </w:r>
      <w:r>
        <w:rPr/>
        <w:t xml:space="preserve"> {{field-on:bible}}und die weinen, als weinten sie nicht, und die sich freuen, als freuten sie sich nicht, und die kaufen, als besäßen sie nicht,{{field-off:bible}} </w:t>
        <w:br/>
        <w:t>[[@BibleTOBIBLE:1Co 7:31]]</w:t>
      </w:r>
      <w:r>
        <w:rPr>
          <w:b/>
        </w:rPr>
        <w:t>31</w:t>
      </w:r>
      <w:r>
        <w:rPr/>
        <w:t xml:space="preserve"> {{field-on:bible}}und die die Welt gebrauchen, als missbrauchten</w:t>
      </w:r>
      <w:r>
        <w:rPr>
          <w:rStyle w:val="Funotenanker"/>
        </w:rPr>
        <w:footnoteReference w:customMarkFollows="1" w:id="5921"/>
        <w:t>z</w:t>
      </w:r>
      <w:r>
        <w:rPr/>
        <w:t xml:space="preserve"> sie sie nicht, denn diese Welt selbst </w:t>
      </w:r>
      <w:r>
        <w:rPr>
          <w:color w:val="808080"/>
        </w:rPr>
        <w:t>(die Gestalt, das Wesen dieser Welt)</w:t>
      </w:r>
      <w:r>
        <w:rPr/>
        <w:t xml:space="preserve"> vergeht.{{field-off:bible}} </w:t>
        <w:br/>
        <w:t>[[@BibleTOBIBLE:1Co 7:32]]</w:t>
      </w:r>
      <w:r>
        <w:rPr>
          <w:b/>
        </w:rPr>
        <w:t>32</w:t>
      </w:r>
      <w:r>
        <w:rPr/>
        <w:t xml:space="preserve"> {{field-on:bible}}Ich möchte aber, dass ihr sorglos </w:t>
      </w:r>
      <w:r>
        <w:rPr>
          <w:color w:val="808080"/>
        </w:rPr>
        <w:t>(sorgenfrei)</w:t>
      </w:r>
      <w:r>
        <w:rPr/>
        <w:t xml:space="preserve"> seid. Der Unverheiratete sorgt für </w:t>
      </w:r>
      <w:r>
        <w:rPr>
          <w:color w:val="808080"/>
        </w:rPr>
        <w:t>(trägt Sorge für)</w:t>
      </w:r>
      <w:r>
        <w:rPr/>
        <w:t xml:space="preserve"> die Angelegenheiten des Herrn, wie er dem Herrn gefallen </w:t>
      </w:r>
      <w:r>
        <w:rPr>
          <w:color w:val="808080"/>
        </w:rPr>
        <w:t>(zu Gefallen sein)</w:t>
      </w:r>
      <w:r>
        <w:rPr/>
        <w:t xml:space="preserve"> kann.{{field-off:bible}} </w:t>
        <w:br/>
        <w:t>[[@BibleTOBIBLE:1Co 7:33]]</w:t>
      </w:r>
      <w:r>
        <w:rPr>
          <w:b/>
        </w:rPr>
        <w:t>33</w:t>
      </w:r>
      <w:r>
        <w:rPr/>
        <w:t xml:space="preserve"> {{field-on:bible}}Der Verheiratete aber sorgt sich um </w:t>
      </w:r>
      <w:r>
        <w:rPr>
          <w:color w:val="808080"/>
        </w:rPr>
        <w:t>(trägt Sorge um)</w:t>
      </w:r>
      <w:r>
        <w:rPr/>
        <w:t xml:space="preserve"> die Welt, wie er der Frau gefallen </w:t>
      </w:r>
      <w:r>
        <w:rPr>
          <w:color w:val="808080"/>
        </w:rPr>
        <w:t>(zu Gefallen sein)</w:t>
      </w:r>
      <w:r>
        <w:rPr/>
        <w:t xml:space="preserve"> kann,{{field-off:bible}} </w:t>
        <w:br/>
        <w:t>[[@BibleTOBIBLE:1Co 7:34]]</w:t>
      </w:r>
      <w:r>
        <w:rPr>
          <w:b/>
        </w:rPr>
        <w:t>34</w:t>
      </w:r>
      <w:r>
        <w:rPr/>
        <w:t xml:space="preserve"> {{field-on:bible}}und ist in sich gespalten</w:t>
      </w:r>
      <w:r>
        <w:rPr>
          <w:rStyle w:val="Funotenanker"/>
        </w:rPr>
        <w:footnoteReference w:customMarkFollows="1" w:id="5922"/>
        <w:t>aa</w:t>
      </w:r>
      <w:r>
        <w:rPr/>
        <w:t xml:space="preserve">. Und die Frau, die Unverheiratete und die Jungfrau, sorgt für </w:t>
      </w:r>
      <w:r>
        <w:rPr>
          <w:color w:val="808080"/>
        </w:rPr>
        <w:t>(trägt Sorge für)</w:t>
      </w:r>
      <w:r>
        <w:rPr/>
        <w:t xml:space="preserve"> die Angelegenheiten des Herrn, damit sie heilig ist sowohl körperlich als auch geistig </w:t>
      </w:r>
      <w:r>
        <w:rPr>
          <w:color w:val="808080"/>
        </w:rPr>
        <w:t>(geistlich)</w:t>
      </w:r>
      <w:r>
        <w:rPr/>
        <w:t xml:space="preserve">. Aber die Verheiratete sorgt sich um </w:t>
      </w:r>
      <w:r>
        <w:rPr>
          <w:color w:val="808080"/>
        </w:rPr>
        <w:t>(trägt Sorge um)</w:t>
      </w:r>
      <w:r>
        <w:rPr/>
        <w:t xml:space="preserve"> die Welt, wie sie dem Mann gefallen </w:t>
      </w:r>
      <w:r>
        <w:rPr>
          <w:color w:val="808080"/>
        </w:rPr>
        <w:t>(zu Gefallen sein)</w:t>
      </w:r>
      <w:r>
        <w:rPr/>
        <w:t xml:space="preserve"> kann.{{field-off:bible}} </w:t>
        <w:br/>
        <w:t>[[@BibleTOBIBLE:1Co 7:35]]</w:t>
      </w:r>
      <w:r>
        <w:rPr>
          <w:b/>
        </w:rPr>
        <w:t>35</w:t>
      </w:r>
      <w:r>
        <w:rPr/>
        <w:t xml:space="preserve"> {{field-on:bible}}Dies aber sage ich zu eurem eigenen Vorteil </w:t>
      </w:r>
      <w:r>
        <w:rPr>
          <w:color w:val="808080"/>
        </w:rPr>
        <w:t>(Nutzen)</w:t>
      </w:r>
      <w:r>
        <w:rPr/>
        <w:t xml:space="preserve">, nicht, um euch eine Schlinge überzuwerfen, sondern damit ihr ungestört </w:t>
      </w:r>
      <w:r>
        <w:rPr>
          <w:color w:val="808080"/>
        </w:rPr>
        <w:t>(nicht abgelenkt)</w:t>
      </w:r>
      <w:r>
        <w:rPr/>
        <w:t xml:space="preserve"> anständig und beharrlich im Herrn </w:t>
      </w:r>
      <w:r>
        <w:rPr>
          <w:b/>
          <w:color w:val="808080"/>
        </w:rPr>
        <w:t>[</w:t>
      </w:r>
      <w:r>
        <w:rPr/>
        <w:t>seid</w:t>
      </w:r>
      <w:r>
        <w:rPr>
          <w:b/>
          <w:color w:val="808080"/>
        </w:rPr>
        <w:t>]</w:t>
      </w:r>
      <w:r>
        <w:rPr/>
        <w:t xml:space="preserve">.{{field-off:bible}} </w:t>
        <w:br/>
        <w:t>[[@BibleTOBIBLE:1Co 7:36]]</w:t>
      </w:r>
      <w:r>
        <w:rPr>
          <w:b/>
        </w:rPr>
        <w:t>36</w:t>
      </w:r>
      <w:r>
        <w:rPr/>
        <w:t xml:space="preserve"> {{field-on:bible}}Wenn aber einer glaubt, sich unanständig gegenüber seiner Jungfrau</w:t>
      </w:r>
      <w:r>
        <w:rPr>
          <w:rStyle w:val="Funotenanker"/>
        </w:rPr>
        <w:footnoteReference w:customMarkFollows="1" w:id="5923"/>
        <w:t>ab</w:t>
      </w:r>
      <w:r>
        <w:rPr/>
        <w:t xml:space="preserve"> zu benehmen </w:t>
      </w:r>
      <w:r>
        <w:rPr>
          <w:color w:val="808080"/>
        </w:rPr>
        <w:t>(sich seiner Jungfrau gegenüber schämen zu müssen)</w:t>
      </w:r>
      <w:r>
        <w:rPr/>
        <w:t>, wenn er überreif</w:t>
      </w:r>
      <w:r>
        <w:rPr>
          <w:rStyle w:val="Funotenanker"/>
        </w:rPr>
        <w:footnoteReference w:customMarkFollows="1" w:id="5924"/>
        <w:t>ac</w:t>
      </w:r>
      <w:r>
        <w:rPr/>
        <w:t xml:space="preserve"> ist und so geschehen muss, was er tun will, sündigt er nicht; sie sollen heiraten.{{field-off:bible}} </w:t>
        <w:br/>
        <w:t>[[@BibleTOBIBLE:1Co 7:37]]</w:t>
      </w:r>
      <w:r>
        <w:rPr>
          <w:b/>
        </w:rPr>
        <w:t>37</w:t>
      </w:r>
      <w:r>
        <w:rPr/>
        <w:t xml:space="preserve"> {{field-on:bible}}Wer aber in seinem Herz fest steht, ohne Zwang, aber Macht hat über seinen Willen und dies in seinem Herzen beschließt, seine Jungfrau zu bewahren </w:t>
      </w:r>
      <w:r>
        <w:rPr>
          <w:color w:val="808080"/>
        </w:rPr>
        <w:t>(= unberührt zu lassen)</w:t>
      </w:r>
      <w:r>
        <w:rPr/>
        <w:t xml:space="preserve">, tut recht </w:t>
      </w:r>
      <w:r>
        <w:rPr>
          <w:b/>
          <w:color w:val="808080"/>
        </w:rPr>
        <w:t>[</w:t>
      </w:r>
      <w:r>
        <w:rPr/>
        <w:t>daran</w:t>
      </w:r>
      <w:r>
        <w:rPr>
          <w:b/>
          <w:color w:val="808080"/>
        </w:rPr>
        <w:t>]</w:t>
      </w:r>
      <w:r>
        <w:rPr/>
        <w:t xml:space="preserve">.{{field-off:bible}} </w:t>
        <w:br/>
        <w:t>[[@BibleTOBIBLE:1Co 7:38]]</w:t>
      </w:r>
      <w:r>
        <w:rPr>
          <w:b/>
        </w:rPr>
        <w:t>38</w:t>
      </w:r>
      <w:r>
        <w:rPr/>
        <w:t xml:space="preserve"> {{field-on:bible}}So tut auch recht, wer seine Jungfrau heiratet, aber wer nicht heiratet, tut Besseres.{{field-off:bible}} </w:t>
        <w:br/>
        <w:t>[[@BibleTOBIBLE:1Co 7:39]]</w:t>
      </w:r>
      <w:r>
        <w:rPr>
          <w:b/>
        </w:rPr>
        <w:t>39</w:t>
      </w:r>
      <w:r>
        <w:rPr/>
        <w:t xml:space="preserve"> {{field-on:bible}}Eine Frau ist </w:t>
      </w:r>
      <w:r>
        <w:rPr>
          <w:color w:val="808080"/>
        </w:rPr>
        <w:t>(gegeben =)</w:t>
      </w:r>
      <w:r>
        <w:rPr/>
        <w:t xml:space="preserve"> gebunden, solange ihr Mann lebt; wenn aber der Mann entschlafen ist, ist sie frei, zu heiraten, wen sie will, allein</w:t>
      </w:r>
      <w:r>
        <w:rPr>
          <w:rStyle w:val="Funotenanker"/>
        </w:rPr>
        <w:footnoteReference w:customMarkFollows="1" w:id="5925"/>
        <w:t>ad</w:t>
      </w:r>
      <w:r>
        <w:rPr/>
        <w:t xml:space="preserve"> </w:t>
      </w:r>
      <w:r>
        <w:rPr>
          <w:b/>
          <w:color w:val="808080"/>
        </w:rPr>
        <w:t>[</w:t>
      </w:r>
      <w:r>
        <w:rPr/>
        <w:t>dass es</w:t>
      </w:r>
      <w:r>
        <w:rPr>
          <w:b/>
          <w:color w:val="808080"/>
        </w:rPr>
        <w:t>]</w:t>
      </w:r>
      <w:r>
        <w:rPr/>
        <w:t xml:space="preserve"> im Herrn </w:t>
      </w:r>
      <w:r>
        <w:rPr>
          <w:b/>
          <w:color w:val="808080"/>
        </w:rPr>
        <w:t>[</w:t>
      </w:r>
      <w:r>
        <w:rPr/>
        <w:t>geschieht</w:t>
      </w:r>
      <w:r>
        <w:rPr>
          <w:b/>
          <w:color w:val="808080"/>
        </w:rPr>
        <w:t>]</w:t>
      </w:r>
      <w:r>
        <w:rPr/>
        <w:t xml:space="preserve">.{{field-off:bible}} </w:t>
        <w:br/>
        <w:t>[[@BibleTOBIBLE:1Co 7:40]]</w:t>
      </w:r>
      <w:r>
        <w:rPr>
          <w:b/>
        </w:rPr>
        <w:t>40</w:t>
      </w:r>
      <w:r>
        <w:rPr/>
        <w:t xml:space="preserve"> {{field-on:bible}}Glücklicher </w:t>
      </w:r>
      <w:r>
        <w:rPr>
          <w:color w:val="808080"/>
        </w:rPr>
        <w:t>(seliger)</w:t>
      </w:r>
      <w:r>
        <w:rPr/>
        <w:t xml:space="preserve"> aber ist sie, wenn sie so</w:t>
      </w:r>
      <w:r>
        <w:rPr>
          <w:rStyle w:val="Funotenanker"/>
        </w:rPr>
        <w:footnoteReference w:customMarkFollows="1" w:id="5926"/>
        <w:t>ae</w:t>
      </w:r>
      <w:r>
        <w:rPr/>
        <w:t xml:space="preserve"> bleibt, meiner Meinung nach. Ich meine aber, dass auch ich den Geist Gottes habe.{{field-off:bible}} </w:t>
      </w:r>
    </w:p>
    <w:p>
      <w:pPr>
        <w:pStyle w:val="Berschrift3"/>
        <w:rPr/>
      </w:pPr>
      <w:r>
        <w:rPr/>
        <w:t>[[@BibleTOBIBLE:1Co 9]]Kapitel 9</w:t>
      </w:r>
    </w:p>
    <w:p>
      <w:pPr>
        <w:pStyle w:val="Textkrper"/>
        <w:rPr/>
      </w:pPr>
      <w:r>
        <w:rPr/>
        <w:br/>
        <w:t>[[@BibleTOBIBLE:1Co 9:19]]</w:t>
      </w:r>
      <w:r>
        <w:rPr>
          <w:b/>
        </w:rPr>
        <w:t>19</w:t>
      </w:r>
      <w:r>
        <w:rPr/>
        <w:t xml:space="preserve"> {{field-on:bible}}Denn weil </w:t>
      </w:r>
      <w:r>
        <w:rPr>
          <w:color w:val="808080"/>
        </w:rPr>
        <w:t>(obwohl)</w:t>
      </w:r>
      <w:r>
        <w:rPr/>
        <w:t xml:space="preserve"> </w:t>
      </w:r>
      <w:r>
        <w:rPr>
          <w:rStyle w:val="Funotenanker"/>
        </w:rPr>
        <w:footnoteReference w:customMarkFollows="1" w:id="5927"/>
        <w:t>a</w:t>
      </w:r>
      <w:r>
        <w:rPr/>
        <w:t xml:space="preserve"> ich frei bin allen gegenüber, habe ich mich allen zum Sklaven gemacht, damit ich möglichst viele gewinne.{{field-off:bible}} </w:t>
        <w:br/>
        <w:t>[[@BibleTOBIBLE:1Co 9:20]]</w:t>
      </w:r>
      <w:r>
        <w:rPr>
          <w:b/>
        </w:rPr>
        <w:t>20</w:t>
      </w:r>
      <w:r>
        <w:rPr/>
        <w:t xml:space="preserve"> {{field-on:bible}} </w:t>
      </w:r>
      <w:r>
        <w:rPr>
          <w:b/>
          <w:color w:val="808080"/>
        </w:rPr>
        <w:t>[</w:t>
      </w:r>
      <w:r>
        <w:rPr/>
        <w:t xml:space="preserve"> Das heißt:</w:t>
      </w:r>
      <w:r>
        <w:rPr>
          <w:b/>
          <w:color w:val="808080"/>
        </w:rPr>
        <w:t>]</w:t>
      </w:r>
      <w:r>
        <w:rPr/>
        <w:t xml:space="preserve"> für die Juden bin ich wie ein Jude geworden, damit ich </w:t>
      </w:r>
      <w:r>
        <w:rPr>
          <w:b/>
          <w:color w:val="808080"/>
        </w:rPr>
        <w:t>[</w:t>
      </w:r>
      <w:r>
        <w:rPr/>
        <w:t>die</w:t>
      </w:r>
      <w:r>
        <w:rPr>
          <w:b/>
          <w:color w:val="808080"/>
        </w:rPr>
        <w:t>]</w:t>
      </w:r>
      <w:r>
        <w:rPr/>
        <w:t xml:space="preserve"> Juden gewinne; für die unter dem Gesetz </w:t>
      </w:r>
      <w:r>
        <w:rPr>
          <w:b/>
          <w:color w:val="808080"/>
        </w:rPr>
        <w:t>[</w:t>
      </w:r>
      <w:r>
        <w:rPr/>
        <w:t>des Mose</w:t>
      </w:r>
      <w:r>
        <w:rPr>
          <w:b/>
          <w:color w:val="808080"/>
        </w:rPr>
        <w:t>]</w:t>
      </w:r>
      <w:r>
        <w:rPr/>
        <w:t xml:space="preserve"> bin ich wie einer unter dem Gesetz geworden – auch wenn ich selbst nicht unter dem Gesetz bin – damit ich die unter dem Gesetz gewinne;{{field-off:bible}} </w:t>
        <w:br/>
        <w:t>[[@BibleTOBIBLE:1Co 9:21]]</w:t>
      </w:r>
      <w:r>
        <w:rPr>
          <w:b/>
        </w:rPr>
        <w:t>21</w:t>
      </w:r>
      <w:r>
        <w:rPr/>
        <w:t xml:space="preserve"> {{field-on:bible}}für die ohne Gesetz wie einer ohne Gesetz – auch wenn ich nicht ohne Gesetz Gottes bin, sondern </w:t>
      </w:r>
      <w:r>
        <w:rPr>
          <w:b/>
          <w:color w:val="808080"/>
        </w:rPr>
        <w:t>[</w:t>
      </w:r>
      <w:r>
        <w:rPr/>
        <w:t>ich bin</w:t>
      </w:r>
      <w:r>
        <w:rPr>
          <w:b/>
          <w:color w:val="808080"/>
        </w:rPr>
        <w:t>]</w:t>
      </w:r>
      <w:r>
        <w:rPr/>
        <w:t xml:space="preserve"> im Gesetz Christi – damit ich die ohne Gesetz gewinne;{{field-off:bible}} </w:t>
        <w:br/>
        <w:t>[[@BibleTOBIBLE:1Co 9:22]]</w:t>
      </w:r>
      <w:r>
        <w:rPr>
          <w:b/>
        </w:rPr>
        <w:t>22</w:t>
      </w:r>
      <w:r>
        <w:rPr/>
        <w:t xml:space="preserve"> {{field-on:bible}}für die Schwachen bin ich schwach geworden, damit ich die Schwachen gewinne; für alle </w:t>
      </w:r>
      <w:r>
        <w:rPr>
          <w:b/>
          <w:color w:val="808080"/>
        </w:rPr>
        <w:t>[</w:t>
      </w:r>
      <w:r>
        <w:rPr/>
        <w:t>diese</w:t>
      </w:r>
      <w:r>
        <w:rPr>
          <w:b/>
          <w:color w:val="808080"/>
        </w:rPr>
        <w:t>]</w:t>
      </w:r>
      <w:r>
        <w:rPr/>
        <w:t xml:space="preserve"> bin ich alles geworden, damit ich von allen welche errette.{{field-off:bible}} </w:t>
        <w:br/>
        <w:t>[[@BibleTOBIBLE:1Co 9:23]]</w:t>
      </w:r>
      <w:r>
        <w:rPr>
          <w:b/>
        </w:rPr>
        <w:t>23</w:t>
      </w:r>
      <w:r>
        <w:rPr/>
        <w:t xml:space="preserve"> {{field-on:bible}}Alle diese Dinge tue ich um des Evangeliums willen, damit auch ich Anteil am Evangelium habe.{{field-off:bible}} </w:t>
        <w:br/>
        <w:t>[[@BibleTOBIBLE:1Co 9:24]]</w:t>
      </w:r>
      <w:r>
        <w:rPr>
          <w:b/>
        </w:rPr>
        <w:t>24</w:t>
      </w:r>
      <w:r>
        <w:rPr/>
        <w:t xml:space="preserve"> {{field-on:bible}}Wisst ihr </w:t>
      </w:r>
      <w:r>
        <w:rPr>
          <w:b/>
          <w:color w:val="808080"/>
        </w:rPr>
        <w:t>[</w:t>
      </w:r>
      <w:r>
        <w:rPr/>
        <w:t>denn</w:t>
      </w:r>
      <w:r>
        <w:rPr>
          <w:b/>
          <w:color w:val="808080"/>
        </w:rPr>
        <w:t>]</w:t>
      </w:r>
      <w:r>
        <w:rPr/>
        <w:t xml:space="preserve"> nicht, dass zwar alle Athleten am Wettkampf teilnehmen</w:t>
      </w:r>
      <w:r>
        <w:rPr>
          <w:rStyle w:val="Funotenanker"/>
        </w:rPr>
        <w:footnoteReference w:customMarkFollows="1" w:id="5928"/>
        <w:t>b</w:t>
      </w:r>
      <w:r>
        <w:rPr/>
        <w:t>, aber nur einer den Siegeskranz</w:t>
      </w:r>
      <w:r>
        <w:rPr>
          <w:rStyle w:val="Funotenanker"/>
        </w:rPr>
        <w:footnoteReference w:customMarkFollows="1" w:id="5929"/>
        <w:t>c</w:t>
      </w:r>
      <w:r>
        <w:rPr/>
        <w:t xml:space="preserve"> bekommt?{{field-off:bible}} </w:t>
        <w:br/>
        <w:t>[[@BibleTOBIBLE:1Co 9:25]]</w:t>
      </w:r>
      <w:r>
        <w:rPr>
          <w:b/>
        </w:rPr>
        <w:t>25</w:t>
      </w:r>
      <w:r>
        <w:rPr/>
        <w:t xml:space="preserve"> {{field-on:bible}}Jeder aber, der kämpft, übt sich in Verzicht </w:t>
      </w:r>
      <w:r>
        <w:rPr>
          <w:color w:val="808080"/>
        </w:rPr>
        <w:t>(Selbstbeherrschung)</w:t>
      </w:r>
      <w:r>
        <w:rPr/>
        <w:t xml:space="preserve"> </w:t>
      </w:r>
      <w:r>
        <w:rPr>
          <w:rStyle w:val="Funotenanker"/>
        </w:rPr>
        <w:footnoteReference w:customMarkFollows="1" w:id="5930"/>
        <w:t>d</w:t>
      </w:r>
      <w:r>
        <w:rPr/>
        <w:t xml:space="preserve"> in allen </w:t>
      </w:r>
      <w:r>
        <w:rPr>
          <w:b/>
          <w:color w:val="808080"/>
        </w:rPr>
        <w:t>[</w:t>
      </w:r>
      <w:r>
        <w:rPr/>
        <w:t>Lebensbereichen</w:t>
      </w:r>
      <w:r>
        <w:rPr>
          <w:b/>
          <w:color w:val="808080"/>
        </w:rPr>
        <w:t>]</w:t>
      </w:r>
      <w:r>
        <w:rPr/>
        <w:t>. Die Athleten tun es, damit sie einen Siegeskranz bekommen, der doch vergänglich ist</w:t>
      </w:r>
      <w:r>
        <w:rPr>
          <w:rStyle w:val="Funotenanker"/>
        </w:rPr>
        <w:footnoteReference w:customMarkFollows="1" w:id="5931"/>
        <w:t>e</w:t>
      </w:r>
      <w:r>
        <w:rPr/>
        <w:t xml:space="preserve">; wir aber für einen unvergänglichen.{{field-off:bible}} </w:t>
        <w:br/>
        <w:t>[[@BibleTOBIBLE:1Co 9:26]]</w:t>
      </w:r>
      <w:r>
        <w:rPr>
          <w:b/>
        </w:rPr>
        <w:t>26</w:t>
      </w:r>
      <w:r>
        <w:rPr/>
        <w:t xml:space="preserve"> {{field-on:bible}} </w:t>
      </w:r>
      <w:r>
        <w:rPr>
          <w:b/>
          <w:color w:val="808080"/>
        </w:rPr>
        <w:t>[</w:t>
      </w:r>
      <w:r>
        <w:rPr/>
        <w:t>Das gilt</w:t>
      </w:r>
      <w:r>
        <w:rPr>
          <w:b/>
          <w:color w:val="808080"/>
        </w:rPr>
        <w:t>]</w:t>
      </w:r>
      <w:r>
        <w:rPr/>
        <w:t xml:space="preserve"> auch für mich</w:t>
      </w:r>
      <w:r>
        <w:rPr>
          <w:rStyle w:val="Funotenanker"/>
        </w:rPr>
        <w:footnoteReference w:customMarkFollows="1" w:id="5932"/>
        <w:t>f</w:t>
      </w:r>
      <w:r>
        <w:rPr/>
        <w:t>: Ich laufe nicht wie einer, der ziellos umherirrt, ich boxe nicht wie einer, der wild um sich haut</w:t>
      </w:r>
      <w:r>
        <w:rPr>
          <w:rStyle w:val="Funotenanker"/>
        </w:rPr>
        <w:footnoteReference w:customMarkFollows="1" w:id="5933"/>
        <w:t>g</w:t>
      </w:r>
      <w:r>
        <w:rPr/>
        <w:t xml:space="preserve">;{{field-off:bible}} </w:t>
        <w:br/>
        <w:t>[[@BibleTOBIBLE:1Co 9:27]]</w:t>
      </w:r>
      <w:r>
        <w:rPr>
          <w:b/>
        </w:rPr>
        <w:t>27</w:t>
      </w:r>
      <w:r>
        <w:rPr/>
        <w:t xml:space="preserve"> {{field-on:bible}}sondern ich führe einen harten Kampf</w:t>
      </w:r>
      <w:r>
        <w:rPr>
          <w:rStyle w:val="Funotenanker"/>
        </w:rPr>
        <w:footnoteReference w:customMarkFollows="1" w:id="5934"/>
        <w:t>h</w:t>
      </w:r>
      <w:r>
        <w:rPr/>
        <w:t xml:space="preserve"> gegen mich selbst und zwinge meinen Körper, mir zu gehorchen</w:t>
      </w:r>
      <w:r>
        <w:rPr>
          <w:rStyle w:val="Funotenanker"/>
        </w:rPr>
        <w:footnoteReference w:customMarkFollows="1" w:id="5935"/>
        <w:t>i</w:t>
      </w:r>
      <w:r>
        <w:rPr/>
        <w:t xml:space="preserve">, damit ich nicht an dem, was ich anderen gepredigt habe, selbst untauglich werde </w:t>
      </w:r>
      <w:r>
        <w:rPr>
          <w:color w:val="808080"/>
        </w:rPr>
        <w:t>(scheitere)</w:t>
      </w:r>
      <w:r>
        <w:rPr/>
        <w:t xml:space="preserve">.{{field-off:bible}} </w:t>
      </w:r>
    </w:p>
    <w:p>
      <w:pPr>
        <w:pStyle w:val="Berschrift3"/>
        <w:rPr/>
      </w:pPr>
      <w:r>
        <w:rPr/>
        <w:t>[[@BibleTOBIBLE:1Co 10]]Kapitel 10</w:t>
      </w:r>
    </w:p>
    <w:p>
      <w:pPr>
        <w:pStyle w:val="Textkrper"/>
        <w:rPr/>
      </w:pPr>
      <w:r>
        <w:rPr/>
        <w:br/>
        <w:t>[[@BibleTOBIBLE:1Co 10:1]]</w:t>
      </w:r>
      <w:r>
        <w:rPr>
          <w:b/>
        </w:rPr>
        <w:t>1</w:t>
      </w:r>
      <w:r>
        <w:rPr/>
        <w:t xml:space="preserve"> {{field-on:bible}}Ich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936"/>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937"/>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938"/>
        <w:t>Status</w:t>
      </w:r>
      <w:r>
        <w:rPr/>
        <w:t xml:space="preserve"> Wenn ich </w:t>
      </w:r>
      <w:r>
        <w:rPr>
          <w:color w:val="808080"/>
        </w:rPr>
        <w:t>(einer)</w:t>
      </w:r>
      <w:r>
        <w:rPr/>
        <w:t xml:space="preserve"> </w:t>
      </w:r>
      <w:r>
        <w:rPr>
          <w:rStyle w:val="Funotenanker"/>
        </w:rPr>
        <w:footnoteReference w:customMarkFollows="1" w:id="5939"/>
        <w:t>a</w:t>
      </w:r>
      <w:r>
        <w:rPr/>
        <w:t xml:space="preserve"> in den Sprachen der Menschen</w:t>
      </w:r>
      <w:r>
        <w:rPr>
          <w:rStyle w:val="Funotenanker"/>
        </w:rPr>
        <w:footnoteReference w:customMarkFollows="1" w:id="5940"/>
        <w:t>b</w:t>
      </w:r>
      <w:r>
        <w:rPr/>
        <w:t xml:space="preserve"> spräche </w:t>
      </w:r>
      <w:r>
        <w:rPr>
          <w:color w:val="808080"/>
        </w:rPr>
        <w:t>(spreche)</w:t>
      </w:r>
      <w:r>
        <w:rPr/>
        <w:t xml:space="preserve"> </w:t>
      </w:r>
      <w:r>
        <w:rPr>
          <w:rStyle w:val="Funotenanker"/>
        </w:rPr>
        <w:footnoteReference w:customMarkFollows="1" w:id="5941"/>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942"/>
        <w:t>d</w:t>
      </w:r>
      <w:r>
        <w:rPr/>
        <w:t xml:space="preserve">, aber keine Liebe hätte </w:t>
      </w:r>
      <w:r>
        <w:rPr>
          <w:color w:val="808080"/>
        </w:rPr>
        <w:t>(habe, nicht liebte</w:t>
      </w:r>
      <w:r>
        <w:rPr/>
        <w:t xml:space="preserve"> </w:t>
      </w:r>
      <w:r>
        <w:rPr>
          <w:rStyle w:val="Funotenanker"/>
        </w:rPr>
        <w:footnoteReference w:customMarkFollows="1" w:id="5943"/>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944"/>
        <w:t>f</w:t>
      </w:r>
      <w:r>
        <w:rPr/>
        <w:t xml:space="preserve"> oder eine klingende </w:t>
      </w:r>
      <w:r>
        <w:rPr>
          <w:color w:val="808080"/>
        </w:rPr>
        <w:t>(lärmende)</w:t>
      </w:r>
      <w:r>
        <w:rPr/>
        <w:t xml:space="preserve"> </w:t>
      </w:r>
      <w:r>
        <w:rPr>
          <w:rStyle w:val="Funotenanker"/>
        </w:rPr>
        <w:footnoteReference w:customMarkFollows="1" w:id="5945"/>
        <w:t>g</w:t>
      </w:r>
      <w:r>
        <w:rPr/>
        <w:t xml:space="preserve"> Zimbel</w:t>
      </w:r>
      <w:r>
        <w:rPr>
          <w:rStyle w:val="Funotenanker"/>
        </w:rPr>
        <w:footnoteReference w:customMarkFollows="1" w:id="5946"/>
        <w:t>h</w:t>
      </w:r>
      <w:r>
        <w:rPr/>
        <w:t xml:space="preserve"> </w:t>
      </w:r>
      <w:r>
        <w:rPr>
          <w:strike/>
          <w:color w:val="808080"/>
        </w:rPr>
        <w:t>{geworden}</w:t>
      </w:r>
      <w:r>
        <w:rPr/>
        <w:t xml:space="preserve"> </w:t>
      </w:r>
      <w:r>
        <w:rPr>
          <w:rStyle w:val="Funotenanker"/>
        </w:rPr>
        <w:footnoteReference w:customMarkFollows="1" w:id="5947"/>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948"/>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949"/>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950"/>
        <w:t>l</w:t>
      </w:r>
      <w:r>
        <w:rPr/>
        <w:t xml:space="preserve">, mild </w:t>
      </w:r>
      <w:r>
        <w:rPr>
          <w:color w:val="808080"/>
        </w:rPr>
        <w:t>(freundlich)</w:t>
      </w:r>
      <w:r>
        <w:rPr/>
        <w:t xml:space="preserve"> </w:t>
      </w:r>
      <w:r>
        <w:rPr>
          <w:rStyle w:val="Funotenanker"/>
        </w:rPr>
        <w:footnoteReference w:customMarkFollows="1" w:id="5951"/>
        <w:t>m</w:t>
      </w:r>
      <w:r>
        <w:rPr/>
        <w:t xml:space="preserve"> </w:t>
      </w:r>
      <w:r>
        <w:rPr>
          <w:strike/>
          <w:color w:val="808080"/>
        </w:rPr>
        <w:t>{ist die Liebe}</w:t>
      </w:r>
      <w:r>
        <w:rPr/>
        <w:t xml:space="preserve"> </w:t>
      </w:r>
      <w:r>
        <w:rPr>
          <w:rStyle w:val="Funotenanker"/>
        </w:rPr>
        <w:footnoteReference w:customMarkFollows="1" w:id="5952"/>
        <w:t>n</w:t>
      </w:r>
      <w:r>
        <w:rPr/>
        <w:t xml:space="preserve">; die Liebe ist nicht aggressiv </w:t>
      </w:r>
      <w:r>
        <w:rPr>
          <w:color w:val="808080"/>
        </w:rPr>
        <w:t>(ereifert sich nicht?)</w:t>
      </w:r>
      <w:r>
        <w:rPr/>
        <w:t xml:space="preserve"> </w:t>
      </w:r>
      <w:r>
        <w:rPr>
          <w:rStyle w:val="Funotenanker"/>
        </w:rPr>
        <w:footnoteReference w:customMarkFollows="1" w:id="5953"/>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954"/>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955"/>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956"/>
        <w:t>r</w:t>
      </w:r>
      <w:r>
        <w:rPr/>
        <w:t>, sondern sie freut sich über</w:t>
      </w:r>
      <w:r>
        <w:rPr>
          <w:rStyle w:val="Funotenanker"/>
        </w:rPr>
        <w:footnoteReference w:customMarkFollows="1" w:id="5957"/>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958"/>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959"/>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960"/>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961"/>
        <w:t>w</w:t>
      </w:r>
      <w:r>
        <w:rPr/>
        <w:t xml:space="preserve"> Als ich ein Kind</w:t>
      </w:r>
      <w:r>
        <w:rPr>
          <w:rStyle w:val="Funotenanker"/>
        </w:rPr>
        <w:footnoteReference w:customMarkFollows="1" w:id="5962"/>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963"/>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964"/>
        <w:t>z</w:t>
      </w:r>
      <w:r>
        <w:rPr/>
        <w:t xml:space="preserve"> durch einen </w:t>
      </w:r>
      <w:r>
        <w:rPr>
          <w:color w:val="808080"/>
        </w:rPr>
        <w:t>(in einem)</w:t>
      </w:r>
      <w:r>
        <w:rPr/>
        <w:t xml:space="preserve"> </w:t>
      </w:r>
      <w:r>
        <w:rPr>
          <w:rStyle w:val="Funotenanker"/>
        </w:rPr>
        <w:footnoteReference w:customMarkFollows="1" w:id="5965"/>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966"/>
        <w:t>ab</w:t>
      </w:r>
      <w:r>
        <w:rPr/>
        <w:t xml:space="preserve">.{{field-off:bible}} </w:t>
        <w:br/>
        <w:t>[[@BibleTOBIBLE:1Co 13:13]]</w:t>
      </w:r>
      <w:r>
        <w:rPr>
          <w:b/>
        </w:rPr>
        <w:t>13</w:t>
      </w:r>
      <w:r>
        <w:rPr/>
        <w:t xml:space="preserve"> {{field-on:bible}}Jetzt aber bleiben</w:t>
      </w:r>
      <w:r>
        <w:rPr>
          <w:rStyle w:val="Funotenanker"/>
        </w:rPr>
        <w:footnoteReference w:customMarkFollows="1" w:id="5967"/>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968"/>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969"/>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970"/>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971"/>
        <w:t>d</w:t>
      </w:r>
      <w:r>
        <w:rPr/>
        <w:t xml:space="preserve"> auferstanden </w:t>
      </w:r>
      <w:r>
        <w:rPr>
          <w:color w:val="808080"/>
        </w:rPr>
        <w:t>(auferweckt)</w:t>
      </w:r>
      <w:r>
        <w:rPr/>
        <w:t xml:space="preserve"> ist</w:t>
      </w:r>
      <w:r>
        <w:rPr>
          <w:rStyle w:val="Funotenanker"/>
        </w:rPr>
        <w:footnoteReference w:customMarkFollows="1" w:id="5972"/>
        <w:t>e</w:t>
      </w:r>
      <w:r>
        <w:rPr/>
        <w:t>, wie sagen einige bei euch:</w:t>
      </w:r>
      <w:r>
        <w:rPr>
          <w:rStyle w:val="Funotenanker"/>
        </w:rPr>
        <w:footnoteReference w:customMarkFollows="1" w:id="5973"/>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974"/>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975"/>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976"/>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977"/>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978"/>
        <w:t>k</w:t>
      </w:r>
      <w:r>
        <w:rPr/>
        <w:t xml:space="preserve"> der Entschlafenen.{{field-off:bible}} </w:t>
      </w:r>
    </w:p>
    <w:p>
      <w:pPr>
        <w:pStyle w:val="Berschrift2"/>
        <w:rPr/>
      </w:pPr>
      <w:r>
        <w:rPr/>
        <w:t>[[@BibleTOBIBLE:2Co]]2 Korinther</w:t>
      </w:r>
    </w:p>
    <w:p>
      <w:pPr>
        <w:pStyle w:val="Berschrift3"/>
        <w:rPr/>
      </w:pPr>
      <w:r>
        <w:rPr/>
        <w:t>[[@BibleTOBIBLE:2Co 1]]Kapitel 1</w:t>
      </w:r>
    </w:p>
    <w:p>
      <w:pPr>
        <w:pStyle w:val="Textkrper"/>
        <w:rPr/>
      </w:pPr>
      <w:r>
        <w:rPr/>
        <w:br/>
        <w:t>[[@BibleTOBIBLE:2Co 1:1]]</w:t>
      </w:r>
      <w:r>
        <w:rPr>
          <w:b/>
        </w:rPr>
        <w:t>1</w:t>
      </w:r>
      <w:r>
        <w:rPr/>
        <w:t xml:space="preserve"> {{field-on:bible}} </w:t>
      </w:r>
      <w:r>
        <w:rPr>
          <w:rStyle w:val="Funotenanker"/>
        </w:rPr>
        <w:footnoteReference w:customMarkFollows="1" w:id="5979"/>
        <w:t>Status</w:t>
      </w:r>
      <w:r>
        <w:rPr/>
        <w:t xml:space="preserve"> Paulus, ein Apostel </w:t>
      </w:r>
      <w:r>
        <w:rPr>
          <w:color w:val="808080"/>
        </w:rPr>
        <w:t>(Abgesandter)</w:t>
      </w:r>
      <w:r>
        <w:rPr/>
        <w:t xml:space="preserve"> </w:t>
      </w:r>
      <w:r>
        <w:rPr>
          <w:rStyle w:val="Funotenanker"/>
        </w:rPr>
        <w:footnoteReference w:customMarkFollows="1" w:id="5980"/>
        <w:t>a</w:t>
      </w:r>
      <w:r>
        <w:rPr/>
        <w:t xml:space="preserve"> Christi Jesu durch den Willen Gottes und Timotheus der Bruder, an die Gemeinde Gottes </w:t>
      </w:r>
      <w:r>
        <w:rPr>
          <w:strike/>
          <w:color w:val="808080"/>
        </w:rPr>
        <w:t>{die}</w:t>
      </w:r>
      <w:r>
        <w:rPr/>
        <w:t xml:space="preserve"> in Korinth </w:t>
      </w:r>
      <w:r>
        <w:rPr>
          <w:strike/>
          <w:color w:val="808080"/>
        </w:rPr>
        <w:t>{ist}</w:t>
      </w:r>
      <w:r>
        <w:rPr/>
        <w:t xml:space="preserve"> mit allen Heiligen, die in ganz Achaia sind,{{field-off:bible}} </w:t>
        <w:br/>
        <w:t>[[@BibleTOBIBLE:2Co 1:2]]</w:t>
      </w:r>
      <w:r>
        <w:rPr>
          <w:b/>
        </w:rPr>
        <w:t>2</w:t>
      </w:r>
      <w:r>
        <w:rPr/>
        <w:t xml:space="preserve"> {{field-on:bible}}Gnade</w:t>
      </w:r>
      <w:r>
        <w:rPr>
          <w:rStyle w:val="Funotenanker"/>
        </w:rPr>
        <w:footnoteReference w:customMarkFollows="1" w:id="5981"/>
        <w:t>b</w:t>
      </w:r>
      <w:r>
        <w:rPr/>
        <w:t xml:space="preserve"> sei mit euch und Friede</w:t>
      </w:r>
      <w:r>
        <w:rPr>
          <w:rStyle w:val="Funotenanker"/>
        </w:rPr>
        <w:footnoteReference w:customMarkFollows="1" w:id="5982"/>
        <w:t>c</w:t>
      </w:r>
      <w:r>
        <w:rPr/>
        <w:t xml:space="preserve"> von Gott, unserm Vater, und dem Herrn Jesus Christus.{{field-off:bible}} </w:t>
        <w:br/>
        <w:t>[[@BibleTOBIBLE:2Co 1:3]]</w:t>
      </w:r>
      <w:r>
        <w:rPr>
          <w:b/>
        </w:rPr>
        <w:t>3</w:t>
      </w:r>
      <w:r>
        <w:rPr/>
        <w:t xml:space="preserve"> {{field-on:bible}}Gepriesen </w:t>
      </w:r>
      <w:r>
        <w:rPr>
          <w:color w:val="808080"/>
        </w:rPr>
        <w:t>(gelobt)</w:t>
      </w:r>
      <w:r>
        <w:rPr/>
        <w:t xml:space="preserve"> sei der Gott und Vater unseres Herrn Jesus Christus, der Vater des Erbarmens und Gott allen Trostes,{{field-off:bible}} </w:t>
        <w:br/>
        <w:t>[[@BibleTOBIBLE:2Co 1:4]]</w:t>
      </w:r>
      <w:r>
        <w:rPr>
          <w:b/>
        </w:rPr>
        <w:t>4</w:t>
      </w:r>
      <w:r>
        <w:rPr/>
        <w:t xml:space="preserve"> {{field-on:bible}}der uns tröstet bei all unserer Bedrängnis, um uns zu befähigen, dass wir die in aller Bedrängnis </w:t>
      </w:r>
      <w:r>
        <w:rPr>
          <w:b/>
          <w:color w:val="808080"/>
        </w:rPr>
        <w:t>[</w:t>
      </w:r>
      <w:r>
        <w:rPr/>
        <w:t>sind</w:t>
      </w:r>
      <w:r>
        <w:rPr>
          <w:b/>
          <w:color w:val="808080"/>
        </w:rPr>
        <w:t>]</w:t>
      </w:r>
      <w:r>
        <w:rPr/>
        <w:t xml:space="preserve"> trösten durch den Trost, mit dem wir selbst getröstet wurden durch </w:t>
      </w:r>
      <w:r>
        <w:rPr>
          <w:color w:val="808080"/>
        </w:rPr>
        <w:t>(von)</w:t>
      </w:r>
      <w:r>
        <w:rPr/>
        <w:t xml:space="preserve"> Gott.{{field-off:bible}} </w:t>
        <w:br/>
        <w:t>[[@BibleTOBIBLE:2Co 1:5]]</w:t>
      </w:r>
      <w:r>
        <w:rPr>
          <w:b/>
        </w:rPr>
        <w:t>5</w:t>
      </w:r>
      <w:r>
        <w:rPr/>
        <w:t xml:space="preserve"> {{field-on:bible}}Denn wie er uns die Leiden Christi überreich zuteil werden lässt, so lässt er durch Christus auch unseren Trost überreich vorhanden sein.{{field-off:bible}} </w:t>
        <w:br/>
        <w:t>[[@BibleTOBIBLE:2Co 1:6]]</w:t>
      </w:r>
      <w:r>
        <w:rPr>
          <w:b/>
        </w:rPr>
        <w:t>6</w:t>
      </w:r>
      <w:r>
        <w:rPr/>
        <w:t xml:space="preserve"> {{field-on:bible}} </w:t>
      </w:r>
      <w:r>
        <w:rPr>
          <w:color w:val="808080"/>
        </w:rPr>
        <w:t>(Sei es, dass =)</w:t>
      </w:r>
      <w:r>
        <w:rPr/>
        <w:t xml:space="preserve"> Wenn wir in Bedrängnis geraten, </w:t>
      </w:r>
      <w:r>
        <w:rPr>
          <w:b/>
          <w:color w:val="808080"/>
        </w:rPr>
        <w:t>[</w:t>
      </w:r>
      <w:r>
        <w:rPr/>
        <w:t>geschieht dies</w:t>
      </w:r>
      <w:r>
        <w:rPr>
          <w:b/>
          <w:color w:val="808080"/>
        </w:rPr>
        <w:t>]</w:t>
      </w:r>
      <w:r>
        <w:rPr/>
        <w:t xml:space="preserve"> zu Gunsten </w:t>
      </w:r>
      <w:r>
        <w:rPr>
          <w:color w:val="808080"/>
        </w:rPr>
        <w:t>(für)</w:t>
      </w:r>
      <w:r>
        <w:rPr/>
        <w:t xml:space="preserve"> eures Trostes und Heiles </w:t>
      </w:r>
      <w:r>
        <w:rPr>
          <w:color w:val="808080"/>
        </w:rPr>
        <w:t>(Rettung)</w:t>
      </w:r>
      <w:r>
        <w:rPr/>
        <w:t xml:space="preserve">, </w:t>
      </w:r>
      <w:r>
        <w:rPr>
          <w:color w:val="808080"/>
        </w:rPr>
        <w:t>(oder =)</w:t>
      </w:r>
      <w:r>
        <w:rPr/>
        <w:t xml:space="preserve"> wenn wir getröstet werden, für </w:t>
      </w:r>
      <w:r>
        <w:rPr>
          <w:color w:val="808080"/>
        </w:rPr>
        <w:t>(zu Gunsten)</w:t>
      </w:r>
      <w:r>
        <w:rPr/>
        <w:t xml:space="preserve"> euren Trost, der sich wirksam zeigt in Standhaftigkeit in denselben Leiden, die auch wir erleiden </w:t>
      </w:r>
      <w:r>
        <w:rPr>
          <w:color w:val="808080"/>
        </w:rPr>
        <w:t>(erleben)</w:t>
      </w:r>
      <w:r>
        <w:rPr/>
        <w:t xml:space="preserve">.{{field-off:bible}} </w:t>
        <w:br/>
        <w:t>[[@BibleTOBIBLE:2Co 1:7]]</w:t>
      </w:r>
      <w:r>
        <w:rPr>
          <w:b/>
        </w:rPr>
        <w:t>7</w:t>
      </w:r>
      <w:r>
        <w:rPr/>
        <w:t xml:space="preserve"> {{field-on:bible}} </w:t>
      </w:r>
      <w:r>
        <w:rPr>
          <w:strike/>
          <w:color w:val="808080"/>
        </w:rPr>
        <w:t>{Und}</w:t>
      </w:r>
      <w:r>
        <w:rPr/>
        <w:t xml:space="preserve"> unsere Hoffnung für euch </w:t>
      </w:r>
      <w:r>
        <w:rPr>
          <w:b/>
          <w:color w:val="808080"/>
        </w:rPr>
        <w:t>[</w:t>
      </w:r>
      <w:r>
        <w:rPr/>
        <w:t>ist</w:t>
      </w:r>
      <w:r>
        <w:rPr>
          <w:b/>
          <w:color w:val="808080"/>
        </w:rPr>
        <w:t>]</w:t>
      </w:r>
      <w:r>
        <w:rPr/>
        <w:t xml:space="preserve"> fest, weil</w:t>
      </w:r>
      <w:r>
        <w:rPr>
          <w:rStyle w:val="Funotenanker"/>
        </w:rPr>
        <w:footnoteReference w:customMarkFollows="1" w:id="5983"/>
        <w:t>d</w:t>
      </w:r>
      <w:r>
        <w:rPr/>
        <w:t xml:space="preserve"> wir wissen, dass, wie ihr Genossen seid des Leides </w:t>
      </w:r>
      <w:r>
        <w:rPr>
          <w:color w:val="808080"/>
        </w:rPr>
        <w:t>(der Leiden, Leidensgenossen seid)</w:t>
      </w:r>
      <w:r>
        <w:rPr/>
        <w:t xml:space="preserve">, so auch des Trostes.{{field-off:bible}} </w:t>
        <w:br/>
        <w:t>[[@BibleTOBIBLE:2Co 1:8]]</w:t>
      </w:r>
      <w:r>
        <w:rPr>
          <w:b/>
        </w:rPr>
        <w:t>8</w:t>
      </w:r>
      <w:r>
        <w:rPr/>
        <w:t xml:space="preserve"> {{field-on:bible}}Wir wollen euch aber nicht in Unkenntnis lassen, Brüder, über unsere Bedrängnis, </w:t>
      </w:r>
      <w:r>
        <w:rPr>
          <w:color w:val="808080"/>
        </w:rPr>
        <w:t>(die geschah =)</w:t>
      </w:r>
      <w:r>
        <w:rPr/>
        <w:t xml:space="preserve"> in die wir gerieten in der </w:t>
      </w:r>
      <w:r>
        <w:rPr>
          <w:b/>
          <w:color w:val="808080"/>
        </w:rPr>
        <w:t>[</w:t>
      </w:r>
      <w:r>
        <w:rPr/>
        <w:t>Provinz</w:t>
      </w:r>
      <w:r>
        <w:rPr>
          <w:b/>
          <w:color w:val="808080"/>
        </w:rPr>
        <w:t>]</w:t>
      </w:r>
      <w:r>
        <w:rPr/>
        <w:t xml:space="preserve"> Asia, weil wir übermäßig </w:t>
      </w:r>
      <w:r>
        <w:rPr>
          <w:b/>
          <w:color w:val="808080"/>
        </w:rPr>
        <w:t>[</w:t>
      </w:r>
      <w:r>
        <w:rPr/>
        <w:t>und</w:t>
      </w:r>
      <w:r>
        <w:rPr>
          <w:b/>
          <w:color w:val="808080"/>
        </w:rPr>
        <w:t>]</w:t>
      </w:r>
      <w:r>
        <w:rPr/>
        <w:t xml:space="preserve"> über Vermögen beschwert wurden, sodass wir sogar am Leben verzweifelten.{{field-off:bible}} </w:t>
        <w:br/>
        <w:t>[[@BibleTOBIBLE:2Co 1:9]]</w:t>
      </w:r>
      <w:r>
        <w:rPr>
          <w:b/>
        </w:rPr>
        <w:t>9</w:t>
      </w:r>
      <w:r>
        <w:rPr/>
        <w:t xml:space="preserve"> {{field-on:bible}}Aber wir hatten in uns selbst das Todesurteil, damit wir nicht überzeugt von uns selbst </w:t>
      </w:r>
      <w:r>
        <w:rPr>
          <w:color w:val="808080"/>
        </w:rPr>
        <w:t>(selbstgewiss)</w:t>
      </w:r>
      <w:r>
        <w:rPr/>
        <w:t xml:space="preserve"> wären, sondern von Gott </w:t>
      </w:r>
      <w:r>
        <w:rPr>
          <w:color w:val="808080"/>
        </w:rPr>
        <w:t>(auf Gott vertrauten)</w:t>
      </w:r>
      <w:r>
        <w:rPr/>
        <w:t xml:space="preserve">, der die Toten auferweckt.{{field-off:bible}} </w:t>
        <w:br/>
        <w:t>[[@BibleTOBIBLE:2Co 1:10]]</w:t>
      </w:r>
      <w:r>
        <w:rPr>
          <w:b/>
        </w:rPr>
        <w:t>10</w:t>
      </w:r>
      <w:r>
        <w:rPr/>
        <w:t xml:space="preserve"> {{field-on:bible}}Der hat uns aus einem so großen Tod errettet und rettet </w:t>
      </w:r>
      <w:r>
        <w:rPr>
          <w:b/>
          <w:color w:val="808080"/>
        </w:rPr>
        <w:t>[</w:t>
      </w:r>
      <w:r>
        <w:rPr/>
        <w:t>weiterhin</w:t>
      </w:r>
      <w:r>
        <w:rPr>
          <w:b/>
          <w:color w:val="808080"/>
        </w:rPr>
        <w:t>]</w:t>
      </w:r>
      <w:r>
        <w:rPr/>
        <w:t xml:space="preserve">, auf den hofften wir, weil er auch noch rettet </w:t>
      </w:r>
      <w:r>
        <w:rPr>
          <w:color w:val="808080"/>
        </w:rPr>
        <w:t>(= retten wird)</w:t>
      </w:r>
      <w:r>
        <w:rPr/>
        <w:t xml:space="preserve">.{{field-off:bible}} </w:t>
        <w:br/>
        <w:t>[[@BibleTOBIBLE:2Co 1:11]]</w:t>
      </w:r>
      <w:r>
        <w:rPr>
          <w:b/>
        </w:rPr>
        <w:t>11</w:t>
      </w:r>
      <w:r>
        <w:rPr/>
        <w:t xml:space="preserve"> {{field-on:bible}}Auch ihr </w:t>
      </w:r>
      <w:r>
        <w:rPr>
          <w:b/>
          <w:color w:val="808080"/>
        </w:rPr>
        <w:t>[</w:t>
      </w:r>
      <w:r>
        <w:rPr/>
        <w:t>seid</w:t>
      </w:r>
      <w:r>
        <w:rPr>
          <w:b/>
          <w:color w:val="808080"/>
        </w:rPr>
        <w:t>]</w:t>
      </w:r>
      <w:r>
        <w:rPr/>
        <w:t xml:space="preserve"> Mithelfer für uns durch das Gebet, damit von vielen Personen für unsere Gnadengabe durch viele für uns gedankt wird.{{field-off:bible}} </w:t>
        <w:br/>
        <w:t>[[@BibleTOBIBLE:2Co 1:12]]</w:t>
      </w:r>
      <w:r>
        <w:rPr>
          <w:b/>
        </w:rPr>
        <w:t>12</w:t>
      </w:r>
      <w:r>
        <w:rPr/>
        <w:t xml:space="preserve"> {{field-on:bible}}Unser Ruhm ist dieser, das Zeugnis unseres Gewissens, dass wir in Aufrichtigkeit </w:t>
      </w:r>
      <w:r>
        <w:rPr>
          <w:color w:val="808080"/>
        </w:rPr>
        <w:t>(Schlichtheit)</w:t>
      </w:r>
      <w:r>
        <w:rPr/>
        <w:t xml:space="preserve"> und Lauterkeit Gottes - und nicht durch menschliche</w:t>
      </w:r>
      <w:r>
        <w:rPr>
          <w:rStyle w:val="Funotenanker"/>
        </w:rPr>
        <w:footnoteReference w:customMarkFollows="1" w:id="5984"/>
        <w:t>e</w:t>
      </w:r>
      <w:r>
        <w:rPr/>
        <w:t xml:space="preserve"> Weisheit, sondern durch Gottes Gnade</w:t>
      </w:r>
      <w:r>
        <w:rPr>
          <w:rStyle w:val="Funotenanker"/>
        </w:rPr>
        <w:footnoteReference w:customMarkFollows="1" w:id="5985"/>
        <w:t>f</w:t>
      </w:r>
      <w:r>
        <w:rPr/>
        <w:t xml:space="preserve"> in der Welt leben, besonders </w:t>
      </w:r>
      <w:r>
        <w:rPr>
          <w:b/>
          <w:color w:val="808080"/>
        </w:rPr>
        <w:t>[</w:t>
      </w:r>
      <w:r>
        <w:rPr/>
        <w:t>gilt das</w:t>
      </w:r>
      <w:r>
        <w:rPr>
          <w:b/>
          <w:color w:val="808080"/>
        </w:rPr>
        <w:t>]</w:t>
      </w:r>
      <w:r>
        <w:rPr/>
        <w:t xml:space="preserve"> euch gegenüber.{{field-off:bible}} </w:t>
        <w:br/>
        <w:t>[[@BibleTOBIBLE:2Co 1:13]]</w:t>
      </w:r>
      <w:r>
        <w:rPr>
          <w:b/>
        </w:rPr>
        <w:t>13</w:t>
      </w:r>
      <w:r>
        <w:rPr/>
        <w:t xml:space="preserve"> {{field-on:bible}}Denn nichts anderes schrieben wir euch als das, was ihr gelesen und verstanden </w:t>
      </w:r>
      <w:r>
        <w:rPr>
          <w:color w:val="808080"/>
        </w:rPr>
        <w:t>(erkannt)</w:t>
      </w:r>
      <w:r>
        <w:rPr/>
        <w:t xml:space="preserve"> habt; ich hoffe aber, dass ihr </w:t>
      </w:r>
      <w:r>
        <w:rPr>
          <w:b/>
          <w:color w:val="808080"/>
        </w:rPr>
        <w:t>[</w:t>
      </w:r>
      <w:r>
        <w:rPr/>
        <w:t>es</w:t>
      </w:r>
      <w:r>
        <w:rPr>
          <w:b/>
          <w:color w:val="808080"/>
        </w:rPr>
        <w:t>]</w:t>
      </w:r>
      <w:r>
        <w:rPr/>
        <w:t xml:space="preserve"> bis zum Ende verstanden </w:t>
      </w:r>
      <w:r>
        <w:rPr>
          <w:color w:val="808080"/>
        </w:rPr>
        <w:t>(erkannt)</w:t>
      </w:r>
      <w:r>
        <w:rPr/>
        <w:t xml:space="preserve"> haben werdet,{{field-off:bible}} </w:t>
        <w:br/>
        <w:t>[[@BibleTOBIBLE:2Co 1:14]]</w:t>
      </w:r>
      <w:r>
        <w:rPr>
          <w:b/>
        </w:rPr>
        <w:t>14</w:t>
      </w:r>
      <w:r>
        <w:rPr/>
        <w:t xml:space="preserve"> {{field-on:bible}}wir ihr auch uns einigermaßen </w:t>
      </w:r>
      <w:r>
        <w:rPr>
          <w:color w:val="808080"/>
        </w:rPr>
        <w:t>(teilweise)</w:t>
      </w:r>
      <w:r>
        <w:rPr/>
        <w:t xml:space="preserve"> verstanden </w:t>
      </w:r>
      <w:r>
        <w:rPr>
          <w:color w:val="808080"/>
        </w:rPr>
        <w:t>(erkannt)</w:t>
      </w:r>
      <w:r>
        <w:rPr/>
        <w:t xml:space="preserve"> habt, dass wir euer Ruhm sind, wie auch ihr unserer seid am Tag unseres Herrn Jesus.{{field-off:bible}} </w:t>
        <w:br/>
        <w:t>[[@BibleTOBIBLE:2Co 1:15]]</w:t>
      </w:r>
      <w:r>
        <w:rPr>
          <w:b/>
        </w:rPr>
        <w:t>15</w:t>
      </w:r>
      <w:r>
        <w:rPr/>
        <w:t xml:space="preserve"> {{field-on:bible}} </w:t>
      </w:r>
      <w:r>
        <w:rPr>
          <w:strike/>
          <w:color w:val="808080"/>
        </w:rPr>
        <w:t>{Und}</w:t>
      </w:r>
      <w:r>
        <w:rPr/>
        <w:t xml:space="preserve"> in diesem Vertrauen </w:t>
      </w:r>
      <w:r>
        <w:rPr>
          <w:color w:val="808080"/>
        </w:rPr>
        <w:t>(Zuversicht)</w:t>
      </w:r>
      <w:r>
        <w:rPr/>
        <w:t xml:space="preserve"> wollte ich zuerst zu euch kommen, damit ihr ein zweites Mal Freude hättet,{{field-off:bible}} </w:t>
        <w:br/>
        <w:t>[[@BibleTOBIBLE:2Co 1:16]]</w:t>
      </w:r>
      <w:r>
        <w:rPr>
          <w:b/>
        </w:rPr>
        <w:t>16</w:t>
      </w:r>
      <w:r>
        <w:rPr/>
        <w:t xml:space="preserve"> {{field-on:bible}}und durch </w:t>
      </w:r>
      <w:r>
        <w:rPr>
          <w:color w:val="808080"/>
        </w:rPr>
        <w:t>(euch =)</w:t>
      </w:r>
      <w:r>
        <w:rPr/>
        <w:t xml:space="preserve"> eure </w:t>
      </w:r>
      <w:r>
        <w:rPr>
          <w:b/>
          <w:color w:val="808080"/>
        </w:rPr>
        <w:t>[</w:t>
      </w:r>
      <w:r>
        <w:rPr/>
        <w:t>Hilfe</w:t>
      </w:r>
      <w:r>
        <w:rPr>
          <w:b/>
          <w:color w:val="808080"/>
        </w:rPr>
        <w:t>]</w:t>
      </w:r>
      <w:r>
        <w:rPr/>
        <w:t xml:space="preserve"> nach Makedonien gelangen und wieder von Makedonien zu euch kommen und durch euch weiterbefördert </w:t>
      </w:r>
      <w:r>
        <w:rPr>
          <w:color w:val="808080"/>
        </w:rPr>
        <w:t>(geleitet)</w:t>
      </w:r>
      <w:r>
        <w:rPr/>
        <w:t xml:space="preserve"> werden nach Judäa.{{field-off:bible}} </w:t>
        <w:br/>
        <w:t>[[@BibleTOBIBLE:2Co 1:17]]</w:t>
      </w:r>
      <w:r>
        <w:rPr>
          <w:b/>
        </w:rPr>
        <w:t>17</w:t>
      </w:r>
      <w:r>
        <w:rPr/>
        <w:t xml:space="preserve"> {{field-on:bible}}Weil</w:t>
      </w:r>
      <w:r>
        <w:rPr>
          <w:rStyle w:val="Funotenanker"/>
        </w:rPr>
        <w:footnoteReference w:customMarkFollows="1" w:id="5986"/>
        <w:t>g</w:t>
      </w:r>
      <w:r>
        <w:rPr/>
        <w:t xml:space="preserve"> ich </w:t>
      </w:r>
      <w:r>
        <w:rPr>
          <w:strike/>
          <w:color w:val="808080"/>
        </w:rPr>
        <w:t>{nun}</w:t>
      </w:r>
      <w:r>
        <w:rPr/>
        <w:t xml:space="preserve"> das wollte, habe ich etwa leichtfertig</w:t>
      </w:r>
      <w:r>
        <w:rPr>
          <w:rStyle w:val="Funotenanker"/>
        </w:rPr>
        <w:footnoteReference w:customMarkFollows="1" w:id="5987"/>
        <w:t>h</w:t>
      </w:r>
      <w:r>
        <w:rPr/>
        <w:t xml:space="preserve"> gehandelt? Oder </w:t>
      </w:r>
      <w:r>
        <w:rPr>
          <w:b/>
          <w:color w:val="808080"/>
        </w:rPr>
        <w:t>[</w:t>
      </w:r>
      <w:r>
        <w:rPr/>
        <w:t>ist</w:t>
      </w:r>
      <w:r>
        <w:rPr>
          <w:b/>
          <w:color w:val="808080"/>
        </w:rPr>
        <w:t>]</w:t>
      </w:r>
      <w:r>
        <w:rPr/>
        <w:t xml:space="preserve"> das, was ich will, unaufrichtig</w:t>
      </w:r>
      <w:r>
        <w:rPr>
          <w:rStyle w:val="Funotenanker"/>
        </w:rPr>
        <w:footnoteReference w:customMarkFollows="1" w:id="5988"/>
        <w:t>i</w:t>
      </w:r>
      <w:r>
        <w:rPr/>
        <w:t>, so dass</w:t>
      </w:r>
      <w:r>
        <w:rPr>
          <w:rStyle w:val="Funotenanker"/>
        </w:rPr>
        <w:footnoteReference w:customMarkFollows="1" w:id="5989"/>
        <w:t>j</w:t>
      </w:r>
      <w:r>
        <w:rPr/>
        <w:t xml:space="preserve"> bei mir das Ja Ja und das Nein Nein wäre?{{field-off:bible}} </w:t>
        <w:br/>
        <w:t>[[@BibleTOBIBLE:2Co 1:18]]</w:t>
      </w:r>
      <w:r>
        <w:rPr>
          <w:b/>
        </w:rPr>
        <w:t>18</w:t>
      </w:r>
      <w:r>
        <w:rPr/>
        <w:t xml:space="preserve"> {{field-on:bible}}Gott ist mein Zeuge </w:t>
      </w:r>
      <w:r>
        <w:rPr>
          <w:color w:val="808080"/>
        </w:rPr>
        <w:t>(bei Gottes Treue!)</w:t>
      </w:r>
      <w:r>
        <w:rPr/>
        <w:t xml:space="preserve"> </w:t>
      </w:r>
      <w:r>
        <w:rPr>
          <w:rStyle w:val="Funotenanker"/>
        </w:rPr>
        <w:footnoteReference w:customMarkFollows="1" w:id="5990"/>
        <w:t>k</w:t>
      </w:r>
      <w:r>
        <w:rPr/>
        <w:t xml:space="preserve"> dass unser Wort an euch nicht Ja und Nein ist.{{field-off:bible}} </w:t>
        <w:br/>
        <w:t>[[@BibleTOBIBLE:2Co 1:19]]</w:t>
      </w:r>
      <w:r>
        <w:rPr>
          <w:b/>
        </w:rPr>
        <w:t>19</w:t>
      </w:r>
      <w:r>
        <w:rPr/>
        <w:t xml:space="preserve"> {{field-on:bible}}Denn Jesus Christus, der Sohn Gottes, der bei euch durch uns verkündigt wurde, durch mich und Silvanus und Timotheus, war nicht Ja und Nein, sondern es war Ja in ihm.{{field-off:bible}} </w:t>
        <w:br/>
        <w:t>[[@BibleTOBIBLE:2Co 1:20]]</w:t>
      </w:r>
      <w:r>
        <w:rPr>
          <w:b/>
        </w:rPr>
        <w:t>20</w:t>
      </w:r>
      <w:r>
        <w:rPr/>
        <w:t xml:space="preserve"> {{field-on:bible}}Denn so viele Verheißungen Gottes </w:t>
      </w:r>
      <w:r>
        <w:rPr>
          <w:b/>
          <w:color w:val="808080"/>
        </w:rPr>
        <w:t>[</w:t>
      </w:r>
      <w:r>
        <w:rPr/>
        <w:t>es gibt</w:t>
      </w:r>
      <w:r>
        <w:rPr>
          <w:b/>
          <w:color w:val="808080"/>
        </w:rPr>
        <w:t>]</w:t>
      </w:r>
      <w:r>
        <w:rPr/>
        <w:t xml:space="preserve">, in dem Maße </w:t>
      </w:r>
      <w:r>
        <w:rPr>
          <w:b/>
          <w:color w:val="808080"/>
        </w:rPr>
        <w:t>[</w:t>
      </w:r>
      <w:r>
        <w:rPr/>
        <w:t>ist</w:t>
      </w:r>
      <w:r>
        <w:rPr>
          <w:b/>
          <w:color w:val="808080"/>
        </w:rPr>
        <w:t>]</w:t>
      </w:r>
      <w:r>
        <w:rPr/>
        <w:t xml:space="preserve"> in ihm das Ja. Darum </w:t>
      </w:r>
      <w:r>
        <w:rPr>
          <w:b/>
          <w:color w:val="808080"/>
        </w:rPr>
        <w:t>[</w:t>
      </w:r>
      <w:r>
        <w:rPr/>
        <w:t>sei</w:t>
      </w:r>
      <w:r>
        <w:rPr>
          <w:b/>
          <w:color w:val="808080"/>
        </w:rPr>
        <w:t>]</w:t>
      </w:r>
      <w:r>
        <w:rPr/>
        <w:t xml:space="preserve"> auch durch ihn das Amen</w:t>
      </w:r>
      <w:r>
        <w:rPr>
          <w:rStyle w:val="Funotenanker"/>
        </w:rPr>
        <w:footnoteReference w:customMarkFollows="1" w:id="5991"/>
        <w:t>l</w:t>
      </w:r>
      <w:r>
        <w:rPr/>
        <w:t xml:space="preserve"> Gott zur Ehre durch uns </w:t>
      </w:r>
      <w:r>
        <w:rPr>
          <w:b/>
          <w:color w:val="808080"/>
        </w:rPr>
        <w:t>[</w:t>
      </w:r>
      <w:r>
        <w:rPr/>
        <w:t>gesagt</w:t>
      </w:r>
      <w:r>
        <w:rPr>
          <w:b/>
          <w:color w:val="808080"/>
        </w:rPr>
        <w:t>]</w:t>
      </w:r>
      <w:r>
        <w:rPr/>
        <w:t xml:space="preserve">.{{field-off:bible}} </w:t>
        <w:br/>
        <w:t>[[@BibleTOBIBLE:2Co 1:21]]</w:t>
      </w:r>
      <w:r>
        <w:rPr>
          <w:b/>
        </w:rPr>
        <w:t>21</w:t>
      </w:r>
      <w:r>
        <w:rPr/>
        <w:t xml:space="preserve"> {{field-on:bible}}Gott aber hat uns mit euch bestärkt </w:t>
      </w:r>
      <w:r>
        <w:rPr>
          <w:b/>
          <w:color w:val="808080"/>
        </w:rPr>
        <w:t>[</w:t>
      </w:r>
      <w:r>
        <w:rPr/>
        <w:t>im Glauben</w:t>
      </w:r>
      <w:r>
        <w:rPr>
          <w:b/>
          <w:color w:val="808080"/>
        </w:rPr>
        <w:t>]</w:t>
      </w:r>
      <w:r>
        <w:rPr/>
        <w:t xml:space="preserve"> </w:t>
      </w:r>
      <w:r>
        <w:rPr>
          <w:rStyle w:val="Funotenanker"/>
        </w:rPr>
        <w:footnoteReference w:customMarkFollows="1" w:id="5992"/>
        <w:t>m</w:t>
      </w:r>
      <w:r>
        <w:rPr/>
        <w:t xml:space="preserve"> an Christus und salbt uns,{{field-off:bible}} </w:t>
        <w:br/>
        <w:t>[[@BibleTOBIBLE:2Co 1:22]]</w:t>
      </w:r>
      <w:r>
        <w:rPr>
          <w:b/>
        </w:rPr>
        <w:t>22</w:t>
      </w:r>
      <w:r>
        <w:rPr/>
        <w:t xml:space="preserve"> {{field-on:bible}}der hat uns auch mit einem Erkennungszeichen versehen </w:t>
      </w:r>
      <w:r>
        <w:rPr>
          <w:color w:val="808080"/>
        </w:rPr>
        <w:t>(„versiegelt“)</w:t>
      </w:r>
      <w:r>
        <w:rPr/>
        <w:t xml:space="preserve"> </w:t>
      </w:r>
      <w:r>
        <w:rPr>
          <w:rStyle w:val="Funotenanker"/>
        </w:rPr>
        <w:footnoteReference w:customMarkFollows="1" w:id="5993"/>
        <w:t>n</w:t>
      </w:r>
      <w:r>
        <w:rPr/>
        <w:t xml:space="preserve"> und gibt uns als Anzahlung den Geist in unsere Herzen.{{field-off:bible}} </w:t>
        <w:br/>
        <w:t>[[@BibleTOBIBLE:2Co 1:23]]</w:t>
      </w:r>
      <w:r>
        <w:rPr>
          <w:b/>
        </w:rPr>
        <w:t>23</w:t>
      </w:r>
      <w:r>
        <w:rPr/>
        <w:t xml:space="preserve"> {{field-on:bible}}Ich aber rufe Gott als Zeugen für meine Seele</w:t>
      </w:r>
      <w:r>
        <w:rPr>
          <w:rStyle w:val="Funotenanker"/>
        </w:rPr>
        <w:footnoteReference w:customMarkFollows="1" w:id="5994"/>
        <w:t>o</w:t>
      </w:r>
      <w:r>
        <w:rPr/>
        <w:t>, dass ich noch nicht nach Korinth kam, um euch zu schonen</w:t>
      </w:r>
      <w:r>
        <w:rPr>
          <w:rStyle w:val="Funotenanker"/>
        </w:rPr>
        <w:footnoteReference w:customMarkFollows="1" w:id="5995"/>
        <w:t>p</w:t>
      </w:r>
      <w:r>
        <w:rPr/>
        <w:t xml:space="preserve">,{{field-off:bible}} </w:t>
        <w:br/>
        <w:t>[[@BibleTOBIBLE:2Co 1:24]]</w:t>
      </w:r>
      <w:r>
        <w:rPr>
          <w:b/>
        </w:rPr>
        <w:t>24</w:t>
      </w:r>
      <w:r>
        <w:rPr/>
        <w:t xml:space="preserve"> {{field-on:bible}}nicht, weil wir Herren über euren Glauben, sondern Mithelfer an eurer Freude sind. Denn im Glauben steht ihr </w:t>
      </w:r>
      <w:r>
        <w:rPr>
          <w:b/>
          <w:color w:val="808080"/>
        </w:rPr>
        <w:t>[</w:t>
      </w:r>
      <w:r>
        <w:rPr/>
        <w:t>fest</w:t>
      </w:r>
      <w:r>
        <w:rPr>
          <w:b/>
          <w:color w:val="808080"/>
        </w:rPr>
        <w:t>]</w:t>
      </w:r>
      <w:r>
        <w:rPr/>
        <w:t xml:space="preserve">.{{field-off:bible}} </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996"/>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997"/>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998"/>
        <w:t>b</w:t>
      </w:r>
      <w:r>
        <w:rPr/>
        <w:t xml:space="preserve"> bekannt macht</w:t>
      </w:r>
      <w:r>
        <w:rPr>
          <w:rStyle w:val="Funotenanker"/>
        </w:rPr>
        <w:footnoteReference w:customMarkFollows="1" w:id="5999"/>
        <w:t>c</w:t>
      </w:r>
      <w:r>
        <w:rPr/>
        <w:t xml:space="preserve"> </w:t>
      </w:r>
      <w:r>
        <w:rPr>
          <w:color w:val="808080"/>
        </w:rPr>
        <w:t>(sichtbar macht; sehen lässt; zeigt)</w:t>
      </w:r>
      <w:r>
        <w:rPr/>
        <w:t xml:space="preserve"> </w:t>
      </w:r>
      <w:r>
        <w:rPr>
          <w:rStyle w:val="Funotenanker"/>
        </w:rPr>
        <w:footnoteReference w:customMarkFollows="1" w:id="6000"/>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6001"/>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6002"/>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6003"/>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6004"/>
        <w:t>h</w:t>
      </w:r>
      <w:r>
        <w:rPr/>
        <w:t xml:space="preserve"> vor Gott</w:t>
      </w:r>
      <w:r>
        <w:rPr>
          <w:rStyle w:val="Funotenanker"/>
        </w:rPr>
        <w:footnoteReference w:customMarkFollows="1" w:id="6005"/>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6006"/>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6007"/>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6008"/>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4]]Kapitel 4</w:t>
      </w:r>
    </w:p>
    <w:p>
      <w:pPr>
        <w:pStyle w:val="Textkrper"/>
        <w:rPr/>
      </w:pPr>
      <w:r>
        <w:rPr/>
        <w:br/>
        <w:t>[[@BibleTOBIBLE:2Co 4:1]]</w:t>
      </w:r>
      <w:r>
        <w:rPr>
          <w:b/>
        </w:rPr>
        <w:t>1</w:t>
      </w:r>
      <w:r>
        <w:rPr/>
        <w:t xml:space="preserve"> {{field-on:bible}} </w:t>
      </w:r>
      <w:r>
        <w:rPr>
          <w:rStyle w:val="Funotenanker"/>
        </w:rPr>
        <w:footnoteReference w:customMarkFollows="1" w:id="6009"/>
        <w:t>Status</w:t>
      </w:r>
      <w:r>
        <w:rPr/>
        <w:t xml:space="preserve"> Daher werden wir nicht müde </w:t>
      </w:r>
      <w:r>
        <w:rPr>
          <w:color w:val="808080"/>
        </w:rPr>
        <w:t>(verzagen nicht)</w:t>
      </w:r>
      <w:r>
        <w:rPr/>
        <w:t>, weil</w:t>
      </w:r>
      <w:r>
        <w:rPr>
          <w:rStyle w:val="Funotenanker"/>
        </w:rPr>
        <w:footnoteReference w:customMarkFollows="1" w:id="6010"/>
        <w:t>a</w:t>
      </w:r>
      <w:r>
        <w:rPr/>
        <w:t xml:space="preserve"> wir dieses Amt haben, wie wir </w:t>
      </w:r>
      <w:r>
        <w:rPr>
          <w:b/>
          <w:color w:val="808080"/>
        </w:rPr>
        <w:t>[</w:t>
      </w:r>
      <w:r>
        <w:rPr/>
        <w:t>von Gott</w:t>
      </w:r>
      <w:r>
        <w:rPr>
          <w:b/>
          <w:color w:val="808080"/>
        </w:rPr>
        <w:t>]</w:t>
      </w:r>
      <w:r>
        <w:rPr/>
        <w:t xml:space="preserve"> begnadet wurden,{{field-off:bible}} </w:t>
        <w:br/>
        <w:t>[[@BibleTOBIBLE:2Co 4:2]]</w:t>
      </w:r>
      <w:r>
        <w:rPr>
          <w:b/>
        </w:rPr>
        <w:t>2</w:t>
      </w:r>
      <w:r>
        <w:rPr/>
        <w:t xml:space="preserve"> {{field-on:bible}}sondern sagen uns los von dem, was das Schamgefühl verbirgt </w:t>
      </w:r>
      <w:r>
        <w:rPr>
          <w:color w:val="808080"/>
        </w:rPr>
        <w:t>(von schändlichen Heimlichkeiten)</w:t>
      </w:r>
      <w:r>
        <w:rPr/>
        <w:t xml:space="preserve">, führen kein Leben in Verschlagenheit, noch verfälschen wir das Wort Gottes, sondern indem wir die Wahrheit bekannt machen, empfehlen wir uns jedem menschlichen Gewissen vor Gott.{{field-off:bible}} </w:t>
        <w:br/>
        <w:t>[[@BibleTOBIBLE:2Co 4:3]]</w:t>
      </w:r>
      <w:r>
        <w:rPr>
          <w:b/>
        </w:rPr>
        <w:t>3</w:t>
      </w:r>
      <w:r>
        <w:rPr/>
        <w:t xml:space="preserve"> {{field-on:bible}}Wenn es aber etwas Verborgenes </w:t>
      </w:r>
      <w:r>
        <w:rPr>
          <w:color w:val="808080"/>
        </w:rPr>
        <w:t>(Unbekanntes)</w:t>
      </w:r>
      <w:r>
        <w:rPr/>
        <w:t xml:space="preserve"> an unserem Evangelium</w:t>
      </w:r>
      <w:r>
        <w:rPr>
          <w:rStyle w:val="Funotenanker"/>
        </w:rPr>
        <w:footnoteReference w:customMarkFollows="1" w:id="6011"/>
        <w:t>b</w:t>
      </w:r>
      <w:r>
        <w:rPr/>
        <w:t xml:space="preserve"> gibt, dann ist es für die verborgen, die</w:t>
      </w:r>
      <w:r>
        <w:rPr>
          <w:rStyle w:val="Funotenanker"/>
        </w:rPr>
        <w:footnoteReference w:customMarkFollows="1" w:id="6012"/>
        <w:t>c</w:t>
      </w:r>
      <w:r>
        <w:rPr/>
        <w:t xml:space="preserve"> verloren sind,{{field-off:bible}} </w:t>
        <w:br/>
        <w:t>[[@BibleTOBIBLE:2Co 4:4]]</w:t>
      </w:r>
      <w:r>
        <w:rPr>
          <w:b/>
        </w:rPr>
        <w:t>4</w:t>
      </w:r>
      <w:r>
        <w:rPr/>
        <w:t xml:space="preserve"> {{field-on:bible}}die Ungläubigen </w:t>
      </w:r>
      <w:r>
        <w:rPr>
          <w:color w:val="808080"/>
        </w:rPr>
        <w:t>(„Heiden“)</w:t>
      </w:r>
      <w:r>
        <w:rPr/>
        <w:t>, bei denen der Gott des gegenwärtigen Zeitalters</w:t>
      </w:r>
      <w:r>
        <w:rPr>
          <w:rStyle w:val="Funotenanker"/>
        </w:rPr>
        <w:footnoteReference w:customMarkFollows="1" w:id="6013"/>
        <w:t>d</w:t>
      </w:r>
      <w:r>
        <w:rPr/>
        <w:t xml:space="preserve"> die Gedanken verblendet hat, damit sie nicht sehen das Leuchten </w:t>
      </w:r>
      <w:r>
        <w:rPr>
          <w:color w:val="808080"/>
        </w:rPr>
        <w:t>(Licht)</w:t>
      </w:r>
      <w:r>
        <w:rPr/>
        <w:t xml:space="preserve"> des Evangeliums der Herrlichkeit</w:t>
      </w:r>
      <w:r>
        <w:rPr>
          <w:rStyle w:val="Funotenanker"/>
        </w:rPr>
        <w:footnoteReference w:customMarkFollows="1" w:id="6014"/>
        <w:t>e</w:t>
      </w:r>
      <w:r>
        <w:rPr/>
        <w:t xml:space="preserve"> Christi, der das Ebenbild Gottes ist.{{field-off:bible}} </w:t>
        <w:br/>
        <w:t>[[@BibleTOBIBLE:2Co 4:5]]</w:t>
      </w:r>
      <w:r>
        <w:rPr>
          <w:b/>
        </w:rPr>
        <w:t>5</w:t>
      </w:r>
      <w:r>
        <w:rPr/>
        <w:t xml:space="preserve"> {{field-on:bible}}Denn wir predigen </w:t>
      </w:r>
      <w:r>
        <w:rPr>
          <w:color w:val="808080"/>
        </w:rPr>
        <w:t>(verkündigen)</w:t>
      </w:r>
      <w:r>
        <w:rPr/>
        <w:t xml:space="preserve"> nicht uns selbst, sondern Jesus Christus als Herrn, uns aber als als eure Diener </w:t>
      </w:r>
      <w:r>
        <w:rPr>
          <w:color w:val="808080"/>
        </w:rPr>
        <w:t>(Knechte, Sklaven)</w:t>
      </w:r>
      <w:r>
        <w:rPr/>
        <w:t xml:space="preserve"> durch Jesus.{{field-off:bible}} </w:t>
        <w:br/>
        <w:t>[[@BibleTOBIBLE:2Co 4:6]]</w:t>
      </w:r>
      <w:r>
        <w:rPr>
          <w:b/>
        </w:rPr>
        <w:t>6</w:t>
      </w:r>
      <w:r>
        <w:rPr/>
        <w:t xml:space="preserve"> {{field-on:bible}}Denn Gott, der sagte: Aus der Dunkelheit soll Licht aufleuchten </w:t>
      </w:r>
      <w:r>
        <w:rPr>
          <w:color w:val="808080"/>
        </w:rPr>
        <w:t>(1.Mose 1,3)</w:t>
      </w:r>
      <w:r>
        <w:rPr/>
        <w:t xml:space="preserve">, der leuchtet in unseren Herzen zur Offenbarung der Erkenntnis der Herrlichtkeit Gottes im Angesicht Jesu Christi.{{field-off:bible}} </w:t>
        <w:br/>
        <w:t>[[@BibleTOBIBLE:2Co 4:7]]</w:t>
      </w:r>
      <w:r>
        <w:rPr>
          <w:b/>
        </w:rPr>
        <w:t>7</w:t>
      </w:r>
      <w:r>
        <w:rPr/>
        <w:t xml:space="preserve"> {{field-on:bible}}Wir besitzen diesen Schatz aber in tönernen Gefäßen, damit das Übermaß der Macht von Gott komme und nicht von uns</w:t>
      </w:r>
      <w:r>
        <w:rPr>
          <w:rStyle w:val="Funotenanker"/>
        </w:rPr>
        <w:footnoteReference w:customMarkFollows="1" w:id="6015"/>
        <w:t>f</w:t>
      </w:r>
      <w:r>
        <w:rPr/>
        <w:t xml:space="preserve">.{{field-off:bible}} </w:t>
        <w:br/>
        <w:t>[[@BibleTOBIBLE:2Co 4:8]]</w:t>
      </w:r>
      <w:r>
        <w:rPr>
          <w:b/>
        </w:rPr>
        <w:t>8</w:t>
      </w:r>
      <w:r>
        <w:rPr/>
        <w:t xml:space="preserve"> {{field-on:bible}}In allem werden wir bedrängt </w:t>
      </w:r>
      <w:r>
        <w:rPr>
          <w:color w:val="808080"/>
        </w:rPr>
        <w:t>(leiden Drangsal)</w:t>
      </w:r>
      <w:r>
        <w:rPr/>
        <w:t xml:space="preserve">, aber uns ist nicht eng; wir zweifeln </w:t>
      </w:r>
      <w:r>
        <w:rPr>
          <w:color w:val="808080"/>
        </w:rPr>
        <w:t>(sind ratlos)</w:t>
      </w:r>
      <w:r>
        <w:rPr/>
        <w:t xml:space="preserve">, aber verzweifeln nicht;{{field-off:bible}} </w:t>
        <w:br/>
        <w:t>[[@BibleTOBIBLE:2Co 4:9]]</w:t>
      </w:r>
      <w:r>
        <w:rPr>
          <w:b/>
        </w:rPr>
        <w:t>9</w:t>
      </w:r>
      <w:r>
        <w:rPr/>
        <w:t xml:space="preserve"> {{field-on:bible}}wir werden verfolgt, aber nicht im Stich gelassen; werden zu Boden geworfen, aber gehen nicht zugrunde;{{field-off:bible}} </w:t>
        <w:br/>
        <w:t>[[@BibleTOBIBLE:2Co 4:10]]</w:t>
      </w:r>
      <w:r>
        <w:rPr>
          <w:b/>
        </w:rPr>
        <w:t>10</w:t>
      </w:r>
      <w:r>
        <w:rPr/>
        <w:t xml:space="preserve"> {{field-on:bible}}immer </w:t>
      </w:r>
      <w:r>
        <w:rPr>
          <w:color w:val="808080"/>
        </w:rPr>
        <w:t>(jederzeit)</w:t>
      </w:r>
      <w:r>
        <w:rPr/>
        <w:t xml:space="preserve"> tragen wir das Sterben Jesu an unserem Körper </w:t>
      </w:r>
      <w:r>
        <w:rPr>
          <w:color w:val="808080"/>
        </w:rPr>
        <w:t>(Leib)</w:t>
      </w:r>
      <w:r>
        <w:rPr/>
        <w:t xml:space="preserve"> herum, damit auch das Leben Jesu an unserem Körper </w:t>
      </w:r>
      <w:r>
        <w:rPr>
          <w:color w:val="808080"/>
        </w:rPr>
        <w:t>(Leib)</w:t>
      </w:r>
      <w:r>
        <w:rPr/>
        <w:t xml:space="preserve"> sichtbar wird.{{field-off:bible}} </w:t>
        <w:br/>
        <w:t>[[@BibleTOBIBLE:2Co 4:11]]</w:t>
      </w:r>
      <w:r>
        <w:rPr>
          <w:b/>
        </w:rPr>
        <w:t>11</w:t>
      </w:r>
      <w:r>
        <w:rPr/>
        <w:t xml:space="preserve"> {{field-on:bible}}Denn immer wieder werden wir, die wir leben</w:t>
      </w:r>
      <w:r>
        <w:rPr>
          <w:rStyle w:val="Funotenanker"/>
        </w:rPr>
        <w:footnoteReference w:customMarkFollows="1" w:id="6016"/>
        <w:t>g</w:t>
      </w:r>
      <w:r>
        <w:rPr/>
        <w:t xml:space="preserve">, dem Tod ausgeliefert um Jesu willen, damit auch das Leben Jesu an unserem sterblichen Fleisch sichtbar wird.{{field-off:bible}} </w:t>
        <w:br/>
        <w:t>[[@BibleTOBIBLE:2Co 4:12]]</w:t>
      </w:r>
      <w:r>
        <w:rPr>
          <w:b/>
        </w:rPr>
        <w:t>12</w:t>
      </w:r>
      <w:r>
        <w:rPr/>
        <w:t xml:space="preserve"> {{field-on:bible}}So </w:t>
      </w:r>
      <w:r>
        <w:rPr>
          <w:color w:val="808080"/>
        </w:rPr>
        <w:t>(sodass)</w:t>
      </w:r>
      <w:r>
        <w:rPr/>
        <w:t xml:space="preserve"> ist der Tod wirksam </w:t>
      </w:r>
      <w:r>
        <w:rPr>
          <w:color w:val="808080"/>
        </w:rPr>
        <w:t>(wirkt)</w:t>
      </w:r>
      <w:r>
        <w:rPr/>
        <w:t xml:space="preserve"> in uns, das Leben aber in euch.{{field-off:bible}} </w:t>
        <w:br/>
        <w:t>[[@BibleTOBIBLE:2Co 4:13]]</w:t>
      </w:r>
      <w:r>
        <w:rPr>
          <w:b/>
        </w:rPr>
        <w:t>13</w:t>
      </w:r>
      <w:r>
        <w:rPr/>
        <w:t xml:space="preserve"> {{field-on:bible}}Wir haben aber den selben Geist</w:t>
      </w:r>
      <w:r>
        <w:rPr>
          <w:rStyle w:val="Funotenanker"/>
        </w:rPr>
        <w:footnoteReference w:customMarkFollows="1" w:id="6017"/>
        <w:t>h</w:t>
      </w:r>
      <w:r>
        <w:rPr/>
        <w:t>, wie geschrieben steht</w:t>
      </w:r>
      <w:r>
        <w:rPr>
          <w:rStyle w:val="Funotenanker"/>
        </w:rPr>
        <w:footnoteReference w:customMarkFollows="1" w:id="6018"/>
        <w:t>i</w:t>
      </w:r>
      <w:r>
        <w:rPr/>
        <w:t xml:space="preserve">: Ich habe geglaubt </w:t>
      </w:r>
      <w:r>
        <w:rPr>
          <w:color w:val="808080"/>
        </w:rPr>
        <w:t>(vertraut)</w:t>
      </w:r>
      <w:r>
        <w:rPr/>
        <w:t xml:space="preserve">, deshalb habe ich geredet </w:t>
      </w:r>
      <w:r>
        <w:rPr>
          <w:color w:val="808080"/>
        </w:rPr>
        <w:t>(Psalm 116,1)</w:t>
      </w:r>
      <w:r>
        <w:rPr/>
        <w:t xml:space="preserve">; auch wir glauben, darum reden wir auch,{{field-off:bible}} </w:t>
        <w:br/>
        <w:t>[[@BibleTOBIBLE:2Co 4:14]]</w:t>
      </w:r>
      <w:r>
        <w:rPr>
          <w:b/>
        </w:rPr>
        <w:t>14</w:t>
      </w:r>
      <w:r>
        <w:rPr/>
        <w:t xml:space="preserve"> {{field-on:bible}}weil</w:t>
      </w:r>
      <w:r>
        <w:rPr>
          <w:rStyle w:val="Funotenanker"/>
        </w:rPr>
        <w:footnoteReference w:customMarkFollows="1" w:id="6019"/>
        <w:t>j</w:t>
      </w:r>
      <w:r>
        <w:rPr/>
        <w:t xml:space="preserve"> wir wissen, dass der, der den Herrn Jesus Christus von den Toten auferweckte, auch uns mit Jesus auferwecken wird uns mit euch vor sich stellen</w:t>
      </w:r>
      <w:r>
        <w:rPr>
          <w:rStyle w:val="Funotenanker"/>
        </w:rPr>
        <w:footnoteReference w:customMarkFollows="1" w:id="6020"/>
        <w:t>k</w:t>
      </w:r>
      <w:r>
        <w:rPr/>
        <w:t xml:space="preserve">.{{field-off:bible}} </w:t>
        <w:br/>
        <w:t>[[@BibleTOBIBLE:2Co 4:15]]</w:t>
      </w:r>
      <w:r>
        <w:rPr>
          <w:b/>
        </w:rPr>
        <w:t>15</w:t>
      </w:r>
      <w:r>
        <w:rPr/>
        <w:t xml:space="preserve"> {{field-on:bible}}Alles aber um euretwillen, damit die Gnade</w:t>
      </w:r>
      <w:r>
        <w:rPr>
          <w:rStyle w:val="Funotenanker"/>
        </w:rPr>
        <w:footnoteReference w:customMarkFollows="1" w:id="6021"/>
        <w:t>l</w:t>
      </w:r>
      <w:r>
        <w:rPr/>
        <w:t>, die</w:t>
      </w:r>
      <w:r>
        <w:rPr>
          <w:rStyle w:val="Funotenanker"/>
        </w:rPr>
        <w:footnoteReference w:customMarkFollows="1" w:id="6022"/>
        <w:t>m</w:t>
      </w:r>
      <w:r>
        <w:rPr/>
        <w:t xml:space="preserve"> gewachsen ist </w:t>
      </w:r>
      <w:r>
        <w:rPr>
          <w:color w:val="808080"/>
        </w:rPr>
        <w:t>(durch die noch mehreren =)</w:t>
      </w:r>
      <w:r>
        <w:rPr/>
        <w:t xml:space="preserve"> durch die dann Dazugewonnenen den Dank </w:t>
      </w:r>
      <w:r>
        <w:rPr>
          <w:color w:val="808080"/>
        </w:rPr>
        <w:t>(die Danksagung)</w:t>
      </w:r>
      <w:r>
        <w:rPr/>
        <w:t xml:space="preserve"> überreich macht zur Ehre Gottes.{{field-off:bible}} </w:t>
        <w:br/>
        <w:t>[[@BibleTOBIBLE:2Co 4:16]]</w:t>
      </w:r>
      <w:r>
        <w:rPr>
          <w:b/>
        </w:rPr>
        <w:t>16</w:t>
      </w:r>
      <w:r>
        <w:rPr/>
        <w:t xml:space="preserve"> {{field-on:bible}}Deshalb werden wir nicht müde </w:t>
      </w:r>
      <w:r>
        <w:rPr>
          <w:color w:val="808080"/>
        </w:rPr>
        <w:t>(verzagen nicht)</w:t>
      </w:r>
      <w:r>
        <w:rPr/>
        <w:t xml:space="preserve">, sondern wenn auch der äußere Mensch zugrunde geht, wird doch unser innerer Tag für Tag erneuert.{{field-off:bible}} </w:t>
        <w:br/>
        <w:t>[[@BibleTOBIBLE:2Co 4:17]]</w:t>
      </w:r>
      <w:r>
        <w:rPr>
          <w:b/>
        </w:rPr>
        <w:t>17</w:t>
      </w:r>
      <w:r>
        <w:rPr/>
        <w:t xml:space="preserve"> {{field-on:bible}}weil unsere gegenwärtig </w:t>
      </w:r>
      <w:r>
        <w:rPr>
          <w:color w:val="808080"/>
        </w:rPr>
        <w:t>(augenblicklich)</w:t>
      </w:r>
      <w:r>
        <w:rPr/>
        <w:t xml:space="preserve"> leichte Bedrängnis für uns eine ganz übermäßige ewige Fülle der Herrlichkeit bewirkt,{{field-off:bible}} </w:t>
        <w:br/>
        <w:t>[[@BibleTOBIBLE:2Co 4:18]]</w:t>
      </w:r>
      <w:r>
        <w:rPr>
          <w:b/>
        </w:rPr>
        <w:t>18</w:t>
      </w:r>
      <w:r>
        <w:rPr/>
        <w:t xml:space="preserve"> {{field-on:bible}}achten wir nicht</w:t>
      </w:r>
      <w:r>
        <w:rPr>
          <w:rStyle w:val="Funotenanker"/>
        </w:rPr>
        <w:footnoteReference w:customMarkFollows="1" w:id="6023"/>
        <w:t>n</w:t>
      </w:r>
      <w:r>
        <w:rPr/>
        <w:t xml:space="preserve"> auf das Sichtbare, sondern auf das Unsichtbare. Denn das Sichtbare </w:t>
      </w:r>
      <w:r>
        <w:rPr>
          <w:b/>
          <w:color w:val="808080"/>
        </w:rPr>
        <w:t>[</w:t>
      </w:r>
      <w:r>
        <w:rPr/>
        <w:t>ist</w:t>
      </w:r>
      <w:r>
        <w:rPr>
          <w:b/>
          <w:color w:val="808080"/>
        </w:rPr>
        <w:t>]</w:t>
      </w:r>
      <w:r>
        <w:rPr/>
        <w:t xml:space="preserve"> vorübergehend </w:t>
      </w:r>
      <w:r>
        <w:rPr>
          <w:color w:val="808080"/>
        </w:rPr>
        <w:t>(unbeständig)</w:t>
      </w:r>
      <w:r>
        <w:rPr/>
        <w:t xml:space="preserve">, das Unischtbare aber </w:t>
      </w:r>
      <w:r>
        <w:rPr>
          <w:b/>
          <w:color w:val="808080"/>
        </w:rPr>
        <w:t>[</w:t>
      </w:r>
      <w:r>
        <w:rPr/>
        <w:t>ist</w:t>
      </w:r>
      <w:r>
        <w:rPr>
          <w:b/>
          <w:color w:val="808080"/>
        </w:rPr>
        <w:t>]</w:t>
      </w:r>
      <w:r>
        <w:rPr/>
        <w:t xml:space="preserve"> ewig.{{field-off:bible}}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6024"/>
        <w:t>Status</w:t>
      </w:r>
      <w:r>
        <w:rPr/>
        <w:t xml:space="preserve"> Denn wir wissen, dass, wenn</w:t>
      </w:r>
      <w:r>
        <w:rPr>
          <w:rStyle w:val="Funotenanker"/>
        </w:rPr>
        <w:footnoteReference w:customMarkFollows="1" w:id="6025"/>
        <w:t>a</w:t>
      </w:r>
      <w:r>
        <w:rPr/>
        <w:t xml:space="preserve"> unser iridisches </w:t>
      </w:r>
      <w:r>
        <w:rPr>
          <w:color w:val="808080"/>
        </w:rPr>
        <w:t>(Haus, das Zelt</w:t>
      </w:r>
      <w:r>
        <w:rPr/>
        <w:t xml:space="preserve"> </w:t>
      </w:r>
      <w:r>
        <w:rPr>
          <w:rStyle w:val="Funotenanker"/>
        </w:rPr>
        <w:footnoteReference w:customMarkFollows="1" w:id="6026"/>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6027"/>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6028"/>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6029"/>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6030"/>
        <w:t>f</w:t>
      </w:r>
      <w:r>
        <w:rPr/>
        <w:t xml:space="preserve"> wir in der Behausung sind, seufzen wir, weil</w:t>
      </w:r>
      <w:r>
        <w:rPr>
          <w:rStyle w:val="Funotenanker"/>
        </w:rPr>
        <w:footnoteReference w:customMarkFollows="1" w:id="6031"/>
        <w:t>g</w:t>
      </w:r>
      <w:r>
        <w:rPr/>
        <w:t xml:space="preserve"> wir bedrückt</w:t>
      </w:r>
      <w:r>
        <w:rPr>
          <w:rStyle w:val="Funotenanker"/>
        </w:rPr>
        <w:footnoteReference w:customMarkFollows="1" w:id="6032"/>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6033"/>
        <w:t>i</w:t>
      </w:r>
      <w:r>
        <w:rPr/>
        <w:t xml:space="preserve"> uns aber dazu instand setzt, ist Gott, der uns die Anzahlung</w:t>
      </w:r>
      <w:r>
        <w:rPr>
          <w:rStyle w:val="Funotenanker"/>
        </w:rPr>
        <w:footnoteReference w:customMarkFollows="1" w:id="6034"/>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6035"/>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6036"/>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6037"/>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6038"/>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6039"/>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6040"/>
        <w:t>p</w:t>
      </w:r>
      <w:r>
        <w:rPr/>
        <w:t xml:space="preserve"> wir nun wissen, was Furcht vor dem Herrn erregt</w:t>
      </w:r>
      <w:r>
        <w:rPr>
          <w:rStyle w:val="Funotenanker"/>
        </w:rPr>
        <w:footnoteReference w:customMarkFollows="1" w:id="6041"/>
        <w:t>q</w:t>
      </w:r>
      <w:r>
        <w:rPr/>
        <w:t>, „überreden“</w:t>
      </w:r>
      <w:r>
        <w:rPr>
          <w:rStyle w:val="Funotenanker"/>
        </w:rPr>
        <w:footnoteReference w:customMarkFollows="1" w:id="6042"/>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6043"/>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6044"/>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6045"/>
        <w:t>u</w:t>
      </w:r>
      <w:r>
        <w:rPr/>
        <w:t>, und</w:t>
      </w:r>
      <w:r>
        <w:rPr>
          <w:rStyle w:val="Funotenanker"/>
        </w:rPr>
        <w:footnoteReference w:customMarkFollows="1" w:id="6046"/>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6047"/>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6048"/>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6049"/>
        <w:t>y</w:t>
      </w:r>
      <w:r>
        <w:rPr/>
        <w:t xml:space="preserve"> kennen. Selbst wenn</w:t>
      </w:r>
      <w:r>
        <w:rPr>
          <w:rStyle w:val="Funotenanker"/>
        </w:rPr>
        <w:footnoteReference w:customMarkFollows="1" w:id="6050"/>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6051"/>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6052"/>
        <w:t>ab</w:t>
      </w:r>
      <w:r>
        <w:rPr/>
        <w:t xml:space="preserve"> durch Christus die Welt mit sich versöhnte und</w:t>
      </w:r>
      <w:r>
        <w:rPr>
          <w:rStyle w:val="Funotenanker"/>
        </w:rPr>
        <w:footnoteReference w:customMarkFollows="1" w:id="6053"/>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6054"/>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6]]Kapitel 6</w:t>
      </w:r>
    </w:p>
    <w:p>
      <w:pPr>
        <w:pStyle w:val="Textkrper"/>
        <w:rPr/>
      </w:pPr>
      <w:r>
        <w:rPr/>
        <w:br/>
        <w:t>[[@BibleTOBIBLE:2Co 6:1]]</w:t>
      </w:r>
      <w:r>
        <w:rPr>
          <w:b/>
        </w:rPr>
        <w:t>1</w:t>
      </w:r>
      <w:r>
        <w:rPr/>
        <w:t xml:space="preserve"> {{field-on:bible}} </w:t>
      </w:r>
      <w:r>
        <w:rPr>
          <w:rStyle w:val="Funotenanker"/>
        </w:rPr>
        <w:footnoteReference w:customMarkFollows="1" w:id="6055"/>
        <w:t>Status</w:t>
      </w:r>
      <w:r>
        <w:rPr/>
        <w:t xml:space="preserve"> Als Mitarbeiter</w:t>
      </w:r>
      <w:r>
        <w:rPr>
          <w:rStyle w:val="Funotenanker"/>
        </w:rPr>
        <w:footnoteReference w:customMarkFollows="1" w:id="6056"/>
        <w:t>a</w:t>
      </w:r>
      <w:r>
        <w:rPr/>
        <w:t xml:space="preserve"> </w:t>
      </w:r>
      <w:r>
        <w:rPr>
          <w:strike/>
          <w:color w:val="808080"/>
        </w:rPr>
        <w:t>{aber}</w:t>
      </w:r>
      <w:r>
        <w:rPr/>
        <w:t xml:space="preserve"> bitten wir euch auch, dass ihr nicht vergeblich </w:t>
      </w:r>
      <w:r>
        <w:rPr>
          <w:color w:val="808080"/>
        </w:rPr>
        <w:t>(in Leere)</w:t>
      </w:r>
      <w:r>
        <w:rPr/>
        <w:t xml:space="preserve"> die Gnade</w:t>
      </w:r>
      <w:r>
        <w:rPr>
          <w:rStyle w:val="Funotenanker"/>
        </w:rPr>
        <w:footnoteReference w:customMarkFollows="1" w:id="6057"/>
        <w:t>b</w:t>
      </w:r>
      <w:r>
        <w:rPr/>
        <w:t xml:space="preserve"> Gottes empfangen haben sollt.{{field-off:bible}} </w:t>
        <w:br/>
        <w:t>[[@BibleTOBIBLE:2Co 6:2]]</w:t>
      </w:r>
      <w:r>
        <w:rPr>
          <w:b/>
        </w:rPr>
        <w:t>2</w:t>
      </w:r>
      <w:r>
        <w:rPr/>
        <w:t xml:space="preserve"> {{field-on:bible}}Denn </w:t>
      </w:r>
      <w:r>
        <w:rPr>
          <w:b/>
          <w:color w:val="808080"/>
        </w:rPr>
        <w:t>[</w:t>
      </w:r>
      <w:r>
        <w:rPr/>
        <w:t>die Schrift/Gott</w:t>
      </w:r>
      <w:r>
        <w:rPr>
          <w:b/>
          <w:color w:val="808080"/>
        </w:rPr>
        <w:t>]</w:t>
      </w:r>
      <w:r>
        <w:rPr/>
        <w:t xml:space="preserve"> sagt </w:t>
      </w:r>
      <w:r>
        <w:rPr>
          <w:color w:val="808080"/>
        </w:rPr>
        <w:t>(es heißt)</w:t>
      </w:r>
      <w:r>
        <w:rPr/>
        <w:t xml:space="preserve"> </w:t>
      </w:r>
      <w:r>
        <w:rPr>
          <w:color w:val="808080"/>
        </w:rPr>
        <w:t>(Jesaja 49,8)</w:t>
      </w:r>
      <w:r>
        <w:rPr/>
        <w:t xml:space="preserve">: </w:t>
        <w:br/>
        <w:t>zur rechten</w:t>
      </w:r>
      <w:r>
        <w:rPr>
          <w:rStyle w:val="Funotenanker"/>
        </w:rPr>
        <w:footnoteReference w:customMarkFollows="1" w:id="6058"/>
        <w:t>c</w:t>
      </w:r>
      <w:r>
        <w:rPr/>
        <w:t xml:space="preserve"> Zeit </w:t>
      </w:r>
      <w:r>
        <w:rPr>
          <w:color w:val="808080"/>
        </w:rPr>
        <w:t>(Zeitpunkt)</w:t>
      </w:r>
      <w:r>
        <w:rPr/>
        <w:t xml:space="preserve"> erhörte ich dich</w:t>
        <w:br/>
        <w:t xml:space="preserve">und am Tag des Heils </w:t>
      </w:r>
      <w:r>
        <w:rPr>
          <w:color w:val="808080"/>
        </w:rPr>
        <w:t>(der Rettung)</w:t>
      </w:r>
      <w:r>
        <w:rPr/>
        <w:t xml:space="preserve"> stand ich dir bei </w:t>
      </w:r>
      <w:r>
        <w:rPr>
          <w:color w:val="808080"/>
        </w:rPr>
        <w:t>(half ich dir)</w:t>
      </w:r>
      <w:r>
        <w:rPr/>
        <w:t>.</w:t>
        <w:br/>
      </w:r>
      <w:r>
        <w:rPr>
          <w:strike/>
          <w:color w:val="808080"/>
        </w:rPr>
        <w:t>{Sieh}</w:t>
      </w:r>
      <w:r>
        <w:rPr/>
        <w:t xml:space="preserve"> heute </w:t>
      </w:r>
      <w:r>
        <w:rPr>
          <w:color w:val="808080"/>
        </w:rPr>
        <w:t>(jetzt)</w:t>
      </w:r>
      <w:r>
        <w:rPr/>
        <w:t xml:space="preserve"> ist der </w:t>
      </w:r>
      <w:r>
        <w:rPr>
          <w:strike/>
          <w:color w:val="808080"/>
        </w:rPr>
        <w:t>{hoch}</w:t>
      </w:r>
      <w:r>
        <w:rPr/>
        <w:t xml:space="preserve">willkommene Zeitpunkt </w:t>
      </w:r>
      <w:r>
        <w:rPr>
          <w:color w:val="808080"/>
        </w:rPr>
        <w:t>(Zeit)</w:t>
      </w:r>
      <w:r>
        <w:rPr/>
        <w:t xml:space="preserve">, </w:t>
      </w:r>
      <w:r>
        <w:rPr>
          <w:strike/>
          <w:color w:val="808080"/>
        </w:rPr>
        <w:t>{sieh}</w:t>
      </w:r>
      <w:r>
        <w:rPr/>
        <w:t xml:space="preserve"> heute </w:t>
      </w:r>
      <w:r>
        <w:rPr>
          <w:color w:val="808080"/>
        </w:rPr>
        <w:t>(jetzt)</w:t>
      </w:r>
      <w:r>
        <w:rPr/>
        <w:t xml:space="preserve"> ist der Tag des Heils </w:t>
      </w:r>
      <w:r>
        <w:rPr>
          <w:color w:val="808080"/>
        </w:rPr>
        <w:t>(der Rettung)</w:t>
      </w:r>
      <w:r>
        <w:rPr/>
        <w:t xml:space="preserve">.{{field-off:bible}} </w:t>
        <w:br/>
        <w:t>[[@BibleTOBIBLE:2Co 6:3]]</w:t>
      </w:r>
      <w:r>
        <w:rPr>
          <w:b/>
        </w:rPr>
        <w:t>3</w:t>
      </w:r>
      <w:r>
        <w:rPr/>
        <w:t xml:space="preserve"> {{field-on:bible}}Wir geben niemandem in irgendetwas Gelegenheit, Anstoß zu nehmen, damit der Dienst </w:t>
      </w:r>
      <w:r>
        <w:rPr>
          <w:color w:val="808080"/>
        </w:rPr>
        <w:t>(das Amt?)</w:t>
      </w:r>
      <w:r>
        <w:rPr/>
        <w:t xml:space="preserve"> nicht verhöhnt </w:t>
      </w:r>
      <w:r>
        <w:rPr>
          <w:color w:val="808080"/>
        </w:rPr>
        <w:t>(beschämt)</w:t>
      </w:r>
      <w:r>
        <w:rPr/>
        <w:t xml:space="preserve"> wird,{{field-off:bible}} </w:t>
        <w:br/>
        <w:t>[[@BibleTOBIBLE:2Co 6:4]]</w:t>
      </w:r>
      <w:r>
        <w:rPr>
          <w:b/>
        </w:rPr>
        <w:t>4</w:t>
      </w:r>
      <w:r>
        <w:rPr/>
        <w:t xml:space="preserve"> {{field-on:bible}}sondern erweisen uns in allem als Diener </w:t>
      </w:r>
      <w:r>
        <w:rPr>
          <w:color w:val="808080"/>
        </w:rPr>
        <w:t>(Helfer = Diakone)</w:t>
      </w:r>
      <w:r>
        <w:rPr/>
        <w:t xml:space="preserve"> Gottes, in</w:t>
      </w:r>
      <w:r>
        <w:rPr>
          <w:rStyle w:val="Funotenanker"/>
        </w:rPr>
        <w:footnoteReference w:customMarkFollows="1" w:id="6059"/>
        <w:t>d</w:t>
      </w:r>
      <w:r>
        <w:rPr/>
        <w:t xml:space="preserve"> großer Ausdauer </w:t>
      </w:r>
      <w:r>
        <w:rPr>
          <w:color w:val="808080"/>
        </w:rPr>
        <w:t>(Standhaftigkeit)</w:t>
      </w:r>
      <w:r>
        <w:rPr/>
        <w:t xml:space="preserve">, in Bedrängnissen </w:t>
      </w:r>
      <w:r>
        <w:rPr>
          <w:color w:val="808080"/>
        </w:rPr>
        <w:t>(wenn wir unter Druck geraten)</w:t>
      </w:r>
      <w:r>
        <w:rPr/>
        <w:t xml:space="preserve"> </w:t>
      </w:r>
      <w:r>
        <w:rPr>
          <w:rStyle w:val="Funotenanker"/>
        </w:rPr>
        <w:footnoteReference w:customMarkFollows="1" w:id="6060"/>
        <w:t>e</w:t>
      </w:r>
      <w:r>
        <w:rPr/>
        <w:t xml:space="preserve">, in </w:t>
      </w:r>
      <w:r>
        <w:rPr>
          <w:color w:val="808080"/>
        </w:rPr>
        <w:t>(Nöten)</w:t>
      </w:r>
      <w:r>
        <w:rPr/>
        <w:t xml:space="preserve"> Notsituationen, wenn es eng wird</w:t>
      </w:r>
      <w:r>
        <w:rPr>
          <w:rStyle w:val="Funotenanker"/>
        </w:rPr>
        <w:footnoteReference w:customMarkFollows="1" w:id="6061"/>
        <w:t>f</w:t>
      </w:r>
      <w:r>
        <w:rPr/>
        <w:t xml:space="preserve"> </w:t>
      </w:r>
      <w:r>
        <w:rPr>
          <w:color w:val="808080"/>
        </w:rPr>
        <w:t>(in Drangsalen)</w:t>
      </w:r>
      <w:r>
        <w:rPr/>
        <w:t xml:space="preserve">,{{field-off:bible}} </w:t>
        <w:br/>
        <w:t>[[@BibleTOBIBLE:2Co 6:5]]</w:t>
      </w:r>
      <w:r>
        <w:rPr>
          <w:b/>
        </w:rPr>
        <w:t>5</w:t>
      </w:r>
      <w:r>
        <w:rPr/>
        <w:t xml:space="preserve"> {{field-on:bible}}wenn man euch schlägt </w:t>
      </w:r>
      <w:r>
        <w:rPr>
          <w:color w:val="808080"/>
        </w:rPr>
        <w:t>(in Schlägen/Auspeitschungen)</w:t>
      </w:r>
      <w:r>
        <w:rPr/>
        <w:t>, im Gefängnis</w:t>
      </w:r>
      <w:r>
        <w:rPr>
          <w:rStyle w:val="Funotenanker"/>
        </w:rPr>
        <w:footnoteReference w:customMarkFollows="1" w:id="6062"/>
        <w:t>g</w:t>
      </w:r>
      <w:r>
        <w:rPr/>
        <w:t xml:space="preserve">, in Unruhen </w:t>
      </w:r>
      <w:r>
        <w:rPr>
          <w:color w:val="808080"/>
        </w:rPr>
        <w:t>(Aufruhren/Streitigkeiten)</w:t>
      </w:r>
      <w:r>
        <w:rPr/>
        <w:t xml:space="preserve">, bei schweren Arbeiten </w:t>
      </w:r>
      <w:r>
        <w:rPr>
          <w:color w:val="808080"/>
        </w:rPr>
        <w:t>(in Mühen/Schmerzen)</w:t>
      </w:r>
      <w:r>
        <w:rPr/>
        <w:t>, in durchwachten Nächten</w:t>
      </w:r>
      <w:r>
        <w:rPr>
          <w:rStyle w:val="Funotenanker"/>
        </w:rPr>
        <w:footnoteReference w:customMarkFollows="1" w:id="6063"/>
        <w:t>h</w:t>
      </w:r>
      <w:r>
        <w:rPr/>
        <w:t xml:space="preserve">, im </w:t>
      </w:r>
      <w:r>
        <w:rPr>
          <w:color w:val="808080"/>
        </w:rPr>
        <w:t>(erzwungenen?)</w:t>
      </w:r>
      <w:r>
        <w:rPr/>
        <w:t xml:space="preserve"> Fasten,{{field-off:bible}} </w:t>
        <w:br/>
        <w:t>[[@BibleTOBIBLE:2Co 6:6]]</w:t>
      </w:r>
      <w:r>
        <w:rPr>
          <w:b/>
        </w:rPr>
        <w:t>6</w:t>
      </w:r>
      <w:r>
        <w:rPr/>
        <w:t xml:space="preserve"> {{field-on:bible}}in Reinheit </w:t>
      </w:r>
      <w:r>
        <w:rPr>
          <w:color w:val="808080"/>
        </w:rPr>
        <w:t>(Lauterkeit)</w:t>
      </w:r>
      <w:r>
        <w:rPr/>
        <w:t xml:space="preserve">, in Erkenntnis, in Geduld, in Rechtschaffenheit </w:t>
      </w:r>
      <w:r>
        <w:rPr>
          <w:color w:val="808080"/>
        </w:rPr>
        <w:t>(Güte, Milde)</w:t>
      </w:r>
      <w:r>
        <w:rPr/>
        <w:t xml:space="preserve">, in Heiligem Geist, in ungeheuchelter Liebe,{{field-off:bible}} </w:t>
        <w:br/>
        <w:t>[[@BibleTOBIBLE:2Co 6:7]]</w:t>
      </w:r>
      <w:r>
        <w:rPr>
          <w:b/>
        </w:rPr>
        <w:t>7</w:t>
      </w:r>
      <w:r>
        <w:rPr/>
        <w:t xml:space="preserve"> {{field-on:bible}}im Wort der Wahrheit, in der </w:t>
      </w:r>
      <w:r>
        <w:rPr>
          <w:color w:val="808080"/>
        </w:rPr>
        <w:t>(Voll)</w:t>
      </w:r>
      <w:r>
        <w:rPr/>
        <w:t>Macht Gottes; durch die Waffen der Gerechtigkeit</w:t>
      </w:r>
      <w:r>
        <w:rPr>
          <w:rStyle w:val="Funotenanker"/>
        </w:rPr>
        <w:footnoteReference w:customMarkFollows="1" w:id="6064"/>
        <w:t>i</w:t>
      </w:r>
      <w:r>
        <w:rPr/>
        <w:t xml:space="preserve"> zur Rechten und Linken</w:t>
      </w:r>
      <w:r>
        <w:rPr>
          <w:rStyle w:val="Funotenanker"/>
        </w:rPr>
        <w:footnoteReference w:customMarkFollows="1" w:id="6065"/>
        <w:t>j</w:t>
      </w:r>
      <w:r>
        <w:rPr/>
        <w:t xml:space="preserve">,{{field-off:bible}} </w:t>
        <w:br/>
        <w:t>[[@BibleTOBIBLE:2Co 6:8]]</w:t>
      </w:r>
      <w:r>
        <w:rPr>
          <w:b/>
        </w:rPr>
        <w:t>8</w:t>
      </w:r>
      <w:r>
        <w:rPr/>
        <w:t xml:space="preserve"> {{field-on:bible}}durch Ansehen und Schande, durch üble Nachrede und Lob; als Betrüger und doch wahrhaftig,{{field-off:bible}} </w:t>
        <w:br/>
        <w:t>[[@BibleTOBIBLE:2Co 6:9]]</w:t>
      </w:r>
      <w:r>
        <w:rPr>
          <w:b/>
        </w:rPr>
        <w:t>9</w:t>
      </w:r>
      <w:r>
        <w:rPr/>
        <w:t xml:space="preserve"> {{field-on:bible}}als Verkannte</w:t>
      </w:r>
      <w:r>
        <w:rPr>
          <w:rStyle w:val="Funotenanker"/>
        </w:rPr>
        <w:footnoteReference w:customMarkFollows="1" w:id="6066"/>
        <w:t>k</w:t>
      </w:r>
      <w:r>
        <w:rPr/>
        <w:t xml:space="preserve"> </w:t>
      </w:r>
      <w:r>
        <w:rPr>
          <w:color w:val="808080"/>
        </w:rPr>
        <w:t>(Unbekannte)</w:t>
      </w:r>
      <w:r>
        <w:rPr/>
        <w:t xml:space="preserve">, und doch erkannt, als in Todesgefahr Schwebende </w:t>
      </w:r>
      <w:r>
        <w:rPr>
          <w:color w:val="808080"/>
        </w:rPr>
        <w:t>(Sterbende/Erschlagene)</w:t>
      </w:r>
      <w:r>
        <w:rPr/>
        <w:t xml:space="preserve">, und siehe!, wir leben, als </w:t>
      </w:r>
      <w:r>
        <w:rPr>
          <w:color w:val="808080"/>
        </w:rPr>
        <w:t>(von Gott?)</w:t>
      </w:r>
      <w:r>
        <w:rPr/>
        <w:t xml:space="preserve"> Gezüchtigte, aber nicht Getötete,</w:t>
      </w:r>
      <w:r>
        <w:rPr>
          <w:rStyle w:val="Funotenanker"/>
        </w:rPr>
        <w:footnoteReference w:customMarkFollows="1" w:id="6067"/>
        <w:t>l</w:t>
      </w:r>
      <w:r>
        <w:rPr/>
        <w:t xml:space="preserve"> {{field-off:bible}} </w:t>
        <w:br/>
        <w:t>[[@BibleTOBIBLE:2Co 6:10]]</w:t>
      </w:r>
      <w:r>
        <w:rPr>
          <w:b/>
        </w:rPr>
        <w:t>10</w:t>
      </w:r>
      <w:r>
        <w:rPr/>
        <w:t xml:space="preserve"> {{field-on:bible}}als Betrübte, aber immer </w:t>
      </w:r>
      <w:r>
        <w:rPr>
          <w:color w:val="808080"/>
        </w:rPr>
        <w:t>(Fröhliche)</w:t>
      </w:r>
      <w:r>
        <w:rPr/>
        <w:t xml:space="preserve"> fröhlich, als Arme, die aber viele reich machen, als solche, die nichts besitzen </w:t>
      </w:r>
      <w:r>
        <w:rPr>
          <w:color w:val="808080"/>
        </w:rPr>
        <w:t>(haben)</w:t>
      </w:r>
      <w:r>
        <w:rPr/>
        <w:t xml:space="preserve">, die aber viele reich machen, als solche, die nichts haben, aber alles </w:t>
      </w:r>
      <w:r>
        <w:rPr>
          <w:color w:val="808080"/>
        </w:rPr>
        <w:t>(fest)</w:t>
      </w:r>
      <w:r>
        <w:rPr/>
        <w:t xml:space="preserve"> haben.{{field-off:bible}} </w:t>
        <w:br/>
        <w:t>[[@BibleTOBIBLE:2Co 6:11]]</w:t>
      </w:r>
      <w:r>
        <w:rPr>
          <w:b/>
        </w:rPr>
        <w:t>11</w:t>
      </w:r>
      <w:r>
        <w:rPr/>
        <w:t xml:space="preserve"> {{field-on:bible}}Wir haben unseren Mund für euch geöffnet </w:t>
      </w:r>
      <w:r>
        <w:rPr>
          <w:color w:val="808080"/>
        </w:rPr>
        <w:t>(wir haben zu euch geredet)</w:t>
      </w:r>
      <w:r>
        <w:rPr/>
        <w:t xml:space="preserve">, </w:t>
      </w:r>
      <w:r>
        <w:rPr>
          <w:b/>
          <w:color w:val="808080"/>
        </w:rPr>
        <w:t>[</w:t>
      </w:r>
      <w:r>
        <w:rPr/>
        <w:t>liebe</w:t>
      </w:r>
      <w:r>
        <w:rPr>
          <w:b/>
          <w:color w:val="808080"/>
        </w:rPr>
        <w:t>]</w:t>
      </w:r>
      <w:r>
        <w:rPr/>
        <w:t xml:space="preserve"> Korinther, unser Herz wurde weit.{{field-off:bible}} </w:t>
        <w:br/>
        <w:t>[[@BibleTOBIBLE:2Co 6:12]]</w:t>
      </w:r>
      <w:r>
        <w:rPr>
          <w:b/>
        </w:rPr>
        <w:t>12</w:t>
      </w:r>
      <w:r>
        <w:rPr/>
        <w:t xml:space="preserve"> {{field-on:bible}}Euch ist nicht enge in uns, euch ist aber enge in euren Herzen.{{field-off:bible}} </w:t>
        <w:br/>
        <w:t>[[@BibleTOBIBLE:2Co 6:13]]</w:t>
      </w:r>
      <w:r>
        <w:rPr>
          <w:b/>
        </w:rPr>
        <w:t>13</w:t>
      </w:r>
      <w:r>
        <w:rPr/>
        <w:t xml:space="preserve"> {{field-on:bible}}Wie zu Kindern rede ich: Werdet auch ihr weit, um denselben Lohn </w:t>
      </w:r>
      <w:r>
        <w:rPr>
          <w:b/>
          <w:color w:val="808080"/>
        </w:rPr>
        <w:t>[</w:t>
      </w:r>
      <w:r>
        <w:rPr/>
        <w:t>zu empfangen</w:t>
      </w:r>
      <w:r>
        <w:rPr>
          <w:b/>
          <w:color w:val="808080"/>
        </w:rPr>
        <w:t>]</w:t>
      </w:r>
      <w:r>
        <w:rPr/>
        <w:t xml:space="preserve">.{{field-off:bible}} </w:t>
        <w:br/>
        <w:t>[[@BibleTOBIBLE:2Co 6:14]]</w:t>
      </w:r>
      <w:r>
        <w:rPr>
          <w:b/>
        </w:rPr>
        <w:t>14</w:t>
      </w:r>
      <w:r>
        <w:rPr/>
        <w:t xml:space="preserve"> {{field-on:bible}}Gebt euch nicht den Ungläubigen her!</w:t>
      </w:r>
      <w:r>
        <w:rPr>
          <w:rStyle w:val="Funotenanker"/>
        </w:rPr>
        <w:footnoteReference w:customMarkFollows="1" w:id="6068"/>
        <w:t>m</w:t>
      </w:r>
      <w:r>
        <w:rPr/>
        <w:t xml:space="preserve"> Denn welchen Anteil </w:t>
      </w:r>
      <w:r>
        <w:rPr>
          <w:color w:val="808080"/>
        </w:rPr>
        <w:t>(Gemeinschaft)</w:t>
      </w:r>
      <w:r>
        <w:rPr/>
        <w:t xml:space="preserve"> </w:t>
      </w:r>
      <w:r>
        <w:rPr>
          <w:b/>
          <w:color w:val="808080"/>
        </w:rPr>
        <w:t>[</w:t>
      </w:r>
      <w:r>
        <w:rPr/>
        <w:t>hat</w:t>
      </w:r>
      <w:r>
        <w:rPr>
          <w:b/>
          <w:color w:val="808080"/>
        </w:rPr>
        <w:t>]</w:t>
      </w:r>
      <w:r>
        <w:rPr/>
        <w:t xml:space="preserve"> die Gerechtigkeit</w:t>
      </w:r>
      <w:r>
        <w:rPr>
          <w:rStyle w:val="Funotenanker"/>
        </w:rPr>
        <w:footnoteReference w:customMarkFollows="1" w:id="6069"/>
        <w:t>n</w:t>
      </w:r>
      <w:r>
        <w:rPr/>
        <w:t xml:space="preserve"> an der Ungerechtigkeit </w:t>
      </w:r>
      <w:r>
        <w:rPr>
          <w:color w:val="808080"/>
        </w:rPr>
        <w:t>(Ungesetzlichkeit, Sünde)</w:t>
      </w:r>
      <w:r>
        <w:rPr/>
        <w:t xml:space="preserve">, oder welche Gemeinschaft das Licht mit der Dunkelheit </w:t>
      </w:r>
      <w:r>
        <w:rPr>
          <w:color w:val="808080"/>
        </w:rPr>
        <w:t>(Finsternis)</w:t>
      </w:r>
      <w:r>
        <w:rPr/>
        <w:t xml:space="preserve">?{{field-off:bible}} </w:t>
        <w:br/>
        <w:t>[[@BibleTOBIBLE:2Co 6:15]]</w:t>
      </w:r>
      <w:r>
        <w:rPr>
          <w:b/>
        </w:rPr>
        <w:t>15</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Christus mit Beliar</w:t>
      </w:r>
      <w:r>
        <w:rPr>
          <w:rStyle w:val="Funotenanker"/>
        </w:rPr>
        <w:footnoteReference w:customMarkFollows="1" w:id="6070"/>
        <w:t>o</w:t>
      </w:r>
      <w:r>
        <w:rPr/>
        <w:t xml:space="preserve">, oder welchen Anteil der Gläubige mit dem Ungläubigen </w:t>
      </w:r>
      <w:r>
        <w:rPr>
          <w:color w:val="808080"/>
        </w:rPr>
        <w:t>(„Heiden“)</w:t>
      </w:r>
      <w:r>
        <w:rPr/>
        <w:t xml:space="preserve">?{{field-off:bible}} </w:t>
        <w:br/>
        <w:t>[[@BibleTOBIBLE:2Co 6:16]]</w:t>
      </w:r>
      <w:r>
        <w:rPr>
          <w:b/>
        </w:rPr>
        <w:t>16</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der Tempel Gottes mit den Götzenbildern? Denn wir sind ein Tempel des lebendigen Gottes, wie Gott spricht:</w:t>
      </w:r>
      <w:r>
        <w:rPr>
          <w:rStyle w:val="Funotenanker"/>
        </w:rPr>
        <w:footnoteReference w:customMarkFollows="1" w:id="6071"/>
        <w:t>p</w:t>
      </w:r>
      <w:r>
        <w:rPr/>
        <w:t xml:space="preserve"> </w:t>
        <w:br/>
        <w:t xml:space="preserve">Ich werde unter ihnen wohnen und wandeln </w:t>
      </w:r>
      <w:r>
        <w:rPr>
          <w:color w:val="808080"/>
        </w:rPr>
        <w:t>(einhergehen)</w:t>
      </w:r>
      <w:r>
        <w:rPr/>
        <w:t xml:space="preserve"> </w:t>
      </w:r>
      <w:r>
        <w:rPr>
          <w:color w:val="808080"/>
        </w:rPr>
        <w:t>(3.Mose 26,11-12)</w:t>
      </w:r>
      <w:r>
        <w:rPr/>
        <w:t xml:space="preserve"> </w:t>
        <w:br/>
        <w:t xml:space="preserve">und werde ihr Gott sein, und sie werden mein Volk sein. </w:t>
      </w:r>
      <w:r>
        <w:rPr>
          <w:color w:val="808080"/>
        </w:rPr>
        <w:t>(Ezechiel 37,27)</w:t>
      </w:r>
      <w:r>
        <w:rPr/>
        <w:t xml:space="preserve"> </w:t>
        <w:br/>
        <w:t xml:space="preserve">{{field-off:bible}} </w:t>
        <w:br/>
        <w:t>[[@BibleTOBIBLE:2Co 6:17]]</w:t>
      </w:r>
      <w:r>
        <w:rPr>
          <w:b/>
        </w:rPr>
        <w:t>17</w:t>
      </w:r>
      <w:r>
        <w:rPr/>
        <w:t xml:space="preserve"> {{field-on:bible}} </w:t>
        <w:br/>
        <w:t>Deshalb geht weg von ihnen</w:t>
      </w:r>
      <w:r>
        <w:rPr>
          <w:rStyle w:val="Funotenanker"/>
        </w:rPr>
        <w:footnoteReference w:customMarkFollows="1" w:id="6072"/>
        <w:t>q</w:t>
      </w:r>
      <w:r>
        <w:rPr/>
        <w:t xml:space="preserve"> </w:t>
        <w:br/>
        <w:t xml:space="preserve">und sondert euch ab </w:t>
      </w:r>
      <w:r>
        <w:rPr>
          <w:color w:val="808080"/>
        </w:rPr>
        <w:t>(trennt euch)</w:t>
      </w:r>
      <w:r>
        <w:rPr/>
        <w:t xml:space="preserve">, spricht der Herr, </w:t>
      </w:r>
      <w:r>
        <w:rPr>
          <w:color w:val="808080"/>
        </w:rPr>
        <w:t>(Jesaja 52,11.4)</w:t>
      </w:r>
      <w:r>
        <w:rPr/>
        <w:t xml:space="preserve"> </w:t>
        <w:br/>
        <w:t>und fasst Unreines nicht an;</w:t>
        <w:br/>
        <w:t xml:space="preserve">und ich werde euch annehmen </w:t>
      </w:r>
      <w:r>
        <w:rPr>
          <w:color w:val="808080"/>
        </w:rPr>
        <w:t>(Ezechiel 20,34.41)</w:t>
      </w:r>
      <w:r>
        <w:rPr/>
        <w:t xml:space="preserve"> </w:t>
        <w:br/>
        <w:t xml:space="preserve">{{field-off:bible}} </w:t>
        <w:br/>
        <w:t>[[@BibleTOBIBLE:2Co 6:18]]</w:t>
      </w:r>
      <w:r>
        <w:rPr>
          <w:b/>
        </w:rPr>
        <w:t>18</w:t>
      </w:r>
      <w:r>
        <w:rPr/>
        <w:t xml:space="preserve"> {{field-on:bible}} </w:t>
        <w:br/>
        <w:t xml:space="preserve">und werde euer Vater sein </w:t>
      </w:r>
      <w:r>
        <w:rPr>
          <w:color w:val="808080"/>
        </w:rPr>
        <w:t>(2.Samuel 7,14;Jeremia 31,9)</w:t>
      </w:r>
      <w:r>
        <w:rPr/>
        <w:t>,</w:t>
        <w:br/>
        <w:t xml:space="preserve">und ihr werdet meine Söhne und Töchter sein </w:t>
      </w:r>
      <w:r>
        <w:rPr>
          <w:color w:val="808080"/>
        </w:rPr>
        <w:t>(Jesaja 43,6)</w:t>
      </w:r>
      <w:r>
        <w:rPr/>
        <w:t>,</w:t>
        <w:br/>
        <w:t xml:space="preserve">spricht der allmächtige Herr </w:t>
      </w:r>
      <w:r>
        <w:rPr>
          <w:color w:val="808080"/>
        </w:rPr>
        <w:t>(der Herr, der Allmächtige)</w:t>
      </w:r>
      <w:r>
        <w:rPr/>
        <w:t xml:space="preserve"> </w:t>
      </w:r>
      <w:r>
        <w:rPr>
          <w:color w:val="808080"/>
        </w:rPr>
        <w:t>(2.Samuel 7,8)</w:t>
      </w:r>
      <w:r>
        <w:rPr/>
        <w:t>.</w:t>
        <w:br/>
        <w:t xml:space="preserve">{{field-off:bible}} </w:t>
      </w:r>
    </w:p>
    <w:p>
      <w:pPr>
        <w:pStyle w:val="Berschrift3"/>
        <w:rPr/>
      </w:pPr>
      <w:r>
        <w:rPr/>
        <w:t>[[@BibleTOBIBLE:2Co 11]]Kapitel 11</w:t>
      </w:r>
    </w:p>
    <w:p>
      <w:pPr>
        <w:pStyle w:val="Textkrper"/>
        <w:rPr/>
      </w:pPr>
      <w:r>
        <w:rPr/>
        <w:br/>
        <w:t>[[@BibleTOBIBLE:2Co 11:1]]</w:t>
      </w:r>
      <w:r>
        <w:rPr>
          <w:b/>
        </w:rPr>
        <w:t>1</w:t>
      </w:r>
      <w:r>
        <w:rPr/>
        <w:t xml:space="preserve"> {{field-on:bible}} </w:t>
      </w:r>
      <w:r>
        <w:rPr>
          <w:rStyle w:val="Funotenanker"/>
        </w:rPr>
        <w:footnoteReference w:customMarkFollows="1" w:id="6073"/>
        <w:t>Status</w:t>
      </w:r>
      <w:r>
        <w:rPr/>
        <w:t xml:space="preserve"> Wenn ihr euch doch von mir ein wenig Torheit </w:t>
      </w:r>
      <w:r>
        <w:rPr>
          <w:color w:val="808080"/>
        </w:rPr>
        <w:t>(Unverstand)</w:t>
      </w:r>
      <w:r>
        <w:rPr/>
        <w:t xml:space="preserve"> gefallen lassen würdet! Aber ihr lasst es euch auch von mir gefallen.{{field-off:bible}} </w:t>
        <w:br/>
        <w:t>[[@BibleTOBIBLE:2Co 11:2]]</w:t>
      </w:r>
      <w:r>
        <w:rPr>
          <w:b/>
        </w:rPr>
        <w:t>2</w:t>
      </w:r>
      <w:r>
        <w:rPr/>
        <w:t xml:space="preserve"> {{field-on:bible}}Ich bemühe mich nämlich um euch im Eifer Gottes, denn ich gab euch einem Mann als reine </w:t>
      </w:r>
      <w:r>
        <w:rPr>
          <w:color w:val="808080"/>
        </w:rPr>
        <w:t>(keusche)</w:t>
      </w:r>
      <w:r>
        <w:rPr/>
        <w:t xml:space="preserve"> Jungfrau zur Ehe, indem ich euch Christus darbrachte</w:t>
      </w:r>
      <w:r>
        <w:rPr>
          <w:rStyle w:val="Funotenanker"/>
        </w:rPr>
        <w:footnoteReference w:customMarkFollows="1" w:id="6074"/>
        <w:t>a</w:t>
      </w:r>
      <w:r>
        <w:rPr/>
        <w:t xml:space="preserve"> </w:t>
      </w:r>
      <w:r>
        <w:rPr>
          <w:color w:val="808080"/>
        </w:rPr>
        <w:t>(zur Verfügung stellte)</w:t>
      </w:r>
      <w:r>
        <w:rPr/>
        <w:t xml:space="preserve">.{{field-off:bible}} </w:t>
        <w:br/>
        <w:t>[[@BibleTOBIBLE:2Co 11:3]]</w:t>
      </w:r>
      <w:r>
        <w:rPr>
          <w:b/>
        </w:rPr>
        <w:t>3</w:t>
      </w:r>
      <w:r>
        <w:rPr/>
        <w:t xml:space="preserve"> {{field-on:bible}}Ich fürchte aber, dass vielleicht, wie die Schlange in ihrer Verschlagenheit Eva verführte, eure Gedanken beschädigt wurden von der Schlichtheit und Reinheit in Christus.{{field-off:bible}} </w:t>
        <w:br/>
        <w:t>[[@BibleTOBIBLE:2Co 11:4]]</w:t>
      </w:r>
      <w:r>
        <w:rPr>
          <w:b/>
        </w:rPr>
        <w:t>4</w:t>
      </w:r>
      <w:r>
        <w:rPr/>
        <w:t xml:space="preserve"> {{field-on:bible}}Wenn nämlich einer kommt und</w:t>
      </w:r>
      <w:r>
        <w:rPr>
          <w:rStyle w:val="Funotenanker"/>
        </w:rPr>
        <w:footnoteReference w:customMarkFollows="1" w:id="6075"/>
        <w:t>b</w:t>
      </w:r>
      <w:r>
        <w:rPr/>
        <w:t xml:space="preserve"> einen anderen Jesus predigt </w:t>
      </w:r>
      <w:r>
        <w:rPr>
          <w:color w:val="808080"/>
        </w:rPr>
        <w:t>(verkündigt)</w:t>
      </w:r>
      <w:r>
        <w:rPr/>
        <w:t xml:space="preserve">, den wir nicht gepredigt </w:t>
      </w:r>
      <w:r>
        <w:rPr>
          <w:color w:val="808080"/>
        </w:rPr>
        <w:t>(verkündigt)</w:t>
      </w:r>
      <w:r>
        <w:rPr/>
        <w:t xml:space="preserve"> haben, oder ihr einen anderen Geist empfangt, den ihr nicht empfingt, oder ein anderes Evangelium, das ihr nicht bekamt, lasst ihr euch das gern gefallen.{{field-off:bible}} </w:t>
        <w:br/>
        <w:t>[[@BibleTOBIBLE:2Co 11:5]]</w:t>
      </w:r>
      <w:r>
        <w:rPr>
          <w:b/>
        </w:rPr>
        <w:t>5</w:t>
      </w:r>
      <w:r>
        <w:rPr/>
        <w:t xml:space="preserve"> {{field-on:bible}}Ich finde </w:t>
      </w:r>
      <w:r>
        <w:rPr>
          <w:color w:val="808080"/>
        </w:rPr>
        <w:t>(bin der Meinung, halte dafür)</w:t>
      </w:r>
      <w:r>
        <w:rPr/>
        <w:t xml:space="preserve"> nämlich, ich bin nicht geringer als die Überapostel</w:t>
      </w:r>
      <w:r>
        <w:rPr>
          <w:rStyle w:val="Funotenanker"/>
        </w:rPr>
        <w:footnoteReference w:customMarkFollows="1" w:id="6076"/>
        <w:t>c</w:t>
      </w:r>
      <w:r>
        <w:rPr/>
        <w:t xml:space="preserve">.{{field-off:bible}} </w:t>
        <w:br/>
        <w:t>[[@BibleTOBIBLE:2Co 11:6]]</w:t>
      </w:r>
      <w:r>
        <w:rPr>
          <w:b/>
        </w:rPr>
        <w:t>6</w:t>
      </w:r>
      <w:r>
        <w:rPr/>
        <w:t xml:space="preserve"> {{field-on:bible}}Bin ich auch ein Laie der Rede</w:t>
      </w:r>
      <w:r>
        <w:rPr>
          <w:rStyle w:val="Funotenanker"/>
        </w:rPr>
        <w:footnoteReference w:customMarkFollows="1" w:id="6077"/>
        <w:t>d</w:t>
      </w:r>
      <w:r>
        <w:rPr/>
        <w:t xml:space="preserve">, so doch keiner der Erkenntnis, sondern wir zeigen uns euch ganz </w:t>
      </w:r>
      <w:r>
        <w:rPr>
          <w:color w:val="808080"/>
        </w:rPr>
        <w:t>(gänzlich)</w:t>
      </w:r>
      <w:r>
        <w:rPr/>
        <w:t xml:space="preserve">.{{field-off:bible}} </w:t>
        <w:br/>
        <w:t>[[@BibleTOBIBLE:2Co 11:7]]</w:t>
      </w:r>
      <w:r>
        <w:rPr>
          <w:b/>
        </w:rPr>
        <w:t>7</w:t>
      </w:r>
      <w:r>
        <w:rPr/>
        <w:t xml:space="preserve"> {{field-on:bible}}Oder tat ich Unrecht </w:t>
      </w:r>
      <w:r>
        <w:rPr>
          <w:color w:val="808080"/>
        </w:rPr>
        <w:t>(eine Sünde)</w:t>
      </w:r>
      <w:r>
        <w:rPr/>
        <w:t>, als</w:t>
      </w:r>
      <w:r>
        <w:rPr>
          <w:rStyle w:val="Funotenanker"/>
        </w:rPr>
        <w:footnoteReference w:customMarkFollows="1" w:id="6078"/>
        <w:t>e</w:t>
      </w:r>
      <w:r>
        <w:rPr/>
        <w:t xml:space="preserve"> ich mich selbst erniedrigte, damit ihr erhöht würdet, weil ich euch unentgeltlich das Evangelium Gottes verkündigte?{{field-off:bible}} </w:t>
        <w:br/>
        <w:t>[[@BibleTOBIBLE:2Co 11:8]]</w:t>
      </w:r>
      <w:r>
        <w:rPr>
          <w:b/>
        </w:rPr>
        <w:t>8</w:t>
      </w:r>
      <w:r>
        <w:rPr/>
        <w:t xml:space="preserve"> {{field-on:bible}}Andere Gemeinden habe ich beraubt, indem</w:t>
      </w:r>
      <w:r>
        <w:rPr>
          <w:rStyle w:val="Funotenanker"/>
        </w:rPr>
        <w:footnoteReference w:customMarkFollows="1" w:id="6079"/>
        <w:t>f</w:t>
      </w:r>
      <w:r>
        <w:rPr/>
        <w:t xml:space="preserve"> ich </w:t>
      </w:r>
      <w:r>
        <w:rPr>
          <w:b/>
          <w:color w:val="808080"/>
        </w:rPr>
        <w:t>[</w:t>
      </w:r>
      <w:r>
        <w:rPr/>
        <w:t>von ihnen</w:t>
      </w:r>
      <w:r>
        <w:rPr>
          <w:b/>
          <w:color w:val="808080"/>
        </w:rPr>
        <w:t>]</w:t>
      </w:r>
      <w:r>
        <w:rPr/>
        <w:t xml:space="preserve"> Lohn für meinen Dienst an euch empfing,{{field-off:bible}} </w:t>
        <w:br/>
        <w:t>[[@BibleTOBIBLE:2Co 11:9]]</w:t>
      </w:r>
      <w:r>
        <w:rPr>
          <w:b/>
        </w:rPr>
        <w:t>9</w:t>
      </w:r>
      <w:r>
        <w:rPr/>
        <w:t xml:space="preserve"> {{field-on:bible}}und während</w:t>
      </w:r>
      <w:r>
        <w:rPr>
          <w:rStyle w:val="Funotenanker"/>
        </w:rPr>
        <w:footnoteReference w:customMarkFollows="1" w:id="6080"/>
        <w:t>g</w:t>
      </w:r>
      <w:r>
        <w:rPr/>
        <w:t xml:space="preserve"> ich bei euch war und Mangel litt, fiel ich niemandem zur Last. Meinem Mangel halfen nämlich die Brüder ab, die</w:t>
      </w:r>
      <w:r>
        <w:rPr>
          <w:rStyle w:val="Funotenanker"/>
        </w:rPr>
        <w:footnoteReference w:customMarkFollows="1" w:id="6081"/>
        <w:t>h</w:t>
      </w:r>
      <w:r>
        <w:rPr/>
        <w:t xml:space="preserve"> aus Makedonien kamen, und insgesamt habe ich darauf geachtet, euch nicht zu beschweren, und werde auch </w:t>
      </w:r>
      <w:r>
        <w:rPr>
          <w:b/>
          <w:color w:val="808080"/>
        </w:rPr>
        <w:t>[</w:t>
      </w:r>
      <w:r>
        <w:rPr/>
        <w:t>zukünftig</w:t>
      </w:r>
      <w:r>
        <w:rPr>
          <w:b/>
          <w:color w:val="808080"/>
        </w:rPr>
        <w:t>]</w:t>
      </w:r>
      <w:r>
        <w:rPr/>
        <w:t xml:space="preserve"> darauf achten.{{field-off:bible}} </w:t>
        <w:br/>
        <w:t>[[@BibleTOBIBLE:2Co 11:10]]</w:t>
      </w:r>
      <w:r>
        <w:rPr>
          <w:b/>
        </w:rPr>
        <w:t>10</w:t>
      </w:r>
      <w:r>
        <w:rPr/>
        <w:t xml:space="preserve"> {{field-on:bible}}Die Wahrheit Christi ist in mir:</w:t>
      </w:r>
      <w:r>
        <w:rPr>
          <w:rStyle w:val="Funotenanker"/>
        </w:rPr>
        <w:footnoteReference w:customMarkFollows="1" w:id="6082"/>
        <w:t>i</w:t>
      </w:r>
      <w:r>
        <w:rPr/>
        <w:t xml:space="preserve"> Dieser mein Ruhm soll in der </w:t>
      </w:r>
      <w:r>
        <w:rPr>
          <w:strike/>
          <w:color w:val="808080"/>
        </w:rPr>
        <w:t>{Gegend von}</w:t>
      </w:r>
      <w:r>
        <w:rPr/>
        <w:t xml:space="preserve"> Achaia nicht zum Schweigen gebracht werden.{{field-off:bible}} </w:t>
        <w:br/>
        <w:t>[[@BibleTOBIBLE:2Co 11:11]]</w:t>
      </w:r>
      <w:r>
        <w:rPr>
          <w:b/>
        </w:rPr>
        <w:t>11</w:t>
      </w:r>
      <w:r>
        <w:rPr/>
        <w:t xml:space="preserve"> {{field-on:bible}}Weshalb? Weil ich euch nicht liebe? Gott weiß es.{{field-off:bible}} </w:t>
        <w:br/>
        <w:t>[[@BibleTOBIBLE:2Co 11:12]]</w:t>
      </w:r>
      <w:r>
        <w:rPr>
          <w:b/>
        </w:rPr>
        <w:t>12</w:t>
      </w:r>
      <w:r>
        <w:rPr/>
        <w:t xml:space="preserve"> {{field-on:bible}}Was ich aber tue und weiterhin vorhabe zu tun, </w:t>
      </w:r>
      <w:r>
        <w:rPr>
          <w:b/>
          <w:color w:val="808080"/>
        </w:rPr>
        <w:t>[</w:t>
      </w:r>
      <w:r>
        <w:rPr/>
        <w:t>tue ich</w:t>
      </w:r>
      <w:r>
        <w:rPr>
          <w:b/>
          <w:color w:val="808080"/>
        </w:rPr>
        <w:t>]</w:t>
      </w:r>
      <w:r>
        <w:rPr/>
        <w:t>, um denen die Gelegenheit zu nehmen, die Gelegenheit suchen</w:t>
      </w:r>
      <w:r>
        <w:rPr>
          <w:rStyle w:val="Funotenanker"/>
        </w:rPr>
        <w:footnoteReference w:customMarkFollows="1" w:id="6083"/>
        <w:t>j</w:t>
      </w:r>
      <w:r>
        <w:rPr/>
        <w:t xml:space="preserve">, dass sie sich der selben Dinge rühmen </w:t>
      </w:r>
      <w:r>
        <w:rPr>
          <w:b/>
          <w:color w:val="808080"/>
        </w:rPr>
        <w:t>[</w:t>
      </w:r>
      <w:r>
        <w:rPr/>
        <w:t>können</w:t>
      </w:r>
      <w:r>
        <w:rPr>
          <w:b/>
          <w:color w:val="808080"/>
        </w:rPr>
        <w:t>]</w:t>
      </w:r>
      <w:r>
        <w:rPr/>
        <w:t xml:space="preserve"> wie wir.{{field-off:bible}} </w:t>
        <w:br/>
        <w:t>[[@BibleTOBIBLE:2Co 11:13]]</w:t>
      </w:r>
      <w:r>
        <w:rPr>
          <w:b/>
        </w:rPr>
        <w:t>13</w:t>
      </w:r>
      <w:r>
        <w:rPr/>
        <w:t xml:space="preserve"> {{field-on:bible}}Denn diese </w:t>
      </w:r>
      <w:r>
        <w:rPr>
          <w:b/>
          <w:color w:val="808080"/>
        </w:rPr>
        <w:t>[</w:t>
      </w:r>
      <w:r>
        <w:rPr/>
        <w:t>sind</w:t>
      </w:r>
      <w:r>
        <w:rPr>
          <w:b/>
          <w:color w:val="808080"/>
        </w:rPr>
        <w:t>]</w:t>
      </w:r>
      <w:r>
        <w:rPr/>
        <w:t xml:space="preserve"> Lügenapostel, hinterlistige Agenten</w:t>
      </w:r>
      <w:r>
        <w:rPr>
          <w:rStyle w:val="Funotenanker"/>
        </w:rPr>
        <w:footnoteReference w:customMarkFollows="1" w:id="6084"/>
        <w:t>k</w:t>
      </w:r>
      <w:r>
        <w:rPr/>
        <w:t>, die</w:t>
      </w:r>
      <w:r>
        <w:rPr>
          <w:rStyle w:val="Funotenanker"/>
        </w:rPr>
        <w:footnoteReference w:customMarkFollows="1" w:id="6085"/>
        <w:t>l</w:t>
      </w:r>
      <w:r>
        <w:rPr/>
        <w:t xml:space="preserve"> sich als Apostel Christi verkleidet </w:t>
      </w:r>
      <w:r>
        <w:rPr>
          <w:color w:val="808080"/>
        </w:rPr>
        <w:t>(verwandelt)</w:t>
      </w:r>
      <w:r>
        <w:rPr/>
        <w:t xml:space="preserve"> haben.{{field-off:bible}} </w:t>
        <w:br/>
        <w:t>[[@BibleTOBIBLE:2Co 11:14]]</w:t>
      </w:r>
      <w:r>
        <w:rPr>
          <w:b/>
        </w:rPr>
        <w:t>14</w:t>
      </w:r>
      <w:r>
        <w:rPr/>
        <w:t xml:space="preserve"> {{field-on:bible}}Und </w:t>
      </w:r>
      <w:r>
        <w:rPr>
          <w:b/>
          <w:color w:val="808080"/>
        </w:rPr>
        <w:t>[</w:t>
      </w:r>
      <w:r>
        <w:rPr/>
        <w:t>das ist</w:t>
      </w:r>
      <w:r>
        <w:rPr>
          <w:b/>
          <w:color w:val="808080"/>
        </w:rPr>
        <w:t>]</w:t>
      </w:r>
      <w:r>
        <w:rPr/>
        <w:t xml:space="preserve"> kein Wunder. Denn der Satan selbst verkleidet </w:t>
      </w:r>
      <w:r>
        <w:rPr>
          <w:color w:val="808080"/>
        </w:rPr>
        <w:t>(verwandelt)</w:t>
      </w:r>
      <w:r>
        <w:rPr/>
        <w:t xml:space="preserve"> sich als Engel des Lichts.{{field-off:bible}} </w:t>
        <w:br/>
        <w:t>[[@BibleTOBIBLE:2Co 11:15]]</w:t>
      </w:r>
      <w:r>
        <w:rPr>
          <w:b/>
        </w:rPr>
        <w:t>15</w:t>
      </w:r>
      <w:r>
        <w:rPr/>
        <w:t xml:space="preserve"> {{field-on:bible}}Es ist also nichts Besonderes, wenn auch seine Diener sich verkleiden als </w:t>
      </w:r>
      <w:r>
        <w:rPr>
          <w:color w:val="808080"/>
        </w:rPr>
        <w:t>(verwandeln zu)</w:t>
      </w:r>
      <w:r>
        <w:rPr/>
        <w:t xml:space="preserve"> Diener der Gerechtigkeit. Ihr Ende wird ihren Werken entsprechen.{{field-off:bible}} </w:t>
        <w:br/>
        <w:t>[[@BibleTOBIBLE:2Co 11:16]]</w:t>
      </w:r>
      <w:r>
        <w:rPr>
          <w:b/>
        </w:rPr>
        <w:t>16</w:t>
      </w:r>
      <w:r>
        <w:rPr/>
        <w:t xml:space="preserve"> {{field-on:bible}}Ich sage es noch einmal, niemand halte mich für töricht! Wenn aber doch, nehmt mich auch als Toren </w:t>
      </w:r>
      <w:r>
        <w:rPr>
          <w:color w:val="808080"/>
        </w:rPr>
        <w:t>(Narren)</w:t>
      </w:r>
      <w:r>
        <w:rPr/>
        <w:t xml:space="preserve"> an, damit ich mich auch ein wenig rühme.{{field-off:bible}} </w:t>
        <w:br/>
        <w:t>[[@BibleTOBIBLE:2Co 11:17]]</w:t>
      </w:r>
      <w:r>
        <w:rPr>
          <w:b/>
        </w:rPr>
        <w:t>17</w:t>
      </w:r>
      <w:r>
        <w:rPr/>
        <w:t xml:space="preserve"> {{field-on:bible}}Was ich </w:t>
      </w:r>
      <w:r>
        <w:rPr>
          <w:b/>
          <w:color w:val="808080"/>
        </w:rPr>
        <w:t>[</w:t>
      </w:r>
      <w:r>
        <w:rPr/>
        <w:t>jetzt</w:t>
      </w:r>
      <w:r>
        <w:rPr>
          <w:b/>
          <w:color w:val="808080"/>
        </w:rPr>
        <w:t>]</w:t>
      </w:r>
      <w:r>
        <w:rPr/>
        <w:t xml:space="preserve"> sage, sage ich nicht dem Herrn gemäß</w:t>
      </w:r>
      <w:r>
        <w:rPr>
          <w:rStyle w:val="Funotenanker"/>
        </w:rPr>
        <w:footnoteReference w:customMarkFollows="1" w:id="6086"/>
        <w:t>m</w:t>
      </w:r>
      <w:r>
        <w:rPr/>
        <w:t xml:space="preserve">, sondern wie aus Unverstand </w:t>
      </w:r>
      <w:r>
        <w:rPr>
          <w:color w:val="808080"/>
        </w:rPr>
        <w:t>(in Torheit)</w:t>
      </w:r>
      <w:r>
        <w:rPr/>
        <w:t xml:space="preserve">, durch diesen </w:t>
      </w:r>
      <w:r>
        <w:rPr>
          <w:color w:val="808080"/>
        </w:rPr>
        <w:t>(in diesem)</w:t>
      </w:r>
      <w:r>
        <w:rPr/>
        <w:t xml:space="preserve"> Zustand </w:t>
      </w:r>
      <w:r>
        <w:rPr>
          <w:color w:val="808080"/>
        </w:rPr>
        <w:t>(Lage)</w:t>
      </w:r>
      <w:r>
        <w:rPr/>
        <w:t xml:space="preserve"> des Rühmens.{{field-off:bible}} </w:t>
        <w:br/>
        <w:t>[[@BibleTOBIBLE:2Co 11:18]]</w:t>
      </w:r>
      <w:r>
        <w:rPr>
          <w:b/>
        </w:rPr>
        <w:t>18</w:t>
      </w:r>
      <w:r>
        <w:rPr/>
        <w:t xml:space="preserve"> {{field-on:bible}}Da sich viele ihrer Leistungen rühmen</w:t>
      </w:r>
      <w:r>
        <w:rPr>
          <w:rStyle w:val="Funotenanker"/>
        </w:rPr>
        <w:footnoteReference w:customMarkFollows="1" w:id="6087"/>
        <w:t>n</w:t>
      </w:r>
      <w:r>
        <w:rPr/>
        <w:t xml:space="preserve">, will ich mich auch rühmen.{{field-off:bible}} </w:t>
        <w:br/>
        <w:t>[[@BibleTOBIBLE:2Co 11:19]]</w:t>
      </w:r>
      <w:r>
        <w:rPr>
          <w:b/>
        </w:rPr>
        <w:t>19</w:t>
      </w:r>
      <w:r>
        <w:rPr/>
        <w:t xml:space="preserve"> {{field-on:bible}}Ihr Klugen </w:t>
      </w:r>
      <w:r>
        <w:rPr>
          <w:color w:val="808080"/>
        </w:rPr>
        <w:t>(ihr, die ihr klug seid)</w:t>
      </w:r>
      <w:r>
        <w:rPr/>
        <w:t xml:space="preserve"> </w:t>
      </w:r>
      <w:r>
        <w:rPr>
          <w:rStyle w:val="Funotenanker"/>
        </w:rPr>
        <w:footnoteReference w:customMarkFollows="1" w:id="6088"/>
        <w:t>o</w:t>
      </w:r>
      <w:r>
        <w:rPr/>
        <w:t xml:space="preserve"> lasst euch ja gern die Torheit gefallen,{{field-off:bible}} </w:t>
        <w:br/>
        <w:t>[[@BibleTOBIBLE:2Co 11:20]]</w:t>
      </w:r>
      <w:r>
        <w:rPr>
          <w:b/>
        </w:rPr>
        <w:t>20</w:t>
      </w:r>
      <w:r>
        <w:rPr/>
        <w:t xml:space="preserve"> {{field-on:bible}}denn ihr lasst euch gefallen, wenn jemand euch knechtet, wenn jemand euch kahl frisst</w:t>
      </w:r>
      <w:r>
        <w:rPr>
          <w:rStyle w:val="Funotenanker"/>
        </w:rPr>
        <w:footnoteReference w:customMarkFollows="1" w:id="6089"/>
        <w:t>p</w:t>
      </w:r>
      <w:r>
        <w:rPr/>
        <w:t xml:space="preserve">, wenn jemand nimmt, wenn jemand sich auflehnt, wenn jemand euch ins Gesicht schlägt.{{field-off:bible}} </w:t>
        <w:br/>
        <w:t>[[@BibleTOBIBLE:2Co 11:21]]</w:t>
      </w:r>
      <w:r>
        <w:rPr>
          <w:b/>
        </w:rPr>
        <w:t>21</w:t>
      </w:r>
      <w:r>
        <w:rPr/>
        <w:t xml:space="preserve"> {{field-on:bible}}Zu meiner Schande muss ich gestehen, dazu waren wir zu schwach. Wenn aber jemand kühn ist - ich rede töricht - ich bin auch kühn!{{field-off:bible}} </w:t>
        <w:br/>
        <w:t>[[@BibleTOBIBLE:2Co 11:22]]</w:t>
      </w:r>
      <w:r>
        <w:rPr>
          <w:b/>
        </w:rPr>
        <w:t>22</w:t>
      </w:r>
      <w:r>
        <w:rPr/>
        <w:t xml:space="preserve"> {{field-on:bible}}Sie sind Hebräer? Ich auch! Sie sind Israeliten? Ich auch! Sie sind Nachkommen Abrahams? Ich auch!{{field-off:bible}} </w:t>
        <w:br/>
        <w:t>[[@BibleTOBIBLE:2Co 11:23]]</w:t>
      </w:r>
      <w:r>
        <w:rPr>
          <w:b/>
        </w:rPr>
        <w:t>23</w:t>
      </w:r>
      <w:r>
        <w:rPr/>
        <w:t xml:space="preserve"> {{field-on:bible}}Sie sind Diener </w:t>
      </w:r>
      <w:r>
        <w:rPr>
          <w:color w:val="808080"/>
        </w:rPr>
        <w:t>(Diakone)</w:t>
      </w:r>
      <w:r>
        <w:rPr/>
        <w:t xml:space="preserve"> Christi? - ich rede wie ein Wahnsinniger - ich noch mehr! Ich habe mehr Mühen auf mich genommen</w:t>
      </w:r>
      <w:r>
        <w:rPr>
          <w:rStyle w:val="Funotenanker"/>
        </w:rPr>
        <w:footnoteReference w:customMarkFollows="1" w:id="6090"/>
        <w:t>q</w:t>
      </w:r>
      <w:r>
        <w:rPr/>
        <w:t>, war öfter im Gefängnis</w:t>
      </w:r>
      <w:r>
        <w:rPr>
          <w:rStyle w:val="Funotenanker"/>
        </w:rPr>
        <w:footnoteReference w:customMarkFollows="1" w:id="6091"/>
        <w:t>r</w:t>
      </w:r>
      <w:r>
        <w:rPr/>
        <w:t>, habe unzählige Schläge erhalten</w:t>
      </w:r>
      <w:r>
        <w:rPr>
          <w:rStyle w:val="Funotenanker"/>
        </w:rPr>
        <w:footnoteReference w:customMarkFollows="1" w:id="6092"/>
        <w:t>s</w:t>
      </w:r>
      <w:r>
        <w:rPr/>
        <w:t xml:space="preserve">, bin vielfach in Todesgefahr gewesen.{{field-off:bible}} </w:t>
        <w:br/>
        <w:t>[[@BibleTOBIBLE:2Co 11:24]]</w:t>
      </w:r>
      <w:r>
        <w:rPr>
          <w:b/>
        </w:rPr>
        <w:t>24</w:t>
      </w:r>
      <w:r>
        <w:rPr/>
        <w:t xml:space="preserve"> {{field-on:bible}}Von den Juden habe ich fünfmal 40 weniger einen</w:t>
      </w:r>
      <w:r>
        <w:rPr>
          <w:rStyle w:val="Funotenanker"/>
        </w:rPr>
        <w:footnoteReference w:customMarkFollows="1" w:id="6093"/>
        <w:t>t</w:t>
      </w:r>
      <w:r>
        <w:rPr/>
        <w:t xml:space="preserve"> erhalten,{{field-off:bible}} </w:t>
        <w:br/>
        <w:t>[[@BibleTOBIBLE:2Co 11:25]]</w:t>
      </w:r>
      <w:r>
        <w:rPr>
          <w:b/>
        </w:rPr>
        <w:t>25</w:t>
      </w:r>
      <w:r>
        <w:rPr/>
        <w:t xml:space="preserve"> {{field-on:bible}}dreimal wurde ich ausgepeitscht</w:t>
      </w:r>
      <w:r>
        <w:rPr>
          <w:rStyle w:val="Funotenanker"/>
        </w:rPr>
        <w:footnoteReference w:customMarkFollows="1" w:id="6094"/>
        <w:t>u</w:t>
      </w:r>
      <w:r>
        <w:rPr/>
        <w:t xml:space="preserve">, einmal gesteinigt, dreimal erlitt ich Schiffbruch, einen Tag und eine Nacht trieb ich auf dem Meer.{{field-off:bible}} </w:t>
        <w:br/>
        <w:t>[[@BibleTOBIBLE:2Co 11:26]]</w:t>
      </w:r>
      <w:r>
        <w:rPr>
          <w:b/>
        </w:rPr>
        <w:t>26</w:t>
      </w:r>
      <w:r>
        <w:rPr/>
        <w:t xml:space="preserve"> {{field-on:bible}}Auf Reisen war ich oft in Gefahr durch Flüsse, in Gefahr durch Räuber, in Gefahr durch Volksgenossen, in Gefahr durch die Heiden </w:t>
      </w:r>
      <w:r>
        <w:rPr>
          <w:color w:val="808080"/>
        </w:rPr>
        <w:t>(Völker)</w:t>
      </w:r>
      <w:r>
        <w:rPr/>
        <w:t xml:space="preserve">, in Gefahr in den Städten, in Gefahr in der Wüste, in Gefahr auf dem Meer, in Gefahr durch falsche Brüder,{{field-off:bible}} </w:t>
        <w:br/>
        <w:t>[[@BibleTOBIBLE:2Co 11:27]]</w:t>
      </w:r>
      <w:r>
        <w:rPr>
          <w:b/>
        </w:rPr>
        <w:t>27</w:t>
      </w:r>
      <w:r>
        <w:rPr/>
        <w:t xml:space="preserve"> {{field-on:bible}}Mühe und Plage, viele Nächte durchwacht</w:t>
      </w:r>
      <w:r>
        <w:rPr>
          <w:rStyle w:val="Funotenanker"/>
        </w:rPr>
        <w:footnoteReference w:customMarkFollows="1" w:id="6095"/>
        <w:t>v</w:t>
      </w:r>
      <w:r>
        <w:rPr/>
        <w:t xml:space="preserve">, durch Hunger und Durst, oft gefastet, durch Kälte und Nacktheit.{{field-off:bible}} </w:t>
        <w:br/>
        <w:t>[[@BibleTOBIBLE:2Co 11:28]]</w:t>
      </w:r>
      <w:r>
        <w:rPr>
          <w:b/>
        </w:rPr>
        <w:t>28</w:t>
      </w:r>
      <w:r>
        <w:rPr/>
        <w:t xml:space="preserve"> {{field-on:bible}}Abgesehen von dem, was ich unerwähnt</w:t>
      </w:r>
      <w:r>
        <w:rPr>
          <w:rStyle w:val="Funotenanker"/>
        </w:rPr>
        <w:footnoteReference w:customMarkFollows="1" w:id="6096"/>
        <w:t>w</w:t>
      </w:r>
      <w:r>
        <w:rPr/>
        <w:t xml:space="preserve"> </w:t>
      </w:r>
      <w:r>
        <w:rPr>
          <w:b/>
          <w:color w:val="808080"/>
        </w:rPr>
        <w:t>[</w:t>
      </w:r>
      <w:r>
        <w:rPr/>
        <w:t>lasse</w:t>
      </w:r>
      <w:r>
        <w:rPr>
          <w:b/>
          <w:color w:val="808080"/>
        </w:rPr>
        <w:t>]</w:t>
      </w:r>
      <w:r>
        <w:rPr/>
        <w:t xml:space="preserve">, der tägliche Andrang zu mir, die Sorge um alle Gemeinden.{{field-off:bible}} </w:t>
        <w:br/>
        <w:t>[[@BibleTOBIBLE:2Co 11:29]]</w:t>
      </w:r>
      <w:r>
        <w:rPr>
          <w:b/>
        </w:rPr>
        <w:t>29</w:t>
      </w:r>
      <w:r>
        <w:rPr/>
        <w:t xml:space="preserve"> {{field-on:bible}}Wer ist schwach, und ich bin es nicht? Wer fällt ab, und ich brenne nicht</w:t>
      </w:r>
      <w:r>
        <w:rPr>
          <w:rStyle w:val="Funotenanker"/>
        </w:rPr>
        <w:footnoteReference w:customMarkFollows="1" w:id="6097"/>
        <w:t>x</w:t>
      </w:r>
      <w:r>
        <w:rPr/>
        <w:t xml:space="preserve">?{{field-off:bible}} </w:t>
        <w:br/>
        <w:t>[[@BibleTOBIBLE:2Co 11:30]]</w:t>
      </w:r>
      <w:r>
        <w:rPr>
          <w:b/>
        </w:rPr>
        <w:t>30</w:t>
      </w:r>
      <w:r>
        <w:rPr/>
        <w:t xml:space="preserve"> {{field-on:bible}}Wenn gerühmt werden muss, will ich mich meiner Schwachheit rühmen.{{field-off:bible}} </w:t>
        <w:br/>
        <w:t>[[@BibleTOBIBLE:2Co 11:31]]</w:t>
      </w:r>
      <w:r>
        <w:rPr>
          <w:b/>
        </w:rPr>
        <w:t>31</w:t>
      </w:r>
      <w:r>
        <w:rPr/>
        <w:t xml:space="preserve"> {{field-on:bible}}Gott, der Vater des Herrn Jesus Christus, der gelobt sei in Ewigkeit, weiß, dass ich nicht lüge.{{field-off:bible}} </w:t>
        <w:br/>
        <w:t>[[@BibleTOBIBLE:2Co 11:32]]</w:t>
      </w:r>
      <w:r>
        <w:rPr>
          <w:b/>
        </w:rPr>
        <w:t>32</w:t>
      </w:r>
      <w:r>
        <w:rPr/>
        <w:t xml:space="preserve"> {{field-on:bible}}In Damaskus bewachte der Statthalter </w:t>
      </w:r>
      <w:r>
        <w:rPr>
          <w:color w:val="808080"/>
        </w:rPr>
        <w:t>(Ethnarch)</w:t>
      </w:r>
      <w:r>
        <w:rPr/>
        <w:t xml:space="preserve"> des Königs Aretas die Stadt der Damaszener, um mich zu verhaften,{{field-off:bible}} </w:t>
        <w:br/>
        <w:t>[[@BibleTOBIBLE:2Co 11:33]]</w:t>
      </w:r>
      <w:r>
        <w:rPr>
          <w:b/>
        </w:rPr>
        <w:t>33</w:t>
      </w:r>
      <w:r>
        <w:rPr/>
        <w:t xml:space="preserve"> {{field-on:bible}}aber ich wurde durch ein Fenster in einem Korb von der Mauer herabgelassen und entkam seinen Händen.{{field-off:bible}} </w:t>
      </w:r>
    </w:p>
    <w:p>
      <w:pPr>
        <w:pStyle w:val="Berschrift3"/>
        <w:rPr/>
      </w:pPr>
      <w:r>
        <w:rPr/>
        <w:t>[[@BibleTOBIBLE:2Co 12]]Kapitel 12</w:t>
      </w:r>
    </w:p>
    <w:p>
      <w:pPr>
        <w:pStyle w:val="Textkrper"/>
        <w:rPr/>
      </w:pPr>
      <w:r>
        <w:rPr/>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6098"/>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6099"/>
        <w:t>b</w:t>
      </w:r>
      <w:r>
        <w:rPr/>
        <w:t>. – Darum rühme mich lieber mit größter Freude für meine</w:t>
      </w:r>
      <w:r>
        <w:rPr>
          <w:rStyle w:val="Funotenanker"/>
        </w:rPr>
        <w:footnoteReference w:customMarkFollows="1" w:id="6100"/>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6101"/>
        <w:t>d</w:t>
      </w:r>
      <w:r>
        <w:rPr/>
        <w:t>, damit</w:t>
      </w:r>
      <w:r>
        <w:rPr>
          <w:rStyle w:val="Funotenanker"/>
        </w:rPr>
        <w:footnoteReference w:customMarkFollows="1" w:id="6102"/>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6103"/>
        <w:t>f</w:t>
      </w:r>
      <w:r>
        <w:rPr/>
        <w:t>, wegen Christus</w:t>
      </w:r>
      <w:r>
        <w:rPr>
          <w:rStyle w:val="Funotenanker"/>
        </w:rPr>
        <w:footnoteReference w:customMarkFollows="1" w:id="6104"/>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6105"/>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6106"/>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6107"/>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6108"/>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6109"/>
        <w:t>d</w:t>
      </w:r>
      <w:r>
        <w:rPr/>
        <w:t xml:space="preserve"> ein anderes Evangelium verkünden würden</w:t>
      </w:r>
      <w:r>
        <w:rPr>
          <w:rStyle w:val="Funotenanker"/>
        </w:rPr>
        <w:footnoteReference w:customMarkFollows="1" w:id="6110"/>
        <w:t>e</w:t>
      </w:r>
      <w:r>
        <w:rPr/>
        <w:t>, als wir euch verkündet haben, dem sei das Anathema</w:t>
      </w:r>
      <w:r>
        <w:rPr>
          <w:rStyle w:val="Funotenanker"/>
        </w:rPr>
        <w:footnoteReference w:customMarkFollows="1" w:id="6111"/>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6112"/>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6113"/>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6114"/>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6115"/>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6116"/>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6117"/>
        <w:t>l</w:t>
      </w:r>
      <w:r>
        <w:rPr/>
        <w:t xml:space="preserve"> den Gemeinden von Judäa, denen in Christus</w:t>
      </w:r>
      <w:r>
        <w:rPr>
          <w:rStyle w:val="Funotenanker"/>
        </w:rPr>
        <w:footnoteReference w:customMarkFollows="1" w:id="6118"/>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6119"/>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6120"/>
        <w:t>o</w:t>
      </w:r>
      <w:r>
        <w:rPr/>
        <w:t xml:space="preserve"> meinetwegen </w:t>
      </w:r>
      <w:r>
        <w:rPr>
          <w:rStyle w:val="Funotenanker"/>
        </w:rPr>
        <w:footnoteReference w:customMarkFollows="1" w:id="6121"/>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6122"/>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6123"/>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6124"/>
        <w:t>b</w:t>
      </w:r>
      <w:r>
        <w:rPr/>
        <w:t xml:space="preserve"> die Person </w:t>
      </w:r>
      <w:r>
        <w:rPr>
          <w:color w:val="808080"/>
        </w:rPr>
        <w:t>(Angesicht)</w:t>
      </w:r>
      <w:r>
        <w:rPr/>
        <w:t xml:space="preserve"> des Menschen sieht Gott nicht an</w:t>
      </w:r>
      <w:r>
        <w:rPr>
          <w:rStyle w:val="Funotenanker"/>
        </w:rPr>
        <w:footnoteReference w:customMarkFollows="1" w:id="6125"/>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6126"/>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6127"/>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6128"/>
        <w:t>f</w:t>
      </w:r>
      <w:r>
        <w:rPr/>
        <w:t xml:space="preserve"> die anderen Juden</w:t>
      </w:r>
      <w:r>
        <w:rPr>
          <w:rStyle w:val="Funotenanker"/>
        </w:rPr>
        <w:footnoteReference w:customMarkFollows="1" w:id="6129"/>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6130"/>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6131"/>
        <w:t>i</w:t>
      </w:r>
      <w:r>
        <w:rPr/>
        <w:t xml:space="preserve"> wissen</w:t>
      </w:r>
      <w:r>
        <w:rPr>
          <w:rStyle w:val="Funotenanker"/>
        </w:rPr>
        <w:footnoteReference w:customMarkFollows="1" w:id="6132"/>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6133"/>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6134"/>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6135"/>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6136"/>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6137"/>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6138"/>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6139"/>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Abrahams Söhne </w:t>
      </w:r>
      <w:r>
        <w:rPr>
          <w:color w:val="808080"/>
        </w:rPr>
        <w:t>(Kinder)</w:t>
      </w:r>
      <w:r>
        <w:rPr/>
        <w:t xml:space="preserve"> </w:t>
      </w:r>
      <w:r>
        <w:rPr>
          <w:rStyle w:val="Funotenanker"/>
        </w:rPr>
        <w:footnoteReference w:customMarkFollows="1" w:id="6140"/>
        <w:t>c</w:t>
      </w:r>
      <w:r>
        <w:rPr/>
        <w:t xml:space="preserve">.{{field-off:bible}} </w:t>
        <w:br/>
        <w:t>[[@BibleTOBIBLE:Ga 3:8]]</w:t>
      </w:r>
      <w:r>
        <w:rPr>
          <w:b/>
        </w:rPr>
        <w:t>8</w:t>
      </w:r>
      <w:r>
        <w:rPr/>
        <w:t xml:space="preserve"> {{field-on:bible}}Die Schrift sieht aber voraus, dass Gott aus Glauben die nicht-jüdischen Völker </w:t>
      </w:r>
      <w:r>
        <w:rPr>
          <w:color w:val="808080"/>
        </w:rPr>
        <w:t>(Heiden)</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Völker </w:t>
      </w:r>
      <w:r>
        <w:rPr>
          <w:color w:val="808080"/>
        </w:rPr>
        <w:t>(Nicht-Juden, Heiden)</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6141"/>
        <w:t>d</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6142"/>
        <w:t>e</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6143"/>
        <w:t>f</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6144"/>
        <w:t>g</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6145"/>
        <w:t>h</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6146"/>
        <w:t>i</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Völkern </w:t>
      </w:r>
      <w:r>
        <w:rPr>
          <w:color w:val="808080"/>
        </w:rPr>
        <w:t>(Nicht-Juden, Heiden)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6147"/>
        <w:t>j</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6148"/>
        <w:t>k</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6149"/>
        <w:t>l</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6150"/>
        <w:t>m</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6151"/>
        <w:t>n</w:t>
      </w:r>
      <w:r>
        <w:rPr/>
        <w:t xml:space="preserve">? Keineswegs </w:t>
      </w:r>
      <w:r>
        <w:rPr>
          <w:color w:val="808080"/>
        </w:rPr>
        <w:t>(Ausgeschlossen)</w:t>
      </w:r>
      <w:r>
        <w:rPr/>
        <w:t>!</w:t>
      </w:r>
      <w:r>
        <w:rPr>
          <w:rStyle w:val="Funotenanker"/>
        </w:rPr>
        <w:footnoteReference w:customMarkFollows="1" w:id="6152"/>
        <w:t>o</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6153"/>
        <w:t>p</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Gottes Söhne </w:t>
      </w:r>
      <w:r>
        <w:rPr>
          <w:color w:val="808080"/>
        </w:rPr>
        <w:t>(Kinder)</w:t>
      </w:r>
      <w:r>
        <w:rPr/>
        <w:t xml:space="preserve"> </w:t>
      </w:r>
      <w:r>
        <w:rPr>
          <w:rStyle w:val="Funotenanker"/>
        </w:rPr>
        <w:footnoteReference w:customMarkFollows="1" w:id="6154"/>
        <w:t>q</w:t>
      </w:r>
      <w:r>
        <w:rPr/>
        <w:t xml:space="preserve">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6155"/>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6156"/>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6157"/>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6158"/>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6159"/>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6160"/>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6161"/>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6162"/>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6163"/>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6164"/>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6165"/>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6166"/>
        <w:t>d</w:t>
      </w:r>
      <w:r>
        <w:rPr/>
        <w:t xml:space="preserve">, die euch aufgewiegelt </w:t>
      </w:r>
      <w:r>
        <w:rPr>
          <w:color w:val="808080"/>
        </w:rPr>
        <w:t>(verstört, beunruhigt)</w:t>
      </w:r>
      <w:r>
        <w:rPr/>
        <w:t xml:space="preserve"> haben!{{field-off:bible}} </w:t>
        <w:br/>
        <w:t>[[@BibleTOBIBLE:Ga 5:13]]</w:t>
      </w:r>
      <w:r>
        <w:rPr>
          <w:b/>
        </w:rPr>
        <w:t>13</w:t>
      </w:r>
      <w:r>
        <w:rPr/>
        <w:t xml:space="preserve"> {{field-on:bible}}Denn: ''Ihr'' wurdet zur Freiheit berufen, meine Brüder. Nur </w:t>
      </w:r>
      <w:r>
        <w:rPr>
          <w:b/>
          <w:color w:val="808080"/>
        </w:rPr>
        <w:t>[</w:t>
      </w:r>
      <w:r>
        <w:rPr/>
        <w:t>nehmt</w:t>
      </w:r>
      <w:r>
        <w:rPr>
          <w:b/>
          <w:color w:val="808080"/>
        </w:rPr>
        <w:t>]</w:t>
      </w:r>
      <w:r>
        <w:rPr/>
        <w:t xml:space="preserve"> diese Freiheit nicht als Ausgangsbasis </w:t>
      </w:r>
      <w:r>
        <w:rPr>
          <w:color w:val="808080"/>
        </w:rPr>
        <w:t>(Anregung, Gelegenheit, Chance)</w:t>
      </w:r>
      <w:r>
        <w:rPr/>
        <w:t xml:space="preserve"> </w:t>
      </w:r>
      <w:r>
        <w:rPr>
          <w:rStyle w:val="Funotenanker"/>
        </w:rPr>
        <w:footnoteReference w:customMarkFollows="1" w:id="6167"/>
        <w:t>e</w:t>
      </w:r>
      <w:r>
        <w:rPr/>
        <w:t xml:space="preserve"> für euer Fleisch, sondern dient einander durch </w:t>
      </w:r>
      <w:r>
        <w:rPr>
          <w:color w:val="808080"/>
        </w:rPr>
        <w:t>(wegen)</w:t>
      </w:r>
      <w:r>
        <w:rPr/>
        <w:t xml:space="preserve"> eure Liebe.{{field-off:bible}} </w:t>
        <w:br/>
        <w:t>[[@BibleTOBIBLE:Ga 5:14]]</w:t>
      </w:r>
      <w:r>
        <w:rPr>
          <w:b/>
        </w:rPr>
        <w:t>14</w:t>
      </w:r>
      <w:r>
        <w:rPr/>
        <w:t xml:space="preserve"> {{field-on:bible}}Denn das ganze Gesetz </w:t>
      </w:r>
      <w:r>
        <w:rPr>
          <w:rStyle w:val="Funotenanker"/>
        </w:rPr>
        <w:footnoteReference w:customMarkFollows="1" w:id="6168"/>
        <w:t>f</w:t>
      </w:r>
      <w:r>
        <w:rPr/>
        <w:t xml:space="preserve"> ist in dem ''einen'' Wort erfüllt, nämlich: „Du wirst </w:t>
      </w:r>
      <w:r>
        <w:rPr>
          <w:color w:val="808080"/>
        </w:rPr>
        <w:t>(sollst)</w:t>
      </w:r>
      <w:r>
        <w:rPr/>
        <w:t xml:space="preserve"> deinen Nächsten lieben wie dich selbst.“ </w:t>
      </w:r>
      <w:r>
        <w:rPr>
          <w:position w:val="8"/>
          <w:sz w:val="19"/>
        </w:rPr>
        <w:t>[[ ℘ &gt;&gt; BibleTOBIBLE:Le 19:18]]</w:t>
      </w:r>
      <w:r>
        <w:rPr/>
        <w:t xml:space="preserve"> {{field-off:bible}} </w:t>
        <w:br/>
        <w:t>[[@BibleTOBIBLE:Ga 5:15]]</w:t>
      </w:r>
      <w:r>
        <w:rPr>
          <w:b/>
        </w:rPr>
        <w:t>15</w:t>
      </w:r>
      <w:r>
        <w:rPr/>
        <w:t xml:space="preserve"> {{field-on:bible}}Wenn ihr aber einander beißt </w:t>
      </w:r>
      <w:r>
        <w:rPr>
          <w:color w:val="808080"/>
        </w:rPr>
        <w:t>(verletzt, kränkt)</w:t>
      </w:r>
      <w:r>
        <w:rPr/>
        <w:t xml:space="preserve"> und auffresst </w:t>
      </w:r>
      <w:r>
        <w:rPr>
          <w:color w:val="808080"/>
        </w:rPr>
        <w:t>(zerfleischt, ausbeutet)</w:t>
      </w:r>
      <w:r>
        <w:rPr/>
        <w:t xml:space="preserve">, dann achtet darauf </w:t>
      </w:r>
      <w:r>
        <w:rPr>
          <w:color w:val="808080"/>
        </w:rPr>
        <w:t>(schaut darauf, passt auf)</w:t>
      </w:r>
      <w:r>
        <w:rPr/>
        <w:t xml:space="preserve">, dass ihr euch nicht gegenseitig vernichtet! </w:t>
      </w:r>
      <w:r>
        <w:rPr>
          <w:rStyle w:val="Funotenanker"/>
        </w:rPr>
        <w:footnoteReference w:customMarkFollows="1" w:id="6169"/>
        <w:t>g</w:t>
      </w:r>
      <w:r>
        <w:rPr/>
        <w:t xml:space="preserve"> {{field-off:bible}} </w:t>
        <w:br/>
        <w:t>[[@BibleTOBIBLE:Ga 5:16]]</w:t>
      </w:r>
      <w:r>
        <w:rPr>
          <w:b/>
        </w:rPr>
        <w:t>16</w:t>
      </w:r>
      <w:r>
        <w:rPr/>
        <w:t xml:space="preserve"> {{field-on:bible}}Aber ich sage </w:t>
      </w:r>
      <w:r>
        <w:rPr>
          <w:b/>
          <w:color w:val="808080"/>
        </w:rPr>
        <w:t>[</w:t>
      </w:r>
      <w:r>
        <w:rPr/>
        <w:t>euch</w:t>
      </w:r>
      <w:r>
        <w:rPr>
          <w:b/>
          <w:color w:val="808080"/>
        </w:rPr>
        <w:t>]</w:t>
      </w:r>
      <w:r>
        <w:rPr/>
        <w:t xml:space="preserve"> </w:t>
      </w:r>
      <w:r>
        <w:rPr>
          <w:color w:val="808080"/>
        </w:rPr>
        <w:t>(Ich meine damit)</w:t>
      </w:r>
      <w:r>
        <w:rPr/>
        <w:t xml:space="preserve">: Wandelt ''im Geist'', und ihr werdet die Lust </w:t>
      </w:r>
      <w:r>
        <w:rPr>
          <w:color w:val="808080"/>
        </w:rPr>
        <w:t>(Verlangen, Sehnsucht)</w:t>
      </w:r>
      <w:r>
        <w:rPr/>
        <w:t xml:space="preserve"> des Fleisches auf keinen Fall ausführen.{{field-off:bible}} </w:t>
        <w:br/>
        <w:t>[[@BibleTOBIBLE:Ga 5:17]]</w:t>
      </w:r>
      <w:r>
        <w:rPr>
          <w:b/>
        </w:rPr>
        <w:t>17</w:t>
      </w:r>
      <w:r>
        <w:rPr/>
        <w:t xml:space="preserve"> {{field-on:bible}}Denn das Fleisch begehrt gegen den Geist auf, und der Geist gegen das Fleisch; ja, diese liegen im Streit </w:t>
      </w:r>
      <w:r>
        <w:rPr>
          <w:color w:val="808080"/>
        </w:rPr>
        <w:t>(kämpfen)</w:t>
      </w:r>
      <w:r>
        <w:rPr/>
        <w:t xml:space="preserve"> miteinander, so dass ihr nicht immer die </w:t>
      </w:r>
      <w:r>
        <w:rPr>
          <w:b/>
          <w:color w:val="808080"/>
        </w:rPr>
        <w:t>[</w:t>
      </w:r>
      <w:r>
        <w:rPr/>
        <w:t>Dinge</w:t>
      </w:r>
      <w:r>
        <w:rPr>
          <w:b/>
          <w:color w:val="808080"/>
        </w:rPr>
        <w:t>]</w:t>
      </w:r>
      <w:r>
        <w:rPr/>
        <w:t xml:space="preserve"> tut, die ihr </w:t>
      </w:r>
      <w:r>
        <w:rPr>
          <w:b/>
          <w:color w:val="808080"/>
        </w:rPr>
        <w:t>[</w:t>
      </w:r>
      <w:r>
        <w:rPr/>
        <w:t>eigentlich</w:t>
      </w:r>
      <w:r>
        <w:rPr>
          <w:b/>
          <w:color w:val="808080"/>
        </w:rPr>
        <w:t>]</w:t>
      </w:r>
      <w:r>
        <w:rPr/>
        <w:t xml:space="preserve"> wollt </w:t>
      </w:r>
      <w:r>
        <w:rPr>
          <w:rStyle w:val="Funotenanker"/>
        </w:rPr>
        <w:footnoteReference w:customMarkFollows="1" w:id="6170"/>
        <w:t>h</w:t>
      </w:r>
      <w:r>
        <w:rPr/>
        <w:t xml:space="preserve">.{{field-off:bible}} </w:t>
        <w:br/>
        <w:t>[[@BibleTOBIBLE:Ga 5:18]]</w:t>
      </w:r>
      <w:r>
        <w:rPr>
          <w:b/>
        </w:rPr>
        <w:t>18</w:t>
      </w:r>
      <w:r>
        <w:rPr/>
        <w:t xml:space="preserve"> {{field-on:bible}}Aber wenn ihr vom Geist geleitet werdet, seid ihr nicht unter dem Gesetz.{{field-off:bible}} </w:t>
        <w:br/>
        <w:t>[[@BibleTOBIBLE:Ga 5:19]]</w:t>
      </w:r>
      <w:r>
        <w:rPr>
          <w:b/>
        </w:rPr>
        <w:t>19</w:t>
      </w:r>
      <w:r>
        <w:rPr/>
        <w:t xml:space="preserve"> {{field-on:bible}}Die Werke des Fleisches aber sind offenkundig </w:t>
      </w:r>
      <w:r>
        <w:rPr>
          <w:color w:val="808080"/>
        </w:rPr>
        <w:t>(leicht sichtbar)</w:t>
      </w:r>
      <w:r>
        <w:rPr/>
        <w:t xml:space="preserve">, nämlich: Unzucht </w:t>
      </w:r>
      <w:r>
        <w:rPr>
          <w:color w:val="808080"/>
        </w:rPr>
        <w:t>(sexuelle Unmoral)</w:t>
      </w:r>
      <w:r>
        <w:rPr/>
        <w:t xml:space="preserve">, Unreinheit </w:t>
      </w:r>
      <w:r>
        <w:rPr>
          <w:rStyle w:val="Funotenanker"/>
        </w:rPr>
        <w:footnoteReference w:customMarkFollows="1" w:id="6171"/>
        <w:t>i</w:t>
      </w:r>
      <w:r>
        <w:rPr/>
        <w:t xml:space="preserve">, Zügellosigkeit </w:t>
      </w:r>
      <w:r>
        <w:rPr>
          <w:rStyle w:val="Funotenanker"/>
        </w:rPr>
        <w:footnoteReference w:customMarkFollows="1" w:id="6172"/>
        <w:t>j</w:t>
      </w:r>
      <w:r>
        <w:rPr/>
        <w:t xml:space="preserve">,{{field-off:bible}} </w:t>
        <w:br/>
        <w:t>[[@BibleTOBIBLE:Ga 5:20]]</w:t>
      </w:r>
      <w:r>
        <w:rPr>
          <w:b/>
        </w:rPr>
        <w:t>20</w:t>
      </w:r>
      <w:r>
        <w:rPr/>
        <w:t xml:space="preserve"> {{field-on:bible}}Götzendienst, Magie, Feindseligkeiten, Streitsucht, Eifersucht </w:t>
      </w:r>
      <w:r>
        <w:rPr>
          <w:color w:val="808080"/>
        </w:rPr>
        <w:t>(Eifer)</w:t>
      </w:r>
      <w:r>
        <w:rPr/>
        <w:t xml:space="preserve">, Wutausbrüche, Rivalitäten, Uneinigkeiten, Spaltungen </w:t>
      </w:r>
      <w:r>
        <w:rPr>
          <w:rStyle w:val="Funotenanker"/>
        </w:rPr>
        <w:footnoteReference w:customMarkFollows="1" w:id="6173"/>
        <w:t>k</w:t>
      </w:r>
      <w:r>
        <w:rPr/>
        <w:t xml:space="preserve">,{{field-off:bible}} </w:t>
        <w:br/>
        <w:t>[[@BibleTOBIBLE:Ga 5:21]]</w:t>
      </w:r>
      <w:r>
        <w:rPr>
          <w:b/>
        </w:rPr>
        <w:t>21</w:t>
      </w:r>
      <w:r>
        <w:rPr/>
        <w:t xml:space="preserve"> {{field-on:bible}}Neidereien, Saufen, Sauf-Parties </w:t>
      </w:r>
      <w:r>
        <w:rPr>
          <w:color w:val="808080"/>
        </w:rPr>
        <w:t>(Orgien)</w:t>
      </w:r>
      <w:r>
        <w:rPr/>
        <w:t xml:space="preserve"> und ähnliche Dinge wie diese, von denen ich euch vorhersage </w:t>
      </w:r>
      <w:r>
        <w:rPr>
          <w:color w:val="808080"/>
        </w:rPr>
        <w:t xml:space="preserve">(so wie ich es schon </w:t>
      </w:r>
      <w:r>
        <w:rPr>
          <w:b/>
          <w:color w:val="808080"/>
        </w:rPr>
        <w:t>[</w:t>
      </w:r>
      <w:r>
        <w:rPr>
          <w:color w:val="808080"/>
        </w:rPr>
        <w:t>früher</w:t>
      </w:r>
      <w:r>
        <w:rPr>
          <w:b/>
          <w:color w:val="808080"/>
        </w:rPr>
        <w:t>]</w:t>
      </w:r>
      <w:r>
        <w:rPr>
          <w:color w:val="808080"/>
        </w:rPr>
        <w:t xml:space="preserve"> vorhergesagt habe)</w:t>
      </w:r>
      <w:r>
        <w:rPr/>
        <w:t xml:space="preserve">, dass die, die solche Dinge tun, das Reich Gottes nicht erben werden.{{field-off:bible}} </w:t>
        <w:br/>
        <w:t>[[@BibleTOBIBLE:Ga 5:22]]</w:t>
      </w:r>
      <w:r>
        <w:rPr>
          <w:b/>
        </w:rPr>
        <w:t>22</w:t>
      </w:r>
      <w:r>
        <w:rPr/>
        <w:t xml:space="preserve"> {{field-on:bible}}Aber die Frucht des Geistes ist: Liebe, Freude, Friede, Langmut </w:t>
      </w:r>
      <w:r>
        <w:rPr>
          <w:color w:val="808080"/>
        </w:rPr>
        <w:t>(Geduld)</w:t>
      </w:r>
      <w:r>
        <w:rPr/>
        <w:t xml:space="preserve">, Freundlichkeit, Güte, Treue </w:t>
      </w:r>
      <w:r>
        <w:rPr>
          <w:color w:val="808080"/>
        </w:rPr>
        <w:t>(Glaube)</w:t>
      </w:r>
      <w:r>
        <w:rPr/>
        <w:t xml:space="preserve">,{{field-off:bible}} </w:t>
        <w:br/>
        <w:t>[[@BibleTOBIBLE:Ga 5:23]]</w:t>
      </w:r>
      <w:r>
        <w:rPr>
          <w:b/>
        </w:rPr>
        <w:t>23</w:t>
      </w:r>
      <w:r>
        <w:rPr/>
        <w:t xml:space="preserve"> {{field-on:bible}}Sanftmut, Selbstbeherrschung; gegen solche </w:t>
      </w:r>
      <w:r>
        <w:rPr>
          <w:b/>
          <w:color w:val="808080"/>
        </w:rPr>
        <w:t>[</w:t>
      </w:r>
      <w:r>
        <w:rPr/>
        <w:t>Dinge</w:t>
      </w:r>
      <w:r>
        <w:rPr>
          <w:b/>
          <w:color w:val="808080"/>
        </w:rPr>
        <w:t>]</w:t>
      </w:r>
      <w:r>
        <w:rPr/>
        <w:t xml:space="preserve"> ist das Gesetz nicht </w:t>
      </w:r>
      <w:r>
        <w:rPr>
          <w:b/>
          <w:color w:val="808080"/>
        </w:rPr>
        <w:t>[</w:t>
      </w:r>
      <w:r>
        <w:rPr/>
        <w:t>gerichtet</w:t>
      </w:r>
      <w:r>
        <w:rPr>
          <w:b/>
          <w:color w:val="808080"/>
        </w:rPr>
        <w:t>]</w:t>
      </w:r>
      <w:r>
        <w:rPr/>
        <w:t xml:space="preserve"> </w:t>
      </w:r>
      <w:r>
        <w:rPr>
          <w:color w:val="808080"/>
        </w:rPr>
        <w:t>(gibt es kein Gesetz)</w:t>
      </w:r>
      <w:r>
        <w:rPr/>
        <w:t xml:space="preserve">.{{field-off:bible}} </w:t>
        <w:br/>
        <w:t>[[@BibleTOBIBLE:Ga 5:24]]</w:t>
      </w:r>
      <w:r>
        <w:rPr>
          <w:b/>
        </w:rPr>
        <w:t>24</w:t>
      </w:r>
      <w:r>
        <w:rPr/>
        <w:t xml:space="preserve"> {{field-on:bible}}Die, die zu Christus Jesus gehören, haben ihr Fleisch gekreuzigt mit seinen Leiden </w:t>
      </w:r>
      <w:r>
        <w:rPr>
          <w:color w:val="808080"/>
        </w:rPr>
        <w:t>(Leidenschaften)</w:t>
      </w:r>
      <w:r>
        <w:rPr/>
        <w:t xml:space="preserve"> und Lüsten.{{field-off:bible}} </w:t>
        <w:br/>
        <w:t>[[@BibleTOBIBLE:Ga 5:25]]</w:t>
      </w:r>
      <w:r>
        <w:rPr>
          <w:b/>
        </w:rPr>
        <w:t>25</w:t>
      </w:r>
      <w:r>
        <w:rPr/>
        <w:t xml:space="preserve"> {{field-on:bible}}Wenn wir durch den Geist leben, lasst uns dem Geist auch folgen </w:t>
      </w:r>
      <w:r>
        <w:rPr>
          <w:color w:val="808080"/>
        </w:rPr>
        <w:t>(nach dem Geist ausrichten)</w:t>
      </w:r>
      <w:r>
        <w:rPr/>
        <w:t xml:space="preserve">.{{field-off:bible}}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6174"/>
        <w:t>Status</w:t>
      </w:r>
      <w:r>
        <w:rPr/>
        <w:t xml:space="preserve"> Wir wollen </w:t>
      </w:r>
      <w:r>
        <w:rPr>
          <w:color w:val="808080"/>
        </w:rPr>
        <w:t>(Lasst uns)</w:t>
      </w:r>
      <w:r>
        <w:rPr/>
        <w:t xml:space="preserve"> nicht müde werden, das Gute zu tun</w:t>
      </w:r>
      <w:r>
        <w:rPr>
          <w:rStyle w:val="Funotenanker"/>
        </w:rPr>
        <w:footnoteReference w:customMarkFollows="1" w:id="6175"/>
        <w:t>a</w:t>
      </w:r>
      <w:r>
        <w:rPr/>
        <w:t>, zum unserem</w:t>
      </w:r>
      <w:r>
        <w:rPr>
          <w:rStyle w:val="Funotenanker"/>
        </w:rPr>
        <w:footnoteReference w:customMarkFollows="1" w:id="6176"/>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6177"/>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6178"/>
        <w:t>a</w:t>
      </w:r>
      <w:r>
        <w:rPr/>
        <w:t xml:space="preserve"> sind,</w:t>
      </w:r>
      <w:r>
        <w:rPr>
          <w:rStyle w:val="Funotenanker"/>
        </w:rPr>
        <w:footnoteReference w:customMarkFollows="1" w:id="6179"/>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6180"/>
        <w:t>c</w:t>
      </w:r>
      <w:r>
        <w:rPr/>
        <w:t xml:space="preserve"> </w:t>
      </w:r>
      <w:r>
        <w:rPr>
          <w:position w:val="8"/>
          <w:sz w:val="19"/>
        </w:rPr>
        <w:t>[[ ℘ &gt;&gt; BibleTOBIBLE:Eph 1:15]]</w:t>
      </w:r>
      <w:r>
        <w:rPr/>
        <w:t>.</w:t>
      </w:r>
      <w:r>
        <w:rPr>
          <w:rStyle w:val="Funotenanker"/>
        </w:rPr>
        <w:footnoteReference w:customMarkFollows="1" w:id="6181"/>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6182"/>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6183"/>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6184"/>
        <w:t>g</w:t>
      </w:r>
      <w:r>
        <w:rPr/>
        <w:t xml:space="preserve"> er sich uns in ihm vor der Erschaffung</w:t>
      </w:r>
      <w:r>
        <w:rPr>
          <w:rStyle w:val="Funotenanker"/>
        </w:rPr>
        <w:footnoteReference w:customMarkFollows="1" w:id="6185"/>
        <w:t>h</w:t>
      </w:r>
      <w:r>
        <w:rPr/>
        <w:t xml:space="preserve"> der Welt erwählt </w:t>
      </w:r>
      <w:r>
        <w:rPr>
          <w:color w:val="808080"/>
        </w:rPr>
        <w:t>(ausgesucht; in Liebe erwählt)</w:t>
      </w:r>
      <w:r>
        <w:rPr/>
        <w:t xml:space="preserve"> </w:t>
      </w:r>
      <w:r>
        <w:rPr>
          <w:rStyle w:val="Funotenanker"/>
        </w:rPr>
        <w:footnoteReference w:customMarkFollows="1" w:id="6186"/>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6187"/>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6188"/>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6189"/>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6190"/>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6191"/>
        <w:t>n</w:t>
      </w:r>
      <w:r>
        <w:rPr/>
        <w:t xml:space="preserve">, die </w:t>
      </w:r>
      <w:r>
        <w:rPr>
          <w:b/>
          <w:color w:val="808080"/>
        </w:rPr>
        <w:t>[</w:t>
      </w:r>
      <w:r>
        <w:rPr/>
        <w:t>Dinge</w:t>
      </w:r>
      <w:r>
        <w:rPr>
          <w:b/>
          <w:color w:val="808080"/>
        </w:rPr>
        <w:t>]</w:t>
      </w:r>
      <w:r>
        <w:rPr/>
        <w:t xml:space="preserve"> im</w:t>
      </w:r>
      <w:r>
        <w:rPr>
          <w:rStyle w:val="Funotenanker"/>
        </w:rPr>
        <w:footnoteReference w:customMarkFollows="1" w:id="6192"/>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6193"/>
        <w:t>p</w:t>
      </w:r>
      <w:r>
        <w:rPr/>
        <w:t xml:space="preserve"> nach dem Plan </w:t>
      </w:r>
      <w:r>
        <w:rPr>
          <w:color w:val="808080"/>
        </w:rPr>
        <w:t>(Absicht, Vorsatz)</w:t>
      </w:r>
      <w:r>
        <w:rPr/>
        <w:t xml:space="preserve"> dessen, der alles bewirkt</w:t>
      </w:r>
      <w:r>
        <w:rPr>
          <w:rStyle w:val="Funotenanker"/>
        </w:rPr>
        <w:footnoteReference w:customMarkFollows="1" w:id="6194"/>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6195"/>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6196"/>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6197"/>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6198"/>
        <w:t>u</w:t>
      </w:r>
      <w:r>
        <w:rPr/>
        <w:t xml:space="preserve"> Glauben im </w:t>
      </w:r>
      <w:r>
        <w:rPr>
          <w:color w:val="808080"/>
        </w:rPr>
        <w:t>(an den)</w:t>
      </w:r>
      <w:r>
        <w:rPr/>
        <w:t xml:space="preserve"> Herrn Jesus</w:t>
      </w:r>
      <w:r>
        <w:rPr>
          <w:rStyle w:val="Funotenanker"/>
        </w:rPr>
        <w:footnoteReference w:customMarkFollows="1" w:id="6199"/>
        <w:t>v</w:t>
      </w:r>
      <w:r>
        <w:rPr/>
        <w:t xml:space="preserve"> und eurer Liebe für alle Heiligen gehört habe</w:t>
      </w:r>
      <w:r>
        <w:rPr>
          <w:rStyle w:val="Funotenanker"/>
        </w:rPr>
        <w:footnoteReference w:customMarkFollows="1" w:id="6200"/>
        <w:t>w</w:t>
      </w:r>
      <w:r>
        <w:rPr/>
        <w:t xml:space="preserve"> –{{field-off:bible}} </w:t>
        <w:br/>
        <w:t>[[@BibleTOBIBLE:Eph 1:16]]</w:t>
      </w:r>
      <w:r>
        <w:rPr>
          <w:b/>
        </w:rPr>
        <w:t>16</w:t>
      </w:r>
      <w:r>
        <w:rPr/>
        <w:t xml:space="preserve"> {{field-on:bible}}höre ich nicht auf, für euch zu danken</w:t>
      </w:r>
      <w:r>
        <w:rPr>
          <w:rStyle w:val="Funotenanker"/>
        </w:rPr>
        <w:footnoteReference w:customMarkFollows="1" w:id="6201"/>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6202"/>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6203"/>
        <w:t>z</w:t>
      </w:r>
      <w:r>
        <w:rPr/>
        <w:t xml:space="preserve"> der Gott unseres Herrn Jesus Christus, der Vater der Herrlichkeit </w:t>
      </w:r>
      <w:r>
        <w:rPr>
          <w:color w:val="808080"/>
        </w:rPr>
        <w:t>(des Glanzes)</w:t>
      </w:r>
      <w:r>
        <w:rPr/>
        <w:t xml:space="preserve"> </w:t>
      </w:r>
      <w:r>
        <w:rPr>
          <w:rStyle w:val="Funotenanker"/>
        </w:rPr>
        <w:footnoteReference w:customMarkFollows="1" w:id="6204"/>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6205"/>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6206"/>
        <w:t>ac</w:t>
      </w:r>
      <w:r>
        <w:rPr/>
        <w:t xml:space="preserve"> der Erkenntnis seiner selbst</w:t>
      </w:r>
      <w:r>
        <w:rPr>
          <w:rStyle w:val="Funotenanker"/>
        </w:rPr>
        <w:footnoteReference w:customMarkFollows="1" w:id="6207"/>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6208"/>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6209"/>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6210"/>
        <w:t>ag</w:t>
      </w:r>
      <w:r>
        <w:rPr/>
        <w:t xml:space="preserve"> überragend große Macht</w:t>
      </w:r>
      <w:r>
        <w:rPr>
          <w:rStyle w:val="Funotenanker"/>
        </w:rPr>
        <w:footnoteReference w:customMarkFollows="1" w:id="6211"/>
        <w:t>ah</w:t>
      </w:r>
      <w:r>
        <w:rPr/>
        <w:t xml:space="preserve"> in uns, den Gläubigen</w:t>
      </w:r>
      <w:r>
        <w:rPr>
          <w:rStyle w:val="Funotenanker"/>
        </w:rPr>
        <w:footnoteReference w:customMarkFollows="1" w:id="6212"/>
        <w:t>ai</w:t>
      </w:r>
      <w:r>
        <w:rPr/>
        <w:t xml:space="preserve"> gemäß seines übernatürlichen Eingreifens</w:t>
      </w:r>
      <w:r>
        <w:rPr>
          <w:rStyle w:val="Funotenanker"/>
        </w:rPr>
        <w:footnoteReference w:customMarkFollows="1" w:id="6213"/>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6214"/>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6215"/>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6216"/>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6217"/>
        <w:t>an</w:t>
      </w:r>
      <w:r>
        <w:rPr/>
        <w:t xml:space="preserve"> sein Körper</w:t>
      </w:r>
      <w:r>
        <w:rPr>
          <w:rStyle w:val="Funotenanker"/>
        </w:rPr>
        <w:footnoteReference w:customMarkFollows="1" w:id="6218"/>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6219"/>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6220"/>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6221"/>
        <w:t>b</w:t>
      </w:r>
      <w:r>
        <w:rPr/>
        <w:t>, das ist der Geist</w:t>
      </w:r>
      <w:r>
        <w:rPr>
          <w:rStyle w:val="Funotenanker"/>
        </w:rPr>
        <w:footnoteReference w:customMarkFollows="1" w:id="6222"/>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6223"/>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6224"/>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6225"/>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6226"/>
        <w:t>g</w:t>
      </w:r>
      <w:r>
        <w:rPr/>
        <w:t xml:space="preserve">, </w:t>
      </w:r>
      <w:r>
        <w:rPr>
          <w:b/>
          <w:color w:val="808080"/>
        </w:rPr>
        <w:t>[</w:t>
      </w:r>
      <w:r>
        <w:rPr/>
        <w:t>und wir sind</w:t>
      </w:r>
      <w:r>
        <w:rPr>
          <w:b/>
          <w:color w:val="808080"/>
        </w:rPr>
        <w:t>]</w:t>
      </w:r>
      <w:r>
        <w:rPr/>
        <w:t xml:space="preserve"> durch Christus Jesus zum Zweck guter Werke geschaffen worden</w:t>
      </w:r>
      <w:r>
        <w:rPr>
          <w:rStyle w:val="Funotenanker"/>
        </w:rPr>
        <w:footnoteReference w:customMarkFollows="1" w:id="6227"/>
        <w:t>h</w:t>
      </w:r>
      <w:r>
        <w:rPr/>
        <w:t xml:space="preserve">,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6228"/>
        <w:t>i</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6229"/>
        <w:t>j</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6230"/>
        <w:t>k</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6231"/>
        <w:t>l</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6232"/>
        <w:t>m</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6233"/>
        <w:t>n</w:t>
      </w:r>
      <w:r>
        <w:rPr/>
        <w:t>, außer Kraft gesetzt, um die zwei in sich zu ''einem''</w:t>
      </w:r>
      <w:r>
        <w:rPr>
          <w:rStyle w:val="Funotenanker"/>
        </w:rPr>
        <w:footnoteReference w:customMarkFollows="1" w:id="6234"/>
        <w:t>o</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6235"/>
        <w:t>p</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6236"/>
        <w:t>q</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6237"/>
        <w:t>r</w:t>
      </w:r>
      <w:r>
        <w:rPr/>
        <w:t xml:space="preserve"> Geist </w:t>
      </w:r>
      <w:r>
        <w:rPr>
          <w:b/>
          <w:color w:val="808080"/>
        </w:rPr>
        <w:t>[</w:t>
      </w:r>
      <w:r>
        <w:rPr/>
        <w:t>ständigen</w:t>
      </w:r>
      <w:r>
        <w:rPr>
          <w:b/>
          <w:color w:val="808080"/>
        </w:rPr>
        <w:t>]</w:t>
      </w:r>
      <w:r>
        <w:rPr/>
        <w:t xml:space="preserve"> </w:t>
      </w:r>
      <w:r>
        <w:rPr>
          <w:rStyle w:val="Funotenanker"/>
        </w:rPr>
        <w:footnoteReference w:customMarkFollows="1" w:id="6238"/>
        <w:t>s</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6239"/>
        <w:t>t</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6240"/>
        <w:t>u</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6241"/>
        <w:t>v</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6242"/>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6243"/>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6244"/>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6245"/>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6246"/>
        <w:t>d</w:t>
      </w:r>
      <w:r>
        <w:rPr/>
        <w:t xml:space="preserve"> gemäß der Gnadengabe, die mir zuteil wurde aufgrund seines wunderbaren Wirkens </w:t>
      </w:r>
      <w:r>
        <w:rPr>
          <w:rStyle w:val="Funotenanker"/>
        </w:rPr>
        <w:footnoteReference w:customMarkFollows="1" w:id="6247"/>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6248"/>
        <w:t>f</w:t>
      </w:r>
      <w:r>
        <w:rPr/>
        <w:t xml:space="preserve"> {{field-off:bible}} </w:t>
        <w:br/>
        <w:t>[[@BibleTOBIBLE:Eph 3:9]]</w:t>
      </w:r>
      <w:r>
        <w:rPr>
          <w:b/>
        </w:rPr>
        <w:t>9</w:t>
      </w:r>
      <w:r>
        <w:rPr/>
        <w:t xml:space="preserve"> {{field-on:bible}}und allen den Heilsplan, </w:t>
      </w:r>
      <w:r>
        <w:rPr>
          <w:rStyle w:val="Funotenanker"/>
        </w:rPr>
        <w:footnoteReference w:customMarkFollows="1" w:id="6249"/>
        <w:t>g</w:t>
      </w:r>
      <w:r>
        <w:rPr/>
        <w:t xml:space="preserve"> das Geheimnis </w:t>
      </w:r>
      <w:r>
        <w:rPr>
          <w:rStyle w:val="Funotenanker"/>
        </w:rPr>
        <w:footnoteReference w:customMarkFollows="1" w:id="6250"/>
        <w:t>h</w:t>
      </w:r>
      <w:r>
        <w:rPr/>
        <w:t xml:space="preserve"> zu beleuchten, das von Ewigkeit </w:t>
      </w:r>
      <w:r>
        <w:rPr>
          <w:rStyle w:val="Funotenanker"/>
        </w:rPr>
        <w:footnoteReference w:customMarkFollows="1" w:id="6251"/>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6252"/>
        <w:t>j</w:t>
      </w:r>
      <w:r>
        <w:rPr/>
        <w:t xml:space="preserve"> wird unter den Führern und Mächten, die im Himmel </w:t>
      </w:r>
      <w:r>
        <w:rPr>
          <w:rStyle w:val="Funotenanker"/>
        </w:rPr>
        <w:footnoteReference w:customMarkFollows="1" w:id="6253"/>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6254"/>
        <w:t>l</w:t>
      </w:r>
      <w:r>
        <w:rPr/>
        <w:t xml:space="preserve"> den er in Christus Jesus, unserem Herrn umgesetzt </w:t>
      </w:r>
      <w:r>
        <w:rPr>
          <w:rStyle w:val="Funotenanker"/>
        </w:rPr>
        <w:footnoteReference w:customMarkFollows="1" w:id="6255"/>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6256"/>
        <w:t>n</w:t>
      </w:r>
      <w:r>
        <w:rPr/>
        <w:t xml:space="preserve"> und einen Zugang im Vertrauen durch den Glauben an ihn </w:t>
      </w:r>
      <w:r>
        <w:rPr>
          <w:rStyle w:val="Funotenanker"/>
        </w:rPr>
        <w:footnoteReference w:customMarkFollows="1" w:id="6257"/>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6258"/>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6259"/>
        <w:t>q</w:t>
      </w:r>
      <w:r>
        <w:rPr/>
        <w:t xml:space="preserve">.{{field-off:bible}} </w:t>
        <w:br/>
        <w:t>[[@BibleTOBIBLE:Eph 3:14]]</w:t>
      </w:r>
      <w:r>
        <w:rPr>
          <w:b/>
        </w:rPr>
        <w:t>14</w:t>
      </w:r>
      <w:r>
        <w:rPr/>
        <w:t xml:space="preserve"> {{field-on:bible}}Deswegen beuge ich meine Knie</w:t>
      </w:r>
      <w:r>
        <w:rPr>
          <w:rStyle w:val="Funotenanker"/>
        </w:rPr>
        <w:footnoteReference w:customMarkFollows="1" w:id="6260"/>
        <w:t>r</w:t>
      </w:r>
      <w:r>
        <w:rPr/>
        <w:t xml:space="preserve"> vor dem Vater,{{field-off:bible}} </w:t>
        <w:br/>
        <w:t>[[@BibleTOBIBLE:Eph 3:15]]</w:t>
      </w:r>
      <w:r>
        <w:rPr>
          <w:b/>
        </w:rPr>
        <w:t>15</w:t>
      </w:r>
      <w:r>
        <w:rPr/>
        <w:t xml:space="preserve"> {{field-on:bible}}von dem jedes Geschlecht</w:t>
      </w:r>
      <w:r>
        <w:rPr>
          <w:rStyle w:val="Funotenanker"/>
        </w:rPr>
        <w:footnoteReference w:customMarkFollows="1" w:id="6261"/>
        <w:t>s</w:t>
      </w:r>
      <w:r>
        <w:rPr/>
        <w:t xml:space="preserve"> im Himmel </w:t>
      </w:r>
      <w:r>
        <w:rPr>
          <w:rStyle w:val="Funotenanker"/>
        </w:rPr>
        <w:footnoteReference w:customMarkFollows="1" w:id="6262"/>
        <w:t>t</w:t>
      </w:r>
      <w:r>
        <w:rPr/>
        <w:t xml:space="preserve"> und auf Erden seinen Namen hat </w:t>
      </w:r>
      <w:r>
        <w:rPr>
          <w:rStyle w:val="Funotenanker"/>
        </w:rPr>
        <w:footnoteReference w:customMarkFollows="1" w:id="6263"/>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6264"/>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6265"/>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6266"/>
        <w:t>x</w:t>
      </w:r>
      <w:r>
        <w:rPr/>
        <w:t xml:space="preserve"> fest verwurzelt und gegründet </w:t>
      </w:r>
      <w:r>
        <w:rPr>
          <w:color w:val="808080"/>
        </w:rPr>
        <w:t>(fundiert)</w:t>
      </w:r>
      <w:r>
        <w:rPr/>
        <w:t xml:space="preserve"> ist</w:t>
      </w:r>
      <w:r>
        <w:rPr>
          <w:rStyle w:val="Funotenanker"/>
        </w:rPr>
        <w:footnoteReference w:customMarkFollows="1" w:id="6267"/>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6268"/>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6269"/>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6270"/>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6271"/>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6272"/>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6273"/>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6274"/>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6275"/>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6276"/>
        <w:t>c</w:t>
      </w:r>
      <w:r>
        <w:rPr/>
        <w:t xml:space="preserve"> </w:t>
        <w:br/>
        <w:t>„Wach auf, Schläfer</w:t>
      </w:r>
      <w:r>
        <w:rPr>
          <w:rStyle w:val="Funotenanker"/>
        </w:rPr>
        <w:footnoteReference w:customMarkFollows="1" w:id="6277"/>
        <w:t>d</w:t>
      </w:r>
      <w:r>
        <w:rPr/>
        <w:t>,</w:t>
        <w:br/>
        <w:t>und steh auf</w:t>
      </w:r>
      <w:r>
        <w:rPr>
          <w:rStyle w:val="Funotenanker"/>
        </w:rPr>
        <w:footnoteReference w:customMarkFollows="1" w:id="6278"/>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6279"/>
        <w:t>f</w:t>
      </w:r>
      <w:r>
        <w:rPr/>
        <w:t xml:space="preserve"> ihr die Zeit nutzt </w:t>
      </w:r>
      <w:r>
        <w:rPr>
          <w:color w:val="808080"/>
        </w:rPr>
        <w:t>(jede Gelegenheit nutzt; die Zeit kauft)</w:t>
      </w:r>
      <w:r>
        <w:rPr/>
        <w:t xml:space="preserve"> </w:t>
      </w:r>
      <w:r>
        <w:rPr>
          <w:rStyle w:val="Funotenanker"/>
        </w:rPr>
        <w:footnoteReference w:customMarkFollows="1" w:id="6280"/>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6281"/>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6282"/>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6283"/>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6284"/>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285"/>
        <w:t>l</w:t>
      </w:r>
      <w:r>
        <w:rPr/>
        <w:t>,</w:t>
      </w:r>
      <w:r>
        <w:rPr>
          <w:rStyle w:val="Funotenanker"/>
        </w:rPr>
        <w:footnoteReference w:customMarkFollows="1" w:id="6286"/>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287"/>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288"/>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289"/>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290"/>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291"/>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292"/>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293"/>
        <w:t>t</w:t>
      </w:r>
      <w:r>
        <w:rPr/>
        <w:t xml:space="preserve"> Wasserbad</w:t>
      </w:r>
      <w:r>
        <w:rPr>
          <w:rStyle w:val="Funotenanker"/>
        </w:rPr>
        <w:footnoteReference w:customMarkFollows="1" w:id="6294"/>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295"/>
        <w:t>v</w:t>
      </w:r>
      <w:r>
        <w:rPr/>
        <w:t xml:space="preserve"> reinigte </w:t>
      </w:r>
      <w:r>
        <w:rPr>
          <w:color w:val="808080"/>
        </w:rPr>
        <w:t>(reinigt)</w:t>
      </w:r>
      <w:r>
        <w:rPr/>
        <w:t>;</w:t>
      </w:r>
      <w:r>
        <w:rPr>
          <w:rStyle w:val="Funotenanker"/>
        </w:rPr>
        <w:footnoteReference w:customMarkFollows="1" w:id="6296"/>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297"/>
        <w:t>x</w:t>
      </w:r>
      <w:r>
        <w:rPr/>
        <w:t xml:space="preserve"> </w:t>
      </w:r>
      <w:r>
        <w:rPr>
          <w:color w:val="808080"/>
        </w:rPr>
        <w:t>(sich zu präsentieren</w:t>
      </w:r>
      <w:r>
        <w:rPr/>
        <w:t xml:space="preserve"> </w:t>
      </w:r>
      <w:r>
        <w:rPr>
          <w:rStyle w:val="Funotenanker"/>
        </w:rPr>
        <w:footnoteReference w:customMarkFollows="1" w:id="6298"/>
        <w:t>y</w:t>
      </w:r>
      <w:r>
        <w:rPr/>
        <w:t xml:space="preserve"> </w:t>
      </w:r>
      <w:r>
        <w:rPr>
          <w:color w:val="808080"/>
        </w:rPr>
        <w:t>, für sich zu schaffen/aufzustellen</w:t>
      </w:r>
      <w:r>
        <w:rPr/>
        <w:t xml:space="preserve"> </w:t>
      </w:r>
      <w:r>
        <w:rPr>
          <w:rStyle w:val="Funotenanker"/>
        </w:rPr>
        <w:footnoteReference w:customMarkFollows="1" w:id="6299"/>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300"/>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301"/>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302"/>
        <w:t>ac</w:t>
      </w:r>
      <w:r>
        <w:rPr/>
        <w:t xml:space="preserve"> Wer seine Frau liebt,</w:t>
      </w:r>
      <w:r>
        <w:rPr>
          <w:rStyle w:val="Funotenanker"/>
        </w:rPr>
        <w:footnoteReference w:customMarkFollows="1" w:id="6303"/>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304"/>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305"/>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306"/>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307"/>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308"/>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309"/>
        <w:t>aj</w:t>
      </w:r>
      <w:r>
        <w:rPr/>
        <w:t xml:space="preserve"> seine eigene Frau so lieben</w:t>
      </w:r>
      <w:r>
        <w:rPr>
          <w:rStyle w:val="Funotenanker"/>
        </w:rPr>
        <w:footnoteReference w:customMarkFollows="1" w:id="6310"/>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311"/>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312"/>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313"/>
        <w:t>Status</w:t>
      </w:r>
      <w:r>
        <w:rPr/>
        <w:t xml:space="preserve"> Paulus und Timotheus, Sklaven </w:t>
      </w:r>
      <w:r>
        <w:rPr>
          <w:rStyle w:val="Funotenanker"/>
        </w:rPr>
        <w:footnoteReference w:customMarkFollows="1" w:id="6314"/>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315"/>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316"/>
        <w:t>c</w:t>
      </w:r>
      <w:r>
        <w:rPr/>
        <w:t xml:space="preserve"> </w:t>
      </w:r>
      <w:r>
        <w:rPr>
          <w:color w:val="808080"/>
        </w:rPr>
        <w:t>(bei aller Erinnerung an euch =)</w:t>
      </w:r>
      <w:r>
        <w:rPr/>
        <w:t xml:space="preserve"> so oft ich euer gedenke</w:t>
      </w:r>
      <w:r>
        <w:rPr>
          <w:rStyle w:val="Funotenanker"/>
        </w:rPr>
        <w:footnoteReference w:customMarkFollows="1" w:id="6317"/>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318"/>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319"/>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320"/>
        <w:t>g</w:t>
      </w:r>
      <w:r>
        <w:rPr/>
        <w:t>, dies über euch alle zu denken, weil</w:t>
      </w:r>
      <w:r>
        <w:rPr>
          <w:rStyle w:val="Funotenanker"/>
        </w:rPr>
        <w:footnoteReference w:customMarkFollows="1" w:id="6321"/>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322"/>
        <w:t>i</w:t>
      </w:r>
      <w:r>
        <w:rPr/>
        <w:t xml:space="preserve"> der Liebe </w:t>
      </w:r>
      <w:r>
        <w:rPr>
          <w:color w:val="808080"/>
        </w:rPr>
        <w:t>(Zuneigung)</w:t>
      </w:r>
      <w:r>
        <w:rPr/>
        <w:t xml:space="preserve"> </w:t>
      </w:r>
      <w:r>
        <w:rPr>
          <w:rStyle w:val="Funotenanker"/>
        </w:rPr>
        <w:footnoteReference w:customMarkFollows="1" w:id="6323"/>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324"/>
        <w:t>k</w:t>
      </w:r>
      <w:r>
        <w:rPr/>
        <w:t xml:space="preserve"> {{field-off:bible}} </w:t>
        <w:br/>
        <w:t>[[@BibleTOBIBLE:Php 1:10]]</w:t>
      </w:r>
      <w:r>
        <w:rPr>
          <w:b/>
        </w:rPr>
        <w:t>10</w:t>
      </w:r>
      <w:r>
        <w:rPr/>
        <w:t xml:space="preserve"> {{field-on:bible}}damit</w:t>
      </w:r>
      <w:r>
        <w:rPr>
          <w:rStyle w:val="Funotenanker"/>
        </w:rPr>
        <w:footnoteReference w:customMarkFollows="1" w:id="6325"/>
        <w:t>l</w:t>
      </w:r>
      <w:r>
        <w:rPr/>
        <w:t xml:space="preserve"> ihr das, worauf es ankommt </w:t>
      </w:r>
      <w:r>
        <w:rPr>
          <w:color w:val="808080"/>
        </w:rPr>
        <w:t>(das Wesentliche)</w:t>
      </w:r>
      <w:r>
        <w:rPr/>
        <w:t>, prüft, damit ihr lauter und tadellos</w:t>
      </w:r>
      <w:r>
        <w:rPr>
          <w:rStyle w:val="Funotenanker"/>
        </w:rPr>
        <w:footnoteReference w:customMarkFollows="1" w:id="6326"/>
        <w:t>m</w:t>
      </w:r>
      <w:r>
        <w:rPr/>
        <w:t xml:space="preserve"> seid für</w:t>
      </w:r>
      <w:r>
        <w:rPr>
          <w:rStyle w:val="Funotenanker"/>
        </w:rPr>
        <w:footnoteReference w:customMarkFollows="1" w:id="6327"/>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328"/>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329"/>
        <w:t>p</w:t>
      </w:r>
      <w:r>
        <w:rPr/>
        <w:t>, dass meine Angelegenheiten</w:t>
      </w:r>
      <w:r>
        <w:rPr>
          <w:rStyle w:val="Funotenanker"/>
        </w:rPr>
        <w:footnoteReference w:customMarkFollows="1" w:id="6330"/>
        <w:t>q</w:t>
      </w:r>
      <w:r>
        <w:rPr/>
        <w:t xml:space="preserve"> eher zur Förderung des Evangeliums ausgeschlagen sind</w:t>
      </w:r>
      <w:r>
        <w:rPr>
          <w:rStyle w:val="Funotenanker"/>
        </w:rPr>
        <w:footnoteReference w:customMarkFollows="1" w:id="6331"/>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332"/>
        <w:t>s</w:t>
      </w:r>
      <w:r>
        <w:rPr/>
        <w:t xml:space="preserve"> meine Gefangenschaft durch</w:t>
      </w:r>
      <w:r>
        <w:rPr>
          <w:rStyle w:val="Funotenanker"/>
        </w:rPr>
        <w:footnoteReference w:customMarkFollows="1" w:id="6333"/>
        <w:t>t</w:t>
      </w:r>
      <w:r>
        <w:rPr/>
        <w:t xml:space="preserve"> Christus bekannt wurde im ganzen Prätorium</w:t>
      </w:r>
      <w:r>
        <w:rPr>
          <w:rStyle w:val="Funotenanker"/>
        </w:rPr>
        <w:footnoteReference w:customMarkFollows="1" w:id="6334"/>
        <w:t>u</w:t>
      </w:r>
      <w:r>
        <w:rPr/>
        <w:t xml:space="preserve"> und bei allen übrigen</w:t>
      </w:r>
      <w:r>
        <w:rPr>
          <w:rStyle w:val="Funotenanker"/>
        </w:rPr>
        <w:footnoteReference w:customMarkFollows="1" w:id="6335"/>
        <w:t>v</w:t>
      </w:r>
      <w:r>
        <w:rPr/>
        <w:t xml:space="preserve"> {{field-off:bible}} </w:t>
        <w:br/>
        <w:t>[[@BibleTOBIBLE:Php 1:14]]</w:t>
      </w:r>
      <w:r>
        <w:rPr>
          <w:b/>
        </w:rPr>
        <w:t>14</w:t>
      </w:r>
      <w:r>
        <w:rPr/>
        <w:t xml:space="preserve"> {{field-on:bible}}und die meisten der Geschwister </w:t>
      </w:r>
      <w:r>
        <w:rPr>
          <w:rStyle w:val="Funotenanker"/>
        </w:rPr>
        <w:footnoteReference w:customMarkFollows="1" w:id="6336"/>
        <w:t>w</w:t>
      </w:r>
      <w:r>
        <w:rPr/>
        <w:t xml:space="preserve"> im Herrn, weil</w:t>
      </w:r>
      <w:r>
        <w:rPr>
          <w:rStyle w:val="Funotenanker"/>
        </w:rPr>
        <w:footnoteReference w:customMarkFollows="1" w:id="6337"/>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338"/>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339"/>
        <w:t>z</w:t>
      </w:r>
      <w:r>
        <w:rPr/>
        <w:t xml:space="preserve"> Christus auch</w:t>
      </w:r>
      <w:r>
        <w:rPr>
          <w:rStyle w:val="Funotenanker"/>
        </w:rPr>
        <w:footnoteReference w:customMarkFollows="1" w:id="6340"/>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341"/>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342"/>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343"/>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344"/>
        <w:t>ae</w:t>
      </w:r>
      <w:r>
        <w:rPr/>
        <w:t xml:space="preserve"> zu leben Christus</w:t>
      </w:r>
      <w:r>
        <w:rPr>
          <w:rStyle w:val="Funotenanker"/>
        </w:rPr>
        <w:footnoteReference w:customMarkFollows="1" w:id="6345"/>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346"/>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347"/>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348"/>
        <w:t>ai</w:t>
      </w:r>
      <w:r>
        <w:rPr/>
        <w:t xml:space="preserve"> Verlangen, aufzubrechen </w:t>
      </w:r>
      <w:r>
        <w:rPr>
          <w:color w:val="808080"/>
        </w:rPr>
        <w:t>(abzuscheiden)</w:t>
      </w:r>
      <w:r>
        <w:rPr/>
        <w:t xml:space="preserve"> </w:t>
      </w:r>
      <w:r>
        <w:rPr>
          <w:rStyle w:val="Funotenanker"/>
        </w:rPr>
        <w:footnoteReference w:customMarkFollows="1" w:id="6349"/>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350"/>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351"/>
        <w:t>al</w:t>
      </w:r>
      <w:r>
        <w:rPr/>
        <w:t xml:space="preserve">, oder abwesend </w:t>
      </w:r>
      <w:r>
        <w:rPr>
          <w:rStyle w:val="Funotenanker"/>
        </w:rPr>
        <w:footnoteReference w:customMarkFollows="1" w:id="6352"/>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353"/>
        <w:t>an</w:t>
      </w:r>
      <w:r>
        <w:rPr/>
        <w:t xml:space="preserve"> {{field-off:bible}} </w:t>
        <w:br/>
        <w:t>[[@BibleTOBIBLE:Php 1:28]]</w:t>
      </w:r>
      <w:r>
        <w:rPr>
          <w:b/>
        </w:rPr>
        <w:t>28</w:t>
      </w:r>
      <w:r>
        <w:rPr/>
        <w:t xml:space="preserve"> {{field-on:bible}}und euch nicht einschüchtern lasst</w:t>
      </w:r>
      <w:r>
        <w:rPr>
          <w:rStyle w:val="Funotenanker"/>
        </w:rPr>
        <w:footnoteReference w:customMarkFollows="1" w:id="6354"/>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355"/>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356"/>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357"/>
        <w:t>Status</w:t>
      </w:r>
      <w:r>
        <w:rPr/>
        <w:t xml:space="preserve"> Wenn nun Trost </w:t>
      </w:r>
      <w:r>
        <w:rPr>
          <w:color w:val="808080"/>
        </w:rPr>
        <w:t>(Ermahnung, Zuspruch)</w:t>
      </w:r>
      <w:r>
        <w:rPr/>
        <w:t xml:space="preserve"> in Christus etwas gilt</w:t>
      </w:r>
      <w:r>
        <w:rPr>
          <w:rStyle w:val="Funotenanker"/>
        </w:rPr>
        <w:footnoteReference w:customMarkFollows="1" w:id="6358"/>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359"/>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360"/>
        <w:t>c</w:t>
      </w:r>
      <w:r>
        <w:rPr/>
        <w:t>, einträchtig, auf das Eine bedacht seid</w:t>
      </w:r>
      <w:r>
        <w:rPr>
          <w:rStyle w:val="Funotenanker"/>
        </w:rPr>
        <w:footnoteReference w:customMarkFollows="1" w:id="6361"/>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362"/>
        <w:t>e</w:t>
      </w:r>
      <w:r>
        <w:rPr/>
        <w:t>, dass</w:t>
      </w:r>
      <w:r>
        <w:rPr>
          <w:rStyle w:val="Funotenanker"/>
        </w:rPr>
        <w:footnoteReference w:customMarkFollows="1" w:id="6363"/>
        <w:t>f</w:t>
      </w:r>
      <w:r>
        <w:rPr/>
        <w:t xml:space="preserve"> ihr euch an Demut übertrefft,{{field-off:bible}} </w:t>
        <w:br/>
        <w:t>[[@BibleTOBIBLE:Php 2:4]]</w:t>
      </w:r>
      <w:r>
        <w:rPr>
          <w:b/>
        </w:rPr>
        <w:t>4</w:t>
      </w:r>
      <w:r>
        <w:rPr/>
        <w:t xml:space="preserve"> {{field-on:bible}}und seht</w:t>
      </w:r>
      <w:r>
        <w:rPr>
          <w:rStyle w:val="Funotenanker"/>
        </w:rPr>
        <w:footnoteReference w:customMarkFollows="1" w:id="6364"/>
        <w:t>g</w:t>
      </w:r>
      <w:r>
        <w:rPr/>
        <w:t xml:space="preserve"> jeder nicht auf das Seine, sondern vor allem</w:t>
      </w:r>
      <w:r>
        <w:rPr>
          <w:rStyle w:val="Funotenanker"/>
        </w:rPr>
        <w:footnoteReference w:customMarkFollows="1" w:id="6365"/>
        <w:t>h</w:t>
      </w:r>
      <w:r>
        <w:rPr/>
        <w:t xml:space="preserve"> </w:t>
      </w:r>
      <w:r>
        <w:rPr>
          <w:strike/>
          <w:color w:val="808080"/>
        </w:rPr>
        <w:t>{alle}</w:t>
      </w:r>
      <w:r>
        <w:rPr/>
        <w:t xml:space="preserve"> </w:t>
      </w:r>
      <w:r>
        <w:rPr>
          <w:rStyle w:val="Funotenanker"/>
        </w:rPr>
        <w:footnoteReference w:customMarkFollows="1" w:id="6366"/>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367"/>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368"/>
        <w:t>k</w:t>
      </w:r>
      <w:r>
        <w:rPr/>
        <w:t xml:space="preserve"> er in Gestalt Gottes war</w:t>
      </w:r>
      <w:r>
        <w:rPr>
          <w:rStyle w:val="Funotenanker"/>
        </w:rPr>
        <w:footnoteReference w:customMarkFollows="1" w:id="6369"/>
        <w:t>l</w:t>
      </w:r>
      <w:r>
        <w:rPr/>
        <w:t xml:space="preserve"> </w:t>
        <w:br/>
        <w:t xml:space="preserve">nicht als Geschenk des Zufalls </w:t>
      </w:r>
      <w:r>
        <w:rPr>
          <w:color w:val="808080"/>
        </w:rPr>
        <w:t>(Glücksfund; Beute)</w:t>
      </w:r>
      <w:r>
        <w:rPr/>
        <w:t xml:space="preserve"> </w:t>
      </w:r>
      <w:r>
        <w:rPr>
          <w:rStyle w:val="Funotenanker"/>
        </w:rPr>
        <w:footnoteReference w:customMarkFollows="1" w:id="6370"/>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371"/>
        <w:t>n</w:t>
      </w:r>
      <w:r>
        <w:rPr/>
        <w:t xml:space="preserve"> er die Gestalt eines Knechtes </w:t>
      </w:r>
      <w:r>
        <w:rPr>
          <w:color w:val="808080"/>
        </w:rPr>
        <w:t>(Sklaven)</w:t>
      </w:r>
      <w:r>
        <w:rPr/>
        <w:t xml:space="preserve"> annahm,</w:t>
        <w:br/>
        <w:t>und</w:t>
      </w:r>
      <w:r>
        <w:rPr>
          <w:rStyle w:val="Funotenanker"/>
        </w:rPr>
        <w:footnoteReference w:customMarkFollows="1" w:id="6372"/>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373"/>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374"/>
        <w:t>q</w:t>
      </w:r>
      <w:r>
        <w:rPr/>
        <w:t xml:space="preserve"> wurde gehorsam bis zum Tod,</w:t>
        <w:br/>
        <w:t>und zwar</w:t>
      </w:r>
      <w:r>
        <w:rPr>
          <w:rStyle w:val="Funotenanker"/>
        </w:rPr>
        <w:footnoteReference w:customMarkFollows="1" w:id="6375"/>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376"/>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377"/>
        <w:t>t</w:t>
      </w:r>
      <w:r>
        <w:rPr/>
        <w:t xml:space="preserve"> und der Irdischen </w:t>
      </w:r>
      <w:r>
        <w:rPr>
          <w:color w:val="808080"/>
        </w:rPr>
        <w:t>(irdischen Wesen)</w:t>
      </w:r>
      <w:r>
        <w:rPr/>
        <w:t xml:space="preserve"> </w:t>
      </w:r>
      <w:r>
        <w:rPr>
          <w:rStyle w:val="Funotenanker"/>
        </w:rPr>
        <w:footnoteReference w:customMarkFollows="1" w:id="6378"/>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379"/>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380"/>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381"/>
        <w:t>x</w:t>
      </w:r>
      <w:r>
        <w:rPr/>
        <w:t xml:space="preserve"> in euch bewirkt sowohl das Wollen als auch das wirksam Sein </w:t>
      </w:r>
      <w:r>
        <w:rPr>
          <w:color w:val="808080"/>
        </w:rPr>
        <w:t>(das sich Betätigen)</w:t>
      </w:r>
      <w:r>
        <w:rPr/>
        <w:t xml:space="preserve"> </w:t>
      </w:r>
      <w:r>
        <w:rPr>
          <w:rStyle w:val="Funotenanker"/>
        </w:rPr>
        <w:footnoteReference w:customMarkFollows="1" w:id="6382"/>
        <w:t>y</w:t>
      </w:r>
      <w:r>
        <w:rPr/>
        <w:t xml:space="preserve"> über den guten Willen hinaus</w:t>
      </w:r>
      <w:r>
        <w:rPr>
          <w:rStyle w:val="Funotenanker"/>
        </w:rPr>
        <w:footnoteReference w:customMarkFollows="1" w:id="6383"/>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384"/>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385"/>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386"/>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387"/>
        <w:t>ad</w:t>
      </w:r>
      <w:r>
        <w:rPr/>
        <w:t xml:space="preserve"> wäre, dass</w:t>
      </w:r>
      <w:r>
        <w:rPr>
          <w:rStyle w:val="Funotenanker"/>
        </w:rPr>
        <w:footnoteReference w:customMarkFollows="1" w:id="6388"/>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389"/>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390"/>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391"/>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392"/>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393"/>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394"/>
        <w:t>Status</w:t>
      </w:r>
      <w:r>
        <w:rPr/>
        <w:t xml:space="preserve"> Weiterhin, meine Geschwister</w:t>
      </w:r>
      <w:r>
        <w:rPr>
          <w:rStyle w:val="Funotenanker"/>
        </w:rPr>
        <w:footnoteReference w:customMarkFollows="1" w:id="6395"/>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396"/>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397"/>
        <w:t>c</w:t>
      </w:r>
      <w:r>
        <w:rPr/>
        <w:t xml:space="preserve"> wir im Geist </w:t>
      </w:r>
      <w:r>
        <w:rPr>
          <w:color w:val="808080"/>
        </w:rPr>
        <w:t>(oder: durch den Geist)</w:t>
      </w:r>
      <w:r>
        <w:rPr/>
        <w:t xml:space="preserve"> Gott dienen und uns in Christus Jesus rühmen</w:t>
      </w:r>
      <w:r>
        <w:rPr>
          <w:rStyle w:val="Funotenanker"/>
        </w:rPr>
        <w:footnoteReference w:customMarkFollows="1" w:id="6398"/>
        <w:t>d</w:t>
      </w:r>
      <w:r>
        <w:rPr/>
        <w:t xml:space="preserve"> und nicht auf das Fleisch</w:t>
      </w:r>
      <w:r>
        <w:rPr>
          <w:rStyle w:val="Funotenanker"/>
        </w:rPr>
        <w:footnoteReference w:customMarkFollows="1" w:id="6399"/>
        <w:t>e</w:t>
      </w:r>
      <w:r>
        <w:rPr/>
        <w:t xml:space="preserve"> vertrauen</w:t>
      </w:r>
      <w:r>
        <w:rPr>
          <w:rStyle w:val="Funotenanker"/>
        </w:rPr>
        <w:footnoteReference w:customMarkFollows="1" w:id="6400"/>
        <w:t>f</w:t>
      </w:r>
      <w:r>
        <w:rPr/>
        <w:t xml:space="preserve">,{{field-off:bible}} </w:t>
        <w:br/>
        <w:t>[[@BibleTOBIBLE:Php 3:4]]</w:t>
      </w:r>
      <w:r>
        <w:rPr>
          <w:b/>
        </w:rPr>
        <w:t>4</w:t>
      </w:r>
      <w:r>
        <w:rPr/>
        <w:t xml:space="preserve"> {{field-on:bible}}obwohl ich Zuversicht habe</w:t>
      </w:r>
      <w:r>
        <w:rPr>
          <w:rStyle w:val="Funotenanker"/>
        </w:rPr>
        <w:footnoteReference w:customMarkFollows="1" w:id="6401"/>
        <w:t>g</w:t>
      </w:r>
      <w:r>
        <w:rPr/>
        <w:t xml:space="preserve"> auch auf das Fleisch</w:t>
      </w:r>
      <w:r>
        <w:rPr>
          <w:rStyle w:val="Funotenanker"/>
        </w:rPr>
        <w:footnoteReference w:customMarkFollows="1" w:id="6402"/>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403"/>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404"/>
        <w:t>j</w:t>
      </w:r>
      <w:r>
        <w:rPr/>
        <w:t xml:space="preserve"> der Gemeinde, was die Gerechtigkeit, die im Gesetz gewährt wird</w:t>
      </w:r>
      <w:r>
        <w:rPr>
          <w:rStyle w:val="Funotenanker"/>
        </w:rPr>
        <w:footnoteReference w:customMarkFollows="1" w:id="6405"/>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406"/>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407"/>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408"/>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409"/>
        <w:t>o</w:t>
      </w:r>
      <w:r>
        <w:rPr/>
        <w:t xml:space="preserve">,{{field-off:bible}} </w:t>
        <w:br/>
        <w:t>[[@BibleTOBIBLE:Php 3:11]]</w:t>
      </w:r>
      <w:r>
        <w:rPr>
          <w:b/>
        </w:rPr>
        <w:t>11</w:t>
      </w:r>
      <w:r>
        <w:rPr/>
        <w:t xml:space="preserve"> {{field-on:bible}}ob ich vielleicht</w:t>
      </w:r>
      <w:r>
        <w:rPr>
          <w:rStyle w:val="Funotenanker"/>
        </w:rPr>
        <w:footnoteReference w:customMarkFollows="1" w:id="6410"/>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411"/>
        <w:t>q</w:t>
      </w:r>
      <w:r>
        <w:rPr/>
        <w:t xml:space="preserve"> oder schon vollendet wäre; ich eile </w:t>
      </w:r>
      <w:r>
        <w:rPr>
          <w:color w:val="808080"/>
        </w:rPr>
        <w:t>(renne)</w:t>
      </w:r>
      <w:r>
        <w:rPr/>
        <w:t xml:space="preserve"> aber, ob</w:t>
      </w:r>
      <w:r>
        <w:rPr>
          <w:rStyle w:val="Funotenanker"/>
        </w:rPr>
        <w:footnoteReference w:customMarkFollows="1" w:id="6412"/>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413"/>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414"/>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415"/>
        <w:t>u</w:t>
      </w:r>
      <w:r>
        <w:rPr/>
        <w:t>, nach dem aber, was vor mir liegt, strecke ich mich aus</w:t>
      </w:r>
      <w:r>
        <w:rPr>
          <w:rStyle w:val="Funotenanker"/>
        </w:rPr>
        <w:footnoteReference w:customMarkFollows="1" w:id="6416"/>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417"/>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418"/>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419"/>
        <w:t>y</w:t>
      </w:r>
      <w:r>
        <w:rPr/>
        <w:t xml:space="preserve">, Geschwister </w:t>
      </w:r>
      <w:r>
        <w:rPr>
          <w:rStyle w:val="Funotenanker"/>
        </w:rPr>
        <w:footnoteReference w:customMarkFollows="1" w:id="6420"/>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421"/>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422"/>
        <w:t>ab</w:t>
      </w:r>
      <w:r>
        <w:rPr/>
        <w:t xml:space="preserve"> mit Tränen</w:t>
      </w:r>
      <w:r>
        <w:rPr>
          <w:rStyle w:val="Funotenanker"/>
        </w:rPr>
        <w:footnoteReference w:customMarkFollows="1" w:id="6423"/>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424"/>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425"/>
        <w:t>ae</w:t>
      </w:r>
      <w:r>
        <w:rPr/>
        <w:t>, von wo</w:t>
      </w:r>
      <w:r>
        <w:rPr>
          <w:rStyle w:val="Funotenanker"/>
        </w:rPr>
        <w:footnoteReference w:customMarkFollows="1" w:id="6426"/>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427"/>
        <w:t>ag</w:t>
      </w:r>
      <w:r>
        <w:rPr/>
        <w:t xml:space="preserve"> gleichgestaltet seinem Herrlichkeitsleib</w:t>
      </w:r>
      <w:r>
        <w:rPr>
          <w:rStyle w:val="Funotenanker"/>
        </w:rPr>
        <w:footnoteReference w:customMarkFollows="1" w:id="6428"/>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429"/>
        <w:t>Status</w:t>
      </w:r>
      <w:r>
        <w:rPr/>
        <w:t xml:space="preserve"> Daher </w:t>
      </w:r>
      <w:r>
        <w:rPr>
          <w:color w:val="808080"/>
        </w:rPr>
        <w:t>(Deshalb, Also)</w:t>
      </w:r>
      <w:r>
        <w:rPr/>
        <w:t>, meine geliebten und herbeigesehnten Geschwister</w:t>
      </w:r>
      <w:r>
        <w:rPr>
          <w:rStyle w:val="Funotenanker"/>
        </w:rPr>
        <w:footnoteReference w:customMarkFollows="1" w:id="6430"/>
        <w:t>a</w:t>
      </w:r>
      <w:r>
        <w:rPr/>
        <w:t>, meine Freude und Schmuck</w:t>
      </w:r>
      <w:r>
        <w:rPr>
          <w:rStyle w:val="Funotenanker"/>
        </w:rPr>
        <w:footnoteReference w:customMarkFollows="1" w:id="6431"/>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432"/>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433"/>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434"/>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435"/>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436"/>
        <w:t>g</w:t>
      </w:r>
      <w:r>
        <w:rPr/>
        <w:t>, denn ihr dachtet</w:t>
      </w:r>
      <w:r>
        <w:rPr>
          <w:rStyle w:val="Funotenanker"/>
        </w:rPr>
        <w:footnoteReference w:customMarkFollows="1" w:id="6437"/>
        <w:t>h</w:t>
      </w:r>
      <w:r>
        <w:rPr/>
        <w:t xml:space="preserve"> </w:t>
      </w:r>
      <w:r>
        <w:rPr>
          <w:b/>
          <w:color w:val="808080"/>
        </w:rPr>
        <w:t>[</w:t>
      </w:r>
      <w:r>
        <w:rPr/>
        <w:t>an mich</w:t>
      </w:r>
      <w:r>
        <w:rPr>
          <w:b/>
          <w:color w:val="808080"/>
        </w:rPr>
        <w:t>]</w:t>
      </w:r>
      <w:r>
        <w:rPr/>
        <w:t>, fandet aber keine Gelegenheit</w:t>
      </w:r>
      <w:r>
        <w:rPr>
          <w:rStyle w:val="Funotenanker"/>
        </w:rPr>
        <w:footnoteReference w:customMarkFollows="1" w:id="6438"/>
        <w:t>i</w:t>
      </w:r>
      <w:r>
        <w:rPr/>
        <w:t xml:space="preserve">.{{field-off:bible}} </w:t>
        <w:br/>
        <w:t>[[@BibleTOBIBLE:Php 4:11]]</w:t>
      </w:r>
      <w:r>
        <w:rPr>
          <w:b/>
        </w:rPr>
        <w:t>11</w:t>
      </w:r>
      <w:r>
        <w:rPr/>
        <w:t xml:space="preserve"> {{field-on:bible}}Nicht, dass ich bedürftig wäre</w:t>
      </w:r>
      <w:r>
        <w:rPr>
          <w:rStyle w:val="Funotenanker"/>
        </w:rPr>
        <w:footnoteReference w:customMarkFollows="1" w:id="6439"/>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440"/>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441"/>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442"/>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443"/>
        <w:t>n</w:t>
      </w:r>
      <w:r>
        <w:rPr/>
        <w:t xml:space="preserve">.{{field-off:bible}} </w:t>
        <w:br/>
        <w:t>[[@BibleTOBIBLE:Php 4:15]]</w:t>
      </w:r>
      <w:r>
        <w:rPr>
          <w:b/>
        </w:rPr>
        <w:t>15</w:t>
      </w:r>
      <w:r>
        <w:rPr/>
        <w:t xml:space="preserve"> {{field-on:bible}}Aber auch ihr Philipper</w:t>
      </w:r>
      <w:r>
        <w:rPr>
          <w:rStyle w:val="Funotenanker"/>
        </w:rPr>
        <w:footnoteReference w:customMarkFollows="1" w:id="6444"/>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445"/>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446"/>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447"/>
        <w:t>r</w:t>
      </w:r>
      <w:r>
        <w:rPr/>
        <w:t xml:space="preserve">.{{field-off:bible}} </w:t>
        <w:br/>
        <w:t>[[@BibleTOBIBLE:Php 4:18]]</w:t>
      </w:r>
      <w:r>
        <w:rPr>
          <w:b/>
        </w:rPr>
        <w:t>18</w:t>
      </w:r>
      <w:r>
        <w:rPr/>
        <w:t xml:space="preserve"> {{field-on:bible}}Ich habe aber alles empfangen</w:t>
      </w:r>
      <w:r>
        <w:rPr>
          <w:rStyle w:val="Funotenanker"/>
        </w:rPr>
        <w:footnoteReference w:customMarkFollows="1" w:id="6448"/>
        <w:t>s</w:t>
      </w:r>
      <w:r>
        <w:rPr/>
        <w:t xml:space="preserve"> und lebe im Überfluss. Mir sind die Hände gefüllt, nachdem</w:t>
      </w:r>
      <w:r>
        <w:rPr>
          <w:rStyle w:val="Funotenanker"/>
        </w:rPr>
        <w:footnoteReference w:customMarkFollows="1" w:id="6449"/>
        <w:t>t</w:t>
      </w:r>
      <w:r>
        <w:rPr/>
        <w:t xml:space="preserve"> ich von Epaphroditus eure Gabe empfangen habe, ein wohlriechender Opferduft</w:t>
      </w:r>
      <w:r>
        <w:rPr>
          <w:rStyle w:val="Funotenanker"/>
        </w:rPr>
        <w:footnoteReference w:customMarkFollows="1" w:id="6450"/>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451"/>
        <w:t>v</w:t>
      </w:r>
      <w:r>
        <w:rPr/>
        <w:t xml:space="preserve"> in Christus Jesus. Es grüßen euch die Geschwister</w:t>
      </w:r>
      <w:r>
        <w:rPr>
          <w:rStyle w:val="Funotenanker"/>
        </w:rPr>
        <w:footnoteReference w:customMarkFollows="1" w:id="6452"/>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453"/>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454"/>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455"/>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456"/>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457"/>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458"/>
        <w:t>d</w:t>
      </w:r>
      <w:r>
        <w:rPr/>
        <w:t xml:space="preserve"> in Christus </w:t>
      </w:r>
      <w:r>
        <w:rPr>
          <w:color w:val="808080"/>
        </w:rPr>
        <w:t>(an Christus Glaubenden)</w:t>
      </w:r>
      <w:r>
        <w:rPr/>
        <w:t xml:space="preserve"> </w:t>
      </w:r>
      <w:r>
        <w:rPr>
          <w:rStyle w:val="Funotenanker"/>
        </w:rPr>
        <w:footnoteReference w:customMarkFollows="1" w:id="6459"/>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460"/>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461"/>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462"/>
        <w:t>h</w:t>
      </w:r>
      <w:r>
        <w:rPr/>
        <w:t xml:space="preserve"> gehört haben</w:t>
      </w:r>
      <w:r>
        <w:rPr>
          <w:rStyle w:val="Funotenanker"/>
        </w:rPr>
        <w:footnoteReference w:customMarkFollows="1" w:id="6463"/>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464"/>
        <w:t>j</w:t>
      </w:r>
      <w:r>
        <w:rPr/>
        <w:t xml:space="preserve"> der </w:t>
      </w:r>
      <w:r>
        <w:rPr>
          <w:color w:val="808080"/>
        </w:rPr>
        <w:t>(durch die)</w:t>
      </w:r>
      <w:r>
        <w:rPr/>
        <w:t xml:space="preserve"> Hoffnung, die im Himmel</w:t>
      </w:r>
      <w:r>
        <w:rPr>
          <w:rStyle w:val="Funotenanker"/>
        </w:rPr>
        <w:footnoteReference w:customMarkFollows="1" w:id="6465"/>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466"/>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467"/>
        <w:t>m</w:t>
      </w:r>
      <w:r>
        <w:rPr/>
        <w:t xml:space="preserve"> gehört habt,{{field-off:bible}} </w:t>
        <w:br/>
        <w:t>[[@BibleTOBIBLE:Col 1:6]]</w:t>
      </w:r>
      <w:r>
        <w:rPr>
          <w:b/>
        </w:rPr>
        <w:t>6</w:t>
      </w:r>
      <w:r>
        <w:rPr/>
        <w:t xml:space="preserve"> {{field-on:bible}}das zu euch gekommen ist,</w:t>
      </w:r>
      <w:r>
        <w:rPr>
          <w:rStyle w:val="Funotenanker"/>
        </w:rPr>
        <w:footnoteReference w:customMarkFollows="1" w:id="6468"/>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469"/>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470"/>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471"/>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472"/>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473"/>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474"/>
        <w:t>t</w:t>
      </w:r>
      <w:r>
        <w:rPr/>
        <w:t xml:space="preserve"> gelernt habt, der ein treuer Diener Christi an unserer Stelle </w:t>
      </w:r>
      <w:r>
        <w:rPr>
          <w:color w:val="808080"/>
        </w:rPr>
        <w:t>(für euch)</w:t>
      </w:r>
      <w:r>
        <w:rPr/>
        <w:t xml:space="preserve"> </w:t>
      </w:r>
      <w:r>
        <w:rPr>
          <w:rStyle w:val="Funotenanker"/>
        </w:rPr>
        <w:footnoteReference w:customMarkFollows="1" w:id="6475"/>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476"/>
        <w:t>v</w:t>
      </w:r>
      <w:r>
        <w:rPr/>
        <w:t xml:space="preserve"> deutlich gemacht </w:t>
      </w:r>
      <w:r>
        <w:rPr>
          <w:color w:val="808080"/>
        </w:rPr>
        <w:t>(aufgezeigt, offenbart)</w:t>
      </w:r>
      <w:r>
        <w:rPr/>
        <w:t xml:space="preserve"> hat.</w:t>
      </w:r>
      <w:r>
        <w:rPr>
          <w:rStyle w:val="Funotenanker"/>
        </w:rPr>
        <w:footnoteReference w:customMarkFollows="1" w:id="6477"/>
        <w:t>w</w:t>
      </w:r>
      <w:r>
        <w:rPr/>
        <w:t xml:space="preserve"> {{field-off:bible}} </w:t>
        <w:br/>
        <w:t>[[@BibleTOBIBLE:Col 1:21]]</w:t>
      </w:r>
      <w:r>
        <w:rPr>
          <w:b/>
        </w:rPr>
        <w:t>21</w:t>
      </w:r>
      <w:r>
        <w:rPr/>
        <w:t xml:space="preserve"> {{field-on:bible}} </w:t>
      </w:r>
      <w:r>
        <w:rPr>
          <w:rStyle w:val="Funotenanker"/>
        </w:rPr>
        <w:footnoteReference w:customMarkFollows="1" w:id="6478"/>
        <w:t>Status</w:t>
      </w:r>
      <w:r>
        <w:rPr/>
        <w:t xml:space="preserve"> und </w:t>
      </w:r>
      <w:r>
        <w:rPr>
          <w:b/>
          <w:color w:val="808080"/>
        </w:rPr>
        <w:t>[</w:t>
      </w:r>
      <w:r>
        <w:rPr/>
        <w:t>auch</w:t>
      </w:r>
      <w:r>
        <w:rPr>
          <w:b/>
          <w:color w:val="808080"/>
        </w:rPr>
        <w:t>]</w:t>
      </w:r>
      <w:r>
        <w:rPr/>
        <w:t xml:space="preserve"> euch:</w:t>
      </w:r>
      <w:r>
        <w:rPr>
          <w:rStyle w:val="Funotenanker"/>
        </w:rPr>
        <w:footnoteReference w:customMarkFollows="1" w:id="6479"/>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480"/>
        <w:t>y</w:t>
      </w:r>
      <w:r>
        <w:rPr/>
        <w:t xml:space="preserve"> und innerlich </w:t>
      </w:r>
      <w:r>
        <w:rPr>
          <w:color w:val="808080"/>
        </w:rPr>
        <w:t>(in eurer Gesinnung, Denkweise, Geisteshaltung)</w:t>
      </w:r>
      <w:r>
        <w:rPr/>
        <w:t xml:space="preserve"> </w:t>
      </w:r>
      <w:r>
        <w:rPr>
          <w:rStyle w:val="Funotenanker"/>
        </w:rPr>
        <w:footnoteReference w:customMarkFollows="1" w:id="6481"/>
        <w:t>z</w:t>
      </w:r>
      <w:r>
        <w:rPr/>
        <w:t xml:space="preserve"> Feinde aufgrund </w:t>
      </w:r>
      <w:r>
        <w:rPr>
          <w:color w:val="808080"/>
        </w:rPr>
        <w:t>(in)</w:t>
      </w:r>
      <w:r>
        <w:rPr/>
        <w:t xml:space="preserve"> </w:t>
      </w:r>
      <w:r>
        <w:rPr>
          <w:rStyle w:val="Funotenanker"/>
        </w:rPr>
        <w:footnoteReference w:customMarkFollows="1" w:id="6482"/>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483"/>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484"/>
        <w:t>ac</w:t>
      </w:r>
      <w:r>
        <w:rPr/>
        <w:t xml:space="preserve"> seines fleischlichen Körpers</w:t>
      </w:r>
      <w:r>
        <w:rPr>
          <w:rStyle w:val="Funotenanker"/>
        </w:rPr>
        <w:footnoteReference w:customMarkFollows="1" w:id="6485"/>
        <w:t>ad</w:t>
      </w:r>
      <w:r>
        <w:rPr/>
        <w:t xml:space="preserve"> durch den Tod versöhnt</w:t>
      </w:r>
      <w:r>
        <w:rPr>
          <w:rStyle w:val="Funotenanker"/>
        </w:rPr>
        <w:footnoteReference w:customMarkFollows="1" w:id="6486"/>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487"/>
        <w:t>af</w:t>
      </w:r>
      <w:r>
        <w:rPr/>
        <w:t xml:space="preserve"> zu präsentieren </w:t>
      </w:r>
      <w:r>
        <w:rPr>
          <w:color w:val="808080"/>
        </w:rPr>
        <w:t>(zu machen, vor sich hinzustellen)</w:t>
      </w:r>
      <w:r>
        <w:rPr/>
        <w:t xml:space="preserve"> </w:t>
      </w:r>
      <w:r>
        <w:rPr>
          <w:rStyle w:val="Funotenanker"/>
        </w:rPr>
        <w:footnoteReference w:customMarkFollows="1" w:id="6488"/>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489"/>
        <w:t>ah</w:t>
      </w:r>
      <w:r>
        <w:rPr/>
        <w:t xml:space="preserve"> und sicher, und nicht von der Hoffnung des Evangeliums abgebracht werdet,</w:t>
      </w:r>
      <w:r>
        <w:rPr>
          <w:rStyle w:val="Funotenanker"/>
        </w:rPr>
        <w:footnoteReference w:customMarkFollows="1" w:id="6490"/>
        <w:t>ai</w:t>
      </w:r>
      <w:r>
        <w:rPr/>
        <w:t xml:space="preserve"> das ihr gehört habt, </w:t>
      </w:r>
      <w:r>
        <w:rPr>
          <w:b/>
          <w:color w:val="808080"/>
        </w:rPr>
        <w:t>[</w:t>
      </w:r>
      <w:r>
        <w:rPr/>
        <w:t>des Evangeliums</w:t>
      </w:r>
      <w:r>
        <w:rPr>
          <w:b/>
          <w:color w:val="808080"/>
        </w:rPr>
        <w:t>]</w:t>
      </w:r>
      <w:r>
        <w:rPr/>
        <w:t>,</w:t>
      </w:r>
      <w:r>
        <w:rPr>
          <w:rStyle w:val="Funotenanker"/>
        </w:rPr>
        <w:footnoteReference w:customMarkFollows="1" w:id="6491"/>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492"/>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493"/>
        <w:t>Status</w:t>
      </w:r>
      <w:r>
        <w:rPr/>
        <w:t xml:space="preserve"> </w:t>
      </w:r>
      <w:r>
        <w:rPr>
          <w:rStyle w:val="Funotenanker"/>
        </w:rPr>
        <w:footnoteReference w:customMarkFollows="1" w:id="6494"/>
        <w:t>al</w:t>
      </w:r>
      <w:r>
        <w:rPr/>
        <w:t xml:space="preserve"> Jetzt freue ich mich</w:t>
      </w:r>
      <w:r>
        <w:rPr>
          <w:rStyle w:val="Funotenanker"/>
        </w:rPr>
        <w:footnoteReference w:customMarkFollows="1" w:id="6495"/>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496"/>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497"/>
        <w:t>ao</w:t>
      </w:r>
      <w:r>
        <w:rPr/>
        <w:t xml:space="preserve"> Gottes, den er mir gegeben hat, bei euch das Wort Gottes zur Fülle zu bringen</w:t>
      </w:r>
      <w:r>
        <w:rPr>
          <w:rStyle w:val="Funotenanker"/>
        </w:rPr>
        <w:footnoteReference w:customMarkFollows="1" w:id="6498"/>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499"/>
        <w:t>aq</w:t>
      </w:r>
      <w:r>
        <w:rPr/>
        <w:t xml:space="preserve"> seit Ewigkeiten und Generationen – jetzt aber wurde es seinen Heiligen offenbart,</w:t>
      </w:r>
      <w:r>
        <w:rPr>
          <w:rStyle w:val="Funotenanker"/>
        </w:rPr>
        <w:footnoteReference w:customMarkFollows="1" w:id="6500"/>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501"/>
        <w:t>as</w:t>
      </w:r>
      <w:r>
        <w:rPr/>
        <w:t xml:space="preserve"> dieses Geheimnisses bei den Völkern ist, das ist Christus in </w:t>
      </w:r>
      <w:r>
        <w:rPr>
          <w:color w:val="808080"/>
        </w:rPr>
        <w:t>(bei, unter)</w:t>
      </w:r>
      <w:r>
        <w:rPr/>
        <w:t xml:space="preserve"> </w:t>
      </w:r>
      <w:r>
        <w:rPr>
          <w:rStyle w:val="Funotenanker"/>
        </w:rPr>
        <w:footnoteReference w:customMarkFollows="1" w:id="6502"/>
        <w:t>at</w:t>
      </w:r>
      <w:r>
        <w:rPr/>
        <w:t xml:space="preserve"> euch, die Hoffnung</w:t>
      </w:r>
      <w:r>
        <w:rPr>
          <w:rStyle w:val="Funotenanker"/>
        </w:rPr>
        <w:footnoteReference w:customMarkFollows="1" w:id="6503"/>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504"/>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505"/>
        <w:t>aw</w:t>
      </w:r>
      <w:r>
        <w:rPr/>
        <w:t xml:space="preserve"> mich abkämpfe</w:t>
      </w:r>
      <w:r>
        <w:rPr>
          <w:rStyle w:val="Funotenanker"/>
        </w:rPr>
        <w:footnoteReference w:customMarkFollows="1" w:id="6506"/>
        <w:t>ax</w:t>
      </w:r>
      <w:r>
        <w:rPr/>
        <w:t>, getragen von</w:t>
      </w:r>
      <w:r>
        <w:rPr>
          <w:rStyle w:val="Funotenanker"/>
        </w:rPr>
        <w:footnoteReference w:customMarkFollows="1" w:id="6507"/>
        <w:t>ay</w:t>
      </w:r>
      <w:r>
        <w:rPr/>
        <w:t xml:space="preserve"> seiner</w:t>
      </w:r>
      <w:r>
        <w:rPr>
          <w:rStyle w:val="Funotenanker"/>
        </w:rPr>
        <w:footnoteReference w:customMarkFollows="1" w:id="6508"/>
        <w:t>az</w:t>
      </w:r>
      <w:r>
        <w:rPr/>
        <w:t xml:space="preserve"> Wirksamkeit, die in mir wirksam ist in Kraft </w:t>
      </w:r>
      <w:r>
        <w:rPr>
          <w:color w:val="808080"/>
        </w:rPr>
        <w:t>(kräftig wirksam ist)</w:t>
      </w:r>
      <w:r>
        <w:rPr/>
        <w:t xml:space="preserve">.{{field-off:bible}} </w:t>
      </w:r>
    </w:p>
    <w:p>
      <w:pPr>
        <w:pStyle w:val="Berschrift3"/>
        <w:rPr/>
      </w:pPr>
      <w:r>
        <w:rPr/>
        <w:t>[[@BibleTOBIBLE:Col 2]]Kapitel 2</w:t>
      </w:r>
    </w:p>
    <w:p>
      <w:pPr>
        <w:pStyle w:val="Textkrper"/>
        <w:rPr/>
      </w:pPr>
      <w:r>
        <w:rPr/>
        <w:br/>
        <w:t>[[@BibleTOBIBLE:Col 2:1]]</w:t>
      </w:r>
      <w:r>
        <w:rPr>
          <w:b/>
        </w:rPr>
        <w:t>1</w:t>
      </w:r>
      <w:r>
        <w:rPr/>
        <w:t xml:space="preserve"> {{field-on:bible}} </w:t>
      </w:r>
      <w:r>
        <w:rPr>
          <w:rStyle w:val="Funotenanker"/>
        </w:rPr>
        <w:footnoteReference w:customMarkFollows="1" w:id="6509"/>
        <w:t>Status</w:t>
      </w:r>
      <w:r>
        <w:rPr/>
        <w:t xml:space="preserve"> Ich will </w:t>
      </w:r>
      <w:r>
        <w:rPr>
          <w:strike/>
          <w:color w:val="808080"/>
        </w:rPr>
        <w:t>{nämlich}</w:t>
      </w:r>
      <w:r>
        <w:rPr/>
        <w:t xml:space="preserve">, dass ihr wisst, welchen Kampf ich für euch und die </w:t>
      </w:r>
      <w:r>
        <w:rPr>
          <w:b/>
          <w:color w:val="808080"/>
        </w:rPr>
        <w:t>[</w:t>
      </w:r>
      <w:r>
        <w:rPr/>
        <w:t>Geschwister</w:t>
      </w:r>
      <w:r>
        <w:rPr>
          <w:b/>
          <w:color w:val="808080"/>
        </w:rPr>
        <w:t>]</w:t>
      </w:r>
      <w:r>
        <w:rPr/>
        <w:t xml:space="preserve"> in Laodizea </w:t>
      </w:r>
      <w:r>
        <w:rPr>
          <w:b/>
          <w:color w:val="808080"/>
        </w:rPr>
        <w:t>[</w:t>
      </w:r>
      <w:r>
        <w:rPr/>
        <w:t>zu bestehen, auszufechten</w:t>
      </w:r>
      <w:r>
        <w:rPr>
          <w:b/>
          <w:color w:val="808080"/>
        </w:rPr>
        <w:t>]</w:t>
      </w:r>
      <w:r>
        <w:rPr/>
        <w:t xml:space="preserve"> habe und </w:t>
      </w:r>
      <w:r>
        <w:rPr>
          <w:b/>
          <w:color w:val="808080"/>
        </w:rPr>
        <w:t>[</w:t>
      </w:r>
      <w:r>
        <w:rPr/>
        <w:t>für</w:t>
      </w:r>
      <w:r>
        <w:rPr>
          <w:b/>
          <w:color w:val="808080"/>
        </w:rPr>
        <w:t>]</w:t>
      </w:r>
      <w:r>
        <w:rPr/>
        <w:t xml:space="preserve"> alle, die mein Angesicht nicht leiblich gesehen haben </w:t>
      </w:r>
      <w:r>
        <w:rPr>
          <w:color w:val="808080"/>
        </w:rPr>
        <w:t>(= die mich nicht persönlich kennen)</w:t>
      </w:r>
      <w:r>
        <w:rPr/>
        <w:t xml:space="preserve">,{{field-off:bible}} </w:t>
        <w:br/>
        <w:t>[[@BibleTOBIBLE:Col 2:2]]</w:t>
      </w:r>
      <w:r>
        <w:rPr>
          <w:b/>
        </w:rPr>
        <w:t>2</w:t>
      </w:r>
      <w:r>
        <w:rPr/>
        <w:t xml:space="preserve"> {{field-on:bible}}damit ihre Herzen getröstet werden und sie zusammengehalten werden</w:t>
      </w:r>
      <w:r>
        <w:rPr>
          <w:rStyle w:val="Funotenanker"/>
        </w:rPr>
        <w:footnoteReference w:customMarkFollows="1" w:id="6510"/>
        <w:t>a</w:t>
      </w:r>
      <w:r>
        <w:rPr/>
        <w:t xml:space="preserve"> in Liebe und zur ganzen Fülle </w:t>
      </w:r>
      <w:r>
        <w:rPr>
          <w:color w:val="808080"/>
        </w:rPr>
        <w:t>(Reichtum)</w:t>
      </w:r>
      <w:r>
        <w:rPr/>
        <w:t xml:space="preserve"> der Gewissheit, </w:t>
      </w:r>
      <w:r>
        <w:rPr>
          <w:b/>
          <w:color w:val="808080"/>
        </w:rPr>
        <w:t>[</w:t>
      </w:r>
      <w:r>
        <w:rPr/>
        <w:t>wie sie</w:t>
      </w:r>
      <w:r>
        <w:rPr>
          <w:b/>
          <w:color w:val="808080"/>
        </w:rPr>
        <w:t>]</w:t>
      </w:r>
      <w:r>
        <w:rPr/>
        <w:t xml:space="preserve"> die Einsicht </w:t>
      </w:r>
      <w:r>
        <w:rPr>
          <w:color w:val="808080"/>
        </w:rPr>
        <w:t>(das Verständnis)</w:t>
      </w:r>
      <w:r>
        <w:rPr/>
        <w:t xml:space="preserve"> </w:t>
      </w:r>
      <w:r>
        <w:rPr>
          <w:b/>
          <w:color w:val="808080"/>
        </w:rPr>
        <w:t>[</w:t>
      </w:r>
      <w:r>
        <w:rPr/>
        <w:t>verleiht</w:t>
      </w:r>
      <w:r>
        <w:rPr>
          <w:b/>
          <w:color w:val="808080"/>
        </w:rPr>
        <w:t>]</w:t>
      </w:r>
      <w:r>
        <w:rPr/>
        <w:t xml:space="preserve"> </w:t>
      </w:r>
      <w:r>
        <w:rPr>
          <w:rStyle w:val="Funotenanker"/>
        </w:rPr>
        <w:footnoteReference w:customMarkFollows="1" w:id="6511"/>
        <w:t>b</w:t>
      </w:r>
      <w:r>
        <w:rPr/>
        <w:t xml:space="preserve">, zur Erkenntnis des Geheimnisses Gottes: Christus.{{field-off:bible}} </w:t>
        <w:br/>
        <w:t>[[@BibleTOBIBLE:Col 2:3]]</w:t>
      </w:r>
      <w:r>
        <w:rPr>
          <w:b/>
        </w:rPr>
        <w:t>3</w:t>
      </w:r>
      <w:r>
        <w:rPr/>
        <w:t xml:space="preserve"> {{field-on:bible}}In ihm sind alle Schätze der Weisheit und Erkenntnis verborgen.{{field-off:bible}} </w:t>
        <w:br/>
        <w:t>[[@BibleTOBIBLE:Col 2:4]]</w:t>
      </w:r>
      <w:r>
        <w:rPr>
          <w:b/>
        </w:rPr>
        <w:t>4</w:t>
      </w:r>
      <w:r>
        <w:rPr/>
        <w:t xml:space="preserve"> {{field-on:bible}}Dies sage ich, damit keiner von euch betrogen wird durch Vorspiegelung falscher Tatsachen </w:t>
      </w:r>
      <w:r>
        <w:rPr>
          <w:color w:val="808080"/>
        </w:rPr>
        <w:t>(Überredungskunst)</w:t>
      </w:r>
      <w:r>
        <w:rPr/>
        <w:t xml:space="preserve">.{{field-off:bible}} </w:t>
        <w:br/>
        <w:t>[[@BibleTOBIBLE:Col 2:5]]</w:t>
      </w:r>
      <w:r>
        <w:rPr>
          <w:b/>
        </w:rPr>
        <w:t>5</w:t>
      </w:r>
      <w:r>
        <w:rPr/>
        <w:t xml:space="preserve"> {{field-on:bible}}Denn wenn ich auch körperlich abwesend bin, bin ich doch im Geiste bei euch. Ich freue mich</w:t>
      </w:r>
      <w:r>
        <w:rPr>
          <w:rStyle w:val="Funotenanker"/>
        </w:rPr>
        <w:footnoteReference w:customMarkFollows="1" w:id="6512"/>
        <w:t>c</w:t>
      </w:r>
      <w:r>
        <w:rPr/>
        <w:t xml:space="preserve"> und achte auf</w:t>
      </w:r>
      <w:r>
        <w:rPr>
          <w:rStyle w:val="Funotenanker"/>
        </w:rPr>
        <w:footnoteReference w:customMarkFollows="1" w:id="6513"/>
        <w:t>d</w:t>
      </w:r>
      <w:r>
        <w:rPr/>
        <w:t xml:space="preserve"> </w:t>
      </w:r>
      <w:r>
        <w:rPr>
          <w:color w:val="808080"/>
        </w:rPr>
        <w:t>(sehe)</w:t>
      </w:r>
      <w:r>
        <w:rPr/>
        <w:t xml:space="preserve"> </w:t>
      </w:r>
      <w:r>
        <w:rPr>
          <w:rStyle w:val="Funotenanker"/>
        </w:rPr>
        <w:footnoteReference w:customMarkFollows="1" w:id="6514"/>
        <w:t>e</w:t>
      </w:r>
      <w:r>
        <w:rPr/>
        <w:t xml:space="preserve"> den Zustand </w:t>
      </w:r>
      <w:r>
        <w:rPr>
          <w:color w:val="808080"/>
        </w:rPr>
        <w:t>(die Beschaffenheit)</w:t>
      </w:r>
      <w:r>
        <w:rPr/>
        <w:t xml:space="preserve"> und die Stärke eures Glaubens an Christus.{{field-off:bible}} </w:t>
        <w:br/>
        <w:t>[[@BibleTOBIBLE:Col 2:6]]</w:t>
      </w:r>
      <w:r>
        <w:rPr>
          <w:b/>
        </w:rPr>
        <w:t>6</w:t>
      </w:r>
      <w:r>
        <w:rPr/>
        <w:t xml:space="preserve"> {{field-on:bible}}Da ihr nun Christus Jesus, den Herrn, angenommen </w:t>
      </w:r>
      <w:r>
        <w:rPr>
          <w:color w:val="808080"/>
        </w:rPr>
        <w:t>(empfangen)</w:t>
      </w:r>
      <w:r>
        <w:rPr/>
        <w:t xml:space="preserve"> habt, lebt </w:t>
      </w:r>
      <w:r>
        <w:rPr>
          <w:color w:val="808080"/>
        </w:rPr>
        <w:t>(gestaltet eurer Leben, wandelt)</w:t>
      </w:r>
      <w:r>
        <w:rPr/>
        <w:t xml:space="preserve"> in ihm,{{field-off:bible}} </w:t>
        <w:br/>
        <w:t>[[@BibleTOBIBLE:Col 2:7]]</w:t>
      </w:r>
      <w:r>
        <w:rPr>
          <w:b/>
        </w:rPr>
        <w:t>7</w:t>
      </w:r>
      <w:r>
        <w:rPr/>
        <w:t xml:space="preserve"> {{field-on:bible}}indem</w:t>
      </w:r>
      <w:r>
        <w:rPr>
          <w:rStyle w:val="Funotenanker"/>
        </w:rPr>
        <w:footnoteReference w:customMarkFollows="1" w:id="6515"/>
        <w:t>f</w:t>
      </w:r>
      <w:r>
        <w:rPr/>
        <w:t xml:space="preserve"> ihr fest wurzelt in und aufbaut auf ihm und befestigt </w:t>
      </w:r>
      <w:r>
        <w:rPr>
          <w:color w:val="808080"/>
        </w:rPr>
        <w:t>(bestärkt)</w:t>
      </w:r>
      <w:r>
        <w:rPr/>
        <w:t xml:space="preserve"> seid im Glauben, wie ihr gelehrt wurdet, und</w:t>
      </w:r>
      <w:r>
        <w:rPr>
          <w:rStyle w:val="Funotenanker"/>
        </w:rPr>
        <w:footnoteReference w:customMarkFollows="1" w:id="6516"/>
        <w:t>g</w:t>
      </w:r>
      <w:r>
        <w:rPr/>
        <w:t xml:space="preserve"> euch durch Dankbarkeit hervortut</w:t>
      </w:r>
      <w:r>
        <w:rPr>
          <w:rStyle w:val="Funotenanker"/>
        </w:rPr>
        <w:footnoteReference w:customMarkFollows="1" w:id="6517"/>
        <w:t>h</w:t>
      </w:r>
      <w:r>
        <w:rPr/>
        <w:t xml:space="preserve">.{{field-off:bible}} </w:t>
        <w:br/>
        <w:t>[[@BibleTOBIBLE:Col 2:8]]</w:t>
      </w:r>
      <w:r>
        <w:rPr>
          <w:b/>
        </w:rPr>
        <w:t>8</w:t>
      </w:r>
      <w:r>
        <w:rPr/>
        <w:t xml:space="preserve"> {{field-on:bible}}Achtet darauf </w:t>
      </w:r>
      <w:r>
        <w:rPr>
          <w:color w:val="808080"/>
        </w:rPr>
        <w:t>(seht zu, passt auf)</w:t>
      </w:r>
      <w:r>
        <w:rPr/>
        <w:t xml:space="preserve">, dass keiner euch zur Beute macht </w:t>
      </w:r>
      <w:r>
        <w:rPr>
          <w:color w:val="808080"/>
        </w:rPr>
        <w:t>(raubt)</w:t>
      </w:r>
      <w:r>
        <w:rPr/>
        <w:t xml:space="preserve"> durch die Philosophie und </w:t>
      </w:r>
      <w:r>
        <w:rPr>
          <w:color w:val="808080"/>
        </w:rPr>
        <w:t>(inhalts)</w:t>
      </w:r>
      <w:r>
        <w:rPr/>
        <w:t xml:space="preserve">leeren </w:t>
      </w:r>
      <w:r>
        <w:rPr>
          <w:color w:val="808080"/>
        </w:rPr>
        <w:t>(bedeutungslosen)</w:t>
      </w:r>
      <w:r>
        <w:rPr/>
        <w:t xml:space="preserve"> </w:t>
      </w:r>
      <w:r>
        <w:rPr>
          <w:color w:val="808080"/>
        </w:rPr>
        <w:t>(Be)</w:t>
      </w:r>
      <w:r>
        <w:rPr/>
        <w:t xml:space="preserve">Trug </w:t>
      </w:r>
      <w:r>
        <w:rPr>
          <w:color w:val="808080"/>
        </w:rPr>
        <w:t>(Täuschung, Verführung)</w:t>
      </w:r>
      <w:r>
        <w:rPr/>
        <w:t xml:space="preserve"> gemäß</w:t>
      </w:r>
      <w:r>
        <w:rPr>
          <w:rStyle w:val="Funotenanker"/>
        </w:rPr>
        <w:footnoteReference w:customMarkFollows="1" w:id="6518"/>
        <w:t>i</w:t>
      </w:r>
      <w:r>
        <w:rPr/>
        <w:t xml:space="preserve"> den Lehren der Menschen </w:t>
      </w:r>
      <w:r>
        <w:rPr>
          <w:color w:val="808080"/>
        </w:rPr>
        <w:t>(Menschensatzungen)</w:t>
      </w:r>
      <w:r>
        <w:rPr/>
        <w:t xml:space="preserve">, gemäß den Elementen der Welt </w:t>
      </w:r>
      <w:r>
        <w:rPr>
          <w:color w:val="808080"/>
        </w:rPr>
        <w:t>(Weltelemente)</w:t>
      </w:r>
      <w:r>
        <w:rPr/>
        <w:t xml:space="preserve"> </w:t>
      </w:r>
      <w:r>
        <w:rPr>
          <w:rStyle w:val="Funotenanker"/>
        </w:rPr>
        <w:footnoteReference w:customMarkFollows="1" w:id="6519"/>
        <w:t>j</w:t>
      </w:r>
      <w:r>
        <w:rPr/>
        <w:t xml:space="preserve"> und nicht gemäß Christus.{{field-off:bible}} </w:t>
        <w:br/>
        <w:t>[[@BibleTOBIBLE:Col 2:9]]</w:t>
      </w:r>
      <w:r>
        <w:rPr>
          <w:b/>
        </w:rPr>
        <w:t>9</w:t>
      </w:r>
      <w:r>
        <w:rPr/>
        <w:t xml:space="preserve"> {{field-on:bible}}Denn in ihm wohnt die ganze Fülle der Gottheit leibhaftig,{{field-off:bible}} </w:t>
        <w:br/>
        <w:t>[[@BibleTOBIBLE:Col 2:10]]</w:t>
      </w:r>
      <w:r>
        <w:rPr>
          <w:b/>
        </w:rPr>
        <w:t>10</w:t>
      </w:r>
      <w:r>
        <w:rPr/>
        <w:t xml:space="preserve"> {{field-on:bible}}und ihr seid in ihm </w:t>
      </w:r>
      <w:r>
        <w:rPr>
          <w:color w:val="808080"/>
        </w:rPr>
        <w:t>(durch ihn)</w:t>
      </w:r>
      <w:r>
        <w:rPr/>
        <w:t xml:space="preserve"> Erfüllte</w:t>
      </w:r>
      <w:r>
        <w:rPr>
          <w:rStyle w:val="Funotenanker"/>
        </w:rPr>
        <w:footnoteReference w:customMarkFollows="1" w:id="6520"/>
        <w:t>k</w:t>
      </w:r>
      <w:r>
        <w:rPr/>
        <w:t xml:space="preserve">, der das </w:t>
      </w:r>
      <w:r>
        <w:rPr>
          <w:color w:val="808080"/>
        </w:rPr>
        <w:t>(Ober)</w:t>
      </w:r>
      <w:r>
        <w:rPr/>
        <w:t xml:space="preserve">Haupt jeder </w:t>
      </w:r>
      <w:r>
        <w:rPr>
          <w:b/>
          <w:color w:val="808080"/>
        </w:rPr>
        <w:t>[</w:t>
      </w:r>
      <w:r>
        <w:rPr/>
        <w:t>himmlischen</w:t>
      </w:r>
      <w:r>
        <w:rPr>
          <w:b/>
          <w:color w:val="808080"/>
        </w:rPr>
        <w:t>]</w:t>
      </w:r>
      <w:r>
        <w:rPr/>
        <w:t xml:space="preserve"> Obrigkeit und Macht</w:t>
      </w:r>
      <w:r>
        <w:rPr>
          <w:rStyle w:val="Funotenanker"/>
        </w:rPr>
        <w:footnoteReference w:customMarkFollows="1" w:id="6521"/>
        <w:t>l</w:t>
      </w:r>
      <w:r>
        <w:rPr/>
        <w:t xml:space="preserve"> ist.{{field-off:bible}} </w:t>
        <w:br/>
        <w:t>[[@BibleTOBIBLE:Col 2:11]]</w:t>
      </w:r>
      <w:r>
        <w:rPr>
          <w:b/>
        </w:rPr>
        <w:t>11</w:t>
      </w:r>
      <w:r>
        <w:rPr/>
        <w:t xml:space="preserve"> {{field-on:bible}}In ihm wurdet ihr auch beschnitten mit einer nicht mit Händen gemachten </w:t>
      </w:r>
      <w:r>
        <w:rPr>
          <w:color w:val="808080"/>
        </w:rPr>
        <w:t>(= geistlichen)</w:t>
      </w:r>
      <w:r>
        <w:rPr/>
        <w:t xml:space="preserve"> </w:t>
      </w:r>
      <w:r>
        <w:rPr>
          <w:rStyle w:val="Funotenanker"/>
        </w:rPr>
        <w:footnoteReference w:customMarkFollows="1" w:id="6522"/>
        <w:t>m</w:t>
      </w:r>
      <w:r>
        <w:rPr/>
        <w:t xml:space="preserve"> Beschneidung durch das Ablegen des fleischlichen </w:t>
      </w:r>
      <w:r>
        <w:rPr>
          <w:color w:val="808080"/>
        </w:rPr>
        <w:t>(= todverfallenen, irdischen)</w:t>
      </w:r>
      <w:r>
        <w:rPr/>
        <w:t xml:space="preserve"> Leibes, durch die Beschneidung Christi</w:t>
      </w:r>
      <w:r>
        <w:rPr>
          <w:rStyle w:val="Funotenanker"/>
        </w:rPr>
        <w:footnoteReference w:customMarkFollows="1" w:id="6523"/>
        <w:t>n</w:t>
      </w:r>
      <w:r>
        <w:rPr/>
        <w:t xml:space="preserve">.{{field-off:bible}} </w:t>
        <w:br/>
        <w:t>[[@BibleTOBIBLE:Col 2:12]]</w:t>
      </w:r>
      <w:r>
        <w:rPr>
          <w:b/>
        </w:rPr>
        <w:t>12</w:t>
      </w:r>
      <w:r>
        <w:rPr/>
        <w:t xml:space="preserve"> {{field-on:bible}}Ihr seid mit ihm zusammen begraben</w:t>
      </w:r>
      <w:r>
        <w:rPr>
          <w:rStyle w:val="Funotenanker"/>
        </w:rPr>
        <w:footnoteReference w:customMarkFollows="1" w:id="6524"/>
        <w:t>o</w:t>
      </w:r>
      <w:r>
        <w:rPr/>
        <w:t xml:space="preserve"> in der Taufe, in der ihr auch mit</w:t>
      </w:r>
      <w:r>
        <w:rPr>
          <w:color w:val="808080"/>
        </w:rPr>
        <w:t>(auf)</w:t>
      </w:r>
      <w:r>
        <w:rPr/>
        <w:t xml:space="preserve">erstanden seid durch den Glauben an die wirkende Kraft </w:t>
      </w:r>
      <w:r>
        <w:rPr>
          <w:color w:val="808080"/>
        </w:rPr>
        <w:t>(das Eingreifen)</w:t>
      </w:r>
      <w:r>
        <w:rPr/>
        <w:t xml:space="preserve"> Gottes</w:t>
      </w:r>
      <w:r>
        <w:rPr>
          <w:rStyle w:val="Funotenanker"/>
        </w:rPr>
        <w:footnoteReference w:customMarkFollows="1" w:id="6525"/>
        <w:t>p</w:t>
      </w:r>
      <w:r>
        <w:rPr/>
        <w:t xml:space="preserve">, der ihn von den Toten auferweckte.{{field-off:bible}} </w:t>
        <w:br/>
        <w:t>[[@BibleTOBIBLE:Col 2:13]]</w:t>
      </w:r>
      <w:r>
        <w:rPr>
          <w:b/>
        </w:rPr>
        <w:t>13</w:t>
      </w:r>
      <w:r>
        <w:rPr/>
        <w:t xml:space="preserve"> {{field-on:bible}}Auch euch, obwohl ihr tot wart</w:t>
      </w:r>
      <w:r>
        <w:rPr>
          <w:rStyle w:val="Funotenanker"/>
        </w:rPr>
        <w:footnoteReference w:customMarkFollows="1" w:id="6526"/>
        <w:t>q</w:t>
      </w:r>
      <w:r>
        <w:rPr/>
        <w:t xml:space="preserve"> durch</w:t>
      </w:r>
      <w:r>
        <w:rPr>
          <w:rStyle w:val="Funotenanker"/>
        </w:rPr>
        <w:footnoteReference w:customMarkFollows="1" w:id="6527"/>
        <w:t>r</w:t>
      </w:r>
      <w:r>
        <w:rPr/>
        <w:t xml:space="preserve"> die Übertretungen und die Unbeschnittenheit eures Leibes </w:t>
      </w:r>
      <w:r>
        <w:rPr>
          <w:color w:val="808080"/>
        </w:rPr>
        <w:t>(Fleisches)</w:t>
      </w:r>
      <w:r>
        <w:rPr/>
        <w:t>, hat er</w:t>
      </w:r>
      <w:r>
        <w:rPr>
          <w:rStyle w:val="Funotenanker"/>
        </w:rPr>
        <w:footnoteReference w:customMarkFollows="1" w:id="6528"/>
        <w:t>s</w:t>
      </w:r>
      <w:r>
        <w:rPr/>
        <w:t xml:space="preserve"> mit ihm</w:t>
      </w:r>
      <w:r>
        <w:rPr>
          <w:rStyle w:val="Funotenanker"/>
        </w:rPr>
        <w:footnoteReference w:customMarkFollows="1" w:id="6529"/>
        <w:t>t</w:t>
      </w:r>
      <w:r>
        <w:rPr/>
        <w:t xml:space="preserve"> zum Leben erweckt </w:t>
      </w:r>
      <w:r>
        <w:rPr>
          <w:color w:val="808080"/>
        </w:rPr>
        <w:t>(zusammen lebendig gemacht)</w:t>
      </w:r>
      <w:r>
        <w:rPr/>
        <w:t xml:space="preserve"> und </w:t>
      </w:r>
      <w:r>
        <w:rPr>
          <w:rStyle w:val="Funotenanker"/>
        </w:rPr>
        <w:footnoteReference w:customMarkFollows="1" w:id="6530"/>
        <w:t>u</w:t>
      </w:r>
      <w:r>
        <w:rPr/>
        <w:t xml:space="preserve"> uns alle Übertretungen verziehen </w:t>
      </w:r>
      <w:r>
        <w:rPr>
          <w:color w:val="808080"/>
        </w:rPr>
        <w:t>(vergeben)</w:t>
      </w:r>
      <w:r>
        <w:rPr/>
        <w:t xml:space="preserve">.{{field-off:bible}} </w:t>
        <w:br/>
        <w:t>[[@BibleTOBIBLE:Col 2:14]]</w:t>
      </w:r>
      <w:r>
        <w:rPr>
          <w:b/>
        </w:rPr>
        <w:t>14</w:t>
      </w:r>
      <w:r>
        <w:rPr/>
        <w:t xml:space="preserve"> {{field-on:bible}}Er hat den gegen uns </w:t>
      </w:r>
      <w:r>
        <w:rPr>
          <w:b/>
          <w:color w:val="808080"/>
        </w:rPr>
        <w:t>[</w:t>
      </w:r>
      <w:r>
        <w:rPr/>
        <w:t>gerichteten</w:t>
      </w:r>
      <w:r>
        <w:rPr>
          <w:b/>
          <w:color w:val="808080"/>
        </w:rPr>
        <w:t>]</w:t>
      </w:r>
      <w:r>
        <w:rPr/>
        <w:t xml:space="preserve"> Schuldschein</w:t>
      </w:r>
      <w:r>
        <w:rPr>
          <w:rStyle w:val="Funotenanker"/>
        </w:rPr>
        <w:footnoteReference w:customMarkFollows="1" w:id="6531"/>
        <w:t>v</w:t>
      </w:r>
      <w:r>
        <w:rPr/>
        <w:t xml:space="preserve"> mit seinen Forderungen </w:t>
      </w:r>
      <w:r>
        <w:rPr>
          <w:color w:val="808080"/>
        </w:rPr>
        <w:t>(Vorschriften)</w:t>
      </w:r>
      <w:r>
        <w:rPr/>
        <w:t xml:space="preserve"> </w:t>
      </w:r>
      <w:r>
        <w:rPr>
          <w:rStyle w:val="Funotenanker"/>
        </w:rPr>
        <w:footnoteReference w:customMarkFollows="1" w:id="6532"/>
        <w:t>w</w:t>
      </w:r>
      <w:r>
        <w:rPr/>
        <w:t xml:space="preserve">, der uns feindlich </w:t>
      </w:r>
      <w:r>
        <w:rPr>
          <w:color w:val="808080"/>
        </w:rPr>
        <w:t>(widersprechend, zuwider)</w:t>
      </w:r>
      <w:r>
        <w:rPr/>
        <w:t xml:space="preserve"> war, ausgestrichen </w:t>
      </w:r>
      <w:r>
        <w:rPr>
          <w:color w:val="808080"/>
        </w:rPr>
        <w:t>(beseitigt)</w:t>
      </w:r>
      <w:r>
        <w:rPr/>
        <w:t xml:space="preserve"> </w:t>
      </w:r>
      <w:r>
        <w:rPr>
          <w:rStyle w:val="Funotenanker"/>
        </w:rPr>
        <w:footnoteReference w:customMarkFollows="1" w:id="6533"/>
        <w:t>x</w:t>
      </w:r>
      <w:r>
        <w:rPr/>
        <w:t xml:space="preserve"> und ihn vernichtet, indem</w:t>
      </w:r>
      <w:r>
        <w:rPr>
          <w:rStyle w:val="Funotenanker"/>
        </w:rPr>
        <w:footnoteReference w:customMarkFollows="1" w:id="6534"/>
        <w:t>y</w:t>
      </w:r>
      <w:r>
        <w:rPr/>
        <w:t xml:space="preserve"> er ihn ans Kreuz nagelte.</w:t>
      </w:r>
      <w:r>
        <w:rPr>
          <w:rStyle w:val="Funotenanker"/>
        </w:rPr>
        <w:footnoteReference w:customMarkFollows="1" w:id="6535"/>
        <w:t>z</w:t>
      </w:r>
      <w:r>
        <w:rPr/>
        <w:t xml:space="preserve"> {{field-off:bible}} </w:t>
        <w:br/>
        <w:t>[[@BibleTOBIBLE:Col 2:15]]</w:t>
      </w:r>
      <w:r>
        <w:rPr>
          <w:b/>
        </w:rPr>
        <w:t>15</w:t>
      </w:r>
      <w:r>
        <w:rPr/>
        <w:t xml:space="preserve"> {{field-on:bible}}Er entwaffnete die </w:t>
      </w:r>
      <w:r>
        <w:rPr>
          <w:b/>
          <w:color w:val="808080"/>
        </w:rPr>
        <w:t>[</w:t>
      </w:r>
      <w:r>
        <w:rPr/>
        <w:t>himmlischen</w:t>
      </w:r>
      <w:r>
        <w:rPr>
          <w:b/>
          <w:color w:val="808080"/>
        </w:rPr>
        <w:t>]</w:t>
      </w:r>
      <w:r>
        <w:rPr/>
        <w:t xml:space="preserve"> Obrigkeiten und Mächte und stellte sie öffentlich bloß </w:t>
      </w:r>
      <w:r>
        <w:rPr>
          <w:color w:val="808080"/>
        </w:rPr>
        <w:t>(machte sie öffentlich zum Gespött)</w:t>
      </w:r>
      <w:r>
        <w:rPr/>
        <w:t xml:space="preserve">, indem er </w:t>
      </w:r>
      <w:r>
        <w:rPr>
          <w:rStyle w:val="Funotenanker"/>
        </w:rPr>
        <w:footnoteReference w:customMarkFollows="1" w:id="6536"/>
        <w:t>aa</w:t>
      </w:r>
      <w:r>
        <w:rPr/>
        <w:t xml:space="preserve"> sie in ihm im Triumph einherführte</w:t>
      </w:r>
      <w:r>
        <w:rPr>
          <w:rStyle w:val="Funotenanker"/>
        </w:rPr>
        <w:footnoteReference w:customMarkFollows="1" w:id="6537"/>
        <w:t>ab</w:t>
      </w:r>
      <w:r>
        <w:rPr/>
        <w:t xml:space="preserve">.{{field-off:bible}} </w:t>
        <w:br/>
        <w:t>[[@BibleTOBIBLE:Col 2:16]]</w:t>
      </w:r>
      <w:r>
        <w:rPr>
          <w:b/>
        </w:rPr>
        <w:t>16</w:t>
      </w:r>
      <w:r>
        <w:rPr/>
        <w:t xml:space="preserve"> {{field-on:bible}}Es soll euch also keiner kritisieren </w:t>
      </w:r>
      <w:r>
        <w:rPr>
          <w:color w:val="808080"/>
        </w:rPr>
        <w:t>(schlecht machen)</w:t>
      </w:r>
      <w:r>
        <w:rPr/>
        <w:t xml:space="preserve"> wegen Speise und </w:t>
      </w:r>
      <w:r>
        <w:rPr>
          <w:strike/>
          <w:color w:val="808080"/>
        </w:rPr>
        <w:t>{wegen}</w:t>
      </w:r>
      <w:r>
        <w:rPr/>
        <w:t xml:space="preserve"> Trank, oder wegen Festfeier oder Neumonden oder Sabbaten.{{field-off:bible}} </w:t>
        <w:br/>
        <w:t>[[@BibleTOBIBLE:Col 2:17]]</w:t>
      </w:r>
      <w:r>
        <w:rPr>
          <w:b/>
        </w:rPr>
        <w:t>17</w:t>
      </w:r>
      <w:r>
        <w:rPr/>
        <w:t xml:space="preserve"> {{field-on:bible}}Das sind Schatten</w:t>
      </w:r>
      <w:r>
        <w:rPr>
          <w:color w:val="808080"/>
        </w:rPr>
        <w:t>(bilder)</w:t>
      </w:r>
      <w:r>
        <w:rPr/>
        <w:t xml:space="preserve"> des Kommenden </w:t>
      </w:r>
      <w:r>
        <w:rPr>
          <w:color w:val="808080"/>
        </w:rPr>
        <w:t>(Zukünftigen)</w:t>
      </w:r>
      <w:r>
        <w:rPr/>
        <w:t>, die Sache selbst</w:t>
      </w:r>
      <w:r>
        <w:rPr>
          <w:rStyle w:val="Funotenanker"/>
        </w:rPr>
        <w:footnoteReference w:customMarkFollows="1" w:id="6538"/>
        <w:t>ac</w:t>
      </w:r>
      <w:r>
        <w:rPr/>
        <w:t xml:space="preserve"> aber ist Christus.{{field-off:bible}} </w:t>
        <w:br/>
        <w:t>[[@BibleTOBIBLE:Col 2:18]]</w:t>
      </w:r>
      <w:r>
        <w:rPr>
          <w:b/>
        </w:rPr>
        <w:t>18</w:t>
      </w:r>
      <w:r>
        <w:rPr/>
        <w:t xml:space="preserve"> {{field-on:bible}}Niemand soll euch den Kampfpreis aberkennen </w:t>
      </w:r>
      <w:r>
        <w:rPr>
          <w:color w:val="808080"/>
        </w:rPr>
        <w:t>(disqualifizieren)</w:t>
      </w:r>
      <w:r>
        <w:rPr/>
        <w:t>, der sich in Demut gefällt und Engelskult, was er in der Ekstase</w:t>
      </w:r>
      <w:r>
        <w:rPr>
          <w:rStyle w:val="Funotenanker"/>
        </w:rPr>
        <w:footnoteReference w:customMarkFollows="1" w:id="6539"/>
        <w:t>ad</w:t>
      </w:r>
      <w:r>
        <w:rPr/>
        <w:t xml:space="preserve"> geschaut hat, grundlos aufgeblasen in seiner fleischlichen Gesinnung,{{field-off:bible}} </w:t>
        <w:br/>
        <w:t>[[@BibleTOBIBLE:Col 2:19]]</w:t>
      </w:r>
      <w:r>
        <w:rPr>
          <w:b/>
        </w:rPr>
        <w:t>19</w:t>
      </w:r>
      <w:r>
        <w:rPr/>
        <w:t xml:space="preserve"> {{field-on:bible}}und nicht am Haupt festhaltend</w:t>
      </w:r>
      <w:r>
        <w:rPr>
          <w:rStyle w:val="Funotenanker"/>
        </w:rPr>
        <w:footnoteReference w:customMarkFollows="1" w:id="6540"/>
        <w:t>ae</w:t>
      </w:r>
      <w:r>
        <w:rPr/>
        <w:t xml:space="preserve">, durch das der ganze Leib, durch Gelenke und Bänder unterstützt und zusammengehalten, in göttlichem Wachstum wächst.{{field-off:bible}} </w:t>
        <w:br/>
        <w:t>[[@BibleTOBIBLE:Col 2:20]]</w:t>
      </w:r>
      <w:r>
        <w:rPr>
          <w:b/>
        </w:rPr>
        <w:t>20</w:t>
      </w:r>
      <w:r>
        <w:rPr/>
        <w:t xml:space="preserve"> {{field-on:bible}}Wenn ihr mit Christus </w:t>
      </w:r>
      <w:r>
        <w:rPr>
          <w:strike/>
          <w:color w:val="808080"/>
        </w:rPr>
        <w:t>{von}</w:t>
      </w:r>
      <w:r>
        <w:rPr/>
        <w:t xml:space="preserve"> den Weltelementen gestorben seid, warum lasst ihr euch Vorschriften machen wie solche, die in der Welt leben:{{field-off:bible}} </w:t>
        <w:br/>
        <w:t>[[@BibleTOBIBLE:Col 2:21]]</w:t>
      </w:r>
      <w:r>
        <w:rPr>
          <w:b/>
        </w:rPr>
        <w:t>21</w:t>
      </w:r>
      <w:r>
        <w:rPr/>
        <w:t xml:space="preserve"> {{field-on:bible}}„Rühr </w:t>
      </w:r>
      <w:r>
        <w:rPr>
          <w:color w:val="808080"/>
        </w:rPr>
        <w:t>(= iss; fass)</w:t>
      </w:r>
      <w:r>
        <w:rPr/>
        <w:t xml:space="preserve"> </w:t>
      </w:r>
      <w:r>
        <w:rPr>
          <w:b/>
          <w:color w:val="808080"/>
        </w:rPr>
        <w:t>[</w:t>
      </w:r>
      <w:r>
        <w:rPr/>
        <w:t>das</w:t>
      </w:r>
      <w:r>
        <w:rPr>
          <w:b/>
          <w:color w:val="808080"/>
        </w:rPr>
        <w:t>]</w:t>
      </w:r>
      <w:r>
        <w:rPr/>
        <w:t xml:space="preserve"> nicht an</w:t>
      </w:r>
      <w:r>
        <w:rPr>
          <w:rStyle w:val="Funotenanker"/>
        </w:rPr>
        <w:footnoteReference w:customMarkFollows="1" w:id="6541"/>
        <w:t>af</w:t>
      </w:r>
      <w:r>
        <w:rPr/>
        <w:t xml:space="preserve">, probier </w:t>
      </w:r>
      <w:r>
        <w:rPr>
          <w:color w:val="808080"/>
        </w:rPr>
        <w:t>(koste)</w:t>
      </w:r>
      <w:r>
        <w:rPr/>
        <w:t xml:space="preserve"> </w:t>
      </w:r>
      <w:r>
        <w:rPr>
          <w:b/>
          <w:color w:val="808080"/>
        </w:rPr>
        <w:t>[</w:t>
      </w:r>
      <w:r>
        <w:rPr/>
        <w:t>das</w:t>
      </w:r>
      <w:r>
        <w:rPr>
          <w:b/>
          <w:color w:val="808080"/>
        </w:rPr>
        <w:t>]</w:t>
      </w:r>
      <w:r>
        <w:rPr/>
        <w:t xml:space="preserve"> nicht, berühr </w:t>
      </w:r>
      <w:r>
        <w:rPr>
          <w:b/>
          <w:color w:val="808080"/>
        </w:rPr>
        <w:t>[</w:t>
      </w:r>
      <w:r>
        <w:rPr/>
        <w:t>das</w:t>
      </w:r>
      <w:r>
        <w:rPr>
          <w:b/>
          <w:color w:val="808080"/>
        </w:rPr>
        <w:t>]</w:t>
      </w:r>
      <w:r>
        <w:rPr/>
        <w:t xml:space="preserve"> nicht!“ -{{field-off:bible}} </w:t>
        <w:br/>
        <w:t>[[@BibleTOBIBLE:Col 2:22]]</w:t>
      </w:r>
      <w:r>
        <w:rPr>
          <w:b/>
        </w:rPr>
        <w:t>22</w:t>
      </w:r>
      <w:r>
        <w:rPr/>
        <w:t xml:space="preserve"> {{field-on:bible}}was doch alles zur Vernichtung durch Gebrauch bestimmt ist -,</w:t>
      </w:r>
      <w:r>
        <w:rPr>
          <w:rStyle w:val="Funotenanker"/>
        </w:rPr>
        <w:footnoteReference w:customMarkFollows="1" w:id="6542"/>
        <w:t>ag</w:t>
      </w:r>
      <w:r>
        <w:rPr/>
        <w:t xml:space="preserve"> nach den Geboten und Lehren der Menschen </w:t>
      </w:r>
      <w:r>
        <w:rPr>
          <w:color w:val="808080"/>
        </w:rPr>
        <w:t>(wie menschliche Geboten und Lehren lauten, gemäß menschlicher Gebote und Lehren)</w:t>
      </w:r>
      <w:r>
        <w:rPr/>
        <w:t xml:space="preserve">?{{field-off:bible}} </w:t>
        <w:br/>
        <w:t>[[@BibleTOBIBLE:Col 2:23]]</w:t>
      </w:r>
      <w:r>
        <w:rPr>
          <w:b/>
        </w:rPr>
        <w:t>23</w:t>
      </w:r>
      <w:r>
        <w:rPr/>
        <w:t xml:space="preserve"> {{field-on:bible}}Das ist eine Aussage </w:t>
      </w:r>
      <w:r>
        <w:rPr>
          <w:color w:val="808080"/>
        </w:rPr>
        <w:t>(Rede, Lehre)</w:t>
      </w:r>
      <w:r>
        <w:rPr/>
        <w:t xml:space="preserve">, die zwar Weisheit besitzt durch selbstgemachte Religion und Demut und Härte </w:t>
      </w:r>
      <w:r>
        <w:rPr>
          <w:color w:val="808080"/>
        </w:rPr>
        <w:t>(Schonungslosigkeit)</w:t>
      </w:r>
      <w:r>
        <w:rPr/>
        <w:t xml:space="preserve"> gegen den Körper, sie ist aber nichts wert, weil sie der Befriedigung leiblicher Bedürfnisse </w:t>
      </w:r>
      <w:r>
        <w:rPr>
          <w:b/>
          <w:color w:val="808080"/>
        </w:rPr>
        <w:t>[</w:t>
      </w:r>
      <w:r>
        <w:rPr/>
        <w:t>dient</w:t>
      </w:r>
      <w:r>
        <w:rPr>
          <w:b/>
          <w:color w:val="808080"/>
        </w:rPr>
        <w:t>]</w:t>
      </w:r>
      <w:r>
        <w:rPr/>
        <w:t>.</w:t>
      </w:r>
      <w:r>
        <w:rPr>
          <w:rStyle w:val="Funotenanker"/>
        </w:rPr>
        <w:footnoteReference w:customMarkFollows="1" w:id="6543"/>
        <w:t>ah</w:t>
      </w:r>
      <w:r>
        <w:rPr/>
        <w:t xml:space="preserve"> {{field-off:bible}} </w:t>
      </w:r>
    </w:p>
    <w:p>
      <w:pPr>
        <w:pStyle w:val="Berschrift3"/>
        <w:rPr/>
      </w:pPr>
      <w:r>
        <w:rPr/>
        <w:t>[[@BibleTOBIBLE:Col 3]]Kapitel 3</w:t>
      </w:r>
    </w:p>
    <w:p>
      <w:pPr>
        <w:pStyle w:val="Textkrper"/>
        <w:rPr/>
      </w:pPr>
      <w:r>
        <w:rPr/>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544"/>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545"/>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2]]Kapitel 2</w:t>
      </w:r>
    </w:p>
    <w:p>
      <w:pPr>
        <w:pStyle w:val="Textkrper"/>
        <w:rPr/>
      </w:pPr>
      <w:r>
        <w:rPr/>
        <w:br/>
        <w:t>[[@BibleTOBIBLE:1Th 2:13]]</w:t>
      </w:r>
      <w:r>
        <w:rPr>
          <w:b/>
        </w:rPr>
        <w:t>13</w:t>
      </w:r>
      <w:r>
        <w:rPr/>
        <w:t xml:space="preserve"> {{field-on:bible}}Und</w:t>
      </w:r>
      <w:r>
        <w:rPr>
          <w:rStyle w:val="Funotenanker"/>
        </w:rPr>
        <w:footnoteReference w:customMarkFollows="1" w:id="6546"/>
        <w:t>a</w:t>
      </w:r>
      <w:r>
        <w:rPr/>
        <w:t xml:space="preserve"> deshalb danken wir Gott auch unablässig, dass ihr, das Wort der Predigt von Gott von uns empfangend, es nicht annahmt als Wort der Menschen, sondern, genauso wie es wahr ist, als Wort Gottes, das wirksam ist bei euch, die ihr glaubt.{{field-off:bible}} </w:t>
        <w:br/>
        <w:t>[[@BibleTOBIBLE:1Th 2:14]]</w:t>
      </w:r>
      <w:r>
        <w:rPr>
          <w:b/>
        </w:rPr>
        <w:t>14</w:t>
      </w:r>
      <w:r>
        <w:rPr/>
        <w:t xml:space="preserve"> {{field-on:bible}}Ja </w:t>
      </w:r>
      <w:r>
        <w:rPr>
          <w:rStyle w:val="Funotenanker"/>
        </w:rPr>
        <w:footnoteReference w:customMarkFollows="1" w:id="6547"/>
        <w:t>b</w:t>
      </w:r>
      <w:r>
        <w:rPr/>
        <w:t xml:space="preserve"> ihr, Brüder und Schwestern, seit zu Nachahmern der Gemeinden Gottes, die in Judäa in Christus Jesus sind, geworden, weil ihr dasselbe von euren eigenen Mitbürgern erlitten habt, wie diese von den Juden,{{field-off:bible}} </w:t>
        <w:br/>
        <w:t>[[@BibleTOBIBLE:1Th 2:15]]</w:t>
      </w:r>
      <w:r>
        <w:rPr>
          <w:b/>
        </w:rPr>
        <w:t>15</w:t>
      </w:r>
      <w:r>
        <w:rPr/>
        <w:t xml:space="preserve"> {{field-on:bible}}die sowohl den Herrn Jesus und die Propheten getötet haben, uns verfolgt haben und Gott nicht gefallen und allen Menschen feindlich sind,{{field-off:bible}} </w:t>
        <w:br/>
        <w:t>[[@BibleTOBIBLE:1Th 2:16]]</w:t>
      </w:r>
      <w:r>
        <w:rPr>
          <w:b/>
        </w:rPr>
        <w:t>16</w:t>
      </w:r>
      <w:r>
        <w:rPr/>
        <w:t xml:space="preserve"> {{field-on:bible}}die uns abhalten den Völkern zu sagen, dass sie gerettet sind, so dass sie ihre Sünden allezeit angehäuft haben: Es ist aber bereits über sie der Zorn Gottes für immer gekommen.{{field-off:bible}} </w:t>
      </w:r>
    </w:p>
    <w:p>
      <w:pPr>
        <w:pStyle w:val="Berschrift3"/>
        <w:rPr/>
      </w:pPr>
      <w:r>
        <w:rPr/>
        <w:t>[[@BibleTOBIBLE:1Th 3]]Kapitel 3</w:t>
      </w:r>
    </w:p>
    <w:p>
      <w:pPr>
        <w:pStyle w:val="Textkrper"/>
        <w:rPr/>
      </w:pPr>
      <w:r>
        <w:rPr/>
        <w:br/>
        <w:t>[[@BibleTOBIBLE:1Th 3:7]]</w:t>
      </w:r>
      <w:r>
        <w:rPr>
          <w:b/>
        </w:rPr>
        <w:t>7</w:t>
      </w:r>
      <w:r>
        <w:rPr/>
        <w:t xml:space="preserve"> {{field-on:bible}}Deshalb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548"/>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{{field-on:bible}}Des weiteren </w:t>
      </w:r>
      <w:r>
        <w:rPr>
          <w:color w:val="808080"/>
        </w:rPr>
        <w:t>(im übrigen)</w:t>
      </w:r>
      <w:r>
        <w:rPr/>
        <w:t xml:space="preserve">: betet für uns, Brüder </w:t>
      </w:r>
      <w:r>
        <w:rPr>
          <w:color w:val="808080"/>
        </w:rPr>
        <w:t>(Geschwister)</w:t>
      </w:r>
      <w:r>
        <w:rPr/>
        <w:t>, damit</w:t>
      </w:r>
      <w:r>
        <w:rPr>
          <w:rStyle w:val="Funotenanker"/>
        </w:rPr>
        <w:footnoteReference w:customMarkFollows="1" w:id="6549"/>
        <w:t>a</w:t>
      </w:r>
      <w:r>
        <w:rPr/>
        <w:t xml:space="preserve"> das Wort des Herrn flott vorankommt</w:t>
      </w:r>
      <w:r>
        <w:rPr>
          <w:rStyle w:val="Funotenanker"/>
        </w:rPr>
        <w:footnoteReference w:customMarkFollows="1" w:id="6550"/>
        <w:t>b</w:t>
      </w:r>
      <w:r>
        <w:rPr/>
        <w:t xml:space="preserve"> und gepriesen </w:t>
      </w:r>
      <w:r>
        <w:rPr>
          <w:color w:val="808080"/>
        </w:rPr>
        <w:t>(gerühmt)</w:t>
      </w:r>
      <w:r>
        <w:rPr/>
        <w:t xml:space="preserve"> werde</w:t>
      </w:r>
      <w:r>
        <w:rPr>
          <w:rStyle w:val="Funotenanker"/>
        </w:rPr>
        <w:footnoteReference w:customMarkFollows="1" w:id="6551"/>
        <w:t>c</w:t>
      </w:r>
      <w:r>
        <w:rPr/>
        <w:t xml:space="preserve">, so wie bei euch.{{field-off:bible}} </w:t>
        <w:br/>
        <w:t>[[@BibleTOBIBLE:2Th 3:2]]</w:t>
      </w:r>
      <w:r>
        <w:rPr>
          <w:b/>
        </w:rPr>
        <w:t>2</w:t>
      </w:r>
      <w:r>
        <w:rPr/>
        <w:t xml:space="preserve"> {{field-on:bible}}Und damit</w:t>
      </w:r>
      <w:r>
        <w:rPr>
          <w:rStyle w:val="Funotenanker"/>
        </w:rPr>
        <w:footnoteReference w:customMarkFollows="1" w:id="6552"/>
        <w:t>d</w:t>
      </w:r>
      <w:r>
        <w:rPr/>
        <w:t xml:space="preserve"> wir errettet werden von den unsittlichen</w:t>
      </w:r>
      <w:r>
        <w:rPr>
          <w:rStyle w:val="Funotenanker"/>
        </w:rPr>
        <w:footnoteReference w:customMarkFollows="1" w:id="6553"/>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554"/>
        <w:t>f</w:t>
      </w:r>
      <w:r>
        <w:rPr/>
        <w:t xml:space="preserve"> {{field-off:bible}} </w:t>
        <w:br/>
        <w:t>[[@BibleTOBIBLE:2Th 3:3]]</w:t>
      </w:r>
      <w:r>
        <w:rPr>
          <w:b/>
        </w:rPr>
        <w:t>3</w:t>
      </w:r>
      <w:r>
        <w:rPr/>
        <w:t xml:space="preserve"> {{field-on:bible}}Treu</w:t>
      </w:r>
      <w:r>
        <w:rPr>
          <w:rStyle w:val="Funotenanker"/>
        </w:rPr>
        <w:footnoteReference w:customMarkFollows="1" w:id="6555"/>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556"/>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557"/>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558"/>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{{field-on:bible}}Ich danke</w:t>
      </w:r>
      <w:r>
        <w:rPr>
          <w:rStyle w:val="Funotenanker"/>
        </w:rPr>
        <w:footnoteReference w:customMarkFollows="1" w:id="6559"/>
        <w:t>a</w:t>
      </w:r>
      <w:r>
        <w:rPr/>
        <w:t xml:space="preserve"> Christus Jesus, unserem Herrn, der</w:t>
      </w:r>
      <w:r>
        <w:rPr>
          <w:rStyle w:val="Funotenanker"/>
        </w:rPr>
        <w:footnoteReference w:customMarkFollows="1" w:id="6560"/>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561"/>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562"/>
        <w:t>d</w:t>
      </w:r>
      <w:r>
        <w:rPr/>
        <w:t xml:space="preserve"> ich früher ein Lästerer und Verfolger</w:t>
      </w:r>
      <w:r>
        <w:rPr>
          <w:rStyle w:val="Funotenanker"/>
        </w:rPr>
        <w:footnoteReference w:customMarkFollows="1" w:id="6563"/>
        <w:t>e</w:t>
      </w:r>
      <w:r>
        <w:rPr/>
        <w:t xml:space="preserve"> und Frevler </w:t>
      </w:r>
      <w:r>
        <w:rPr>
          <w:color w:val="808080"/>
        </w:rPr>
        <w:t>(Gewaltmensch)</w:t>
      </w:r>
      <w:r>
        <w:rPr/>
        <w:t xml:space="preserve"> war, aber mir widerfuhr Erbarmung</w:t>
      </w:r>
      <w:r>
        <w:rPr>
          <w:rStyle w:val="Funotenanker"/>
        </w:rPr>
        <w:footnoteReference w:customMarkFollows="1" w:id="6564"/>
        <w:t>f</w:t>
      </w:r>
      <w:r>
        <w:rPr/>
        <w:t xml:space="preserve"> </w:t>
      </w:r>
      <w:r>
        <w:rPr>
          <w:color w:val="808080"/>
        </w:rPr>
        <w:t>(ich fand Erbarmen)</w:t>
      </w:r>
      <w:r>
        <w:rPr/>
        <w:t>, weil ich unwissend</w:t>
      </w:r>
      <w:r>
        <w:rPr>
          <w:rStyle w:val="Funotenanker"/>
        </w:rPr>
        <w:footnoteReference w:customMarkFollows="1" w:id="6565"/>
        <w:t>g</w:t>
      </w:r>
      <w:r>
        <w:rPr/>
        <w:t xml:space="preserve"> handelte in Unglauben</w:t>
      </w:r>
      <w:r>
        <w:rPr>
          <w:rStyle w:val="Funotenanker"/>
        </w:rPr>
        <w:footnoteReference w:customMarkFollows="1" w:id="6566"/>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567"/>
        <w:t>i</w:t>
      </w:r>
      <w:r>
        <w:rPr/>
        <w:t xml:space="preserve"> mit Glaube und Liebe</w:t>
      </w:r>
      <w:r>
        <w:rPr>
          <w:rStyle w:val="Funotenanker"/>
        </w:rPr>
        <w:footnoteReference w:customMarkFollows="1" w:id="6568"/>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569"/>
        <w:t>k</w:t>
      </w:r>
      <w:r>
        <w:rPr/>
        <w:t>, und verdient allen Beifall:</w:t>
      </w:r>
      <w:r>
        <w:rPr>
          <w:rStyle w:val="Funotenanker"/>
        </w:rPr>
        <w:footnoteReference w:customMarkFollows="1" w:id="6570"/>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571"/>
        <w:t>m</w:t>
      </w:r>
      <w:r>
        <w:rPr/>
        <w:t xml:space="preserve"> derer, die</w:t>
      </w:r>
      <w:r>
        <w:rPr>
          <w:rStyle w:val="Funotenanker"/>
        </w:rPr>
        <w:footnoteReference w:customMarkFollows="1" w:id="6572"/>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{{field-on:bible}}Zu allererst</w:t>
      </w:r>
      <w:r>
        <w:rPr>
          <w:rStyle w:val="Funotenanker"/>
        </w:rPr>
        <w:footnoteReference w:customMarkFollows="1" w:id="6573"/>
        <w:t>a</w:t>
      </w:r>
      <w:r>
        <w:rPr/>
        <w:t xml:space="preserve"> </w:t>
      </w:r>
      <w:r>
        <w:rPr>
          <w:strike/>
          <w:color w:val="808080"/>
        </w:rPr>
        <w:t>{nun}</w:t>
      </w:r>
      <w:r>
        <w:rPr/>
        <w:t xml:space="preserve"> möchte ich</w:t>
      </w:r>
      <w:r>
        <w:rPr>
          <w:rStyle w:val="Funotenanker"/>
        </w:rPr>
        <w:footnoteReference w:customMarkFollows="1" w:id="6574"/>
        <w:t>b</w:t>
      </w:r>
      <w:r>
        <w:rPr/>
        <w:t>, dass man Bitten, Gebete, Fürbitten und Dankgebete</w:t>
      </w:r>
      <w:r>
        <w:rPr>
          <w:rStyle w:val="Funotenanker"/>
        </w:rPr>
        <w:footnoteReference w:customMarkFollows="1" w:id="6575"/>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576"/>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577"/>
        <w:t>e</w:t>
      </w:r>
      <w:r>
        <w:rPr/>
        <w:t xml:space="preserve"> Gott Einer ist,</w:t>
        <w:br/>
      </w:r>
      <w:r>
        <w:rPr>
          <w:color w:val="808080"/>
        </w:rPr>
        <w:t>(und)</w:t>
      </w:r>
      <w:r>
        <w:rPr/>
        <w:t xml:space="preserve"> Einer auch</w:t>
      </w:r>
      <w:r>
        <w:rPr>
          <w:rStyle w:val="Funotenanker"/>
        </w:rPr>
        <w:footnoteReference w:customMarkFollows="1" w:id="6578"/>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579"/>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580"/>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581"/>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582"/>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583"/>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584"/>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585"/>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{{field-on:bible}}Vielfältig </w:t>
      </w:r>
      <w:r>
        <w:rPr>
          <w:color w:val="808080"/>
        </w:rPr>
        <w:t>(mannigfaltig)</w:t>
      </w:r>
      <w:r>
        <w:rPr/>
        <w:t xml:space="preserve"> </w:t>
      </w:r>
      <w:r>
        <w:rPr>
          <w:rStyle w:val="Funotenanker"/>
        </w:rPr>
        <w:footnoteReference w:customMarkFollows="1" w:id="6586"/>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587"/>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588"/>
        <w:t>c</w:t>
      </w:r>
      <w:r>
        <w:rPr/>
        <w:t xml:space="preserve"> in </w:t>
      </w:r>
      <w:r>
        <w:rPr>
          <w:color w:val="808080"/>
        </w:rPr>
        <w:t>(durch)</w:t>
      </w:r>
      <w:r>
        <w:rPr/>
        <w:t xml:space="preserve"> </w:t>
      </w:r>
      <w:r>
        <w:rPr>
          <w:rStyle w:val="Funotenanker"/>
        </w:rPr>
        <w:footnoteReference w:customMarkFollows="1" w:id="6589"/>
        <w:t>d</w:t>
      </w:r>
      <w:r>
        <w:rPr/>
        <w:t xml:space="preserve"> die Propheten geredet, </w:t>
      </w:r>
      <w:r>
        <w:rPr>
          <w:rStyle w:val="Funotenanker"/>
        </w:rPr>
        <w:footnoteReference w:customMarkFollows="1" w:id="6590"/>
        <w:t>e</w:t>
      </w:r>
      <w:r>
        <w:rPr/>
        <w:t xml:space="preserve"> {{field-off:bible}} </w:t>
        <w:br/>
        <w:t>[[@BibleTOBIBLE:Heb 1:2]]</w:t>
      </w:r>
      <w:r>
        <w:rPr>
          <w:b/>
        </w:rPr>
        <w:t>2</w:t>
      </w:r>
      <w:r>
        <w:rPr/>
        <w:t xml:space="preserve"> {{field-on:bible}}In diesen letzten </w:t>
      </w:r>
      <w:r>
        <w:rPr>
          <w:rStyle w:val="Funotenanker"/>
        </w:rPr>
        <w:footnoteReference w:customMarkFollows="1" w:id="6591"/>
        <w:t>f</w:t>
      </w:r>
      <w:r>
        <w:rPr/>
        <w:t xml:space="preserve"> Tagen hat er zu uns geredet in </w:t>
      </w:r>
      <w:r>
        <w:rPr>
          <w:color w:val="808080"/>
        </w:rPr>
        <w:t>(durch)</w:t>
      </w:r>
      <w:r>
        <w:rPr/>
        <w:t xml:space="preserve"> </w:t>
      </w:r>
      <w:r>
        <w:rPr>
          <w:rStyle w:val="Funotenanker"/>
        </w:rPr>
        <w:footnoteReference w:customMarkFollows="1" w:id="6592"/>
        <w:t>g</w:t>
      </w:r>
      <w:r>
        <w:rPr/>
        <w:t xml:space="preserve"> </w:t>
      </w:r>
      <w:r>
        <w:rPr>
          <w:color w:val="808080"/>
        </w:rPr>
        <w:t>(den)</w:t>
      </w:r>
      <w:r>
        <w:rPr/>
        <w:t xml:space="preserve"> Sohn, welchen er eingesetzt hat als Alleinerbe </w:t>
      </w:r>
      <w:r>
        <w:rPr>
          <w:rStyle w:val="Funotenanker"/>
        </w:rPr>
        <w:footnoteReference w:customMarkFollows="1" w:id="6593"/>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{{field-on:bible}}und kein Geschöpf ist verborgen vor ihm,</w:t>
      </w:r>
      <w:r>
        <w:rPr>
          <w:rStyle w:val="Funotenanker"/>
        </w:rPr>
        <w:footnoteReference w:customMarkFollows="1" w:id="6594"/>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595"/>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596"/>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597"/>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9]]Kapitel 9</w:t>
      </w:r>
    </w:p>
    <w:p>
      <w:pPr>
        <w:pStyle w:val="Textkrper"/>
        <w:rPr/>
      </w:pPr>
      <w:r>
        <w:rPr/>
        <w:br/>
        <w:t>[[@BibleTOBIBLE:Heb 9:15]]</w:t>
      </w:r>
      <w:r>
        <w:rPr>
          <w:b/>
        </w:rPr>
        <w:t>15</w:t>
      </w:r>
      <w:r>
        <w:rPr/>
        <w:t xml:space="preserve"> {{field-on:bible}}Und deshalb ist er der Vermittler eines neuen Testamentes</w:t>
      </w:r>
      <w:r>
        <w:rPr>
          <w:rStyle w:val="Funotenanker"/>
        </w:rPr>
        <w:footnoteReference w:customMarkFollows="1" w:id="6598"/>
        <w:t>a</w:t>
      </w:r>
      <w:r>
        <w:rPr/>
        <w:t xml:space="preserve"> </w:t>
      </w:r>
      <w:r>
        <w:rPr>
          <w:color w:val="808080"/>
        </w:rPr>
        <w:t>(Bundes)</w:t>
      </w:r>
      <w:r>
        <w:rPr/>
        <w:t xml:space="preserve">, damit, nachdem er gestorben war zur Erlösung von den zur Zeit des ersten Testamentes </w:t>
      </w:r>
      <w:r>
        <w:rPr>
          <w:color w:val="808080"/>
        </w:rPr>
        <w:t>(Bundes)</w:t>
      </w:r>
      <w:r>
        <w:rPr/>
        <w:t xml:space="preserve"> </w:t>
      </w:r>
      <w:r>
        <w:rPr>
          <w:b/>
          <w:color w:val="808080"/>
        </w:rPr>
        <w:t>[</w:t>
      </w:r>
      <w:r>
        <w:rPr/>
        <w:t>begangenen</w:t>
      </w:r>
      <w:r>
        <w:rPr>
          <w:b/>
          <w:color w:val="808080"/>
        </w:rPr>
        <w:t>]</w:t>
      </w:r>
      <w:r>
        <w:rPr/>
        <w:t xml:space="preserve"> Übertretungen, die zum ewigen Erbe Berufenen die Verheißung empfangen.{{field-off:bible}} </w:t>
        <w:br/>
        <w:t>[[@BibleTOBIBLE:Heb 9:16]]</w:t>
      </w:r>
      <w:r>
        <w:rPr>
          <w:b/>
        </w:rPr>
        <w:t>16</w:t>
      </w:r>
      <w:r>
        <w:rPr/>
        <w:t xml:space="preserve"> {{field-on:bible}}Denn wo ein Testament </w:t>
      </w:r>
      <w:r>
        <w:rPr>
          <w:b/>
          <w:color w:val="808080"/>
        </w:rPr>
        <w:t>[</w:t>
      </w:r>
      <w:r>
        <w:rPr/>
        <w:t>vorliegt</w:t>
      </w:r>
      <w:r>
        <w:rPr>
          <w:b/>
          <w:color w:val="808080"/>
        </w:rPr>
        <w:t>]</w:t>
      </w:r>
      <w:r>
        <w:rPr/>
        <w:t xml:space="preserve">, muss notwendigerweise der Tod des Erblassers beigebracht werden.{{field-off:bible}} </w:t>
        <w:br/>
        <w:t>[[@BibleTOBIBLE:Heb 9:17]]</w:t>
      </w:r>
      <w:r>
        <w:rPr>
          <w:b/>
        </w:rPr>
        <w:t>17</w:t>
      </w:r>
      <w:r>
        <w:rPr/>
        <w:t xml:space="preserve"> {{field-on:bible}}Denn ein Testament ist bei den Toten </w:t>
      </w:r>
      <w:r>
        <w:rPr>
          <w:color w:val="808080"/>
        </w:rPr>
        <w:t>(im Todesfall)</w:t>
      </w:r>
      <w:r>
        <w:rPr/>
        <w:t xml:space="preserve"> rechtsgültig, da es noch nicht gilt, wenn der Erblasser lebt.{{field-off:bible}} </w:t>
        <w:br/>
        <w:t>[[@BibleTOBIBLE:Heb 9:18]]</w:t>
      </w:r>
      <w:r>
        <w:rPr>
          <w:b/>
        </w:rPr>
        <w:t>18</w:t>
      </w:r>
      <w:r>
        <w:rPr/>
        <w:t xml:space="preserve"> {{field-on:bible}}Weshalb auch der Erste </w:t>
      </w:r>
      <w:r>
        <w:rPr>
          <w:b/>
          <w:color w:val="808080"/>
        </w:rPr>
        <w:t>[</w:t>
      </w:r>
      <w:r>
        <w:rPr/>
        <w:t>Bund, Testament</w:t>
      </w:r>
      <w:r>
        <w:rPr>
          <w:b/>
          <w:color w:val="808080"/>
        </w:rPr>
        <w:t>]</w:t>
      </w:r>
      <w:r>
        <w:rPr/>
        <w:t xml:space="preserve"> nicht ohne Blut geweiht wurde.{{field-off:bible}} </w:t>
        <w:br/>
        <w:t>[[@BibleTOBIBLE:Heb 9:19]]</w:t>
      </w:r>
      <w:r>
        <w:rPr>
          <w:b/>
        </w:rPr>
        <w:t>19</w:t>
      </w:r>
      <w:r>
        <w:rPr/>
        <w:t xml:space="preserve"> {{field-on:bible}}Denn nachdem durch Mose dem Volk </w:t>
      </w:r>
      <w:r>
        <w:rPr>
          <w:b/>
          <w:color w:val="808080"/>
        </w:rPr>
        <w:t>[</w:t>
      </w:r>
      <w:r>
        <w:rPr/>
        <w:t>Israel</w:t>
      </w:r>
      <w:r>
        <w:rPr>
          <w:b/>
          <w:color w:val="808080"/>
        </w:rPr>
        <w:t>]</w:t>
      </w:r>
      <w:r>
        <w:rPr/>
        <w:t xml:space="preserve"> jedes Gebot nach dem Gesetz</w:t>
      </w:r>
      <w:r>
        <w:rPr>
          <w:rStyle w:val="Funotenanker"/>
        </w:rPr>
        <w:footnoteReference w:customMarkFollows="1" w:id="6599"/>
        <w:t>b</w:t>
      </w:r>
      <w:r>
        <w:rPr/>
        <w:t xml:space="preserve"> gesagt </w:t>
      </w:r>
      <w:r>
        <w:rPr>
          <w:color w:val="808080"/>
        </w:rPr>
        <w:t>(aufgezählt, genannt)</w:t>
      </w:r>
      <w:r>
        <w:rPr/>
        <w:t xml:space="preserve"> worden war, nahm er das Blut der </w:t>
      </w:r>
      <w:r>
        <w:rPr>
          <w:color w:val="808080"/>
        </w:rPr>
        <w:t>(Bullen)</w:t>
      </w:r>
      <w:r>
        <w:rPr/>
        <w:t>Kälber</w:t>
      </w:r>
      <w:r>
        <w:rPr>
          <w:rStyle w:val="Funotenanker"/>
        </w:rPr>
        <w:footnoteReference w:customMarkFollows="1" w:id="6600"/>
        <w:t>c</w:t>
      </w:r>
      <w:r>
        <w:rPr/>
        <w:t xml:space="preserve"> und Böcke</w:t>
      </w:r>
      <w:r>
        <w:rPr>
          <w:rStyle w:val="Funotenanker"/>
        </w:rPr>
        <w:footnoteReference w:customMarkFollows="1" w:id="6601"/>
        <w:t>d</w:t>
      </w:r>
      <w:r>
        <w:rPr/>
        <w:t xml:space="preserve"> mit Wasser und scharlachroter Wolle und Ysop und besprengte sowohl das Buch selbst als auch das ganze Volk.{{field-off:bible}} </w:t>
        <w:br/>
        <w:t>[[@BibleTOBIBLE:Heb 9:20]]</w:t>
      </w:r>
      <w:r>
        <w:rPr>
          <w:b/>
        </w:rPr>
        <w:t>20</w:t>
      </w:r>
      <w:r>
        <w:rPr/>
        <w:t xml:space="preserve"> {{field-on:bible}}Er sprach: </w:t>
        <w:br/>
        <w:t xml:space="preserve">Dies ist das Blut des Bundes, den Gott euch auferlegt </w:t>
      </w:r>
      <w:r>
        <w:rPr>
          <w:color w:val="808080"/>
        </w:rPr>
        <w:t>(angeordnet, vorgeschrieben)</w:t>
      </w:r>
      <w:r>
        <w:rPr/>
        <w:t xml:space="preserve"> hat.</w:t>
        <w:br/>
        <w:t xml:space="preserve">{{field-off:bible}} </w:t>
        <w:br/>
        <w:t>[[@BibleTOBIBLE:Heb 9:21]]</w:t>
      </w:r>
      <w:r>
        <w:rPr>
          <w:b/>
        </w:rPr>
        <w:t>21</w:t>
      </w:r>
      <w:r>
        <w:rPr/>
        <w:t xml:space="preserve"> {{field-on:bible}}Und das Zelt, aber auch alle Gottesdienstgeräte </w:t>
      </w:r>
      <w:r>
        <w:rPr>
          <w:color w:val="808080"/>
        </w:rPr>
        <w:t>(Geräte zum Gottesdienst)</w:t>
      </w:r>
      <w:r>
        <w:rPr/>
        <w:t xml:space="preserve"> besprengte er in gleicher Weise mit Blut.{{field-off:bible}} </w:t>
        <w:br/>
        <w:t>[[@BibleTOBIBLE:Heb 9:22]]</w:t>
      </w:r>
      <w:r>
        <w:rPr>
          <w:b/>
        </w:rPr>
        <w:t>22</w:t>
      </w:r>
      <w:r>
        <w:rPr/>
        <w:t xml:space="preserve"> {{field-on:bible}} </w:t>
      </w:r>
      <w:r>
        <w:rPr>
          <w:strike/>
          <w:color w:val="808080"/>
        </w:rPr>
        <w:t>{Und}</w:t>
      </w:r>
      <w:r>
        <w:rPr/>
        <w:t xml:space="preserve"> fast alles wird nach dem Gesetz durch</w:t>
      </w:r>
      <w:r>
        <w:rPr>
          <w:rStyle w:val="Funotenanker"/>
        </w:rPr>
        <w:footnoteReference w:customMarkFollows="1" w:id="6602"/>
        <w:t>e</w:t>
      </w:r>
      <w:r>
        <w:rPr/>
        <w:t xml:space="preserve"> Blut gereinigt, und ohne Blutvergießen geschieht keine </w:t>
      </w:r>
      <w:r>
        <w:rPr>
          <w:b/>
          <w:color w:val="808080"/>
        </w:rPr>
        <w:t>[</w:t>
      </w:r>
      <w:r>
        <w:rPr/>
        <w:t>Sünden</w:t>
      </w:r>
      <w:r>
        <w:rPr>
          <w:b/>
          <w:color w:val="808080"/>
        </w:rPr>
        <w:t>]</w:t>
      </w:r>
      <w:r>
        <w:rPr/>
        <w:t xml:space="preserve">Vergebung.{{field-off:bible}} </w:t>
        <w:br/>
        <w:t>[[@BibleTOBIBLE:Heb 9:23]]</w:t>
      </w:r>
      <w:r>
        <w:rPr>
          <w:b/>
        </w:rPr>
        <w:t>23</w:t>
      </w:r>
      <w:r>
        <w:rPr/>
        <w:t xml:space="preserve"> {{field-on:bible}}Ist es nun notwendig, </w:t>
      </w:r>
      <w:r>
        <w:rPr>
          <w:strike/>
          <w:color w:val="808080"/>
        </w:rPr>
        <w:t>{zwar}</w:t>
      </w:r>
      <w:r>
        <w:rPr/>
        <w:t xml:space="preserve"> die Abbilder der </w:t>
      </w:r>
      <w:r>
        <w:rPr>
          <w:b/>
          <w:color w:val="808080"/>
        </w:rPr>
        <w:t>[</w:t>
      </w:r>
      <w:r>
        <w:rPr/>
        <w:t>Dinge</w:t>
      </w:r>
      <w:r>
        <w:rPr>
          <w:b/>
          <w:color w:val="808080"/>
        </w:rPr>
        <w:t>]</w:t>
      </w:r>
      <w:r>
        <w:rPr/>
        <w:t xml:space="preserve"> in dem Himmeln </w:t>
      </w:r>
      <w:r>
        <w:rPr>
          <w:color w:val="808080"/>
        </w:rPr>
        <w:t>(= der himmlischen Dinge)</w:t>
      </w:r>
      <w:r>
        <w:rPr/>
        <w:t xml:space="preserve"> mit diesen </w:t>
      </w:r>
      <w:r>
        <w:rPr>
          <w:b/>
          <w:color w:val="808080"/>
        </w:rPr>
        <w:t>[</w:t>
      </w:r>
      <w:r>
        <w:rPr/>
        <w:t>Mitteln</w:t>
      </w:r>
      <w:r>
        <w:rPr>
          <w:b/>
          <w:color w:val="808080"/>
        </w:rPr>
        <w:t>]</w:t>
      </w:r>
      <w:r>
        <w:rPr/>
        <w:t xml:space="preserve"> zu reiningen, </w:t>
      </w:r>
      <w:r>
        <w:rPr>
          <w:b/>
          <w:color w:val="808080"/>
        </w:rPr>
        <w:t>[</w:t>
      </w:r>
      <w:r>
        <w:rPr/>
        <w:t>dann</w:t>
      </w:r>
      <w:r>
        <w:rPr>
          <w:b/>
          <w:color w:val="808080"/>
        </w:rPr>
        <w:t>]</w:t>
      </w:r>
      <w:r>
        <w:rPr/>
        <w:t xml:space="preserve"> </w:t>
      </w:r>
      <w:r>
        <w:rPr>
          <w:strike/>
          <w:color w:val="808080"/>
        </w:rPr>
        <w:t>{aber}</w:t>
      </w:r>
      <w:r>
        <w:rPr/>
        <w:t xml:space="preserve"> das Himmlische selbst durch größere Opfer als diese.{{field-off:bible}} </w:t>
        <w:br/>
        <w:t>[[@BibleTOBIBLE:Heb 9:24]]</w:t>
      </w:r>
      <w:r>
        <w:rPr>
          <w:b/>
        </w:rPr>
        <w:t>24</w:t>
      </w:r>
      <w:r>
        <w:rPr/>
        <w:t xml:space="preserve"> {{field-on:bible}}Denn Christus ging nicht in das mit Händen gemachte Heilige hinein, das Abbild der wahrhaften </w:t>
      </w:r>
      <w:r>
        <w:rPr>
          <w:b/>
          <w:color w:val="808080"/>
        </w:rPr>
        <w:t>[</w:t>
      </w:r>
      <w:r>
        <w:rPr/>
        <w:t>Dinge</w:t>
      </w:r>
      <w:r>
        <w:rPr>
          <w:b/>
          <w:color w:val="808080"/>
        </w:rPr>
        <w:t>]</w:t>
      </w:r>
      <w:r>
        <w:rPr/>
        <w:t xml:space="preserve"> </w:t>
      </w:r>
      <w:r>
        <w:rPr>
          <w:color w:val="808080"/>
        </w:rPr>
        <w:t>(= des wahrhaftigen)</w:t>
      </w:r>
      <w:r>
        <w:rPr/>
        <w:t xml:space="preserve">, sondern in den Himmel selbst, um jetzt vor dem Angesicht Gottes für uns einzutreten </w:t>
      </w:r>
      <w:r>
        <w:rPr>
          <w:color w:val="808080"/>
        </w:rPr>
        <w:t>(zu erscheinen)</w:t>
      </w:r>
      <w:r>
        <w:rPr/>
        <w:t xml:space="preserve"> </w:t>
      </w:r>
      <w:r>
        <w:rPr>
          <w:rStyle w:val="Funotenanker"/>
        </w:rPr>
        <w:footnoteReference w:customMarkFollows="1" w:id="6603"/>
        <w:t>f</w:t>
      </w:r>
      <w:r>
        <w:rPr/>
        <w:t xml:space="preserve"> {{field-off:bible}} </w:t>
        <w:br/>
        <w:t>[[@BibleTOBIBLE:Heb 9:25]]</w:t>
      </w:r>
      <w:r>
        <w:rPr>
          <w:b/>
        </w:rPr>
        <w:t>25</w:t>
      </w:r>
      <w:r>
        <w:rPr/>
        <w:t xml:space="preserve"> {{field-on:bible}}Nicht, damit er sich selbst viele Male darbringt, wie der Hohepriester jährlich mit fremdem Blut in das Heilige hineingeht,{{field-off:bible}} </w:t>
        <w:br/>
        <w:t>[[@BibleTOBIBLE:Heb 9:26]]</w:t>
      </w:r>
      <w:r>
        <w:rPr>
          <w:b/>
        </w:rPr>
        <w:t>26</w:t>
      </w:r>
      <w:r>
        <w:rPr/>
        <w:t xml:space="preserve"> {{field-on:bible}}da hätte er seit Anbeginn der Welt ja viele Male leiden müssen. Jetzt aber ist er einmal </w:t>
      </w:r>
      <w:r>
        <w:rPr>
          <w:color w:val="808080"/>
        </w:rPr>
        <w:t>(ein für allemal)</w:t>
      </w:r>
      <w:r>
        <w:rPr/>
        <w:t xml:space="preserve"> am Ende der Zeiten zur Aufhebung der Sünden durch sein Opfer erschienen </w:t>
      </w:r>
      <w:r>
        <w:rPr>
          <w:color w:val="808080"/>
        </w:rPr>
        <w:t>(hat sich offenbart)</w:t>
      </w:r>
      <w:r>
        <w:rPr/>
        <w:t xml:space="preserve">.{{field-off:bible}} </w:t>
        <w:br/>
        <w:t>[[@BibleTOBIBLE:Heb 9:27]]</w:t>
      </w:r>
      <w:r>
        <w:rPr>
          <w:b/>
        </w:rPr>
        <w:t>27</w:t>
      </w:r>
      <w:r>
        <w:rPr/>
        <w:t xml:space="preserve"> {{field-on:bible}}Und in dem Maße, wie es den Menschen bestimmt ist, einmal </w:t>
      </w:r>
      <w:r>
        <w:rPr>
          <w:color w:val="808080"/>
        </w:rPr>
        <w:t>(ein für allemal)</w:t>
      </w:r>
      <w:r>
        <w:rPr/>
        <w:t xml:space="preserve"> zu sterben, danach aber </w:t>
      </w:r>
      <w:r>
        <w:rPr>
          <w:b/>
          <w:color w:val="808080"/>
        </w:rPr>
        <w:t>[</w:t>
      </w:r>
      <w:r>
        <w:rPr/>
        <w:t>kommt</w:t>
      </w:r>
      <w:r>
        <w:rPr>
          <w:b/>
          <w:color w:val="808080"/>
        </w:rPr>
        <w:t>]</w:t>
      </w:r>
      <w:r>
        <w:rPr/>
        <w:t xml:space="preserve"> das Gericht,{{field-off:bible}} </w:t>
        <w:br/>
        <w:t>[[@BibleTOBIBLE:Heb 9:28]]</w:t>
      </w:r>
      <w:r>
        <w:rPr>
          <w:b/>
        </w:rPr>
        <w:t>28</w:t>
      </w:r>
      <w:r>
        <w:rPr/>
        <w:t xml:space="preserve"> {{field-on:bible}}so wurde auch Christus einmal </w:t>
      </w:r>
      <w:r>
        <w:rPr>
          <w:color w:val="808080"/>
        </w:rPr>
        <w:t>(ein für allemal)</w:t>
      </w:r>
      <w:r>
        <w:rPr/>
        <w:t xml:space="preserve"> dargebracht, um sich die Sünden der Vielen aufzuladen. Zum zweiten Mal wird er ohne Sünden denen erscheinen, die ihn zu </w:t>
      </w:r>
      <w:r>
        <w:rPr>
          <w:b/>
          <w:color w:val="808080"/>
        </w:rPr>
        <w:t>[</w:t>
      </w:r>
      <w:r>
        <w:rPr/>
        <w:t>ihrer</w:t>
      </w:r>
      <w:r>
        <w:rPr>
          <w:b/>
          <w:color w:val="808080"/>
        </w:rPr>
        <w:t>]</w:t>
      </w:r>
      <w:r>
        <w:rPr/>
        <w:t xml:space="preserve"> Rettung erwarten.{{field-off:bible}}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604"/>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605"/>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{{field-on:bible}}Es ist aber der Glaube eine Verwirklichung</w:t>
      </w:r>
      <w:r>
        <w:rPr>
          <w:rStyle w:val="Funotenanker"/>
        </w:rPr>
        <w:footnoteReference w:customMarkFollows="1" w:id="6606"/>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607"/>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608"/>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609"/>
        <w:t>a</w:t>
      </w:r>
      <w:r>
        <w:rPr/>
        <w:t xml:space="preserve"> Grüße! </w:t>
      </w:r>
      <w:r>
        <w:rPr>
          <w:rStyle w:val="Funotenanker"/>
        </w:rPr>
        <w:footnoteReference w:customMarkFollows="1" w:id="6610"/>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611"/>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612"/>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613"/>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614"/>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615"/>
        <w:t>g</w:t>
      </w:r>
      <w:r>
        <w:rPr/>
        <w:t xml:space="preserve"> soll ein vollkommenes Werk </w:t>
      </w:r>
      <w:r>
        <w:rPr>
          <w:color w:val="808080"/>
        </w:rPr>
        <w:t>(vollkommenes Handeln)</w:t>
      </w:r>
      <w:r>
        <w:rPr/>
        <w:t xml:space="preserve"> </w:t>
      </w:r>
      <w:r>
        <w:rPr>
          <w:rStyle w:val="Funotenanker"/>
        </w:rPr>
        <w:footnoteReference w:customMarkFollows="1" w:id="6616"/>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617"/>
        <w:t>i</w:t>
      </w:r>
      <w:r>
        <w:rPr/>
        <w:t xml:space="preserve"> , damit </w:t>
      </w:r>
      <w:r>
        <w:rPr>
          <w:color w:val="808080"/>
        </w:rPr>
        <w:t>(:)</w:t>
      </w:r>
      <w:r>
        <w:rPr/>
        <w:t xml:space="preserve"> </w:t>
      </w:r>
      <w:r>
        <w:rPr>
          <w:rStyle w:val="Funotenanker"/>
        </w:rPr>
        <w:footnoteReference w:customMarkFollows="1" w:id="6618"/>
        <w:t>j</w:t>
      </w:r>
      <w:r>
        <w:rPr/>
        <w:t xml:space="preserve"> ihr vollkommen und vollständig und </w:t>
      </w:r>
      <w:r>
        <w:rPr>
          <w:color w:val="808080"/>
        </w:rPr>
        <w:t>(indem, wenn, weil ihr)</w:t>
      </w:r>
      <w:r>
        <w:rPr/>
        <w:t xml:space="preserve"> </w:t>
      </w:r>
      <w:r>
        <w:rPr>
          <w:rStyle w:val="Funotenanker"/>
        </w:rPr>
        <w:footnoteReference w:customMarkFollows="1" w:id="6619"/>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620"/>
        <w:t>l</w:t>
      </w:r>
      <w:r>
        <w:rPr/>
        <w:t xml:space="preserve"> einem </w:t>
      </w:r>
      <w:r>
        <w:rPr>
          <w:color w:val="808080"/>
        </w:rPr>
        <w:t>(jemandem)</w:t>
      </w:r>
      <w:r>
        <w:rPr/>
        <w:t xml:space="preserve"> </w:t>
      </w:r>
      <w:r>
        <w:rPr>
          <w:rStyle w:val="Funotenanker"/>
        </w:rPr>
        <w:footnoteReference w:customMarkFollows="1" w:id="6621"/>
        <w:t>m</w:t>
      </w:r>
      <w:r>
        <w:rPr/>
        <w:t xml:space="preserve"> von euch an Weisheit </w:t>
      </w:r>
      <w:r>
        <w:rPr>
          <w:rStyle w:val="Funotenanker"/>
        </w:rPr>
        <w:footnoteReference w:customMarkFollows="1" w:id="6622"/>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623"/>
        <w:t>o</w:t>
      </w:r>
      <w:r>
        <w:rPr/>
        <w:t xml:space="preserve"> und ohne Vorwürfe </w:t>
      </w:r>
      <w:r>
        <w:rPr>
          <w:rStyle w:val="Funotenanker"/>
        </w:rPr>
        <w:footnoteReference w:customMarkFollows="1" w:id="6624"/>
        <w:t>p</w:t>
      </w:r>
      <w:r>
        <w:rPr/>
        <w:t xml:space="preserve"> gibt, </w:t>
      </w:r>
      <w:r>
        <w:rPr>
          <w:rStyle w:val="Funotenanker"/>
        </w:rPr>
        <w:footnoteReference w:customMarkFollows="1" w:id="6625"/>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626"/>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627"/>
        <w:t>s</w:t>
      </w:r>
      <w:r>
        <w:rPr/>
        <w:t xml:space="preserve"> </w:t>
      </w:r>
      <w:r>
        <w:rPr>
          <w:color w:val="808080"/>
        </w:rPr>
        <w:t>(keinerlei Bedenken haben)</w:t>
      </w:r>
      <w:r>
        <w:rPr/>
        <w:t xml:space="preserve">: Denn wer zweifelt </w:t>
      </w:r>
      <w:r>
        <w:rPr>
          <w:rStyle w:val="Funotenanker"/>
        </w:rPr>
        <w:footnoteReference w:customMarkFollows="1" w:id="6628"/>
        <w:t>t</w:t>
      </w:r>
      <w:r>
        <w:rPr/>
        <w:t xml:space="preserve"> , gleicht einer Meereswoge, die vom Wind bewegt und hin- und hergetrieben wird. </w:t>
      </w:r>
      <w:r>
        <w:rPr>
          <w:rStyle w:val="Funotenanker"/>
        </w:rPr>
        <w:footnoteReference w:customMarkFollows="1" w:id="6629"/>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630"/>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631"/>
        <w:t>w</w:t>
      </w:r>
      <w:r>
        <w:rPr/>
        <w:t>,</w:t>
      </w:r>
      <w:r>
        <w:rPr>
          <w:position w:val="8"/>
          <w:sz w:val="19"/>
        </w:rPr>
        <w:t>[[ ℘ &gt;&gt; BibleTOBIBLE:Jas 4:8]]</w:t>
      </w:r>
      <w:r>
        <w:rPr/>
        <w:t xml:space="preserve"> wankelmütig auf allen seinen Wegen </w:t>
      </w:r>
      <w:r>
        <w:rPr>
          <w:rStyle w:val="Funotenanker"/>
        </w:rPr>
        <w:footnoteReference w:customMarkFollows="1" w:id="6632"/>
        <w:t>x</w:t>
      </w:r>
      <w:r>
        <w:rPr/>
        <w:t xml:space="preserve"> {{field-off:bible}} </w:t>
        <w:br/>
        <w:t>[[@BibleTOBIBLE:Jas 1:9]]</w:t>
      </w:r>
      <w:r>
        <w:rPr>
          <w:b/>
        </w:rPr>
        <w:t>9</w:t>
      </w:r>
      <w:r>
        <w:rPr/>
        <w:t xml:space="preserve"> {{field-on:bible}}Stattdessen</w:t>
      </w:r>
      <w:r>
        <w:rPr>
          <w:rStyle w:val="Funotenanker"/>
        </w:rPr>
        <w:footnoteReference w:customMarkFollows="1" w:id="6633"/>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634"/>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635"/>
        <w:t>aa</w:t>
      </w:r>
      <w:r>
        <w:rPr/>
        <w:t xml:space="preserve"> aber seiner Erniedrigung, denn er wird wie eine Grasblüte</w:t>
      </w:r>
      <w:r>
        <w:rPr>
          <w:rStyle w:val="Funotenanker"/>
        </w:rPr>
        <w:footnoteReference w:customMarkFollows="1" w:id="6636"/>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637"/>
        <w:t>ac</w:t>
      </w:r>
      <w:r>
        <w:rPr/>
        <w:t xml:space="preserve"> mit dem heißen Wind </w:t>
      </w:r>
      <w:r>
        <w:rPr>
          <w:rStyle w:val="Funotenanker"/>
        </w:rPr>
        <w:footnoteReference w:customMarkFollows="1" w:id="6638"/>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639"/>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640"/>
        <w:t>af</w:t>
      </w:r>
      <w:r>
        <w:rPr/>
        <w:t xml:space="preserve">, der eine Bewährungsprobe </w:t>
      </w:r>
      <w:r>
        <w:rPr>
          <w:color w:val="808080"/>
        </w:rPr>
        <w:t>(Prüfung, Versuchung)</w:t>
      </w:r>
      <w:r>
        <w:rPr/>
        <w:t xml:space="preserve"> </w:t>
      </w:r>
      <w:r>
        <w:rPr>
          <w:rStyle w:val="Funotenanker"/>
        </w:rPr>
        <w:footnoteReference w:customMarkFollows="1" w:id="6641"/>
        <w:t>ag</w:t>
      </w:r>
      <w:r>
        <w:rPr/>
        <w:t xml:space="preserve"> </w:t>
      </w:r>
      <w:r>
        <w:rPr>
          <w:b/>
          <w:color w:val="808080"/>
        </w:rPr>
        <w:t>[</w:t>
      </w:r>
      <w:r>
        <w:rPr/>
        <w:t>standhaft</w:t>
      </w:r>
      <w:r>
        <w:rPr>
          <w:b/>
          <w:color w:val="808080"/>
        </w:rPr>
        <w:t>]</w:t>
      </w:r>
      <w:r>
        <w:rPr/>
        <w:t xml:space="preserve"> </w:t>
      </w:r>
      <w:r>
        <w:rPr>
          <w:rStyle w:val="Funotenanker"/>
        </w:rPr>
        <w:footnoteReference w:customMarkFollows="1" w:id="6642"/>
        <w:t>ah</w:t>
      </w:r>
      <w:r>
        <w:rPr/>
        <w:t xml:space="preserve"> erträgt, denn wenn </w:t>
      </w:r>
      <w:r>
        <w:rPr>
          <w:color w:val="808080"/>
        </w:rPr>
        <w:t>(weil, indem)</w:t>
      </w:r>
      <w:r>
        <w:rPr/>
        <w:t xml:space="preserve"> </w:t>
      </w:r>
      <w:r>
        <w:rPr>
          <w:rStyle w:val="Funotenanker"/>
        </w:rPr>
        <w:footnoteReference w:customMarkFollows="1" w:id="6643"/>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644"/>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645"/>
        <w:t>ak</w:t>
      </w:r>
      <w:r>
        <w:rPr/>
        <w:t xml:space="preserve"> denen verheißen hat, die ihn lieben</w:t>
      </w:r>
      <w:r>
        <w:rPr>
          <w:rStyle w:val="Funotenanker"/>
        </w:rPr>
        <w:footnoteReference w:customMarkFollows="1" w:id="6646"/>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647"/>
        <w:t>am</w:t>
      </w:r>
      <w:r>
        <w:rPr/>
        <w:t xml:space="preserve"> sagen</w:t>
      </w:r>
      <w:r>
        <w:rPr>
          <w:rStyle w:val="Funotenanker"/>
        </w:rPr>
        <w:footnoteReference w:customMarkFollows="1" w:id="6648"/>
        <w:t>an</w:t>
      </w:r>
      <w:r>
        <w:rPr/>
        <w:t xml:space="preserve">, </w:t>
      </w:r>
      <w:r>
        <w:rPr>
          <w:strike/>
          <w:color w:val="808080"/>
        </w:rPr>
        <w:t>{dass}</w:t>
      </w:r>
      <w:r>
        <w:rPr/>
        <w:t xml:space="preserve"> </w:t>
      </w:r>
      <w:r>
        <w:rPr>
          <w:rStyle w:val="Funotenanker"/>
        </w:rPr>
        <w:footnoteReference w:customMarkFollows="1" w:id="6649"/>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650"/>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651"/>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652"/>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653"/>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654"/>
        <w:t>at</w:t>
      </w:r>
      <w:r>
        <w:rPr/>
        <w:t xml:space="preserve">, gebiert Tod.{{field-off:bible}} </w:t>
        <w:br/>
        <w:t>[[@BibleTOBIBLE:Jas 1:16]]</w:t>
      </w:r>
      <w:r>
        <w:rPr>
          <w:b/>
        </w:rPr>
        <w:t>16</w:t>
      </w:r>
      <w:r>
        <w:rPr/>
        <w:t xml:space="preserve"> {{field-on:bible}}Lasst euch nicht täuschen</w:t>
      </w:r>
      <w:r>
        <w:rPr>
          <w:rStyle w:val="Funotenanker"/>
        </w:rPr>
        <w:footnoteReference w:customMarkFollows="1" w:id="6655"/>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656"/>
        <w:t>av</w:t>
      </w:r>
      <w:r>
        <w:rPr/>
        <w:t xml:space="preserve"> vom Vater der Lichter</w:t>
      </w:r>
      <w:r>
        <w:rPr>
          <w:rStyle w:val="Funotenanker"/>
        </w:rPr>
        <w:footnoteReference w:customMarkFollows="1" w:id="6657"/>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658"/>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659"/>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660"/>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661"/>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662"/>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663"/>
        <w:t>bc</w:t>
      </w:r>
      <w:r>
        <w:rPr/>
        <w:t>.</w:t>
      </w:r>
      <w:r>
        <w:rPr>
          <w:rStyle w:val="Funotenanker"/>
        </w:rPr>
        <w:footnoteReference w:customMarkFollows="1" w:id="6664"/>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665"/>
        <w:t>be</w:t>
      </w:r>
      <w:r>
        <w:rPr/>
        <w:t xml:space="preserve"> ab </w:t>
      </w:r>
      <w:r>
        <w:rPr>
          <w:b/>
          <w:color w:val="808080"/>
        </w:rPr>
        <w:t>[</w:t>
      </w:r>
      <w:r>
        <w:rPr/>
        <w:t>und</w:t>
      </w:r>
      <w:r>
        <w:rPr>
          <w:b/>
          <w:color w:val="808080"/>
        </w:rPr>
        <w:t>]</w:t>
      </w:r>
      <w:r>
        <w:rPr/>
        <w:t xml:space="preserve"> </w:t>
      </w:r>
      <w:r>
        <w:rPr>
          <w:rStyle w:val="Funotenanker"/>
        </w:rPr>
        <w:footnoteReference w:customMarkFollows="1" w:id="6666"/>
        <w:t>bf</w:t>
      </w:r>
      <w:r>
        <w:rPr/>
        <w:t xml:space="preserve"> nehmt das eingepflanzte Wort, das eure Seelen zu retten vermag, in Bescheidenheit</w:t>
      </w:r>
      <w:r>
        <w:rPr>
          <w:rStyle w:val="Funotenanker"/>
        </w:rPr>
        <w:footnoteReference w:customMarkFollows="1" w:id="6667"/>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668"/>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669"/>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670"/>
        <w:t>bj</w:t>
      </w:r>
      <w:r>
        <w:rPr/>
        <w:t xml:space="preserve"> in einem Spiegel betrachtet</w:t>
      </w:r>
      <w:r>
        <w:rPr>
          <w:rStyle w:val="Funotenanker"/>
        </w:rPr>
        <w:footnoteReference w:customMarkFollows="1" w:id="6671"/>
        <w:t>bk</w:t>
      </w:r>
      <w:r>
        <w:rPr/>
        <w:t xml:space="preserve"> –</w:t>
      </w:r>
      <w:r>
        <w:rPr>
          <w:rStyle w:val="Funotenanker"/>
        </w:rPr>
        <w:footnoteReference w:customMarkFollows="1" w:id="6672"/>
        <w:t>bl</w:t>
      </w:r>
      <w:r>
        <w:rPr/>
        <w:t xml:space="preserve"> {{field-off:bible}} </w:t>
        <w:br/>
        <w:t>[[@BibleTOBIBLE:Jas 1:24]]</w:t>
      </w:r>
      <w:r>
        <w:rPr>
          <w:b/>
        </w:rPr>
        <w:t>24</w:t>
      </w:r>
      <w:r>
        <w:rPr/>
        <w:t xml:space="preserve"> {{field-on:bible}}denn er betrachtet sich</w:t>
      </w:r>
      <w:r>
        <w:rPr>
          <w:rStyle w:val="Funotenanker"/>
        </w:rPr>
        <w:footnoteReference w:customMarkFollows="1" w:id="6673"/>
        <w:t>bm</w:t>
      </w:r>
      <w:r>
        <w:rPr/>
        <w:t xml:space="preserve"> und geht weg und vergisst sofort, wie er aussah</w:t>
      </w:r>
      <w:r>
        <w:rPr>
          <w:rStyle w:val="Funotenanker"/>
        </w:rPr>
        <w:footnoteReference w:customMarkFollows="1" w:id="6674"/>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675"/>
        <w:t>bo</w:t>
      </w:r>
      <w:r>
        <w:rPr/>
        <w:t xml:space="preserve"> und dabei bleibt</w:t>
      </w:r>
      <w:r>
        <w:rPr>
          <w:rStyle w:val="Funotenanker"/>
        </w:rPr>
        <w:footnoteReference w:customMarkFollows="1" w:id="6676"/>
        <w:t>bp</w:t>
      </w:r>
      <w:r>
        <w:rPr/>
        <w:t>, indem er kein vergesslicher Hörer</w:t>
      </w:r>
      <w:r>
        <w:rPr>
          <w:rStyle w:val="Funotenanker"/>
        </w:rPr>
        <w:footnoteReference w:customMarkFollows="1" w:id="6677"/>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678"/>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679"/>
        <w:t>bs</w:t>
      </w:r>
      <w:r>
        <w:rPr/>
        <w:t xml:space="preserve"> seine Zunge nicht im Zaum hält, sondern sein Herz betrügt</w:t>
      </w:r>
      <w:r>
        <w:rPr>
          <w:rStyle w:val="Funotenanker"/>
        </w:rPr>
        <w:footnoteReference w:customMarkFollows="1" w:id="6680"/>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681"/>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682"/>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683"/>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684"/>
        <w:t>a</w:t>
      </w:r>
      <w:r>
        <w:rPr/>
        <w:t xml:space="preserve"> der Herrlichkeit</w:t>
      </w:r>
      <w:r>
        <w:rPr>
          <w:rStyle w:val="Funotenanker"/>
        </w:rPr>
        <w:footnoteReference w:customMarkFollows="1" w:id="6685"/>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686"/>
        <w:t>c</w:t>
      </w:r>
      <w:r>
        <w:rPr/>
        <w:t xml:space="preserve"> ein Mann mit goldenen Ringen an den Fingern</w:t>
      </w:r>
      <w:r>
        <w:rPr>
          <w:rStyle w:val="Funotenanker"/>
        </w:rPr>
        <w:footnoteReference w:customMarkFollows="1" w:id="6687"/>
        <w:t>d</w:t>
      </w:r>
      <w:r>
        <w:rPr/>
        <w:t xml:space="preserve"> in prächtiger</w:t>
      </w:r>
      <w:r>
        <w:rPr>
          <w:rStyle w:val="Funotenanker"/>
        </w:rPr>
        <w:footnoteReference w:customMarkFollows="1" w:id="6688"/>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689"/>
        <w:t>f</w:t>
      </w:r>
      <w:r>
        <w:rPr/>
        <w:t>, und sagt: Setze du dich hier auf den guten Platz</w:t>
      </w:r>
      <w:r>
        <w:rPr>
          <w:rStyle w:val="Funotenanker"/>
        </w:rPr>
        <w:footnoteReference w:customMarkFollows="1" w:id="6690"/>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691"/>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692"/>
        <w:t>i</w:t>
      </w:r>
      <w:r>
        <w:rPr/>
        <w:t xml:space="preserve"> unterschieden</w:t>
      </w:r>
      <w:r>
        <w:rPr>
          <w:rStyle w:val="Funotenanker"/>
        </w:rPr>
        <w:footnoteReference w:customMarkFollows="1" w:id="6693"/>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694"/>
        <w:t>k</w:t>
      </w:r>
      <w:r>
        <w:rPr/>
        <w:t xml:space="preserve"> geworden?</w:t>
      </w:r>
      <w:r>
        <w:rPr>
          <w:rStyle w:val="Funotenanker"/>
        </w:rPr>
        <w:footnoteReference w:customMarkFollows="1" w:id="6695"/>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696"/>
        <w:t>m</w:t>
      </w:r>
      <w:r>
        <w:rPr/>
        <w:t xml:space="preserve"> Armen </w:t>
      </w:r>
      <w:r>
        <w:rPr>
          <w:b/>
          <w:color w:val="808080"/>
        </w:rPr>
        <w:t>[</w:t>
      </w:r>
      <w:r>
        <w:rPr/>
        <w:t>dazu</w:t>
      </w:r>
      <w:r>
        <w:rPr>
          <w:b/>
          <w:color w:val="808080"/>
        </w:rPr>
        <w:t>]</w:t>
      </w:r>
      <w:r>
        <w:rPr/>
        <w:t xml:space="preserve"> erwählt</w:t>
      </w:r>
      <w:r>
        <w:rPr>
          <w:rStyle w:val="Funotenanker"/>
        </w:rPr>
        <w:footnoteReference w:customMarkFollows="1" w:id="6697"/>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698"/>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699"/>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700"/>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701"/>
        <w:t>r</w:t>
      </w:r>
      <w:r>
        <w:rPr/>
        <w:t>.</w:t>
      </w:r>
      <w:r>
        <w:rPr>
          <w:rStyle w:val="Funotenanker"/>
        </w:rPr>
        <w:footnoteReference w:customMarkFollows="1" w:id="6702"/>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703"/>
        <w:t>t</w:t>
      </w:r>
      <w:r>
        <w:rPr/>
        <w:t xml:space="preserve"> </w:t>
      </w:r>
      <w:r>
        <w:rPr>
          <w:color w:val="808080"/>
        </w:rPr>
        <w:t>)</w:t>
      </w:r>
      <w:r>
        <w:rPr/>
        <w:t>, begeht ihr Sünde, indem ihr vom Gesetz als Übertreter</w:t>
      </w:r>
      <w:r>
        <w:rPr>
          <w:rStyle w:val="Funotenanker"/>
        </w:rPr>
        <w:footnoteReference w:customMarkFollows="1" w:id="6704"/>
        <w:t>u</w:t>
      </w:r>
      <w:r>
        <w:rPr/>
        <w:t xml:space="preserve"> überführt werdet</w:t>
      </w:r>
      <w:r>
        <w:rPr>
          <w:rStyle w:val="Funotenanker"/>
        </w:rPr>
        <w:footnoteReference w:customMarkFollows="1" w:id="6705"/>
        <w:t>v</w:t>
      </w:r>
      <w:r>
        <w:rPr/>
        <w:t>.</w:t>
      </w:r>
      <w:r>
        <w:rPr>
          <w:rStyle w:val="Funotenanker"/>
        </w:rPr>
        <w:footnoteReference w:customMarkFollows="1" w:id="6706"/>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707"/>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708"/>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709"/>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710"/>
        <w:t>aa</w:t>
      </w:r>
      <w:r>
        <w:rPr/>
        <w:t>.</w:t>
      </w:r>
      <w:r>
        <w:rPr>
          <w:rStyle w:val="Funotenanker"/>
        </w:rPr>
        <w:footnoteReference w:customMarkFollows="1" w:id="6711"/>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712"/>
        <w:t>ac</w:t>
      </w:r>
      <w:r>
        <w:rPr/>
        <w:t xml:space="preserve"> dem Gesetz der Freiheit gerichtet </w:t>
      </w:r>
      <w:r>
        <w:rPr>
          <w:color w:val="808080"/>
        </w:rPr>
        <w:t>(werden wollen)</w:t>
      </w:r>
      <w:r>
        <w:rPr/>
        <w:t xml:space="preserve"> </w:t>
      </w:r>
      <w:r>
        <w:rPr>
          <w:rStyle w:val="Funotenanker"/>
        </w:rPr>
        <w:footnoteReference w:customMarkFollows="1" w:id="6713"/>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714"/>
        <w:t>ae</w:t>
      </w:r>
      <w:r>
        <w:rPr/>
        <w:t xml:space="preserve"> meine Geschwister, wenn jemand Glauben zu haben behauptet, aber keine Werke hat?</w:t>
      </w:r>
      <w:r>
        <w:rPr>
          <w:rStyle w:val="Funotenanker"/>
        </w:rPr>
        <w:footnoteReference w:customMarkFollows="1" w:id="6715"/>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716"/>
        <w:t>ag</w:t>
      </w:r>
      <w:r>
        <w:rPr/>
        <w:t>, wärmt euch und esst euch satt!“, aber ihr gebt ihnen nicht, was für den Leib erforderlich ist</w:t>
      </w:r>
      <w:r>
        <w:rPr>
          <w:rStyle w:val="Funotenanker"/>
        </w:rPr>
        <w:footnoteReference w:customMarkFollows="1" w:id="6717"/>
        <w:t>ah</w:t>
      </w:r>
      <w:r>
        <w:rPr/>
        <w:t>, was nützt das</w:t>
      </w:r>
      <w:r>
        <w:rPr>
          <w:rStyle w:val="Funotenanker"/>
        </w:rPr>
        <w:footnoteReference w:customMarkFollows="1" w:id="6718"/>
        <w:t>ai</w:t>
      </w:r>
      <w:r>
        <w:rPr/>
        <w:t>?</w:t>
      </w:r>
      <w:r>
        <w:rPr>
          <w:rStyle w:val="Funotenanker"/>
        </w:rPr>
        <w:footnoteReference w:customMarkFollows="1" w:id="6719"/>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720"/>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721"/>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722"/>
        <w:t>am</w:t>
      </w:r>
      <w:r>
        <w:rPr/>
        <w:t xml:space="preserve"> – Du hast recht!</w:t>
      </w:r>
      <w:r>
        <w:rPr>
          <w:rStyle w:val="Funotenanker"/>
        </w:rPr>
        <w:footnoteReference w:customMarkFollows="1" w:id="6723"/>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724"/>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725"/>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726"/>
        <w:t>aq</w:t>
      </w:r>
      <w:r>
        <w:rPr/>
        <w:t xml:space="preserve">?{{field-off:bible}} </w:t>
        <w:br/>
        <w:t>[[@BibleTOBIBLE:Jas 2:22]]</w:t>
      </w:r>
      <w:r>
        <w:rPr>
          <w:b/>
        </w:rPr>
        <w:t>22</w:t>
      </w:r>
      <w:r>
        <w:rPr/>
        <w:t xml:space="preserve"> {{field-on:bible}}Du siehst, dass der Glaube mit seinen</w:t>
      </w:r>
      <w:r>
        <w:rPr>
          <w:rStyle w:val="Funotenanker"/>
        </w:rPr>
        <w:footnoteReference w:customMarkFollows="1" w:id="6727"/>
        <w:t>ar</w:t>
      </w:r>
      <w:r>
        <w:rPr/>
        <w:t xml:space="preserve"> Werken zusammenwirkte</w:t>
      </w:r>
      <w:r>
        <w:rPr>
          <w:rStyle w:val="Funotenanker"/>
        </w:rPr>
        <w:footnoteReference w:customMarkFollows="1" w:id="6728"/>
        <w:t>as</w:t>
      </w:r>
      <w:r>
        <w:rPr/>
        <w:t xml:space="preserve"> und durch die</w:t>
      </w:r>
      <w:r>
        <w:rPr>
          <w:rStyle w:val="Funotenanker"/>
        </w:rPr>
        <w:footnoteReference w:customMarkFollows="1" w:id="6729"/>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730"/>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731"/>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732"/>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733"/>
        <w:t>ax</w:t>
      </w:r>
      <w:r>
        <w:rPr/>
        <w:t xml:space="preserve"> hinausführte?</w:t>
      </w:r>
      <w:r>
        <w:rPr>
          <w:rStyle w:val="Funotenanker"/>
        </w:rPr>
        <w:footnoteReference w:customMarkFollows="1" w:id="6734"/>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735"/>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736"/>
        <w:t>a</w:t>
      </w:r>
      <w:r>
        <w:rPr/>
        <w:t xml:space="preserve"> meine Geschwister, denn ihr wisst,</w:t>
      </w:r>
      <w:r>
        <w:rPr>
          <w:rStyle w:val="Funotenanker"/>
        </w:rPr>
        <w:footnoteReference w:customMarkFollows="1" w:id="6737"/>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738"/>
        <w:t>c</w:t>
      </w:r>
      <w:r>
        <w:rPr/>
        <w:t xml:space="preserve"> vielfach </w:t>
      </w:r>
      <w:r>
        <w:rPr>
          <w:color w:val="808080"/>
        </w:rPr>
        <w:t>(in vieler Hinsicht)</w:t>
      </w:r>
      <w:r>
        <w:rPr/>
        <w:t>. Wenn jemand beim Reden</w:t>
      </w:r>
      <w:r>
        <w:rPr>
          <w:rStyle w:val="Funotenanker"/>
        </w:rPr>
        <w:footnoteReference w:customMarkFollows="1" w:id="6739"/>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740"/>
        <w:t>e</w:t>
      </w:r>
      <w:r>
        <w:rPr/>
        <w:t xml:space="preserve">, fähig, auch den ganzen Körper zu zügeln </w:t>
      </w:r>
      <w:r>
        <w:rPr>
          <w:color w:val="808080"/>
        </w:rPr>
        <w:t>(in Zaum zu halten)</w:t>
      </w:r>
      <w:r>
        <w:rPr/>
        <w:t>.</w:t>
      </w:r>
      <w:r>
        <w:rPr>
          <w:rStyle w:val="Funotenanker"/>
        </w:rPr>
        <w:footnoteReference w:customMarkFollows="1" w:id="6741"/>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742"/>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743"/>
        <w:t>h</w:t>
      </w:r>
      <w:r>
        <w:rPr/>
        <w:t xml:space="preserve"> legen, damit sie uns gehorchen,</w:t>
      </w:r>
      <w:r>
        <w:rPr>
          <w:rStyle w:val="Funotenanker"/>
        </w:rPr>
        <w:footnoteReference w:customMarkFollows="1" w:id="6744"/>
        <w:t>i</w:t>
      </w:r>
      <w:r>
        <w:rPr/>
        <w:t xml:space="preserve"> dann</w:t>
      </w:r>
      <w:r>
        <w:rPr>
          <w:rStyle w:val="Funotenanker"/>
        </w:rPr>
        <w:footnoteReference w:customMarkFollows="1" w:id="6745"/>
        <w:t>j</w:t>
      </w:r>
      <w:r>
        <w:rPr/>
        <w:t xml:space="preserve"> lenken wir ihren ganzen Körper.</w:t>
      </w:r>
      <w:r>
        <w:rPr>
          <w:rStyle w:val="Funotenanker"/>
        </w:rPr>
        <w:footnoteReference w:customMarkFollows="1" w:id="6746"/>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747"/>
        <w:t>l</w:t>
      </w:r>
      <w:r>
        <w:rPr/>
        <w:t xml:space="preserve"> werden sie von einem winzigen</w:t>
      </w:r>
      <w:r>
        <w:rPr>
          <w:rStyle w:val="Funotenanker"/>
        </w:rPr>
        <w:footnoteReference w:customMarkFollows="1" w:id="6748"/>
        <w:t>m</w:t>
      </w:r>
      <w:r>
        <w:rPr/>
        <w:t xml:space="preserve"> Steuerruder gelenkt, wohin die Absicht </w:t>
      </w:r>
      <w:r>
        <w:rPr>
          <w:color w:val="808080"/>
        </w:rPr>
        <w:t>(Drang, Eifer, Trachten)</w:t>
      </w:r>
      <w:r>
        <w:rPr/>
        <w:t xml:space="preserve"> </w:t>
      </w:r>
      <w:r>
        <w:rPr>
          <w:rStyle w:val="Funotenanker"/>
        </w:rPr>
        <w:footnoteReference w:customMarkFollows="1" w:id="6749"/>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750"/>
        <w:t>o</w:t>
      </w:r>
      <w:r>
        <w:rPr/>
        <w:t xml:space="preserve"> steht</w:t>
      </w:r>
      <w:r>
        <w:rPr>
          <w:rStyle w:val="Funotenanker"/>
        </w:rPr>
        <w:footnoteReference w:customMarkFollows="1" w:id="6751"/>
        <w:t>p</w:t>
      </w:r>
      <w:r>
        <w:rPr/>
        <w:t xml:space="preserve"> die Zunge unter unseren Gliedern da;</w:t>
      </w:r>
      <w:r>
        <w:rPr>
          <w:rStyle w:val="Funotenanker"/>
        </w:rPr>
        <w:footnoteReference w:customMarkFollows="1" w:id="6752"/>
        <w:t>q</w:t>
      </w:r>
      <w:r>
        <w:rPr/>
        <w:t xml:space="preserve"> sie, die den ganzen Körper beschmutzt und das Rad</w:t>
      </w:r>
      <w:r>
        <w:rPr>
          <w:rStyle w:val="Funotenanker"/>
        </w:rPr>
        <w:footnoteReference w:customMarkFollows="1" w:id="6753"/>
        <w:t>r</w:t>
      </w:r>
      <w:r>
        <w:rPr/>
        <w:t xml:space="preserve"> des Werdens</w:t>
      </w:r>
      <w:r>
        <w:rPr>
          <w:rStyle w:val="Funotenanker"/>
        </w:rPr>
        <w:footnoteReference w:customMarkFollows="1" w:id="6754"/>
        <w:t>s</w:t>
      </w:r>
      <w:r>
        <w:rPr/>
        <w:t xml:space="preserve"> in Brand setzt,</w:t>
      </w:r>
      <w:r>
        <w:rPr>
          <w:rStyle w:val="Funotenanker"/>
        </w:rPr>
        <w:footnoteReference w:customMarkFollows="1" w:id="6755"/>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756"/>
        <w:t>u</w:t>
      </w:r>
      <w:r>
        <w:rPr/>
        <w:t xml:space="preserve"> in Brand gesetzt.</w:t>
      </w:r>
      <w:r>
        <w:rPr>
          <w:rStyle w:val="Funotenanker"/>
        </w:rPr>
        <w:footnoteReference w:customMarkFollows="1" w:id="6757"/>
        <w:t>v</w:t>
      </w:r>
      <w:r>
        <w:rPr/>
        <w:t xml:space="preserve"> {{field-off:bible}} </w:t>
        <w:br/>
        <w:t>[[@BibleTOBIBLE:Jas 3:7]]</w:t>
      </w:r>
      <w:r>
        <w:rPr>
          <w:b/>
        </w:rPr>
        <w:t>7</w:t>
      </w:r>
      <w:r>
        <w:rPr/>
        <w:t xml:space="preserve"> {{field-on:bible}}Jede</w:t>
      </w:r>
      <w:r>
        <w:rPr>
          <w:rStyle w:val="Funotenanker"/>
        </w:rPr>
        <w:footnoteReference w:customMarkFollows="1" w:id="6758"/>
        <w:t>w</w:t>
      </w:r>
      <w:r>
        <w:rPr/>
        <w:t xml:space="preserve"> Art </w:t>
      </w:r>
      <w:r>
        <w:rPr>
          <w:b/>
          <w:color w:val="808080"/>
        </w:rPr>
        <w:t>[</w:t>
      </w:r>
      <w:r>
        <w:rPr/>
        <w:t>der</w:t>
      </w:r>
      <w:r>
        <w:rPr>
          <w:b/>
          <w:color w:val="808080"/>
        </w:rPr>
        <w:t>]</w:t>
      </w:r>
      <w:r>
        <w:rPr/>
        <w:t xml:space="preserve"> Säugetiere</w:t>
      </w:r>
      <w:r>
        <w:rPr>
          <w:rStyle w:val="Funotenanker"/>
        </w:rPr>
        <w:footnoteReference w:customMarkFollows="1" w:id="6759"/>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760"/>
        <w:t>y</w:t>
      </w:r>
      <w:r>
        <w:rPr/>
        <w:t xml:space="preserve"> gezähmt worden</w:t>
      </w:r>
      <w:r>
        <w:rPr>
          <w:rStyle w:val="Funotenanker"/>
        </w:rPr>
        <w:footnoteReference w:customMarkFollows="1" w:id="6761"/>
        <w:t>z</w:t>
      </w:r>
      <w:r>
        <w:rPr/>
        <w:t xml:space="preserve">,{{field-off:bible}} </w:t>
        <w:br/>
        <w:t>[[@BibleTOBIBLE:Jas 3:8]]</w:t>
      </w:r>
      <w:r>
        <w:rPr>
          <w:b/>
        </w:rPr>
        <w:t>8</w:t>
      </w:r>
      <w:r>
        <w:rPr/>
        <w:t xml:space="preserve"> {{field-on:bible}}aber die Zunge vermag kein Mensch</w:t>
      </w:r>
      <w:r>
        <w:rPr>
          <w:rStyle w:val="Funotenanker"/>
        </w:rPr>
        <w:footnoteReference w:customMarkFollows="1" w:id="6762"/>
        <w:t>aa</w:t>
      </w:r>
      <w:r>
        <w:rPr/>
        <w:t xml:space="preserve"> zu bändigen, </w:t>
      </w:r>
      <w:r>
        <w:rPr>
          <w:b/>
          <w:color w:val="808080"/>
        </w:rPr>
        <w:t>[</w:t>
      </w:r>
      <w:r>
        <w:rPr/>
        <w:t>das</w:t>
      </w:r>
      <w:r>
        <w:rPr>
          <w:b/>
          <w:color w:val="808080"/>
        </w:rPr>
        <w:t>]</w:t>
      </w:r>
      <w:r>
        <w:rPr/>
        <w:t xml:space="preserve"> </w:t>
      </w:r>
      <w:r>
        <w:rPr>
          <w:rStyle w:val="Funotenanker"/>
        </w:rPr>
        <w:footnoteReference w:customMarkFollows="1" w:id="6763"/>
        <w:t>ab</w:t>
      </w:r>
      <w:r>
        <w:rPr/>
        <w:t xml:space="preserve"> ruhelose </w:t>
      </w:r>
      <w:r>
        <w:rPr>
          <w:color w:val="808080"/>
        </w:rPr>
        <w:t>(unruhige</w:t>
      </w:r>
      <w:r>
        <w:rPr/>
        <w:t xml:space="preserve"> </w:t>
      </w:r>
      <w:r>
        <w:rPr>
          <w:rStyle w:val="Funotenanker"/>
        </w:rPr>
        <w:footnoteReference w:customMarkFollows="1" w:id="6764"/>
        <w:t>ac</w:t>
      </w:r>
      <w:r>
        <w:rPr/>
        <w:t xml:space="preserve"> </w:t>
      </w:r>
      <w:r>
        <w:rPr>
          <w:color w:val="808080"/>
        </w:rPr>
        <w:t>, unkontrollierte</w:t>
      </w:r>
      <w:r>
        <w:rPr/>
        <w:t xml:space="preserve"> </w:t>
      </w:r>
      <w:r>
        <w:rPr>
          <w:rStyle w:val="Funotenanker"/>
        </w:rPr>
        <w:footnoteReference w:customMarkFollows="1" w:id="6765"/>
        <w:t>ad</w:t>
      </w:r>
      <w:r>
        <w:rPr/>
        <w:t xml:space="preserve"> </w:t>
      </w:r>
      <w:r>
        <w:rPr>
          <w:color w:val="808080"/>
        </w:rPr>
        <w:t>, wankelmütige</w:t>
      </w:r>
      <w:r>
        <w:rPr/>
        <w:t xml:space="preserve"> </w:t>
      </w:r>
      <w:r>
        <w:rPr>
          <w:rStyle w:val="Funotenanker"/>
        </w:rPr>
        <w:footnoteReference w:customMarkFollows="1" w:id="6766"/>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767"/>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768"/>
        <w:t>ag</w:t>
      </w:r>
      <w:r>
        <w:rPr/>
        <w:t>:</w:t>
      </w:r>
      <w:r>
        <w:rPr>
          <w:rStyle w:val="Funotenanker"/>
        </w:rPr>
        <w:footnoteReference w:customMarkFollows="1" w:id="6769"/>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770"/>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771"/>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772"/>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773"/>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774"/>
        <w:t>am</w:t>
      </w:r>
      <w:r>
        <w:rPr/>
        <w:t xml:space="preserve"> unter euch? Er soll durch</w:t>
      </w:r>
      <w:r>
        <w:rPr>
          <w:rStyle w:val="Funotenanker"/>
        </w:rPr>
        <w:footnoteReference w:customMarkFollows="1" w:id="6775"/>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776"/>
        <w:t>ao</w:t>
      </w:r>
      <w:r>
        <w:rPr/>
        <w:t xml:space="preserve"> </w:t>
      </w:r>
      <w:r>
        <w:rPr>
          <w:b/>
          <w:color w:val="808080"/>
        </w:rPr>
        <w:t>[</w:t>
      </w:r>
      <w:r>
        <w:rPr/>
        <w:t>aus</w:t>
      </w:r>
      <w:r>
        <w:rPr>
          <w:b/>
          <w:color w:val="808080"/>
        </w:rPr>
        <w:t>]</w:t>
      </w:r>
      <w:r>
        <w:rPr/>
        <w:t xml:space="preserve"> Weisheit</w:t>
      </w:r>
      <w:r>
        <w:rPr>
          <w:rStyle w:val="Funotenanker"/>
        </w:rPr>
        <w:footnoteReference w:customMarkFollows="1" w:id="6777"/>
        <w:t>ap</w:t>
      </w:r>
      <w:r>
        <w:rPr/>
        <w:t xml:space="preserve"> erweisen </w:t>
      </w:r>
      <w:r>
        <w:rPr>
          <w:color w:val="808080"/>
        </w:rPr>
        <w:t>(muss erweisen</w:t>
      </w:r>
      <w:r>
        <w:rPr/>
        <w:t xml:space="preserve"> </w:t>
      </w:r>
      <w:r>
        <w:rPr>
          <w:rStyle w:val="Funotenanker"/>
        </w:rPr>
        <w:footnoteReference w:customMarkFollows="1" w:id="6778"/>
        <w:t>aq</w:t>
      </w:r>
      <w:r>
        <w:rPr/>
        <w:t xml:space="preserve"> </w:t>
      </w:r>
      <w:r>
        <w:rPr>
          <w:color w:val="808080"/>
        </w:rPr>
        <w:t>)</w:t>
      </w:r>
      <w:r>
        <w:rPr/>
        <w:t xml:space="preserve"> </w:t>
      </w:r>
      <w:r>
        <w:rPr>
          <w:rStyle w:val="Funotenanker"/>
        </w:rPr>
        <w:footnoteReference w:customMarkFollows="1" w:id="6779"/>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780"/>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781"/>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782"/>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783"/>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784"/>
        <w:t>aw</w:t>
      </w:r>
      <w:r>
        <w:rPr/>
        <w:t xml:space="preserve"> gemeinem </w:t>
      </w:r>
      <w:r>
        <w:rPr>
          <w:color w:val="808080"/>
        </w:rPr>
        <w:t>(niederem, schlimmem)</w:t>
      </w:r>
      <w:r>
        <w:rPr/>
        <w:t xml:space="preserve"> </w:t>
      </w:r>
      <w:r>
        <w:rPr>
          <w:rStyle w:val="Funotenanker"/>
        </w:rPr>
        <w:footnoteReference w:customMarkFollows="1" w:id="6785"/>
        <w:t>ax</w:t>
      </w:r>
      <w:r>
        <w:rPr/>
        <w:t xml:space="preserve"> Tun </w:t>
      </w:r>
      <w:r>
        <w:rPr>
          <w:color w:val="808080"/>
        </w:rPr>
        <w:t>(Sache, Tat; Rechtsstreit</w:t>
      </w:r>
      <w:r>
        <w:rPr/>
        <w:t xml:space="preserve"> </w:t>
      </w:r>
      <w:r>
        <w:rPr>
          <w:rStyle w:val="Funotenanker"/>
        </w:rPr>
        <w:footnoteReference w:customMarkFollows="1" w:id="6786"/>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787"/>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788"/>
        <w:t>ba</w:t>
      </w:r>
      <w:r>
        <w:rPr/>
        <w:t xml:space="preserve"> </w:t>
      </w:r>
      <w:r>
        <w:rPr>
          <w:b/>
          <w:color w:val="808080"/>
        </w:rPr>
        <w:t>[</w:t>
      </w:r>
      <w:r>
        <w:rPr/>
        <w:t>die</w:t>
      </w:r>
      <w:r>
        <w:rPr>
          <w:b/>
          <w:color w:val="808080"/>
        </w:rPr>
        <w:t>]</w:t>
      </w:r>
      <w:r>
        <w:rPr/>
        <w:t xml:space="preserve"> Ernte</w:t>
      </w:r>
      <w:r>
        <w:rPr>
          <w:rStyle w:val="Funotenanker"/>
        </w:rPr>
        <w:footnoteReference w:customMarkFollows="1" w:id="6789"/>
        <w:t>bb</w:t>
      </w:r>
      <w:r>
        <w:rPr/>
        <w:t xml:space="preserve"> </w:t>
      </w:r>
      <w:r>
        <w:rPr>
          <w:b/>
          <w:color w:val="808080"/>
        </w:rPr>
        <w:t>[</w:t>
      </w:r>
      <w:r>
        <w:rPr/>
        <w:t>der</w:t>
      </w:r>
      <w:r>
        <w:rPr>
          <w:b/>
          <w:color w:val="808080"/>
        </w:rPr>
        <w:t>]</w:t>
      </w:r>
      <w:r>
        <w:rPr/>
        <w:t xml:space="preserve"> Gerechtigkeit</w:t>
      </w:r>
      <w:r>
        <w:rPr>
          <w:rStyle w:val="Funotenanker"/>
        </w:rPr>
        <w:footnoteReference w:customMarkFollows="1" w:id="6790"/>
        <w:t>bc</w:t>
      </w:r>
      <w:r>
        <w:rPr/>
        <w:t xml:space="preserve"> wird in Frieden gesät für</w:t>
      </w:r>
      <w:r>
        <w:rPr>
          <w:rStyle w:val="Funotenanker"/>
        </w:rPr>
        <w:footnoteReference w:customMarkFollows="1" w:id="6791"/>
        <w:t>bd</w:t>
      </w:r>
      <w:r>
        <w:rPr/>
        <w:t xml:space="preserve"> jene, die Frieden stiften</w:t>
      </w:r>
      <w:r>
        <w:rPr>
          <w:rStyle w:val="Funotenanker"/>
        </w:rPr>
        <w:footnoteReference w:customMarkFollows="1" w:id="6792"/>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793"/>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794"/>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795"/>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796"/>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797"/>
        <w:t>d</w:t>
      </w:r>
      <w:r>
        <w:rPr/>
        <w:t xml:space="preserve"> nicht, ihr mordet </w:t>
      </w:r>
      <w:r>
        <w:rPr>
          <w:color w:val="808080"/>
        </w:rPr>
        <w:t>(tötet; beneidet)</w:t>
      </w:r>
      <w:r>
        <w:rPr/>
        <w:t xml:space="preserve"> </w:t>
      </w:r>
      <w:r>
        <w:rPr>
          <w:rStyle w:val="Funotenanker"/>
        </w:rPr>
        <w:footnoteReference w:customMarkFollows="1" w:id="6798"/>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799"/>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800"/>
        <w:t>g</w:t>
      </w:r>
      <w:r>
        <w:rPr/>
        <w:t>;</w:t>
      </w:r>
      <w:r>
        <w:rPr>
          <w:rStyle w:val="Funotenanker"/>
        </w:rPr>
        <w:footnoteReference w:customMarkFollows="1" w:id="6801"/>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802"/>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803"/>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804"/>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805"/>
        <w:t>l</w:t>
      </w:r>
      <w:r>
        <w:rPr/>
        <w:t xml:space="preserve"> jeder, der</w:t>
      </w:r>
      <w:r>
        <w:rPr>
          <w:rStyle w:val="Funotenanker"/>
        </w:rPr>
        <w:footnoteReference w:customMarkFollows="1" w:id="6806"/>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807"/>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808"/>
        <w:t>o</w:t>
      </w:r>
      <w:r>
        <w:rPr/>
        <w:t xml:space="preserve"> den er in uns wohnen ließ,</w:t>
      </w:r>
      <w:r>
        <w:rPr>
          <w:rStyle w:val="Funotenanker"/>
        </w:rPr>
        <w:footnoteReference w:customMarkFollows="1" w:id="6809"/>
        <w:t>p</w:t>
      </w:r>
      <w:r>
        <w:rPr/>
        <w:t xml:space="preserve"> {{field-off:bible}} </w:t>
        <w:br/>
        <w:t>[[@BibleTOBIBLE:Jas 4:6]]</w:t>
      </w:r>
      <w:r>
        <w:rPr>
          <w:b/>
        </w:rPr>
        <w:t>6</w:t>
      </w:r>
      <w:r>
        <w:rPr/>
        <w:t xml:space="preserve"> {{field-on:bible}}aber er gibt umso größere Gnade?</w:t>
      </w:r>
      <w:r>
        <w:rPr>
          <w:rStyle w:val="Funotenanker"/>
        </w:rPr>
        <w:footnoteReference w:customMarkFollows="1" w:id="6810"/>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811"/>
        <w:t>r</w:t>
      </w:r>
      <w:r>
        <w:rPr/>
        <w:t xml:space="preserve"> </w:t>
      </w:r>
      <w:r>
        <w:rPr>
          <w:color w:val="808080"/>
        </w:rPr>
        <w:t>)</w:t>
      </w:r>
      <w:r>
        <w:rPr/>
        <w:t xml:space="preserve"> aber gibt er Gnade.“</w:t>
      </w:r>
      <w:r>
        <w:rPr>
          <w:rStyle w:val="Funotenanker"/>
        </w:rPr>
        <w:footnoteReference w:customMarkFollows="1" w:id="6812"/>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813"/>
        <w:t>t</w:t>
      </w:r>
      <w:r>
        <w:rPr/>
        <w:t xml:space="preserve">;{{field-off:bible}} </w:t>
        <w:br/>
        <w:t>[[@BibleTOBIBLE:Jas 4:8]]</w:t>
      </w:r>
      <w:r>
        <w:rPr>
          <w:b/>
        </w:rPr>
        <w:t>8</w:t>
      </w:r>
      <w:r>
        <w:rPr/>
        <w:t xml:space="preserve"> {{field-on:bible}}nähert euch</w:t>
      </w:r>
      <w:r>
        <w:rPr>
          <w:rStyle w:val="Funotenanker"/>
        </w:rPr>
        <w:footnoteReference w:customMarkFollows="1" w:id="6814"/>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815"/>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816"/>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817"/>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818"/>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819"/>
        <w:t>z</w:t>
      </w:r>
      <w:r>
        <w:rPr/>
        <w:t xml:space="preserve"> verleumdet oder seinen Bruder verurteilt</w:t>
      </w:r>
      <w:r>
        <w:rPr>
          <w:rStyle w:val="Funotenanker"/>
        </w:rPr>
        <w:footnoteReference w:customMarkFollows="1" w:id="6820"/>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821"/>
        <w:t>ab</w:t>
      </w:r>
      <w:r>
        <w:rPr/>
        <w:t xml:space="preserve"> {{field-off:bible}} </w:t>
        <w:br/>
        <w:t>[[@BibleTOBIBLE:Jas 4:12]]</w:t>
      </w:r>
      <w:r>
        <w:rPr>
          <w:b/>
        </w:rPr>
        <w:t>12</w:t>
      </w:r>
      <w:r>
        <w:rPr/>
        <w:t xml:space="preserve"> {{field-on:bible}}Einer ist</w:t>
      </w:r>
      <w:r>
        <w:rPr>
          <w:rStyle w:val="Funotenanker"/>
        </w:rPr>
        <w:footnoteReference w:customMarkFollows="1" w:id="6822"/>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823"/>
        <w:t>ad</w:t>
      </w:r>
      <w:r>
        <w:rPr/>
        <w:t xml:space="preserve">?{{field-off:bible}} </w:t>
        <w:br/>
        <w:t>[[@BibleTOBIBLE:Jas 4:13]]</w:t>
      </w:r>
      <w:r>
        <w:rPr>
          <w:b/>
        </w:rPr>
        <w:t>13</w:t>
      </w:r>
      <w:r>
        <w:rPr/>
        <w:t xml:space="preserve"> {{field-on:bible}}Jetzt zu euch</w:t>
      </w:r>
      <w:r>
        <w:rPr>
          <w:rStyle w:val="Funotenanker"/>
        </w:rPr>
        <w:footnoteReference w:customMarkFollows="1" w:id="6824"/>
        <w:t>ae</w:t>
      </w:r>
      <w:r>
        <w:rPr/>
        <w:t>, die ihr sagt</w:t>
      </w:r>
      <w:r>
        <w:rPr>
          <w:rStyle w:val="Funotenanker"/>
        </w:rPr>
        <w:footnoteReference w:customMarkFollows="1" w:id="6825"/>
        <w:t>af</w:t>
      </w:r>
      <w:r>
        <w:rPr/>
        <w:t>: „Heute oder morgen wollen</w:t>
      </w:r>
      <w:r>
        <w:rPr>
          <w:rStyle w:val="Funotenanker"/>
        </w:rPr>
        <w:footnoteReference w:customMarkFollows="1" w:id="6826"/>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827"/>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828"/>
        <w:t>ai</w:t>
      </w:r>
      <w:r>
        <w:rPr/>
        <w:t xml:space="preserve"> — ihr seid nämlich</w:t>
      </w:r>
      <w:r>
        <w:rPr>
          <w:rStyle w:val="Funotenanker"/>
        </w:rPr>
        <w:footnoteReference w:customMarkFollows="1" w:id="6829"/>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830"/>
        <w:t>ak</w:t>
      </w:r>
      <w:r>
        <w:rPr/>
        <w:t xml:space="preserve"> </w:t>
      </w:r>
      <w:r>
        <w:rPr>
          <w:color w:val="808080"/>
        </w:rPr>
        <w:t>)</w:t>
      </w:r>
      <w:r>
        <w:rPr/>
        <w:t xml:space="preserve"> </w:t>
      </w:r>
      <w:r>
        <w:rPr>
          <w:rStyle w:val="Funotenanker"/>
        </w:rPr>
        <w:footnoteReference w:customMarkFollows="1" w:id="6831"/>
        <w:t>al</w:t>
      </w:r>
      <w:r>
        <w:rPr/>
        <w:t xml:space="preserve"> und dann </w:t>
      </w:r>
      <w:r>
        <w:rPr>
          <w:color w:val="808080"/>
        </w:rPr>
        <w:t>(danach)</w:t>
      </w:r>
      <w:r>
        <w:rPr/>
        <w:t xml:space="preserve"> verschwindet</w:t>
      </w:r>
      <w:r>
        <w:rPr>
          <w:rStyle w:val="Funotenanker"/>
        </w:rPr>
        <w:footnoteReference w:customMarkFollows="1" w:id="6832"/>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833"/>
        <w:t>an</w:t>
      </w:r>
      <w:r>
        <w:rPr/>
        <w:t xml:space="preserve"> ihr sagen: „Wenn der Herr will, dann werden wir leben und dieses oder jenes tun.“</w:t>
      </w:r>
      <w:r>
        <w:rPr>
          <w:rStyle w:val="Funotenanker"/>
        </w:rPr>
        <w:footnoteReference w:customMarkFollows="1" w:id="6834"/>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835"/>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836"/>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837"/>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838"/>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839"/>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840"/>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841"/>
        <w:t>b</w:t>
      </w:r>
      <w:r>
        <w:rPr/>
        <w:t xml:space="preserve">.{{field-off:bible}} </w:t>
        <w:br/>
        <w:t>[[@BibleTOBIBLE:Jas 5:2]]</w:t>
      </w:r>
      <w:r>
        <w:rPr>
          <w:b/>
        </w:rPr>
        <w:t>2</w:t>
      </w:r>
      <w:r>
        <w:rPr/>
        <w:t xml:space="preserve"> {{field-on:bible}}Euer Reichtum ist vermodert</w:t>
      </w:r>
      <w:r>
        <w:rPr>
          <w:rStyle w:val="Funotenanker"/>
        </w:rPr>
        <w:footnoteReference w:customMarkFollows="1" w:id="6842"/>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843"/>
        <w:t>d</w:t>
      </w:r>
      <w:r>
        <w:rPr/>
        <w:t xml:space="preserve">.{{field-off:bible}} </w:t>
        <w:br/>
        <w:t>[[@BibleTOBIBLE:Jas 5:3]]</w:t>
      </w:r>
      <w:r>
        <w:rPr>
          <w:b/>
        </w:rPr>
        <w:t>3</w:t>
      </w:r>
      <w:r>
        <w:rPr/>
        <w:t xml:space="preserve"> {{field-on:bible}}Euer Gold und Silber sind verrostet</w:t>
      </w:r>
      <w:r>
        <w:rPr>
          <w:rStyle w:val="Funotenanker"/>
        </w:rPr>
        <w:footnoteReference w:customMarkFollows="1" w:id="6844"/>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845"/>
        <w:t>f</w:t>
      </w:r>
      <w:r>
        <w:rPr/>
        <w:t xml:space="preserve"> und euer Fleisch</w:t>
      </w:r>
      <w:r>
        <w:rPr>
          <w:rStyle w:val="Funotenanker"/>
        </w:rPr>
        <w:footnoteReference w:customMarkFollows="1" w:id="6846"/>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847"/>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848"/>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849"/>
        <w:t>j</w:t>
      </w:r>
      <w:r>
        <w:rPr/>
        <w:t>, schreit,</w:t>
      </w:r>
      <w:r>
        <w:rPr>
          <w:rStyle w:val="Funotenanker"/>
        </w:rPr>
        <w:footnoteReference w:customMarkFollows="1" w:id="6850"/>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851"/>
        <w:t>l</w:t>
      </w:r>
      <w:r>
        <w:rPr/>
        <w:t xml:space="preserve"> hingekommen.{{field-off:bible}} </w:t>
        <w:br/>
        <w:t>[[@BibleTOBIBLE:Jas 5:5]]</w:t>
      </w:r>
      <w:r>
        <w:rPr>
          <w:b/>
        </w:rPr>
        <w:t>5</w:t>
      </w:r>
      <w:r>
        <w:rPr/>
        <w:t xml:space="preserve"> {{field-on:bible}}Ihr habt geschwelgt</w:t>
      </w:r>
      <w:r>
        <w:rPr>
          <w:rStyle w:val="Funotenanker"/>
        </w:rPr>
        <w:footnoteReference w:customMarkFollows="1" w:id="6852"/>
        <w:t>m</w:t>
      </w:r>
      <w:r>
        <w:rPr/>
        <w:t xml:space="preserve"> auf der Erde und üppig gelebt</w:t>
      </w:r>
      <w:r>
        <w:rPr>
          <w:rStyle w:val="Funotenanker"/>
        </w:rPr>
        <w:footnoteReference w:customMarkFollows="1" w:id="6853"/>
        <w:t>n</w:t>
      </w:r>
      <w:r>
        <w:rPr/>
        <w:t>, ihr habt eure Herzen am</w:t>
      </w:r>
      <w:r>
        <w:rPr>
          <w:rStyle w:val="Funotenanker"/>
        </w:rPr>
        <w:footnoteReference w:customMarkFollows="1" w:id="6854"/>
        <w:t>o</w:t>
      </w:r>
      <w:r>
        <w:rPr/>
        <w:t xml:space="preserve"> Schlachttag</w:t>
      </w:r>
      <w:r>
        <w:rPr>
          <w:rStyle w:val="Funotenanker"/>
        </w:rPr>
        <w:footnoteReference w:customMarkFollows="1" w:id="6855"/>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856"/>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857"/>
        <w:t>r</w:t>
      </w:r>
      <w:r>
        <w:rPr/>
        <w:t xml:space="preserve"> er leistet euch keinen Widerstand.</w:t>
      </w:r>
      <w:r>
        <w:rPr>
          <w:rStyle w:val="Funotenanker"/>
        </w:rPr>
        <w:footnoteReference w:customMarkFollows="1" w:id="6858"/>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859"/>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860"/>
        <w:t>u</w:t>
      </w:r>
      <w:r>
        <w:rPr/>
        <w:t xml:space="preserve"> bis sie den Früh- und den Spätregen empfangen hat.</w:t>
      </w:r>
      <w:r>
        <w:rPr>
          <w:rStyle w:val="Funotenanker"/>
        </w:rPr>
        <w:footnoteReference w:customMarkFollows="1" w:id="6861"/>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862"/>
        <w:t>w</w:t>
      </w:r>
      <w:r>
        <w:rPr/>
        <w:t xml:space="preserve">!{{field-off:bible}} </w:t>
        <w:br/>
        <w:t>[[@BibleTOBIBLE:Jas 5:9]]</w:t>
      </w:r>
      <w:r>
        <w:rPr>
          <w:b/>
        </w:rPr>
        <w:t>9</w:t>
      </w:r>
      <w:r>
        <w:rPr/>
        <w:t xml:space="preserve"> {{field-on:bible}}Murrt nicht gegen einander,</w:t>
      </w:r>
      <w:r>
        <w:rPr>
          <w:rStyle w:val="Funotenanker"/>
        </w:rPr>
        <w:footnoteReference w:customMarkFollows="1" w:id="6863"/>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864"/>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865"/>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866"/>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867"/>
        <w:t>ab</w:t>
      </w:r>
      <w:r>
        <w:rPr/>
        <w:t xml:space="preserve"> weder beim Himmel, noch bei der Erde, oder bei irgendeinem anderen Eid. Vielmehr soll euer Ja ein Ja und euer Nein ein Nein sein</w:t>
      </w:r>
      <w:r>
        <w:rPr>
          <w:rStyle w:val="Funotenanker"/>
        </w:rPr>
        <w:footnoteReference w:customMarkFollows="1" w:id="6868"/>
        <w:t>ac</w:t>
      </w:r>
      <w:r>
        <w:rPr/>
        <w:t>, damit ihr nicht dem Gericht verfallt</w:t>
      </w:r>
      <w:r>
        <w:rPr>
          <w:rStyle w:val="Funotenanker"/>
        </w:rPr>
        <w:footnoteReference w:customMarkFollows="1" w:id="6869"/>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870"/>
        <w:t>ae</w:t>
      </w:r>
      <w:r>
        <w:rPr/>
        <w:t>; ist einer guten Mutes, soll er Loblieder singen</w:t>
      </w:r>
      <w:r>
        <w:rPr>
          <w:rStyle w:val="Funotenanker"/>
        </w:rPr>
        <w:footnoteReference w:customMarkFollows="1" w:id="6871"/>
        <w:t>af</w:t>
      </w:r>
      <w:r>
        <w:rPr/>
        <w:t>;</w:t>
      </w:r>
      <w:r>
        <w:rPr>
          <w:rStyle w:val="Funotenanker"/>
        </w:rPr>
        <w:footnoteReference w:customMarkFollows="1" w:id="6872"/>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873"/>
        <w:t>ah</w:t>
      </w:r>
      <w:r>
        <w:rPr/>
        <w:t>, soll er die Ältesten der Gemeinde herbeirufen</w:t>
      </w:r>
      <w:r>
        <w:rPr>
          <w:rStyle w:val="Funotenanker"/>
        </w:rPr>
        <w:footnoteReference w:customMarkFollows="1" w:id="6874"/>
        <w:t>ai</w:t>
      </w:r>
      <w:r>
        <w:rPr/>
        <w:t xml:space="preserve"> und sie sollen über ihn </w:t>
      </w:r>
      <w:r>
        <w:rPr>
          <w:color w:val="808080"/>
        </w:rPr>
        <w:t>(für ihn)</w:t>
      </w:r>
      <w:r>
        <w:rPr/>
        <w:t xml:space="preserve"> beten</w:t>
      </w:r>
      <w:r>
        <w:rPr>
          <w:rStyle w:val="Funotenanker"/>
        </w:rPr>
        <w:footnoteReference w:customMarkFollows="1" w:id="6875"/>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876"/>
        <w:t>ak</w:t>
      </w:r>
      <w:r>
        <w:rPr/>
        <w:t xml:space="preserve"> im Namen des Herrn salben</w:t>
      </w:r>
      <w:r>
        <w:rPr>
          <w:rStyle w:val="Funotenanker"/>
        </w:rPr>
        <w:footnoteReference w:customMarkFollows="1" w:id="6877"/>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878"/>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879"/>
        <w:t>an</w:t>
      </w:r>
      <w:r>
        <w:rPr/>
        <w:t>, wird ihm vergeben werden.</w:t>
      </w:r>
      <w:r>
        <w:rPr>
          <w:rStyle w:val="Funotenanker"/>
        </w:rPr>
        <w:footnoteReference w:customMarkFollows="1" w:id="6880"/>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881"/>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882"/>
        <w:t>aq</w:t>
      </w:r>
      <w:r>
        <w:rPr/>
        <w:t>, dass es nicht regnen würde</w:t>
      </w:r>
      <w:r>
        <w:rPr>
          <w:rStyle w:val="Funotenanker"/>
        </w:rPr>
        <w:footnoteReference w:customMarkFollows="1" w:id="6883"/>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884"/>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885"/>
        <w:t>at</w:t>
      </w:r>
      <w:r>
        <w:rPr/>
        <w:t>, dass derjenige, der einen Sünder von seinem Irrweg</w:t>
      </w:r>
      <w:r>
        <w:rPr>
          <w:rStyle w:val="Funotenanker"/>
        </w:rPr>
        <w:footnoteReference w:customMarkFollows="1" w:id="6886"/>
        <w:t>au</w:t>
      </w:r>
      <w:r>
        <w:rPr/>
        <w:t xml:space="preserve"> auf den rechten Weg zurückgeführt hat,</w:t>
      </w:r>
      <w:r>
        <w:rPr>
          <w:rStyle w:val="Funotenanker"/>
        </w:rPr>
        <w:footnoteReference w:customMarkFollows="1" w:id="6887"/>
        <w:t>av</w:t>
      </w:r>
      <w:r>
        <w:rPr/>
        <w:t xml:space="preserve"> seine Seele </w:t>
      </w:r>
      <w:r>
        <w:rPr>
          <w:color w:val="808080"/>
        </w:rPr>
        <w:t>(Leben)</w:t>
      </w:r>
      <w:r>
        <w:rPr/>
        <w:t xml:space="preserve"> vom Tod erretten und eine Menge Sünden zudecken wird.</w:t>
      </w:r>
      <w:r>
        <w:rPr>
          <w:rStyle w:val="Funotenanker"/>
        </w:rPr>
        <w:footnoteReference w:customMarkFollows="1" w:id="6888"/>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889"/>
        <w:t>a</w:t>
      </w:r>
      <w:r>
        <w:rPr/>
        <w:t xml:space="preserve"> ihr ihn nicht seht; an ihn glaubt ihr, ohne</w:t>
      </w:r>
      <w:r>
        <w:rPr>
          <w:rStyle w:val="Funotenanker"/>
        </w:rPr>
        <w:footnoteReference w:customMarkFollows="1" w:id="6890"/>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891"/>
        <w:t>c</w:t>
      </w:r>
      <w:r>
        <w:rPr/>
        <w:t xml:space="preserve"> ihr das Ziel eures Glaubens erreicht, die Rettung eures Lebens</w:t>
      </w:r>
      <w:r>
        <w:rPr>
          <w:rStyle w:val="Funotenanker"/>
        </w:rPr>
        <w:footnoteReference w:customMarkFollows="1" w:id="6892"/>
        <w:t>d</w:t>
      </w:r>
      <w:r>
        <w:rPr/>
        <w:t xml:space="preserve">.{{field-off:bible}}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{{field-on:bible}}Legt nun ab</w:t>
      </w:r>
      <w:r>
        <w:rPr>
          <w:rStyle w:val="Funotenanker"/>
        </w:rPr>
        <w:footnoteReference w:customMarkFollows="1" w:id="6893"/>
        <w:t>a</w:t>
      </w:r>
      <w:r>
        <w:rPr/>
        <w:t xml:space="preserve"> alle Schlechtigkeit und alle List und Heucheleien und Neid</w:t>
      </w:r>
      <w:r>
        <w:rPr>
          <w:rStyle w:val="Funotenanker"/>
        </w:rPr>
        <w:footnoteReference w:customMarkFollows="1" w:id="6894"/>
        <w:t>b</w:t>
      </w:r>
      <w:r>
        <w:rPr/>
        <w:t xml:space="preserve"> und allerlei</w:t>
      </w:r>
      <w:r>
        <w:rPr>
          <w:rStyle w:val="Funotenanker"/>
        </w:rPr>
        <w:footnoteReference w:customMarkFollows="1" w:id="6895"/>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896"/>
        <w:t>d</w:t>
      </w:r>
      <w:r>
        <w:rPr/>
        <w:t xml:space="preserve"> neugeborene Kinder verlangt nach geistiger</w:t>
      </w:r>
      <w:r>
        <w:rPr>
          <w:rStyle w:val="Funotenanker"/>
        </w:rPr>
        <w:footnoteReference w:customMarkFollows="1" w:id="6897"/>
        <w:t>e</w:t>
      </w:r>
      <w:r>
        <w:rPr/>
        <w:t xml:space="preserve">, unverfälschter </w:t>
      </w:r>
      <w:r>
        <w:rPr>
          <w:color w:val="808080"/>
        </w:rPr>
        <w:t>(reiner)</w:t>
      </w:r>
      <w:r>
        <w:rPr/>
        <w:t xml:space="preserve"> Milch, damit</w:t>
      </w:r>
      <w:r>
        <w:rPr>
          <w:rStyle w:val="Funotenanker"/>
        </w:rPr>
        <w:footnoteReference w:customMarkFollows="1" w:id="6898"/>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899"/>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900"/>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901"/>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902"/>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903"/>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904"/>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905"/>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906"/>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907"/>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908"/>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909"/>
        <w:t>q</w:t>
      </w:r>
      <w:r>
        <w:rPr/>
        <w:t xml:space="preserve">“ </w:t>
      </w:r>
      <w:r>
        <w:rPr>
          <w:color w:val="808080"/>
        </w:rPr>
        <w:t>(Nicht-Erbarmen, Hosea 2,25)</w:t>
      </w:r>
      <w:r>
        <w:rPr/>
        <w:t>, jetzt aber Erbarmen finden</w:t>
      </w:r>
      <w:r>
        <w:rPr>
          <w:rStyle w:val="Funotenanker"/>
        </w:rPr>
        <w:footnoteReference w:customMarkFollows="1" w:id="6910"/>
        <w:t>r</w:t>
      </w:r>
      <w:r>
        <w:rPr/>
        <w:t xml:space="preserve">.{{field-off:bible}} </w:t>
        <w:br/>
        <w:t>[[@BibleTOBIBLE:1Pe 2:18]]</w:t>
      </w:r>
      <w:r>
        <w:rPr>
          <w:b/>
        </w:rPr>
        <w:t>18</w:t>
      </w:r>
      <w:r>
        <w:rPr/>
        <w:t xml:space="preserve"> {{field-on:bible}} </w:t>
      </w:r>
      <w:r>
        <w:rPr>
          <w:color w:val="808080"/>
        </w:rPr>
        <w:t>(Die =)</w:t>
      </w:r>
      <w:r>
        <w:rPr/>
        <w:t xml:space="preserve"> Ihr</w:t>
      </w:r>
      <w:r>
        <w:rPr>
          <w:rStyle w:val="Funotenanker"/>
        </w:rPr>
        <w:footnoteReference w:customMarkFollows="1" w:id="6911"/>
        <w:t>s</w:t>
      </w:r>
      <w:r>
        <w:rPr/>
        <w:t xml:space="preserve"> Sklaven, gehorcht</w:t>
      </w:r>
      <w:r>
        <w:rPr>
          <w:rStyle w:val="Funotenanker"/>
        </w:rPr>
        <w:footnoteReference w:customMarkFollows="1" w:id="6912"/>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913"/>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914"/>
        <w:t>v</w:t>
      </w:r>
      <w:r>
        <w:rPr/>
        <w:t xml:space="preserve"> ihr ertragt, für Verfehlungen misshandelt zu werden?</w:t>
      </w:r>
      <w:r>
        <w:rPr>
          <w:rStyle w:val="Funotenanker"/>
        </w:rPr>
        <w:footnoteReference w:customMarkFollows="1" w:id="6915"/>
        <w:t>w</w:t>
      </w:r>
      <w:r>
        <w:rPr/>
        <w:t xml:space="preserve"> Dass ihr aber ertragt, für Rechtschaffenheit zu leiden</w:t>
      </w:r>
      <w:r>
        <w:rPr>
          <w:rStyle w:val="Funotenanker"/>
        </w:rPr>
        <w:footnoteReference w:customMarkFollows="1" w:id="6916"/>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917"/>
        <w:t>y</w:t>
      </w:r>
      <w:r>
        <w:rPr/>
        <w:t xml:space="preserve"> euch ein Vorbild</w:t>
      </w:r>
      <w:r>
        <w:rPr>
          <w:rStyle w:val="Funotenanker"/>
        </w:rPr>
        <w:footnoteReference w:customMarkFollows="1" w:id="6918"/>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919"/>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920"/>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921"/>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922"/>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923"/>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924"/>
        <w:t>a</w:t>
      </w:r>
      <w:r>
        <w:rPr/>
        <w:t xml:space="preserve"> {{field-off:bible}} </w:t>
        <w:br/>
        <w:t>[[@BibleTOBIBLE:1Pe 3:18]]</w:t>
      </w:r>
      <w:r>
        <w:rPr>
          <w:b/>
        </w:rPr>
        <w:t>18</w:t>
      </w:r>
      <w:r>
        <w:rPr/>
        <w:t xml:space="preserve"> {{field-on:bible}}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925"/>
        <w:t>b</w:t>
      </w:r>
      <w:r>
        <w:rPr/>
        <w:t xml:space="preserve"> er auch zu den Geistern im Gefängnis ging und ihnen verkündigte,</w:t>
      </w:r>
      <w:r>
        <w:rPr>
          <w:rStyle w:val="Funotenanker"/>
        </w:rPr>
        <w:footnoteReference w:customMarkFollows="1" w:id="6926"/>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927"/>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928"/>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929"/>
        <w:t>f</w:t>
      </w:r>
      <w:r>
        <w:rPr/>
        <w:t xml:space="preserve"> er in den Himmel gelangt ist und</w:t>
      </w:r>
      <w:r>
        <w:rPr>
          <w:rStyle w:val="Funotenanker"/>
        </w:rPr>
        <w:footnoteReference w:customMarkFollows="1" w:id="6930"/>
        <w:t>g</w:t>
      </w:r>
      <w:r>
        <w:rPr/>
        <w:t xml:space="preserve"> ihm Engel und Mächte und Gewalten unterworfen wurden.{{field-off:bible}} </w:t>
      </w:r>
    </w:p>
    <w:p>
      <w:pPr>
        <w:pStyle w:val="Berschrift3"/>
        <w:rPr/>
      </w:pPr>
      <w:r>
        <w:rPr/>
        <w:t>[[@BibleTOBIBLE:1Pe 5]]Kapitel 5</w:t>
      </w:r>
    </w:p>
    <w:p>
      <w:pPr>
        <w:pStyle w:val="Textkrper"/>
        <w:rPr/>
      </w:pPr>
      <w:r>
        <w:rPr/>
        <w:br/>
        <w:t>[[@BibleTOBIBLE:1Pe 5:1]]</w:t>
      </w:r>
      <w:r>
        <w:rPr>
          <w:b/>
        </w:rPr>
        <w:t>1</w:t>
      </w:r>
      <w:r>
        <w:rPr/>
        <w:t xml:space="preserve"> {{field-on:bible}} </w:t>
      </w:r>
      <w:r>
        <w:rPr>
          <w:rStyle w:val="Funotenanker"/>
        </w:rPr>
        <w:footnoteReference w:customMarkFollows="1" w:id="6931"/>
        <w:t>Status</w:t>
      </w:r>
      <w:r>
        <w:rPr/>
        <w:t xml:space="preserve"> Die Ältesten</w:t>
      </w:r>
      <w:r>
        <w:rPr>
          <w:rStyle w:val="Funotenanker"/>
        </w:rPr>
        <w:footnoteReference w:customMarkFollows="1" w:id="6932"/>
        <w:t>a</w:t>
      </w:r>
      <w:r>
        <w:rPr/>
        <w:t xml:space="preserve"> bei euch </w:t>
      </w:r>
      <w:r>
        <w:rPr>
          <w:strike/>
          <w:color w:val="808080"/>
        </w:rPr>
        <w:t>{nun}</w:t>
      </w:r>
      <w:r>
        <w:rPr/>
        <w:t xml:space="preserve"> </w:t>
      </w:r>
      <w:r>
        <w:rPr>
          <w:rStyle w:val="Funotenanker"/>
        </w:rPr>
        <w:footnoteReference w:customMarkFollows="1" w:id="6933"/>
        <w:t>b</w:t>
      </w:r>
      <w:r>
        <w:rPr/>
        <w:t xml:space="preserve"> bitte </w:t>
      </w:r>
      <w:r>
        <w:rPr>
          <w:color w:val="808080"/>
        </w:rPr>
        <w:t>(ermahne)</w:t>
      </w:r>
      <w:r>
        <w:rPr/>
        <w:t xml:space="preserve"> ich, der Mitälteste und Zeuge der Leiden Christi, auch der Teilnehmer an der Herrlichkeit, die offenbart werden wird:{{field-off:bible}} </w:t>
        <w:br/>
        <w:t>[[@BibleTOBIBLE:1Pe 5:2]]</w:t>
      </w:r>
      <w:r>
        <w:rPr>
          <w:b/>
        </w:rPr>
        <w:t>2</w:t>
      </w:r>
      <w:r>
        <w:rPr/>
        <w:t xml:space="preserve"> {{field-on:bible}}Leitet </w:t>
      </w:r>
      <w:r>
        <w:rPr>
          <w:color w:val="808080"/>
        </w:rPr>
        <w:t>(weidet)</w:t>
      </w:r>
      <w:r>
        <w:rPr/>
        <w:t xml:space="preserve"> die Herde Gottes bei euch, indem</w:t>
      </w:r>
      <w:r>
        <w:rPr>
          <w:rStyle w:val="Funotenanker"/>
        </w:rPr>
        <w:footnoteReference w:customMarkFollows="1" w:id="6934"/>
        <w:t>c</w:t>
      </w:r>
      <w:r>
        <w:rPr/>
        <w:t xml:space="preserve"> ihr für sie sorgt </w:t>
      </w:r>
      <w:r>
        <w:rPr>
          <w:color w:val="808080"/>
        </w:rPr>
        <w:t>(sie beaufsichtigt)</w:t>
      </w:r>
      <w:r>
        <w:rPr/>
        <w:t xml:space="preserve"> nicht gezwungen, sondern freiwillig gemäß Gottes </w:t>
      </w:r>
      <w:r>
        <w:rPr>
          <w:b/>
          <w:color w:val="808080"/>
        </w:rPr>
        <w:t>[</w:t>
      </w:r>
      <w:r>
        <w:rPr/>
        <w:t>Auftrag, Gebot</w:t>
      </w:r>
      <w:r>
        <w:rPr>
          <w:b/>
          <w:color w:val="808080"/>
        </w:rPr>
        <w:t>]</w:t>
      </w:r>
      <w:r>
        <w:rPr/>
        <w:t xml:space="preserve">, auch nicht um Gewinns willen </w:t>
      </w:r>
      <w:r>
        <w:rPr>
          <w:color w:val="808080"/>
        </w:rPr>
        <w:t>(aus Profitgier)</w:t>
      </w:r>
      <w:r>
        <w:rPr/>
        <w:t xml:space="preserve">, sondern bereitwillig,{{field-off:bible}} </w:t>
        <w:br/>
        <w:t>[[@BibleTOBIBLE:1Pe 5:3]]</w:t>
      </w:r>
      <w:r>
        <w:rPr>
          <w:b/>
        </w:rPr>
        <w:t>3</w:t>
      </w:r>
      <w:r>
        <w:rPr/>
        <w:t xml:space="preserve"> {{field-on:bible}}noch wie Herrscher über </w:t>
      </w:r>
      <w:r>
        <w:rPr>
          <w:b/>
          <w:color w:val="808080"/>
        </w:rPr>
        <w:t>[</w:t>
      </w:r>
      <w:r>
        <w:rPr/>
        <w:t>euren</w:t>
      </w:r>
      <w:r>
        <w:rPr>
          <w:b/>
          <w:color w:val="808080"/>
        </w:rPr>
        <w:t>]</w:t>
      </w:r>
      <w:r>
        <w:rPr/>
        <w:t xml:space="preserve"> Anteil </w:t>
      </w:r>
      <w:r>
        <w:rPr>
          <w:b/>
          <w:color w:val="808080"/>
        </w:rPr>
        <w:t>[</w:t>
      </w:r>
      <w:r>
        <w:rPr/>
        <w:t>an der Herde</w:t>
      </w:r>
      <w:r>
        <w:rPr>
          <w:b/>
          <w:color w:val="808080"/>
        </w:rPr>
        <w:t>]</w:t>
      </w:r>
      <w:r>
        <w:rPr/>
        <w:t xml:space="preserve">, sondern </w:t>
      </w:r>
      <w:r>
        <w:rPr>
          <w:color w:val="808080"/>
        </w:rPr>
        <w:t>(Vorbilder gewordene =)</w:t>
      </w:r>
      <w:r>
        <w:rPr/>
        <w:t xml:space="preserve"> als Vorbilder der Herde.{{field-off:bible}} </w:t>
        <w:br/>
        <w:t>[[@BibleTOBIBLE:1Pe 5:4]]</w:t>
      </w:r>
      <w:r>
        <w:rPr>
          <w:b/>
        </w:rPr>
        <w:t>4</w:t>
      </w:r>
      <w:r>
        <w:rPr/>
        <w:t xml:space="preserve"> {{field-on:bible}}Und wenn</w:t>
      </w:r>
      <w:r>
        <w:rPr>
          <w:rStyle w:val="Funotenanker"/>
        </w:rPr>
        <w:footnoteReference w:customMarkFollows="1" w:id="6935"/>
        <w:t>d</w:t>
      </w:r>
      <w:r>
        <w:rPr/>
        <w:t xml:space="preserve"> der Erzhirte </w:t>
      </w:r>
      <w:r>
        <w:rPr>
          <w:color w:val="808080"/>
        </w:rPr>
        <w:t>(Oberhirte)</w:t>
      </w:r>
      <w:r>
        <w:rPr/>
        <w:t xml:space="preserve"> erscheinen wird </w:t>
      </w:r>
      <w:r>
        <w:rPr>
          <w:color w:val="808080"/>
        </w:rPr>
        <w:t>(sich zeigen wird)</w:t>
      </w:r>
      <w:r>
        <w:rPr/>
        <w:t xml:space="preserve">, werdet ihr den unverwelklichen </w:t>
      </w:r>
      <w:r>
        <w:rPr>
          <w:color w:val="808080"/>
        </w:rPr>
        <w:t>(unvergänglichen)</w:t>
      </w:r>
      <w:r>
        <w:rPr/>
        <w:t xml:space="preserve"> Kranz der Herrlichkeit </w:t>
      </w:r>
      <w:r>
        <w:rPr>
          <w:color w:val="808080"/>
        </w:rPr>
        <w:t>(Ehre)</w:t>
      </w:r>
      <w:r>
        <w:rPr/>
        <w:t xml:space="preserve"> erlangen.{{field-off:bible}} </w:t>
        <w:br/>
        <w:t>[[@BibleTOBIBLE:1Pe 5:5]]</w:t>
      </w:r>
      <w:r>
        <w:rPr>
          <w:b/>
        </w:rPr>
        <w:t>5</w:t>
      </w:r>
      <w:r>
        <w:rPr/>
        <w:t xml:space="preserve"> {{field-on:bible}}Ebenso </w:t>
      </w:r>
      <w:r>
        <w:rPr>
          <w:color w:val="808080"/>
        </w:rPr>
        <w:t>(in gleicher Weise)</w:t>
      </w:r>
      <w:r>
        <w:rPr/>
        <w:t xml:space="preserve"> </w:t>
      </w:r>
      <w:r>
        <w:rPr>
          <w:b/>
          <w:color w:val="808080"/>
        </w:rPr>
        <w:t>[</w:t>
      </w:r>
      <w:r>
        <w:rPr/>
        <w:t>ihr</w:t>
      </w:r>
      <w:r>
        <w:rPr>
          <w:b/>
          <w:color w:val="808080"/>
        </w:rPr>
        <w:t>]</w:t>
      </w:r>
      <w:r>
        <w:rPr/>
        <w:t xml:space="preserve"> Jungen, ordnet euch den Ältesten </w:t>
      </w:r>
      <w:r>
        <w:rPr>
          <w:color w:val="808080"/>
        </w:rPr>
        <w:t>(Älteren)</w:t>
      </w:r>
      <w:r>
        <w:rPr/>
        <w:t xml:space="preserve"> unter! Alle aber legt </w:t>
      </w:r>
      <w:r>
        <w:rPr>
          <w:color w:val="808080"/>
        </w:rPr>
        <w:t>(zieht)</w:t>
      </w:r>
      <w:r>
        <w:rPr/>
        <w:t xml:space="preserve"> den anderen gegenüber die Demut an, denn Gott </w:t>
        <w:br/>
        <w:t>„widersetzt sich den Stolzen,</w:t>
        <w:br/>
        <w:t>den Demütigen aber gibt er Gnade“</w:t>
        <w:br/>
      </w:r>
      <w:r>
        <w:rPr>
          <w:rStyle w:val="Funotenanker"/>
        </w:rPr>
        <w:footnoteReference w:customMarkFollows="1" w:id="6936"/>
        <w:t>e</w:t>
      </w:r>
      <w:r>
        <w:rPr/>
        <w:t xml:space="preserve">.{{field-off:bible}} </w:t>
        <w:br/>
        <w:t>[[@BibleTOBIBLE:1Pe 5:6]]</w:t>
      </w:r>
      <w:r>
        <w:rPr>
          <w:b/>
        </w:rPr>
        <w:t>6</w:t>
      </w:r>
      <w:r>
        <w:rPr/>
        <w:t xml:space="preserve"> {{field-on:bible}}Beugt euch </w:t>
      </w:r>
      <w:r>
        <w:rPr>
          <w:strike/>
          <w:color w:val="808080"/>
        </w:rPr>
        <w:t>{nun}</w:t>
      </w:r>
      <w:r>
        <w:rPr/>
        <w:t xml:space="preserve"> unter die starke Hand Gottes, damit er euch zu gegebener Zeit erhöht,{{field-off:bible}} </w:t>
        <w:br/>
        <w:t>[[@BibleTOBIBLE:1Pe 5:7]]</w:t>
      </w:r>
      <w:r>
        <w:rPr>
          <w:b/>
        </w:rPr>
        <w:t>7</w:t>
      </w:r>
      <w:r>
        <w:rPr/>
        <w:t xml:space="preserve"> {{field-on:bible}}indem</w:t>
      </w:r>
      <w:r>
        <w:rPr>
          <w:rStyle w:val="Funotenanker"/>
        </w:rPr>
        <w:footnoteReference w:customMarkFollows="1" w:id="6937"/>
        <w:t>f</w:t>
      </w:r>
      <w:r>
        <w:rPr/>
        <w:t xml:space="preserve"> ihr all eure Sorge auf ihn legt, denn er kümmert sich um euch.{{field-off:bible}} </w:t>
        <w:br/>
        <w:t>[[@BibleTOBIBLE:1Pe 5:8]]</w:t>
      </w:r>
      <w:r>
        <w:rPr>
          <w:b/>
        </w:rPr>
        <w:t>8</w:t>
      </w:r>
      <w:r>
        <w:rPr/>
        <w:t xml:space="preserve"> {{field-on:bible}}Seid besonnen </w:t>
      </w:r>
      <w:r>
        <w:rPr>
          <w:color w:val="808080"/>
        </w:rPr>
        <w:t>(nüchtern)</w:t>
      </w:r>
      <w:r>
        <w:rPr/>
        <w:t xml:space="preserve">, seid wachsam </w:t>
      </w:r>
      <w:r>
        <w:rPr>
          <w:color w:val="808080"/>
        </w:rPr>
        <w:t>(haltet die Augen offen)</w:t>
      </w:r>
      <w:r>
        <w:rPr/>
        <w:t xml:space="preserve">. Euer Feind, der Widersacher </w:t>
      </w:r>
      <w:r>
        <w:rPr>
          <w:color w:val="808080"/>
        </w:rPr>
        <w:t>(Verleumder, Teufel)</w:t>
      </w:r>
      <w:r>
        <w:rPr/>
        <w:t xml:space="preserve"> geht umher „wie ein brüllender Löwe“ </w:t>
      </w:r>
      <w:r>
        <w:rPr>
          <w:color w:val="808080"/>
        </w:rPr>
        <w:t>(Psalm 22,14)</w:t>
      </w:r>
      <w:r>
        <w:rPr/>
        <w:t xml:space="preserve"> und</w:t>
      </w:r>
      <w:r>
        <w:rPr>
          <w:rStyle w:val="Funotenanker"/>
        </w:rPr>
        <w:footnoteReference w:customMarkFollows="1" w:id="6938"/>
        <w:t>g</w:t>
      </w:r>
      <w:r>
        <w:rPr/>
        <w:t xml:space="preserve"> sucht, wen er verschlingen kann </w:t>
      </w:r>
      <w:r>
        <w:rPr>
          <w:color w:val="808080"/>
        </w:rPr>
        <w:t>(jemanden zum Verschlingen)</w:t>
      </w:r>
      <w:r>
        <w:rPr/>
        <w:t xml:space="preserve">;{{field-off:bible}} </w:t>
        <w:br/>
        <w:t>[[@BibleTOBIBLE:1Pe 5:9]]</w:t>
      </w:r>
      <w:r>
        <w:rPr>
          <w:b/>
        </w:rPr>
        <w:t>9</w:t>
      </w:r>
      <w:r>
        <w:rPr/>
        <w:t xml:space="preserve"> {{field-on:bible}}dem widersteht fest im Glauben, weil</w:t>
      </w:r>
      <w:r>
        <w:rPr>
          <w:rStyle w:val="Funotenanker"/>
        </w:rPr>
        <w:footnoteReference w:customMarkFollows="1" w:id="6939"/>
        <w:t>h</w:t>
      </w:r>
      <w:r>
        <w:rPr/>
        <w:t xml:space="preserve"> ihr wisst, dass sich die selben Leiden an eurer Bruderschaft in der Welt vollziehen.{{field-off:bible}} </w:t>
        <w:br/>
        <w:t>[[@BibleTOBIBLE:1Pe 5:10]]</w:t>
      </w:r>
      <w:r>
        <w:rPr>
          <w:b/>
        </w:rPr>
        <w:t>10</w:t>
      </w:r>
      <w:r>
        <w:rPr/>
        <w:t xml:space="preserve"> {{field-on:bible}}Aber der Gott aller Gnade, der euch berufen hat zu seiner ewigen Herrlichkeit in Christus Jesus, nachdem</w:t>
      </w:r>
      <w:r>
        <w:rPr>
          <w:rStyle w:val="Funotenanker"/>
        </w:rPr>
        <w:footnoteReference w:customMarkFollows="1" w:id="6940"/>
        <w:t>i</w:t>
      </w:r>
      <w:r>
        <w:rPr/>
        <w:t xml:space="preserve"> ihr ein wenig gelitten habt, wird </w:t>
      </w:r>
      <w:r>
        <w:rPr>
          <w:b/>
          <w:color w:val="808080"/>
        </w:rPr>
        <w:t>[</w:t>
      </w:r>
      <w:r>
        <w:rPr/>
        <w:t>euch</w:t>
      </w:r>
      <w:r>
        <w:rPr>
          <w:b/>
          <w:color w:val="808080"/>
        </w:rPr>
        <w:t>]</w:t>
      </w:r>
      <w:r>
        <w:rPr/>
        <w:t xml:space="preserve"> zurechthelfen </w:t>
      </w:r>
      <w:r>
        <w:rPr>
          <w:color w:val="808080"/>
        </w:rPr>
        <w:t>(in Ordnung bringen, vollenden)</w:t>
      </w:r>
      <w:r>
        <w:rPr/>
        <w:t xml:space="preserve">, stark machen </w:t>
      </w:r>
      <w:r>
        <w:rPr>
          <w:color w:val="808080"/>
        </w:rPr>
        <w:t>(befestigen)</w:t>
      </w:r>
      <w:r>
        <w:rPr/>
        <w:t xml:space="preserve">, Kraft verleihen, fest gründen </w:t>
      </w:r>
      <w:r>
        <w:rPr>
          <w:color w:val="808080"/>
        </w:rPr>
        <w:t>(befestigen)</w:t>
      </w:r>
      <w:r>
        <w:rPr/>
        <w:t xml:space="preserve">.{{field-off:bible}} </w:t>
        <w:br/>
        <w:t>[[@BibleTOBIBLE:1Pe 5:11]]</w:t>
      </w:r>
      <w:r>
        <w:rPr>
          <w:b/>
        </w:rPr>
        <w:t>11</w:t>
      </w:r>
      <w:r>
        <w:rPr/>
        <w:t xml:space="preserve"> {{field-on:bible}}Ihm sei die Macht </w:t>
      </w:r>
      <w:r>
        <w:rPr>
          <w:color w:val="808080"/>
        </w:rPr>
        <w:t>(Kraft, Stärke)</w:t>
      </w:r>
      <w:r>
        <w:rPr/>
        <w:t xml:space="preserve"> in Ewigkeit. Amen.{{field-off:bible}} </w:t>
        <w:br/>
        <w:t>[[@BibleTOBIBLE:1Pe 5:12]]</w:t>
      </w:r>
      <w:r>
        <w:rPr>
          <w:b/>
        </w:rPr>
        <w:t>12</w:t>
      </w:r>
      <w:r>
        <w:rPr/>
        <w:t xml:space="preserve"> {{field-on:bible}}Durch Silvanus, den treuen Bruder, wie ich meine, habe ich euch kurz geschrieben, um zu</w:t>
      </w:r>
      <w:r>
        <w:rPr>
          <w:rStyle w:val="Funotenanker"/>
        </w:rPr>
        <w:footnoteReference w:customMarkFollows="1" w:id="6941"/>
        <w:t>j</w:t>
      </w:r>
      <w:r>
        <w:rPr/>
        <w:t xml:space="preserve"> ermahnen und zu bezeugen, dass dies die wahre </w:t>
      </w:r>
      <w:r>
        <w:rPr>
          <w:color w:val="808080"/>
        </w:rPr>
        <w:t>(rechte, wirkliche, echte)</w:t>
      </w:r>
      <w:r>
        <w:rPr/>
        <w:t xml:space="preserve"> Gnade Gottes ist, in</w:t>
      </w:r>
      <w:r>
        <w:rPr>
          <w:rStyle w:val="Funotenanker"/>
        </w:rPr>
        <w:footnoteReference w:customMarkFollows="1" w:id="6942"/>
        <w:t>k</w:t>
      </w:r>
      <w:r>
        <w:rPr/>
        <w:t xml:space="preserve"> der ihr steht{{field-off:bible}} </w:t>
        <w:br/>
        <w:t>[[@BibleTOBIBLE:1Pe 5:13]]</w:t>
      </w:r>
      <w:r>
        <w:rPr>
          <w:b/>
        </w:rPr>
        <w:t>13</w:t>
      </w:r>
      <w:r>
        <w:rPr/>
        <w:t xml:space="preserve"> {{field-on:bible}}Es grüßt euch in Babylon</w:t>
      </w:r>
      <w:r>
        <w:rPr>
          <w:rStyle w:val="Funotenanker"/>
        </w:rPr>
        <w:footnoteReference w:customMarkFollows="1" w:id="6943"/>
        <w:t>l</w:t>
      </w:r>
      <w:r>
        <w:rPr/>
        <w:t xml:space="preserve"> die mit Auserwählte</w:t>
      </w:r>
      <w:r>
        <w:rPr>
          <w:rStyle w:val="Funotenanker"/>
        </w:rPr>
        <w:footnoteReference w:customMarkFollows="1" w:id="6944"/>
        <w:t>m</w:t>
      </w:r>
      <w:r>
        <w:rPr/>
        <w:t xml:space="preserve"> und Markus, mein Sohn.{{field-off:bible}} </w:t>
        <w:br/>
        <w:t>[[@BibleTOBIBLE:1Pe 5:14]]</w:t>
      </w:r>
      <w:r>
        <w:rPr>
          <w:b/>
        </w:rPr>
        <w:t>14</w:t>
      </w:r>
      <w:r>
        <w:rPr/>
        <w:t xml:space="preserve"> {{field-on:bible}}Grüßt einander mit dem Kuss der Liebe. Friede sei mit euch allen, die </w:t>
      </w:r>
      <w:r>
        <w:rPr>
          <w:b/>
          <w:color w:val="808080"/>
        </w:rPr>
        <w:t>[</w:t>
      </w:r>
      <w:r>
        <w:rPr/>
        <w:t>ihr</w:t>
      </w:r>
      <w:r>
        <w:rPr>
          <w:b/>
          <w:color w:val="808080"/>
        </w:rPr>
        <w:t>]</w:t>
      </w:r>
      <w:r>
        <w:rPr/>
        <w:t xml:space="preserve"> in Christus </w:t>
      </w:r>
      <w:r>
        <w:rPr>
          <w:b/>
          <w:color w:val="808080"/>
        </w:rPr>
        <w:t>[</w:t>
      </w:r>
      <w:r>
        <w:rPr/>
        <w:t>seid</w:t>
      </w:r>
      <w:r>
        <w:rPr>
          <w:b/>
          <w:color w:val="808080"/>
        </w:rPr>
        <w:t>]</w:t>
      </w:r>
      <w:r>
        <w:rPr/>
        <w:t xml:space="preserve">!{{field-off:bible}}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{{field-on:bible}}Symeon</w:t>
      </w:r>
      <w:r>
        <w:rPr>
          <w:rStyle w:val="Funotenanker"/>
        </w:rPr>
        <w:footnoteReference w:customMarkFollows="1" w:id="6945"/>
        <w:t>a</w:t>
      </w:r>
      <w:r>
        <w:rPr/>
        <w:t xml:space="preserve"> Petrus, Knecht </w:t>
      </w:r>
      <w:r>
        <w:rPr>
          <w:color w:val="808080"/>
        </w:rPr>
        <w:t>(Sklave)</w:t>
      </w:r>
      <w:r>
        <w:rPr/>
        <w:t xml:space="preserve"> und Apostel Jesu Christi,</w:t>
      </w:r>
      <w:r>
        <w:rPr>
          <w:rStyle w:val="Funotenanker"/>
        </w:rPr>
        <w:footnoteReference w:customMarkFollows="1" w:id="6946"/>
        <w:t>b</w:t>
      </w:r>
      <w:r>
        <w:rPr/>
        <w:t xml:space="preserve"> an die, die</w:t>
      </w:r>
      <w:r>
        <w:rPr>
          <w:rStyle w:val="Funotenanker"/>
        </w:rPr>
        <w:footnoteReference w:customMarkFollows="1" w:id="6947"/>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948"/>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949"/>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950"/>
        <w:t>f</w:t>
      </w:r>
      <w:r>
        <w:rPr/>
        <w:t xml:space="preserve"> wegen der </w:t>
      </w:r>
      <w:r>
        <w:rPr>
          <w:color w:val="808080"/>
        </w:rPr>
        <w:t>(durch die)</w:t>
      </w:r>
      <w:r>
        <w:rPr/>
        <w:t xml:space="preserve"> Erkenntnis</w:t>
      </w:r>
      <w:r>
        <w:rPr>
          <w:rStyle w:val="Funotenanker"/>
        </w:rPr>
        <w:footnoteReference w:customMarkFollows="1" w:id="6951"/>
        <w:t>g</w:t>
      </w:r>
      <w:r>
        <w:rPr/>
        <w:t xml:space="preserve"> dessen, der uns berufen hat</w:t>
      </w:r>
      <w:r>
        <w:rPr>
          <w:rStyle w:val="Funotenanker"/>
        </w:rPr>
        <w:footnoteReference w:customMarkFollows="1" w:id="6952"/>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953"/>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954"/>
        <w:t>j</w:t>
      </w:r>
      <w:r>
        <w:rPr/>
        <w:t xml:space="preserve"> wendet größten Eifer auf und stellt durch euren Glauben </w:t>
      </w:r>
      <w:r>
        <w:rPr>
          <w:strike/>
          <w:color w:val="808080"/>
        </w:rPr>
        <w:t>{die}</w:t>
      </w:r>
      <w:r>
        <w:rPr/>
        <w:t xml:space="preserve"> Tugend</w:t>
      </w:r>
      <w:r>
        <w:rPr>
          <w:rStyle w:val="Funotenanker"/>
        </w:rPr>
        <w:footnoteReference w:customMarkFollows="1" w:id="6955"/>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956"/>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957"/>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958"/>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959"/>
        <w:t>o</w:t>
      </w:r>
      <w:r>
        <w:rPr/>
        <w:t>, eifert um so mehr, eure Berufung und Erwählung zu festigen. Denn wenn</w:t>
      </w:r>
      <w:r>
        <w:rPr>
          <w:rStyle w:val="Funotenanker"/>
        </w:rPr>
        <w:footnoteReference w:customMarkFollows="1" w:id="6960"/>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6961"/>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962"/>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963"/>
        <w:t>c</w:t>
      </w:r>
      <w:r>
        <w:rPr/>
        <w:t xml:space="preserve"> {{field-off:bible}} </w:t>
        <w:br/>
        <w:t>[[@BibleTOBIBLE:2Pe 3:11]]</w:t>
      </w:r>
      <w:r>
        <w:rPr>
          <w:b/>
        </w:rPr>
        <w:t>11</w:t>
      </w:r>
      <w:r>
        <w:rPr/>
        <w:t xml:space="preserve"> {{field-on:bible}}Wenn sich dies alles auflöst</w:t>
      </w:r>
      <w:r>
        <w:rPr>
          <w:rStyle w:val="Funotenanker"/>
        </w:rPr>
        <w:footnoteReference w:customMarkFollows="1" w:id="6964"/>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965"/>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966"/>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in diesem ist die Liebe Gottes</w:t>
      </w:r>
      <w:r>
        <w:rPr>
          <w:rStyle w:val="Funotenanker"/>
        </w:rPr>
        <w:footnoteReference w:customMarkFollows="1" w:id="6967"/>
        <w:t>a</w:t>
      </w:r>
      <w:r>
        <w:rPr/>
        <w:t xml:space="preserve">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968"/>
        <w:t>b</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969"/>
        <w:t>c</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970"/>
        <w:t>d</w:t>
      </w:r>
      <w:r>
        <w:rPr/>
        <w:t xml:space="preserve"> vom Heiligen und wißt alle </w:t>
      </w:r>
      <w:r>
        <w:rPr>
          <w:color w:val="808080"/>
        </w:rPr>
        <w:t>(seid alle Wissende, wißt es alle)</w:t>
      </w:r>
      <w:r>
        <w:rPr/>
        <w:t xml:space="preserve"> </w:t>
      </w:r>
      <w:r>
        <w:rPr>
          <w:rStyle w:val="Funotenanker"/>
        </w:rPr>
        <w:footnoteReference w:customMarkFollows="1" w:id="6971"/>
        <w:t>e</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972"/>
        <w:t>f</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973"/>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974"/>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975"/>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976"/>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977"/>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978"/>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979"/>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980"/>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981"/>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982"/>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983"/>
        <w:t>d</w:t>
      </w:r>
      <w:r>
        <w:rPr/>
        <w:t xml:space="preserve">, denn die Liebe ist von </w:t>
      </w:r>
      <w:r>
        <w:rPr>
          <w:color w:val="808080"/>
        </w:rPr>
        <w:t>(aus)</w:t>
      </w:r>
      <w:r>
        <w:rPr/>
        <w:t xml:space="preserve"> Gott, und jeder, der liebt,</w:t>
      </w:r>
      <w:r>
        <w:rPr>
          <w:rStyle w:val="Funotenanker"/>
        </w:rPr>
        <w:footnoteReference w:customMarkFollows="1" w:id="6984"/>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985"/>
        <w:t>f</w:t>
      </w:r>
      <w:r>
        <w:rPr/>
        <w:t xml:space="preserve"> und kennt Gott.{{field-off:bible}} </w:t>
        <w:br/>
        <w:t>[[@BibleTOBIBLE:1Jn 4:8]]</w:t>
      </w:r>
      <w:r>
        <w:rPr>
          <w:b/>
        </w:rPr>
        <w:t>8</w:t>
      </w:r>
      <w:r>
        <w:rPr/>
        <w:t xml:space="preserve"> {{field-on:bible}}Wer nicht liebt,</w:t>
      </w:r>
      <w:r>
        <w:rPr>
          <w:rStyle w:val="Funotenanker"/>
        </w:rPr>
        <w:footnoteReference w:customMarkFollows="1" w:id="6986"/>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987"/>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988"/>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989"/>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990"/>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991"/>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992"/>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 </w:t>
      </w:r>
      <w:r>
        <w:rPr>
          <w:rStyle w:val="Funotenanker"/>
        </w:rPr>
        <w:footnoteReference w:customMarkFollows="1" w:id="6993"/>
        <w:t>a</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zu </w:t>
      </w:r>
      <w:r>
        <w:rPr>
          <w:strike/>
          <w:color w:val="808080"/>
        </w:rPr>
        <w:t>{dem}</w:t>
      </w:r>
      <w:r>
        <w:rPr/>
        <w:t xml:space="preserve"> Gott</w:t>
      </w:r>
      <w:r>
        <w:rPr>
          <w:rStyle w:val="Funotenanker"/>
        </w:rPr>
        <w:footnoteReference w:customMarkFollows="1" w:id="6994"/>
        <w:t>b</w:t>
      </w:r>
      <w:r>
        <w:rPr/>
        <w:t xml:space="preserve">, daß wir seine Gebote halten </w:t>
      </w:r>
      <w:r>
        <w:rPr>
          <w:color w:val="808080"/>
        </w:rPr>
        <w:t>(bewahren)</w:t>
      </w:r>
      <w:r>
        <w:rPr/>
        <w:t xml:space="preserve"> – und seine Gebote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{{field-on:bible}}Dieser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995"/>
        <w:t>c</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 </w:t>
      </w:r>
      <w:r>
        <w:rPr>
          <w:rStyle w:val="Funotenanker"/>
        </w:rPr>
        <w:footnoteReference w:customMarkFollows="1" w:id="6996"/>
        <w:t>d</w:t>
      </w:r>
      <w:r>
        <w:rPr/>
        <w:t xml:space="preserve">.{{field-off:bible}} </w:t>
        <w:br/>
        <w:t>[[@BibleTOBIBLE:1Jn 5:9]]</w:t>
      </w:r>
      <w:r>
        <w:rPr>
          <w:b/>
        </w:rPr>
        <w:t>9</w:t>
      </w:r>
      <w:r>
        <w:rPr/>
        <w:t xml:space="preserve"> {{field-on:bible}}Wenn wir das Zeugnis der Menschen annehmen – das Zeugnis Gottes ist größer, weil dies das Zeugnis Gottes ist, das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hat </w:t>
      </w:r>
      <w:r>
        <w:rPr>
          <w:b/>
          <w:color w:val="808080"/>
        </w:rPr>
        <w:t>[</w:t>
      </w:r>
      <w:r>
        <w:rPr/>
        <w:t>aus ihm</w:t>
      </w:r>
      <w:r>
        <w:rPr>
          <w:b/>
          <w:color w:val="808080"/>
        </w:rPr>
        <w:t>]</w:t>
      </w:r>
      <w:r>
        <w:rPr/>
        <w:t xml:space="preserve"> einen Lügner gemacht,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997"/>
        <w:t>e</w:t>
      </w:r>
      <w:r>
        <w:rPr/>
        <w:t xml:space="preserve"> dass Gott uns ewiges Leben gegeben hat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erbetenen Dinge)</w:t>
      </w:r>
      <w:r>
        <w:rPr/>
        <w:t xml:space="preserve"> haben, was </w:t>
      </w:r>
      <w:r>
        <w:rPr>
          <w:color w:val="808080"/>
        </w:rPr>
        <w:t>(die)</w:t>
      </w:r>
      <w:r>
        <w:rPr/>
        <w:t xml:space="preserve"> wir von ihm erbeten haben.{{field-off:bible}} </w:t>
        <w:br/>
        <w:t>[[@BibleTOBIBLE:1Jn 5:16]]</w:t>
      </w:r>
      <w:r>
        <w:rPr>
          <w:b/>
        </w:rPr>
        <w:t>16</w:t>
      </w:r>
      <w:r>
        <w:rPr/>
        <w:t xml:space="preserve"> {{field-on:bible}}Wenn einer seinen Bruder sündigen sieht, eine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w:t>
      </w:r>
      <w:r>
        <w:rPr>
          <w:b/>
          <w:color w:val="808080"/>
        </w:rPr>
        <w:t>[</w:t>
      </w:r>
      <w:r>
        <w:rPr/>
        <w:t>Sünde</w:t>
      </w:r>
      <w:r>
        <w:rPr>
          <w:b/>
          <w:color w:val="808080"/>
        </w:rPr>
        <w:t>]</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998"/>
        <w:t>f</w:t>
      </w:r>
      <w:r>
        <w:rPr/>
        <w:t xml:space="preserve"> </w:t>
      </w:r>
      <w:r>
        <w:rPr>
          <w:color w:val="808080"/>
        </w:rPr>
        <w:t>(der hütet/bewahrt sich)</w:t>
      </w:r>
      <w:r>
        <w:rPr/>
        <w:t xml:space="preserve"> </w:t>
      </w:r>
      <w:r>
        <w:rPr>
          <w:rStyle w:val="Funotenanker"/>
        </w:rPr>
        <w:footnoteReference w:customMarkFollows="1" w:id="6999"/>
        <w:t>g</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w:t>
      </w:r>
      <w:r>
        <w:rPr>
          <w:b/>
          <w:color w:val="808080"/>
        </w:rPr>
        <w:t>[</w:t>
      </w:r>
      <w:r>
        <w:rPr/>
        <w:t>das</w:t>
      </w:r>
      <w:r>
        <w:rPr>
          <w:b/>
          <w:color w:val="808080"/>
        </w:rPr>
        <w:t>]</w:t>
      </w:r>
      <w:r>
        <w:rPr/>
        <w:t xml:space="preserve"> Erkenntnisvermögen </w:t>
      </w:r>
      <w:r>
        <w:rPr>
          <w:color w:val="808080"/>
        </w:rPr>
        <w:t>(Verstehen, Sinn)</w:t>
      </w:r>
      <w:r>
        <w:rPr/>
        <w:t>, damit wir erkennen den Wahrhaftigen</w:t>
      </w:r>
      <w:r>
        <w:rPr>
          <w:rStyle w:val="Funotenanker"/>
        </w:rPr>
        <w:footnoteReference w:customMarkFollows="1" w:id="7000"/>
        <w:t>h</w:t>
      </w:r>
      <w:r>
        <w:rPr/>
        <w:t xml:space="preserve">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7001"/>
        <w:t>i</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7002"/>
        <w:t>Status</w:t>
      </w:r>
      <w:r>
        <w:rPr/>
        <w:t xml:space="preserve"> Eine </w:t>
      </w:r>
      <w:r>
        <w:rPr>
          <w:color w:val="808080"/>
        </w:rPr>
        <w:t>(die)</w:t>
      </w:r>
      <w:r>
        <w:rPr/>
        <w:t xml:space="preserve"> Offenbarung Jesu Christi</w:t>
      </w:r>
      <w:r>
        <w:rPr>
          <w:rStyle w:val="Funotenanker"/>
        </w:rPr>
        <w:footnoteReference w:customMarkFollows="1" w:id="7003"/>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7004"/>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7005"/>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7006"/>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7007"/>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08"/>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w:t>
      </w:r>
      <w:r>
        <w:rPr>
          <w:rStyle w:val="Funotenanker"/>
        </w:rPr>
        <w:footnoteReference w:customMarkFollows="1" w:id="7009"/>
        <w:t>g</w:t>
      </w:r>
      <w:r>
        <w:rPr/>
        <w:t xml:space="preserve">, sagt </w:t>
      </w:r>
      <w:r>
        <w:rPr>
          <w:smallCaps/>
          <w:color w:val="FF0000"/>
        </w:rPr>
        <w:t>JHWH</w:t>
      </w:r>
      <w:r>
        <w:rPr/>
        <w:t xml:space="preserve"> </w:t>
      </w:r>
      <w:r>
        <w:rPr>
          <w:color w:val="808080"/>
        </w:rPr>
        <w:t>(Herr)</w:t>
      </w:r>
      <w:r>
        <w:rPr/>
        <w:t xml:space="preserve"> </w:t>
      </w:r>
      <w:r>
        <w:rPr>
          <w:rStyle w:val="Funotenanker"/>
        </w:rPr>
        <w:footnoteReference w:customMarkFollows="1" w:id="7010"/>
        <w:t>h</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7011"/>
        <w:t>i</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7012"/>
        <w:t>j</w:t>
      </w:r>
      <w:r>
        <w:rPr/>
        <w:t xml:space="preserve"> wegen </w:t>
      </w:r>
      <w:r>
        <w:rPr>
          <w:color w:val="808080"/>
        </w:rPr>
        <w:t>(aufgrund)</w:t>
      </w:r>
      <w:r>
        <w:rPr/>
        <w:t xml:space="preserve"> des Wortes Gottes</w:t>
      </w:r>
      <w:r>
        <w:rPr>
          <w:rStyle w:val="Funotenanker"/>
        </w:rPr>
        <w:footnoteReference w:customMarkFollows="1" w:id="7013"/>
        <w:t>k</w:t>
      </w:r>
      <w:r>
        <w:rPr/>
        <w:t xml:space="preserve"> und des Zeugnisses </w:t>
      </w:r>
      <w:r>
        <w:rPr>
          <w:color w:val="808080"/>
        </w:rPr>
        <w:t>(der Bezeugung)</w:t>
      </w:r>
      <w:r>
        <w:rPr/>
        <w:t xml:space="preserve"> Jesu.</w:t>
      </w:r>
      <w:r>
        <w:rPr>
          <w:rStyle w:val="Funotenanker"/>
        </w:rPr>
        <w:footnoteReference w:customMarkFollows="1" w:id="7014"/>
        <w:t>l</w:t>
      </w:r>
      <w:r>
        <w:rPr/>
        <w:t xml:space="preserve"> {{field-off:bible}} </w:t>
        <w:br/>
        <w:t>[[@BibleTOBIBLE:Re 1:10]]</w:t>
      </w:r>
      <w:r>
        <w:rPr>
          <w:b/>
        </w:rPr>
        <w:t>10</w:t>
      </w:r>
      <w:r>
        <w:rPr/>
        <w:t xml:space="preserve"> {{field-on:bible}}Ich befand mich im Geist am Tag des Herrn</w:t>
      </w:r>
      <w:r>
        <w:rPr>
          <w:rStyle w:val="Funotenanker"/>
        </w:rPr>
        <w:footnoteReference w:customMarkFollows="1" w:id="7015"/>
        <w:t>m</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7016"/>
        <w:t>n</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7017"/>
        <w:t>o</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7018"/>
        <w:t>p</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7019"/>
        <w:t>q</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7020"/>
        <w:t>r</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7021"/>
        <w:t>s</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7022"/>
        <w:t>t</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7023"/>
        <w:t>u</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7024"/>
        <w:t>v</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25"/>
        <w:t>w</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7026"/>
        <w:t>x</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7027"/>
        <w:t>y</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7028"/>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7029"/>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7030"/>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7031"/>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7032"/>
        <w:t>a</w:t>
      </w:r>
      <w:r>
        <w:rPr/>
        <w:t xml:space="preserve">der Gemeinde in Philadelphia schreibe: „Dies sagt der Heilige, der Wahrhaftige </w:t>
      </w:r>
      <w:r>
        <w:rPr>
          <w:color w:val="808080"/>
        </w:rPr>
        <w:t>(Wahre)</w:t>
      </w:r>
      <w:r>
        <w:rPr/>
        <w:t xml:space="preserve"> </w:t>
      </w:r>
      <w:r>
        <w:rPr>
          <w:rStyle w:val="Funotenanker"/>
        </w:rPr>
        <w:footnoteReference w:customMarkFollows="1" w:id="7033"/>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7034"/>
        <w:t>c</w:t>
      </w:r>
      <w:r>
        <w:rPr/>
        <w:t xml:space="preserve"> </w:t>
      </w:r>
      <w:r>
        <w:rPr>
          <w:rStyle w:val="Funotenanker"/>
        </w:rPr>
        <w:footnoteReference w:customMarkFollows="1" w:id="7035"/>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7036"/>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7037"/>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7038"/>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7039"/>
        <w:t>a</w:t>
      </w:r>
      <w:r>
        <w:rPr/>
        <w:t xml:space="preserve"> gehört hatte – sprach</w:t>
      </w:r>
      <w:r>
        <w:rPr>
          <w:rStyle w:val="Funotenanker"/>
        </w:rPr>
        <w:footnoteReference w:customMarkFollows="1" w:id="7040"/>
        <w:t>b</w:t>
      </w:r>
      <w:r>
        <w:rPr/>
        <w:t xml:space="preserve">: „Komm herauf, dann </w:t>
      </w:r>
      <w:r>
        <w:rPr>
          <w:color w:val="808080"/>
        </w:rPr>
        <w:t>(und)</w:t>
      </w:r>
      <w:r>
        <w:rPr/>
        <w:t xml:space="preserve"> werde ich dir zeigen, was danach geschehen muss!“</w:t>
      </w:r>
      <w:r>
        <w:rPr>
          <w:rStyle w:val="Funotenanker"/>
        </w:rPr>
        <w:footnoteReference w:customMarkFollows="1" w:id="7041"/>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7042"/>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7043"/>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7044"/>
        <w:t>f</w:t>
      </w:r>
      <w:r>
        <w:rPr/>
        <w:t xml:space="preserve"> 24 Älteste </w:t>
      </w:r>
      <w:r>
        <w:rPr>
          <w:color w:val="808080"/>
        </w:rPr>
        <w:t>(Greise)</w:t>
      </w:r>
      <w:r>
        <w:rPr/>
        <w:t>, gekleidet</w:t>
      </w:r>
      <w:r>
        <w:rPr>
          <w:rStyle w:val="Funotenanker"/>
        </w:rPr>
        <w:footnoteReference w:customMarkFollows="1" w:id="7045"/>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7046"/>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7047"/>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7048"/>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7049"/>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7050"/>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7051"/>
        <w:t>m</w:t>
      </w:r>
      <w:r>
        <w:rPr/>
        <w:t>, der lebt</w:t>
      </w:r>
      <w:r>
        <w:rPr>
          <w:rStyle w:val="Funotenanker"/>
        </w:rPr>
        <w:footnoteReference w:customMarkFollows="1" w:id="7052"/>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53"/>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7054"/>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7055"/>
        <w:t>q</w:t>
      </w:r>
      <w:r>
        <w:rPr/>
        <w:t xml:space="preserve">, und sie werfen ihre Siegeskränze vor den Thron, wobei </w:t>
      </w:r>
      <w:r>
        <w:rPr>
          <w:color w:val="808080"/>
        </w:rPr>
        <w:t>(während)</w:t>
      </w:r>
      <w:r>
        <w:rPr/>
        <w:t xml:space="preserve"> sie rufen</w:t>
      </w:r>
      <w:r>
        <w:rPr>
          <w:rStyle w:val="Funotenanker"/>
        </w:rPr>
        <w:footnoteReference w:customMarkFollows="1" w:id="7056"/>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7057"/>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7058"/>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7059"/>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7060"/>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7061"/>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7062"/>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7063"/>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7064"/>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7065"/>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7066"/>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7067"/>
        <w:t>j</w:t>
      </w:r>
      <w:r>
        <w:rPr/>
        <w:t xml:space="preserve"> – das</w:t>
      </w:r>
      <w:r>
        <w:rPr>
          <w:rStyle w:val="Funotenanker"/>
        </w:rPr>
        <w:footnoteReference w:customMarkFollows="1" w:id="7068"/>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7069"/>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7070"/>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7071"/>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7072"/>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7073"/>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7074"/>
        <w:t>q</w:t>
      </w:r>
      <w:r>
        <w:rPr/>
        <w:t xml:space="preserve"> „Würdig ist das Lamm </w:t>
      </w:r>
      <w:r>
        <w:rPr>
          <w:color w:val="808080"/>
        </w:rPr>
        <w:t>(Schaf)</w:t>
      </w:r>
      <w:r>
        <w:rPr/>
        <w:t>, das geschlachtet wurde,</w:t>
      </w:r>
      <w:r>
        <w:rPr>
          <w:rStyle w:val="Funotenanker"/>
        </w:rPr>
        <w:footnoteReference w:customMarkFollows="1" w:id="7075"/>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7076"/>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77"/>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7078"/>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7079"/>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7080"/>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7081"/>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7082"/>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7083"/>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7084"/>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7085"/>
        <w:t>f</w:t>
      </w:r>
      <w:r>
        <w:rPr/>
        <w:t>: „Fügt weder der Erde noch dem Meer noch den Bäumen Schaden zu</w:t>
      </w:r>
      <w:r>
        <w:rPr>
          <w:rStyle w:val="Funotenanker"/>
        </w:rPr>
        <w:footnoteReference w:customMarkFollows="1" w:id="7086"/>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7087"/>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7088"/>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89"/>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7090"/>
        <w:t>k</w:t>
      </w:r>
      <w:r>
        <w:rPr/>
        <w:t xml:space="preserve"> an mich und fragte</w:t>
      </w:r>
      <w:r>
        <w:rPr>
          <w:rStyle w:val="Funotenanker"/>
        </w:rPr>
        <w:footnoteReference w:customMarkFollows="1" w:id="7091"/>
        <w:t>l</w:t>
      </w:r>
      <w:r>
        <w:rPr/>
        <w:t xml:space="preserve">: „Diejenigen, die in die weißen Gewänder </w:t>
      </w:r>
      <w:r>
        <w:rPr>
          <w:color w:val="808080"/>
        </w:rPr>
        <w:t>(Kleider)</w:t>
      </w:r>
      <w:r>
        <w:rPr/>
        <w:t xml:space="preserve"> gekleidet sind</w:t>
      </w:r>
      <w:r>
        <w:rPr>
          <w:rStyle w:val="Funotenanker"/>
        </w:rPr>
        <w:footnoteReference w:customMarkFollows="1" w:id="7092"/>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12]]Kapitel 12</w:t>
      </w:r>
    </w:p>
    <w:p>
      <w:pPr>
        <w:pStyle w:val="Textkrper"/>
        <w:rPr/>
      </w:pPr>
      <w:r>
        <w:rPr/>
        <w:br/>
        <w:t>[[@BibleTOBIBLE:Re 12:1]]</w:t>
      </w:r>
      <w:r>
        <w:rPr>
          <w:b/>
        </w:rPr>
        <w:t>1</w:t>
      </w:r>
      <w:r>
        <w:rPr/>
        <w:t xml:space="preserve"> {{field-on:bible}}Und es erschien ein großes Zeichen am Himmel </w:t>
      </w:r>
      <w:r>
        <w:rPr>
          <w:color w:val="808080"/>
        </w:rPr>
        <w:t>(im Himmel)</w:t>
      </w:r>
      <w:r>
        <w:rPr/>
        <w:t xml:space="preserve">: eine Frau, umworfen mit der Sonne, und der Mond unter ihren Füssen, und auf ihrem Haupt ein Kranz von zwölf Sternen.{{field-off:bible}} </w:t>
        <w:br/>
        <w:t>[[@BibleTOBIBLE:Re 12:2]]</w:t>
      </w:r>
      <w:r>
        <w:rPr>
          <w:b/>
        </w:rPr>
        <w:t>2</w:t>
      </w:r>
      <w:r>
        <w:rPr/>
        <w:t xml:space="preserve"> {{field-on:bible}}Sie trägt schwanger, und sie schreit in Wehen und Schmerzen einer Geburt.{{field-off:bible}} </w:t>
        <w:br/>
        <w:t>[[@BibleTOBIBLE:Re 12:3]]</w:t>
      </w:r>
      <w:r>
        <w:rPr>
          <w:b/>
        </w:rPr>
        <w:t>3</w:t>
      </w:r>
      <w:r>
        <w:rPr/>
        <w:t xml:space="preserve"> {{field-on:bible}}Und ein anderes Zeichen erschien am Himmel: Siehe, ein Drache, gross und feuerrot, mit sieben Köpfen und zehn Hörnern, und auf seinen Köpfen sieben Diademe.{{field-off:bible}}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7093"/>
        <w:t>Status</w:t>
      </w:r>
      <w:r>
        <w:rPr/>
        <w:t xml:space="preserve"> Und ich sah ein Tier aus dem Meer aufsteigen, welches zehn Hörner und sieben Köpfe und auf seinen Hörnern zehn Diademe und auf seinen Köpfen </w:t>
      </w:r>
      <w:r>
        <w:rPr>
          <w:rStyle w:val="Funotenanker"/>
        </w:rPr>
        <w:footnoteReference w:customMarkFollows="1" w:id="7094"/>
        <w:t>a</w:t>
      </w:r>
      <w:r>
        <w:rPr/>
        <w:t xml:space="preserve"> einen blasphemischen Namen </w:t>
      </w:r>
      <w:r>
        <w:rPr>
          <w:rStyle w:val="Funotenanker"/>
        </w:rPr>
        <w:footnoteReference w:customMarkFollows="1" w:id="7095"/>
        <w:t>b</w:t>
      </w:r>
      <w:r>
        <w:rPr/>
        <w:t xml:space="preserve"> hatte.{{field-off:bible}} </w:t>
        <w:br/>
        <w:t>[[@BibleTOBIBLE:Re 13:2]]</w:t>
      </w:r>
      <w:r>
        <w:rPr>
          <w:b/>
        </w:rPr>
        <w:t>2</w:t>
      </w:r>
      <w:r>
        <w:rPr/>
        <w:t xml:space="preserve"> {{field-on:bible}}Und das Tier, welches ich sah, war wie ein Leopard und seine Füße wie die eines Bären und sein Mund wie der Mund eines Löwen. Und der Drache gab ihm seine Macht und seinen Thron und große Gewalt.{{field-off:bible}} </w:t>
        <w:br/>
        <w:t>[[@BibleTOBIBLE:Re 13:3]]</w:t>
      </w:r>
      <w:r>
        <w:rPr>
          <w:b/>
        </w:rPr>
        <w:t>3</w:t>
      </w:r>
      <w:r>
        <w:rPr/>
        <w:t xml:space="preserve"> {{field-on:bible}}Und </w:t>
      </w:r>
      <w:r>
        <w:rPr>
          <w:b/>
          <w:color w:val="808080"/>
        </w:rPr>
        <w:t>[</w:t>
      </w:r>
      <w:r>
        <w:rPr/>
        <w:t>ich sah</w:t>
      </w:r>
      <w:r>
        <w:rPr>
          <w:b/>
          <w:color w:val="808080"/>
        </w:rPr>
        <w:t>]</w:t>
      </w:r>
      <w:r>
        <w:rPr/>
        <w:t xml:space="preserve"> einen seiner Köpfe wie zu Tode ge-schlachtet und die Wunde seines Todes wurde geheilt. Und die ganze Welt wunderte sich hinter dem Tier her.{{field-off:bible}} </w:t>
        <w:br/>
        <w:t>[[@BibleTOBIBLE:Re 13:4]]</w:t>
      </w:r>
      <w:r>
        <w:rPr>
          <w:b/>
        </w:rPr>
        <w:t>4</w:t>
      </w:r>
      <w:r>
        <w:rPr/>
        <w:t xml:space="preserve"> {{field-on:bible}}Und sie beteten den Drachen an,weil er dem Tier die Gewalt gegeben hatte, und sie beugten ihre Knie vor dem Tier, wobei sie sagten: „Wer ist wie das Tier und wer kann es bekämpfen?“{{field-off:bible}} </w:t>
        <w:br/>
        <w:t>[[@BibleTOBIBLE:Re 13:5]]</w:t>
      </w:r>
      <w:r>
        <w:rPr>
          <w:b/>
        </w:rPr>
        <w:t>5</w:t>
      </w:r>
      <w:r>
        <w:rPr/>
        <w:t xml:space="preserve"> {{field-on:bible}}Und ihm wurde ein Mund gegeben um Lautes und Blasphemisches zu reden und ihm wurde Gewalt gegeben, </w:t>
      </w:r>
      <w:r>
        <w:rPr>
          <w:color w:val="808080"/>
        </w:rPr>
        <w:t>(es)</w:t>
      </w:r>
      <w:r>
        <w:rPr/>
        <w:t xml:space="preserve"> zweiundvierzig Monate zu tun </w:t>
      </w:r>
      <w:r>
        <w:rPr>
          <w:rStyle w:val="Funotenanker"/>
        </w:rPr>
        <w:footnoteReference w:customMarkFollows="1" w:id="7096"/>
        <w:t>c</w:t>
      </w:r>
      <w:r>
        <w:rPr/>
        <w:t xml:space="preserve"> {{field-off:bible}} </w:t>
        <w:br/>
        <w:t>[[@BibleTOBIBLE:Re 13:6]]</w:t>
      </w:r>
      <w:r>
        <w:rPr>
          <w:b/>
        </w:rPr>
        <w:t>6</w:t>
      </w:r>
      <w:r>
        <w:rPr/>
        <w:t xml:space="preserve"> {{field-on:bible}}Und es öffnete seinen Mund zur Blasphemie um Gott zu lästern, seinen Namen und sein Zelt und diejenigen, welche im Himmel leben.{{field-off:bible}} </w:t>
        <w:br/>
        <w:t>[[@BibleTOBIBLE:Re 13:7]]</w:t>
      </w:r>
      <w:r>
        <w:rPr>
          <w:b/>
        </w:rPr>
        <w:t>7</w:t>
      </w:r>
      <w:r>
        <w:rPr/>
        <w:t xml:space="preserve"> {{field-on:bible}} </w:t>
      </w:r>
      <w:r>
        <w:rPr>
          <w:rStyle w:val="Funotenanker"/>
        </w:rPr>
        <w:footnoteReference w:customMarkFollows="1" w:id="7097"/>
        <w:t>d</w:t>
      </w:r>
      <w:r>
        <w:rPr/>
        <w:t xml:space="preserve"> ihm wurde gegeben die Gewalt über jeden Stamm und </w:t>
      </w:r>
      <w:r>
        <w:rPr>
          <w:color w:val="808080"/>
        </w:rPr>
        <w:t>(jedes)</w:t>
      </w:r>
      <w:r>
        <w:rPr/>
        <w:t xml:space="preserve"> Volk und </w:t>
      </w:r>
      <w:r>
        <w:rPr>
          <w:color w:val="808080"/>
        </w:rPr>
        <w:t>(jede)</w:t>
      </w:r>
      <w:r>
        <w:rPr/>
        <w:t xml:space="preserve"> Sprache und </w:t>
      </w:r>
      <w:r>
        <w:rPr>
          <w:color w:val="808080"/>
        </w:rPr>
        <w:t>(jede)</w:t>
      </w:r>
      <w:r>
        <w:rPr/>
        <w:t xml:space="preserve"> Nation.{{field-off:bible}} </w:t>
        <w:br/>
        <w:t>[[@BibleTOBIBLE:Re 13:8]]</w:t>
      </w:r>
      <w:r>
        <w:rPr>
          <w:b/>
        </w:rPr>
        <w:t>8</w:t>
      </w:r>
      <w:r>
        <w:rPr/>
        <w:t xml:space="preserve"> {{field-on:bible}}Und alle, die auf der Erde leben, werden vor ihm ihre Knie beugen, </w:t>
      </w:r>
      <w:r>
        <w:rPr>
          <w:color w:val="808080"/>
        </w:rPr>
        <w:t>(jeder)</w:t>
      </w:r>
      <w:r>
        <w:rPr/>
        <w:t xml:space="preserve"> dessen Name </w:t>
      </w:r>
      <w:r>
        <w:rPr>
          <w:rStyle w:val="Funotenanker"/>
        </w:rPr>
        <w:footnoteReference w:customMarkFollows="1" w:id="7098"/>
        <w:t>e</w:t>
      </w:r>
      <w:r>
        <w:rPr/>
        <w:t xml:space="preserve"> nicht geschrieben wurde in das Buch des Lebens des geschlachteten Lammes, vom Anfang der Welt an.{{field-off:bible}} </w:t>
        <w:br/>
        <w:t>[[@BibleTOBIBLE:Re 13:9]]</w:t>
      </w:r>
      <w:r>
        <w:rPr>
          <w:b/>
        </w:rPr>
        <w:t>9</w:t>
      </w:r>
      <w:r>
        <w:rPr/>
        <w:t xml:space="preserve"> {{field-on:bible}}Wenn jemand ein Ohr hat, so höre er.{{field-off:bible}} </w:t>
        <w:br/>
        <w:t>[[@BibleTOBIBLE:Re 13:10]]</w:t>
      </w:r>
      <w:r>
        <w:rPr>
          <w:b/>
        </w:rPr>
        <w:t>10</w:t>
      </w:r>
      <w:r>
        <w:rPr/>
        <w:t xml:space="preserve"> {{field-on:bible}}Wenn jemand in Gefangenschaft führt, so geht er in Gefangenschaft</w:t>
      </w:r>
      <w:r>
        <w:rPr>
          <w:rStyle w:val="Funotenanker"/>
        </w:rPr>
        <w:footnoteReference w:customMarkFollows="1" w:id="7099"/>
        <w:t>f</w:t>
      </w:r>
      <w:r>
        <w:rPr/>
        <w:t xml:space="preserve"> Wenn jemand mit einem Schwert tötet, so wird er mit einem Schwert getötet </w:t>
      </w:r>
      <w:r>
        <w:rPr>
          <w:rStyle w:val="Funotenanker"/>
        </w:rPr>
        <w:footnoteReference w:customMarkFollows="1" w:id="7100"/>
        <w:t>g</w:t>
      </w:r>
      <w:r>
        <w:rPr/>
        <w:t xml:space="preserve">. Hier ist die Geduld und der Glaube der Heiligen.{{field-off:bible}} </w:t>
        <w:br/>
        <w:t>[[@BibleTOBIBLE:Re 13:11]]</w:t>
      </w:r>
      <w:r>
        <w:rPr>
          <w:b/>
        </w:rPr>
        <w:t>11</w:t>
      </w:r>
      <w:r>
        <w:rPr/>
        <w:t xml:space="preserve"> {{field-on:bible}}Und ich sah ein anderes Tier aus der Erde hinaufsteigen und es hatte zwei Hörner wie ein Lamm und sprach wie ein Drache.{{field-off:bible}} </w:t>
        <w:br/>
        <w:t>[[@BibleTOBIBLE:Re 13:12]]</w:t>
      </w:r>
      <w:r>
        <w:rPr>
          <w:b/>
        </w:rPr>
        <w:t>12</w:t>
      </w:r>
      <w:r>
        <w:rPr/>
        <w:t xml:space="preserve"> {{field-on:bible}}Und die ganze Gewalt des ersten Tieres tat es vor ihm, und es veranlasst die Erde und die auf ihr Lebenden, dass sie das erste Tier anbeten, dessen tödliche Wunde geheilt wurde.{{field-off:bible}} </w:t>
        <w:br/>
        <w:t>[[@BibleTOBIBLE:Re 13:13]]</w:t>
      </w:r>
      <w:r>
        <w:rPr>
          <w:b/>
        </w:rPr>
        <w:t>13</w:t>
      </w:r>
      <w:r>
        <w:rPr/>
        <w:t xml:space="preserve"> {{field-on:bible}}Und es tut große Zeichen, indem es auch selbst Feuer aus dem Himmel auf die Erde herabkommen lasse vor den Menschen.{{field-off:bible}} </w:t>
        <w:br/>
        <w:t>[[@BibleTOBIBLE:Re 13:14]]</w:t>
      </w:r>
      <w:r>
        <w:rPr>
          <w:b/>
        </w:rPr>
        <w:t>14</w:t>
      </w:r>
      <w:r>
        <w:rPr/>
        <w:t xml:space="preserve"> {{field-on:bible}}Und es täuschte diejenigen, welche auf der Erde wohnen, durch die Zeichen, die ihm vor dem Tier zu tun gegeben worden, indem es diesen auf der Erde Lebenden befahl </w:t>
      </w:r>
      <w:r>
        <w:rPr>
          <w:rStyle w:val="Funotenanker"/>
        </w:rPr>
        <w:footnoteReference w:customMarkFollows="1" w:id="7101"/>
        <w:t>h</w:t>
      </w:r>
      <w:r>
        <w:rPr/>
        <w:t xml:space="preserve">, dem Tier ein Bild zu machen, welches die Wunde des Schwertes hat und </w:t>
      </w:r>
      <w:r>
        <w:rPr>
          <w:color w:val="808080"/>
        </w:rPr>
        <w:t>(wieder)</w:t>
      </w:r>
      <w:r>
        <w:rPr/>
        <w:t xml:space="preserve"> lebendig wurde.{{field-off:bible}} </w:t>
        <w:br/>
        <w:t>[[@BibleTOBIBLE:Re 13:15]]</w:t>
      </w:r>
      <w:r>
        <w:rPr>
          <w:b/>
        </w:rPr>
        <w:t>15</w:t>
      </w:r>
      <w:r>
        <w:rPr/>
        <w:t xml:space="preserve"> {{field-on:bible}}Und ihm wurde gegeben dem Bild des Tieres Geist zu geben, sodass auch das Bild des Tieres sprach und veranlasste, dass alle </w:t>
      </w:r>
      <w:r>
        <w:rPr>
          <w:rStyle w:val="Funotenanker"/>
        </w:rPr>
        <w:footnoteReference w:customMarkFollows="1" w:id="7102"/>
        <w:t>i</w:t>
      </w:r>
      <w:r>
        <w:rPr/>
        <w:t xml:space="preserve"> getötet werden, die nicht anbeten das Bild des Tieres.{{field-off:bible}} </w:t>
        <w:br/>
        <w:t>[[@BibleTOBIBLE:Re 13:16]]</w:t>
      </w:r>
      <w:r>
        <w:rPr>
          <w:b/>
        </w:rPr>
        <w:t>16</w:t>
      </w:r>
      <w:r>
        <w:rPr/>
        <w:t xml:space="preserve"> {{field-on:bible}}Und es veranlasst alle dazu, die Kleinen und die Großen, und die Reichen und die Armen, und die Freien und die Sklaven, dass sie sich ein Malzeichen geben an die rechte Hand oder ihre Stirn.{{field-off:bible}} </w:t>
        <w:br/>
        <w:t>[[@BibleTOBIBLE:Re 13:17]]</w:t>
      </w:r>
      <w:r>
        <w:rPr>
          <w:b/>
        </w:rPr>
        <w:t>17</w:t>
      </w:r>
      <w:r>
        <w:rPr/>
        <w:t xml:space="preserve"> {{field-on:bible}}und so dass niemand kaufen oder verkaufen kann, wenn nicht derjenige, der das Zeichen des Namens des Tieres hat oder die Zahl seines Namens.{{field-off:bible}}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7103"/>
        <w:t>j</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OpenSymbol">
    <w:altName w:val="Arial Unicode MS"/>
    <w:charset w:val="02"/>
    <w:family w:val="auto"/>
    <w:pitch w:val="default"/>
  </w:font>
  <w:font w:name="Albany">
    <w:altName w:val="Arial"/>
    <w:charset w:val="00"/>
    <w:family w:val="swiss"/>
    <w:pitch w:val="variable"/>
  </w:font>
  <w:font w:name="Symbol">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rStyle w:val="Funotenzeichen"/>
        </w:rPr>
        <w:footnoteRef/>
      </w:r>
      <w:r>
        <w:rPr/>
        <w:tab/>
        <w:t>[Status: Ungeprüft]</w:t>
      </w:r>
    </w:p>
  </w:footnote>
  <w:footnote w:id="3">
    <w:p>
      <w:pPr>
        <w:pStyle w:val="Funote"/>
        <w:rPr/>
      </w:pPr>
      <w:r>
        <w:rPr>
          <w:rStyle w:val="Funotenzeichen"/>
        </w:rPr>
        <w:footnoteRef/>
      </w:r>
      <w:r>
        <w:rPr/>
        <w:tab/>
        <w:t xml:space="preserve">Zu </w:t>
      </w:r>
      <w:r>
        <w:rPr>
          <w:i/>
        </w:rPr>
        <w:t>Teilung</w:t>
      </w:r>
      <w:r>
        <w:rPr/>
        <w:t xml:space="preserve"> s. </w:t>
      </w:r>
      <w:r>
        <w:fldChar w:fldCharType="begin"/>
      </w:r>
      <w:r>
        <w:rPr>
          <w:rStyle w:val="Internetverknpfung"/>
        </w:rPr>
        <w:instrText> HYPERLINK "http://www.offene-bibel.de/wiki/index.php5?title=Kommentar:Genesis_1" \l "note_b"</w:instrText>
      </w:r>
      <w:r>
        <w:rPr>
          <w:rStyle w:val="Internetverknpfung"/>
        </w:rPr>
        <w:fldChar w:fldCharType="separate"/>
      </w:r>
      <w:r>
        <w:rPr>
          <w:rStyle w:val="Internetverknpfung"/>
        </w:rPr>
        <w:t>Anmerkung b</w:t>
      </w:r>
      <w:r>
        <w:rPr>
          <w:rStyle w:val="Internetverknpfung"/>
        </w:rPr>
        <w:fldChar w:fldCharType="end"/>
      </w:r>
      <w:r>
        <w:rPr/>
        <w:t>.</w:t>
      </w:r>
    </w:p>
  </w:footnote>
  <w:footnote w:id="4">
    <w:p>
      <w:pPr>
        <w:pStyle w:val="Funote"/>
        <w:rPr/>
      </w:pPr>
      <w:r>
        <w:rPr>
          <w:rStyle w:val="Funotenzeichen"/>
        </w:rPr>
        <w:footnoteRef/>
      </w:r>
      <w:r>
        <w:rPr/>
        <w:tab/>
        <w:t>Der Merismus „Himmel und Erde“ ist im Hebräischen der Standard-Ausdruck für den Kosmos/das Universum; vgl. z.B. Sasson 1992, S. 184; Westermann 1983, S. 140f.</w:t>
      </w:r>
    </w:p>
  </w:footnote>
  <w:footnote w:id="5">
    <w:p>
      <w:pPr>
        <w:pStyle w:val="Funote"/>
        <w:rPr/>
      </w:pPr>
      <w:r>
        <w:rPr>
          <w:rStyle w:val="Funotenzeichen"/>
        </w:rPr>
        <w:footnoteRef/>
      </w:r>
      <w:r>
        <w:rPr/>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rStyle w:val="Funotenzeichen"/>
        </w:rPr>
        <w:footnoteRef/>
      </w:r>
      <w:r>
        <w:rPr>
          <w:i/>
        </w:rPr>
        <w:tab/>
        <w:t>war die Erde (- die Erde war)</w:t>
      </w:r>
      <w:r>
        <w:rPr/>
        <w:t xml:space="preserve">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w:t>
      </w:r>
      <w:r>
        <w:fldChar w:fldCharType="begin"/>
      </w:r>
      <w:r>
        <w:rPr>
          <w:rStyle w:val="Internetverknpfung"/>
        </w:rPr>
        <w:instrText> HYPERLINK "http://www.offene-bibel.de/wiki/index.php5?title=Kommentar:Genesis_1" \l "note_c"</w:instrText>
      </w:r>
      <w:r>
        <w:rPr>
          <w:rStyle w:val="Internetverknpfung"/>
        </w:rPr>
        <w:fldChar w:fldCharType="separate"/>
      </w:r>
      <w:r>
        <w:rPr>
          <w:rStyle w:val="Internetverknpfung"/>
        </w:rPr>
        <w:t>Anmerkung c</w:t>
      </w:r>
      <w:r>
        <w:rPr>
          <w:rStyle w:val="Internetverknpfung"/>
        </w:rPr>
        <w:fldChar w:fldCharType="end"/>
      </w:r>
      <w:r>
        <w:rPr/>
        <w:t>.</w:t>
      </w:r>
    </w:p>
  </w:footnote>
  <w:footnote w:id="7">
    <w:p>
      <w:pPr>
        <w:pStyle w:val="Funote"/>
        <w:rPr/>
      </w:pPr>
      <w:r>
        <w:rPr>
          <w:rStyle w:val="Funotenzeichen"/>
        </w:rPr>
        <w:footnoteRef/>
      </w:r>
      <w:r>
        <w:rPr>
          <w:i/>
        </w:rPr>
        <w:tab/>
        <w:t>nicht und nichts (leer, sinnlos, zerstört?, chaotisch?)</w:t>
      </w:r>
      <w:r>
        <w:rPr/>
        <w:t xml:space="preserve"> - Die Bedeutung des hebräischen </w:t>
      </w:r>
      <w:r>
        <w:rPr>
          <w:i/>
        </w:rPr>
        <w:t>tohu wabohu</w:t>
      </w:r>
      <w:r>
        <w:rPr/>
        <w:t xml:space="preserve"> (hier: „nicht und nichts“; meist: „wüst und leer“) ist umstritten; s. </w:t>
      </w:r>
      <w:r>
        <w:fldChar w:fldCharType="begin"/>
      </w:r>
      <w:r>
        <w:rPr>
          <w:rStyle w:val="Internetverknpfung"/>
        </w:rPr>
        <w:instrText> HYPERLINK "http://www.offene-bibel.de/wiki/index.php5?title=Kommentar:Genesis_1" \l "note_d"</w:instrText>
      </w:r>
      <w:r>
        <w:rPr>
          <w:rStyle w:val="Internetverknpfung"/>
        </w:rPr>
        <w:fldChar w:fldCharType="separate"/>
      </w:r>
      <w:r>
        <w:rPr>
          <w:rStyle w:val="Internetverknpfung"/>
        </w:rPr>
        <w:t>Anmerkung d</w:t>
      </w:r>
      <w:r>
        <w:rPr>
          <w:rStyle w:val="Internetverknpfung"/>
        </w:rPr>
        <w:fldChar w:fldCharType="end"/>
      </w:r>
      <w:r>
        <w:rPr/>
        <w:t>.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rStyle w:val="Funotenzeichen"/>
        </w:rPr>
        <w:footnoteRef/>
      </w:r>
      <w:r>
        <w:rPr>
          <w:i/>
        </w:rPr>
        <w:tab/>
        <w:t>Tiefe (Urtiefe, Wasser)</w:t>
      </w:r>
      <w:r>
        <w:rPr/>
        <w:t xml:space="preserve"> - Im hebräischen Wort </w:t>
      </w:r>
      <w:r>
        <w:rPr>
          <w:i/>
        </w:rPr>
        <w:t>tehom</w:t>
      </w:r>
      <w:r>
        <w:rPr/>
        <w:t xml:space="preserve">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w:t>
      </w:r>
      <w:r>
        <w:rPr>
          <w:i/>
        </w:rPr>
        <w:t>majim</w:t>
      </w:r>
      <w:r>
        <w:rPr/>
        <w:t xml:space="preserve"> („Wasser“). Da meist angenommen wird, der Verfasser von Gen 1 würde das ganze Kapitel hindurch Entmythisierungsstrategien anwenden (s. </w:t>
      </w:r>
      <w:r>
        <w:fldChar w:fldCharType="begin"/>
      </w:r>
      <w:r>
        <w:rPr>
          <w:rStyle w:val="Internetverknpfung"/>
        </w:rPr>
        <w:instrText> HYPERLINK "http://www.offene-bibel.de/wiki/index.php5?title=Genesis_1" \l "note_aa"</w:instrText>
      </w:r>
      <w:r>
        <w:rPr>
          <w:rStyle w:val="Internetverknpfung"/>
        </w:rPr>
        <w:fldChar w:fldCharType="separate"/>
      </w:r>
      <w:r>
        <w:rPr>
          <w:rStyle w:val="Internetverknpfung"/>
        </w:rPr>
        <w:t>FN aa</w:t>
      </w:r>
      <w:r>
        <w:rPr>
          <w:rStyle w:val="Internetverknpfung"/>
        </w:rPr>
        <w:fldChar w:fldCharType="end"/>
      </w:r>
      <w:r>
        <w:rPr/>
        <w:t>), ist wahrscheinlich auch hier eher Letzteres der Fall.</w:t>
      </w:r>
    </w:p>
  </w:footnote>
  <w:footnote w:id="9">
    <w:p>
      <w:pPr>
        <w:pStyle w:val="Funote"/>
        <w:rPr/>
      </w:pPr>
      <w:r>
        <w:rPr>
          <w:rStyle w:val="Funotenzeichen"/>
        </w:rPr>
        <w:footnoteRef/>
      </w:r>
      <w:r>
        <w:rPr/>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rStyle w:val="Funotenzeichen"/>
        </w:rPr>
        <w:footnoteRef/>
      </w:r>
      <w:r>
        <w:rPr/>
        <w:tab/>
        <w:t xml:space="preserve">Mit der hebräischen Verbform </w:t>
      </w:r>
      <w:r>
        <w:rPr>
          <w:i/>
        </w:rPr>
        <w:t>Wayyiqtol</w:t>
      </w:r>
      <w:r>
        <w:rPr/>
        <w:t xml:space="preserve"> setzt in Vers 3 zum ersten Mal die Handlung ein; Vv. 1-2 geben Hintergrundinformationen. In der LF sollte man das besser ausdrücklich machen, z.B. durch die Einfügung eines solchen „Da“.</w:t>
      </w:r>
    </w:p>
  </w:footnote>
  <w:footnote w:id="11">
    <w:p>
      <w:pPr>
        <w:pStyle w:val="Funote"/>
        <w:rPr/>
      </w:pPr>
      <w:r>
        <w:rPr>
          <w:rStyle w:val="Funotenzeichen"/>
        </w:rPr>
        <w:footnoteRef/>
      </w:r>
      <w:r>
        <w:rPr/>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rStyle w:val="Funotenzeichen"/>
        </w:rPr>
        <w:footnoteRef/>
      </w:r>
      <w:r>
        <w:rPr/>
        <w:tab/>
        <w:t xml:space="preserve">W. „Gott sah die Helligkeit, dass gut“; zur Syntax s. </w:t>
      </w:r>
      <w:r>
        <w:fldChar w:fldCharType="begin"/>
      </w:r>
      <w:r>
        <w:rPr>
          <w:rStyle w:val="Internetverknpfung"/>
        </w:rPr>
        <w:instrText> HYPERLINK "http://www.offene-bibel.de/wiki/index.php5?title=Kommentar:Genesis_1" \l "note_e"</w:instrText>
      </w:r>
      <w:r>
        <w:rPr>
          <w:rStyle w:val="Internetverknpfung"/>
        </w:rPr>
        <w:fldChar w:fldCharType="separate"/>
      </w:r>
      <w:r>
        <w:rPr>
          <w:rStyle w:val="Internetverknpfung"/>
        </w:rPr>
        <w:t>Anmerkung e</w:t>
      </w:r>
      <w:r>
        <w:rPr>
          <w:rStyle w:val="Internetverknpfung"/>
        </w:rPr>
        <w:fldChar w:fldCharType="end"/>
      </w:r>
      <w:r>
        <w:rPr/>
        <w:t>.</w:t>
      </w:r>
    </w:p>
  </w:footnote>
  <w:footnote w:id="13">
    <w:p>
      <w:pPr>
        <w:pStyle w:val="Funote"/>
        <w:rPr/>
      </w:pPr>
      <w:r>
        <w:rPr>
          <w:rStyle w:val="Funotenzeichen"/>
        </w:rPr>
        <w:footnoteRef/>
      </w:r>
      <w:r>
        <w:rPr>
          <w:i/>
        </w:rPr>
        <w:tab/>
        <w:t>{</w:t>
      </w:r>
      <w:r>
        <w:rPr>
          <w:i/>
          <w:strike/>
        </w:rPr>
        <w:t>zwischen</w:t>
      </w:r>
      <w:r>
        <w:rPr>
          <w:i/>
        </w:rPr>
        <w:t>}</w:t>
      </w:r>
      <w:r>
        <w:rPr/>
        <w:t xml:space="preserve"> - Das Heb. </w:t>
      </w:r>
      <w:r>
        <w:rPr>
          <w:i/>
        </w:rPr>
        <w:t>ben</w:t>
      </w:r>
      <w:r>
        <w:rPr/>
        <w:t xml:space="preserve"> („zwischen“) wird im Hebräischen doppelt gesetzt („zwischen X und Y“); im Dt. kann dies ohne Bedeutungsverlust natürlicher ausgedrückt werden.</w:t>
      </w:r>
    </w:p>
  </w:footnote>
  <w:footnote w:id="14">
    <w:p>
      <w:pPr>
        <w:pStyle w:val="Funote"/>
        <w:rPr/>
      </w:pPr>
      <w:r>
        <w:rPr>
          <w:rStyle w:val="Funotenzeichen"/>
        </w:rPr>
        <w:footnoteRef/>
      </w:r>
      <w:r>
        <w:rPr/>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rStyle w:val="Funotenzeichen"/>
        </w:rPr>
        <w:footnoteRef/>
      </w:r>
      <w:r>
        <w:rPr/>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rStyle w:val="Funotenzeichen"/>
        </w:rPr>
        <w:footnoteRef/>
      </w:r>
      <w:r>
        <w:rPr/>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rStyle w:val="Funotenzeichen"/>
        </w:rPr>
        <w:footnoteRef/>
      </w:r>
      <w:r>
        <w:rPr>
          <w:i/>
        </w:rPr>
        <w:tab/>
        <w:t>V. 7</w:t>
      </w:r>
      <w:r>
        <w:rPr/>
        <w:t>: W.: „das Wasser, das unterhalb des Schalenförmigen [war/ist/sein würde] und das Wasser, das oberhalb des Schalenförmigen [war/ist/sein würde].“</w:t>
      </w:r>
    </w:p>
  </w:footnote>
  <w:footnote w:id="18">
    <w:p>
      <w:pPr>
        <w:pStyle w:val="Funote"/>
        <w:rPr/>
      </w:pPr>
      <w:r>
        <w:rPr>
          <w:rStyle w:val="Funotenzeichen"/>
        </w:rPr>
        <w:footnoteRef/>
      </w:r>
      <w:r>
        <w:rPr/>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rStyle w:val="Funotenzeichen"/>
        </w:rPr>
        <w:footnoteRef/>
      </w:r>
      <w:r>
        <w:rPr>
          <w:i/>
        </w:rPr>
        <w:tab/>
        <w:t>Getreide (Pflanzen)</w:t>
      </w:r>
      <w:r>
        <w:rPr/>
        <w:t xml:space="preserve"> - Meist allgemein übersetzt als „Pflanzen“ oder „Kraut“. Hier ist es aber näher bestimmt dadurch, dass es </w:t>
      </w:r>
      <w:r>
        <w:rPr>
          <w:i/>
        </w:rPr>
        <w:t>zera`</w:t>
      </w:r>
      <w:r>
        <w:rPr/>
        <w:t xml:space="preserve"> tragen soll. Dies steht in der Bibel sehr eindeutig für Samen und Saatgut. Entsprechend wird es sich wohl auch hier sehr sicher um eine Nutzpflanzen handeln: </w:t>
      </w:r>
      <w:r>
        <w:rPr>
          <w:i/>
        </w:rPr>
        <w:t>`eßeb mazrij`a zera`</w:t>
      </w:r>
      <w:r>
        <w:rPr/>
        <w:t xml:space="preserve"> ist das „Frucht bringende Getreide“; </w:t>
      </w:r>
      <w:r>
        <w:rPr>
          <w:i/>
        </w:rPr>
        <w:t>`ets p</w:t>
      </w:r>
      <w:r>
        <w:rPr>
          <w:i/>
          <w:position w:val="7"/>
          <w:sz w:val="16"/>
        </w:rPr>
        <w:t>e</w:t>
      </w:r>
      <w:r>
        <w:rPr>
          <w:i/>
        </w:rPr>
        <w:t>ri</w:t>
      </w:r>
      <w:r>
        <w:rPr/>
        <w:t xml:space="preserve"> sind (unbestritten) die Fruchtbäume - Gott lässt zu Schöpfungsbeginn ausschließlich „sinnvolle“ Pflanzen sprießen.</w:t>
      </w:r>
    </w:p>
  </w:footnote>
  <w:footnote w:id="20">
    <w:p>
      <w:pPr>
        <w:pStyle w:val="Funote"/>
        <w:rPr/>
      </w:pPr>
      <w:r>
        <w:rPr>
          <w:rStyle w:val="Funotenzeichen"/>
        </w:rPr>
        <w:footnoteRef/>
      </w:r>
      <w:r>
        <w:rPr/>
        <w:tab/>
        <w:t>Textkritik: Ergänze mit Soggin 1997, S. 36; Westermann 1983, S. 110 vor `ets („Bäume“) die Konjunktion we („und“) (so auch viele Manuskripte), da sonst „Bäume“ in Apposition zu „Getreide“ stünde.</w:t>
      </w:r>
    </w:p>
  </w:footnote>
  <w:footnote w:id="21">
    <w:p>
      <w:pPr>
        <w:pStyle w:val="Funote"/>
        <w:rPr/>
      </w:pPr>
      <w:r>
        <w:rPr>
          <w:rStyle w:val="Funotenzeichen"/>
        </w:rPr>
        <w:footnoteRef/>
      </w:r>
      <w:r>
        <w:rPr/>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rStyle w:val="Funotenzeichen"/>
        </w:rPr>
        <w:footnoteRef/>
      </w:r>
      <w:r>
        <w:rPr/>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rStyle w:val="Funotenzeichen"/>
        </w:rPr>
        <w:footnoteRef/>
      </w:r>
      <w:r>
        <w:rPr/>
        <w:tab/>
        <w:t>wohl zu lesen als epexegetische Constructus-Verbindung (also „am Schalenförmigen, d.h. am Himmel“); übersetze in der LF besser schlicht „Himmel“.</w:t>
      </w:r>
    </w:p>
  </w:footnote>
  <w:footnote w:id="24">
    <w:p>
      <w:pPr>
        <w:pStyle w:val="Funote"/>
        <w:rPr/>
      </w:pPr>
      <w:r>
        <w:rPr>
          <w:rStyle w:val="Funotenzeichen"/>
        </w:rPr>
        <w:footnoteRef/>
      </w:r>
      <w:r>
        <w:rPr/>
        <w:tab/>
        <w:t>wohl explikatives Waw; siehe nächste Fußnote. vgl. auch Cassuto 2005, S. 44; Cole 2007; König 1919, S. 149; Speiser 1964, S. 6.</w:t>
      </w:r>
    </w:p>
  </w:footnote>
  <w:footnote w:id="25">
    <w:p>
      <w:pPr>
        <w:pStyle w:val="Funote"/>
        <w:rPr/>
      </w:pPr>
      <w:r>
        <w:rPr>
          <w:rStyle w:val="Funotenzeichen"/>
        </w:rPr>
        <w:footnoteRef/>
      </w:r>
      <w:r>
        <w:rPr>
          <w:rtl w:val="true"/>
          <w:lang w:bidi="he-IL"/>
        </w:rPr>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rStyle w:val="Funotenzeichen"/>
        </w:rPr>
        <w:footnoteRef/>
      </w:r>
      <w:r>
        <w:rPr/>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rStyle w:val="Funotenzeichen"/>
        </w:rPr>
        <w:footnoteRef/>
      </w:r>
      <w:r>
        <w:rPr/>
        <w:tab/>
        <w:t>W. „das große Licht“, aber Adjektive mit Artikel dient im Hebräischen u.a. auch zur Wiedergabe des Komparativs; vgl. ad loc. z.B. HKL III §308a.</w:t>
      </w:r>
    </w:p>
  </w:footnote>
  <w:footnote w:id="28">
    <w:p>
      <w:pPr>
        <w:pStyle w:val="Funote"/>
        <w:rPr/>
      </w:pPr>
      <w:r>
        <w:rPr>
          <w:rStyle w:val="Funotenzeichen"/>
        </w:rPr>
        <w:footnoteRef/>
      </w:r>
      <w:r>
        <w:rPr>
          <w:i/>
        </w:rPr>
        <w:tab/>
        <w:t>über den Tag (am Tag)</w:t>
      </w:r>
      <w:r>
        <w:rPr/>
        <w:t xml:space="preserve"> + </w:t>
      </w:r>
      <w:r>
        <w:rPr>
          <w:i/>
        </w:rPr>
        <w:t>über die Nacht (zur Nacht)</w:t>
      </w:r>
      <w:r>
        <w:rPr/>
        <w:t xml:space="preserve"> - Bandstra bezweifelt, dass „Tag“ und „Nacht“ Entitäten seien, die „beherrscht“ werden könnten und liest daher die Präpositionalphrase </w:t>
      </w:r>
      <w:r>
        <w:rPr>
          <w:rtl w:val="true"/>
          <w:lang w:bidi="he-IL"/>
        </w:rPr>
        <w:t>בַּיּוֹם</w:t>
      </w:r>
      <w:r>
        <w:rPr/>
        <w:t xml:space="preserve"> </w:t>
      </w:r>
      <w:r>
        <w:rPr/>
        <w:t xml:space="preserve">nicht als „zur Herrschaft </w:t>
      </w:r>
      <w:r>
        <w:rPr>
          <w:i/>
        </w:rPr>
        <w:t>über</w:t>
      </w:r>
      <w:r>
        <w:rPr/>
        <w:t xml:space="preserve"> den Tag...“, sondern so, dass sie „the range or domain over which rule is exercised“ (S. 79) angeben würden (also „zur Herrschaft </w:t>
      </w:r>
      <w:r>
        <w:rPr>
          <w:i/>
        </w:rPr>
        <w:t>bei</w:t>
      </w:r>
      <w:r>
        <w:rPr/>
        <w:t xml:space="preserve"> Tag und </w:t>
      </w:r>
      <w:r>
        <w:rPr>
          <w:i/>
        </w:rPr>
        <w:t>bei</w:t>
      </w:r>
      <w:r>
        <w:rPr/>
        <w:t xml:space="preserve"> Nacht“). Grammatisch ist das möglich; dann wäre aber zu fragen, wen Sonne und Mond denn dann beherrschen sollen, wenn nicht Tag und Nacht? Zum Anliegen der Aussage vgl. </w:t>
      </w:r>
      <w:r>
        <w:fldChar w:fldCharType="begin"/>
      </w:r>
      <w:r>
        <w:rPr>
          <w:rStyle w:val="Internetverknpfung"/>
        </w:rPr>
        <w:instrText> HYPERLINK "http://www.offene-bibel.de/wiki/index.php5?title=Genesis_1" \l "note_aa"</w:instrText>
      </w:r>
      <w:r>
        <w:rPr>
          <w:rStyle w:val="Internetverknpfung"/>
        </w:rPr>
        <w:fldChar w:fldCharType="separate"/>
      </w:r>
      <w:r>
        <w:rPr>
          <w:rStyle w:val="Internetverknpfung"/>
        </w:rPr>
        <w:t>FN aa</w:t>
      </w:r>
      <w:r>
        <w:rPr>
          <w:rStyle w:val="Internetverknpfung"/>
        </w:rPr>
        <w:fldChar w:fldCharType="end"/>
      </w:r>
    </w:p>
  </w:footnote>
  <w:footnote w:id="29">
    <w:p>
      <w:pPr>
        <w:pStyle w:val="Funote"/>
        <w:rPr/>
      </w:pPr>
      <w:r>
        <w:rPr>
          <w:rStyle w:val="Funotenzeichen"/>
        </w:rPr>
        <w:footnoteRef/>
      </w:r>
      <w:r>
        <w:rPr/>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ebenso z.B. Michel 1997b, S. 171)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rStyle w:val="Funotenzeichen"/>
        </w:rPr>
        <w:footnoteRef/>
      </w:r>
      <w:r>
        <w:rPr/>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rStyle w:val="Funotenzeichen"/>
        </w:rPr>
        <w:footnoteRef/>
      </w:r>
      <w:r>
        <w:rPr/>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rStyle w:val="Funotenzeichen"/>
        </w:rPr>
        <w:footnoteRef/>
      </w:r>
      <w:r>
        <w:rPr/>
        <w:tab/>
        <w:t>Textkritik: LXX ergänzt: „So geschah es“; ihr folgt z.B. Scharbert 1990, S. 40. Vergleiche aber dazu Fußnote t.</w:t>
      </w:r>
    </w:p>
  </w:footnote>
  <w:footnote w:id="33">
    <w:p>
      <w:pPr>
        <w:pStyle w:val="Funote"/>
        <w:rPr/>
      </w:pPr>
      <w:r>
        <w:rPr>
          <w:rStyle w:val="Funotenzeichen"/>
        </w:rPr>
        <w:footnoteRef/>
      </w:r>
      <w:r>
        <w:rPr/>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rStyle w:val="Funotenzeichen"/>
        </w:rPr>
        <w:footnoteRef/>
      </w:r>
      <w:r>
        <w:rPr/>
        <w:tab/>
        <w:t>so KBL3, S. 463 ad loc.; wörtlich „Vögel des Flügels“; wohl attributive Constructus-Verbindung.</w:t>
      </w:r>
    </w:p>
  </w:footnote>
  <w:footnote w:id="35">
    <w:p>
      <w:pPr>
        <w:pStyle w:val="Funote"/>
        <w:rPr/>
      </w:pPr>
      <w:r>
        <w:rPr>
          <w:rStyle w:val="Funotenzeichen"/>
        </w:rPr>
        <w:footnoteRef/>
      </w:r>
      <w:r>
        <w:rPr/>
        <w:tab/>
        <w:t>das Hebräische leitet des Öfteren Zitate mit mehreren Verba dicendi ein; in einer Übersetzung ins Deutsche kann das zweite Verb dann ohne Bedeutungsverlust gestrichen werden.</w:t>
      </w:r>
    </w:p>
  </w:footnote>
  <w:footnote w:id="36">
    <w:p>
      <w:pPr>
        <w:pStyle w:val="Funote"/>
        <w:rPr/>
      </w:pPr>
      <w:r>
        <w:rPr>
          <w:rStyle w:val="Funotenzeichen"/>
        </w:rPr>
        <w:footnoteRef/>
      </w:r>
      <w:r>
        <w:rPr/>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spacing w:before="0" w:after="283"/>
        <w:rPr/>
      </w:pPr>
      <w:r>
        <w:rPr>
          <w:rStyle w:val="Funotenzeichen"/>
        </w:rPr>
        <w:footnoteRef/>
      </w:r>
      <w:r>
        <w:rPr/>
        <w:tab/>
        <w:t>Zur Übersetzung mit „Reptilien“ vgl. die übernächste Fußnote.</w:t>
        <w:br/>
        <w:t>Im MT werden diese Reptilien in fünf verschiedenen Versen jeweils anders bezeichnet:</w:t>
        <w:br/>
        <w:t xml:space="preserve">Vers Hebräisch Deutsch V. 24 </w:t>
      </w:r>
      <w:r>
        <w:rPr>
          <w:rtl w:val="true"/>
          <w:lang w:bidi="he-IL"/>
        </w:rPr>
        <w:t>רֶמֶשׂ</w:t>
      </w:r>
      <w:r>
        <w:rPr/>
        <w:t xml:space="preserve"> </w:t>
      </w:r>
      <w:r>
        <w:rPr/>
        <w:t xml:space="preserve">Reptilien V. 25 </w:t>
      </w:r>
      <w:r>
        <w:rPr>
          <w:rtl w:val="true"/>
          <w:lang w:bidi="he-IL"/>
        </w:rPr>
        <w:t>כָּל</w:t>
      </w:r>
      <w:r>
        <w:rPr>
          <w:rtl w:val="true"/>
          <w:lang w:val="he-IL"/>
        </w:rPr>
        <w:t>-</w:t>
      </w:r>
      <w:r>
        <w:rPr>
          <w:rtl w:val="true"/>
          <w:lang w:bidi="he-IL"/>
        </w:rPr>
        <w:t>רֶמֶשׂ הָאֲדָמָה</w:t>
      </w:r>
      <w:r>
        <w:rPr/>
        <w:t xml:space="preserve"> </w:t>
      </w:r>
      <w:r>
        <w:rPr/>
        <w:t xml:space="preserve">Alle Boden-Reptilien V. 26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Alle Reptilien, die auf der Erde kriechen V. 28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Alle Lebewesen, die auf der Erde kriechen V. 30 </w:t>
      </w:r>
      <w:r>
        <w:rPr>
          <w:rtl w:val="true"/>
          <w:lang w:bidi="he-IL"/>
        </w:rPr>
        <w:t>כֹל רוֹמֵשׂ עַל</w:t>
      </w:r>
      <w:r>
        <w:rPr>
          <w:rtl w:val="true"/>
          <w:lang w:val="he-IL"/>
        </w:rPr>
        <w:t>-</w:t>
      </w:r>
      <w:r>
        <w:rPr>
          <w:rtl w:val="true"/>
          <w:lang w:bidi="he-IL"/>
        </w:rPr>
        <w:t>הָאָרֶץ</w:t>
      </w:r>
      <w:r>
        <w:rPr/>
        <w:t xml:space="preserve"> </w:t>
      </w:r>
      <w:r>
        <w:rPr/>
        <w:t xml:space="preserve">Alles auf der Erde kriechende </w:t>
      </w:r>
    </w:p>
    <w:p>
      <w:pPr>
        <w:pStyle w:val="Textkrper"/>
        <w:rPr/>
      </w:pPr>
      <w:r>
        <w:rPr/>
        <w:tab/>
        <w:t>Sinndifferenzierend scheint das nicht zu sein, und es ist uns auch noch keine Auslegung untergekommen, die auf diese Merkwürdigkeit überhaupt eingegangen wäre.</w:t>
        <w:br/>
        <w:t>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w:t>
      </w:r>
    </w:p>
    <w:p>
      <w:pPr>
        <w:pStyle w:val="Textkrper"/>
        <w:spacing w:before="0" w:after="283"/>
        <w:rPr/>
      </w:pPr>
      <w:r>
        <w:rPr/>
        <w:tab/>
        <w:t>Das einfachste wird wohl sein, es in der Lesefassung jedes Mal schlicht mit „Reptilien“ zu übersetzen.</w:t>
      </w:r>
    </w:p>
  </w:footnote>
  <w:footnote w:id="38">
    <w:p>
      <w:pPr>
        <w:pStyle w:val="Funote"/>
        <w:rPr/>
      </w:pPr>
      <w:r>
        <w:rPr>
          <w:rStyle w:val="Funotenzeichen"/>
        </w:rPr>
        <w:footnoteRef/>
      </w:r>
      <w:r>
        <w:rPr/>
        <w:tab/>
        <w:t>Im MT ist an „Tiere“ ein „überflüssiges“ Waw angehängt, das wohl als (bedeutungsloses) paragogisches Waw aufzufassen ist; so z.B. Wenham 1987.</w:t>
      </w:r>
    </w:p>
  </w:footnote>
  <w:footnote w:id="39">
    <w:p>
      <w:pPr>
        <w:pStyle w:val="Funote"/>
        <w:rPr/>
      </w:pPr>
      <w:r>
        <w:rPr>
          <w:rStyle w:val="Funotenzeichen"/>
        </w:rPr>
        <w:footnoteRef/>
      </w:r>
      <w:r>
        <w:rPr/>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rStyle w:val="Funotenzeichen"/>
        </w:rPr>
        <w:footnoteRef/>
      </w:r>
      <w:r>
        <w:rPr/>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rStyle w:val="Funotenzeichen"/>
        </w:rPr>
        <w:footnoteRef/>
      </w:r>
      <w:r>
        <w:rPr/>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rStyle w:val="Funotenzeichen"/>
        </w:rPr>
        <w:footnoteRef/>
      </w:r>
      <w:r>
        <w:rPr/>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Style w:val="Funotenzeichen"/>
        </w:rPr>
        <w:footnoteRef/>
      </w:r>
      <w:r>
        <w:rPr>
          <w:rtl w:val="true"/>
          <w:lang w:bidi="he-IL"/>
        </w:rPr>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rStyle w:val="Funotenzeichen"/>
        </w:rPr>
        <w:footnoteRef/>
      </w:r>
      <w:r>
        <w:rPr/>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rStyle w:val="Funotenzeichen"/>
        </w:rPr>
        <w:footnoteRef/>
      </w:r>
      <w:r>
        <w:rPr/>
        <w:tab/>
        <w:t>Die Kollokationen „Fische des Meeres“ und „Vögel des Himmels“ bezeichnen einfach nur „Fische“ und „Vögel“; „des Meeres/Himmels“ kann in der Übersetzung ausgespart werden</w:t>
      </w:r>
    </w:p>
  </w:footnote>
  <w:footnote w:id="46">
    <w:p>
      <w:pPr>
        <w:pStyle w:val="Funote"/>
        <w:rPr/>
      </w:pPr>
      <w:r>
        <w:rPr>
          <w:rStyle w:val="Funotenzeichen"/>
        </w:rPr>
        <w:footnoteRef/>
      </w:r>
      <w:r>
        <w:rPr/>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rStyle w:val="Funotenzeichen"/>
        </w:rPr>
        <w:footnoteRef/>
      </w:r>
      <w:r>
        <w:rPr/>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rStyle w:val="Funotenzeichen"/>
        </w:rPr>
        <w:footnoteRef/>
      </w:r>
      <w:r>
        <w:rPr/>
        <w:tab/>
        <w:t>wie V. 26 recht sicher Beth essentiae</w:t>
      </w:r>
    </w:p>
  </w:footnote>
  <w:footnote w:id="49">
    <w:p>
      <w:pPr>
        <w:pStyle w:val="Funote"/>
        <w:rPr/>
      </w:pPr>
      <w:r>
        <w:rPr>
          <w:rStyle w:val="Funotenzeichen"/>
        </w:rPr>
        <w:footnoteRef/>
      </w:r>
      <w:r>
        <w:rPr/>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rStyle w:val="Funotenzeichen"/>
        </w:rPr>
        <w:footnoteRef/>
      </w:r>
      <w:r>
        <w:rPr/>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rStyle w:val="Funotenzeichen"/>
        </w:rPr>
        <w:footnoteRef/>
      </w:r>
      <w:r>
        <w:rPr/>
        <w:tab/>
        <w:t>Wortspiel im Hebräischen: perû ûrevû. Möglicherweise als Hendiadyoin aufzufassen: „Seid höchst fruchtbar“ (so Wenham 1987)</w:t>
      </w:r>
    </w:p>
  </w:footnote>
  <w:footnote w:id="52">
    <w:p>
      <w:pPr>
        <w:pStyle w:val="Funote"/>
        <w:rPr/>
      </w:pPr>
      <w:r>
        <w:rPr>
          <w:rStyle w:val="Funotenzeichen"/>
        </w:rPr>
        <w:footnoteRef/>
      </w:r>
      <w:r>
        <w:rPr/>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rStyle w:val="Funotenzeichen"/>
        </w:rPr>
        <w:footnoteRef/>
      </w:r>
      <w:r>
        <w:rPr/>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rStyle w:val="Funotenzeichen"/>
        </w:rPr>
        <w:footnoteRef/>
      </w:r>
      <w:r>
        <w:rPr/>
        <w:tab/>
        <w:t xml:space="preserve">Zur Übersetzung „Getreide“ s. </w:t>
      </w:r>
      <w:r>
        <w:fldChar w:fldCharType="begin"/>
      </w:r>
      <w:r>
        <w:rPr>
          <w:rStyle w:val="Internetverknpfung"/>
        </w:rPr>
        <w:instrText> HYPERLINK "http://www.offene-bibel.de/wiki/index.php5?title=Genesis_1" \l "note_x"</w:instrText>
      </w:r>
      <w:r>
        <w:rPr>
          <w:rStyle w:val="Internetverknpfung"/>
        </w:rPr>
        <w:fldChar w:fldCharType="separate"/>
      </w:r>
      <w:r>
        <w:rPr>
          <w:rStyle w:val="Internetverknpfung"/>
        </w:rPr>
        <w:t>FN x</w:t>
      </w:r>
      <w:r>
        <w:rPr>
          <w:rStyle w:val="Internetverknpfung"/>
        </w:rPr>
        <w:fldChar w:fldCharType="end"/>
      </w:r>
    </w:p>
  </w:footnote>
  <w:footnote w:id="55">
    <w:p>
      <w:pPr>
        <w:pStyle w:val="Funote"/>
        <w:rPr/>
      </w:pPr>
      <w:r>
        <w:rPr>
          <w:rStyle w:val="Funotenzeichen"/>
        </w:rPr>
        <w:footnoteRef/>
      </w:r>
      <w:r>
        <w:rPr/>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rStyle w:val="Funotenzeichen"/>
        </w:rPr>
        <w:footnoteRef/>
      </w:r>
      <w:r>
        <w:rPr/>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rStyle w:val="Funotenzeichen"/>
        </w:rPr>
        <w:footnoteRef/>
      </w:r>
      <w:r>
        <w:rPr/>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rStyle w:val="Funotenzeichen"/>
        </w:rPr>
        <w:footnoteRef/>
      </w:r>
      <w:r>
        <w:rPr/>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rStyle w:val="Funotenzeichen"/>
        </w:rPr>
        <w:footnoteRef/>
      </w:r>
      <w:r>
        <w:rPr/>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rStyle w:val="Funotenzeichen"/>
        </w:rPr>
        <w:footnoteRef/>
      </w:r>
      <w:r>
        <w:rPr/>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rStyle w:val="Funotenzeichen"/>
        </w:rPr>
        <w:footnoteRef/>
      </w:r>
      <w:r>
        <w:rPr/>
        <w:tab/>
        <w:t>[Status: Ungeprüft]</w:t>
      </w:r>
    </w:p>
  </w:footnote>
  <w:footnote w:id="62">
    <w:p>
      <w:pPr>
        <w:pStyle w:val="Funote"/>
        <w:rPr/>
      </w:pPr>
      <w:r>
        <w:rPr>
          <w:rStyle w:val="Funotenzeichen"/>
        </w:rPr>
        <w:footnoteRef/>
      </w:r>
      <w:r>
        <w:rPr/>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rStyle w:val="Funotenzeichen"/>
        </w:rPr>
        <w:footnoteRef/>
      </w:r>
      <w:r>
        <w:rPr/>
        <w:tab/>
        <w:t>Der Merismus „Himmel und Erde“ ist der im Hebräischen übliche Ausdruck für den Kosmos/das Universum; vgl. Fußnote c zu Gen 1,1.</w:t>
      </w:r>
    </w:p>
  </w:footnote>
  <w:footnote w:id="64">
    <w:p>
      <w:pPr>
        <w:pStyle w:val="Funote"/>
        <w:rPr/>
      </w:pPr>
      <w:r>
        <w:rPr>
          <w:rStyle w:val="Funotenzeichen"/>
        </w:rPr>
        <w:footnoteRef/>
      </w:r>
      <w:r>
        <w:rPr/>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rStyle w:val="Funotenzeichen"/>
        </w:rPr>
        <w:footnoteRef/>
      </w:r>
      <w:r>
        <w:rPr>
          <w:i/>
        </w:rPr>
        <w:tab/>
        <w:t>Waw</w:t>
      </w:r>
      <w:r>
        <w:rPr/>
        <w:t xml:space="preserve"> kann auch eine Folgerung einleiten; vgl. Lexikon / </w:t>
      </w:r>
      <w:hyperlink r:id="rId1">
        <w:r>
          <w:rPr>
            <w:rStyle w:val="Internetverknpfung"/>
          </w:rPr>
          <w:t xml:space="preserve">Lemma </w:t>
        </w:r>
        <w:r>
          <w:rPr>
            <w:rStyle w:val="Internetverknpfung"/>
            <w:rtl w:val="true"/>
            <w:lang w:bidi="he-IL"/>
          </w:rPr>
          <w:t>וְ</w:t>
        </w:r>
      </w:hyperlink>
    </w:p>
  </w:footnote>
  <w:footnote w:id="66">
    <w:p>
      <w:pPr>
        <w:pStyle w:val="Funote"/>
        <w:rPr/>
      </w:pPr>
      <w:r>
        <w:rPr>
          <w:rStyle w:val="Funotenzeichen"/>
        </w:rPr>
        <w:footnoteRef/>
      </w:r>
      <w:r>
        <w:rPr/>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rStyle w:val="Funotenzeichen"/>
        </w:rPr>
        <w:footnoteRef/>
      </w:r>
      <w:r>
        <w:rPr/>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rStyle w:val="Funotenzeichen"/>
        </w:rPr>
        <w:footnoteRef/>
      </w:r>
      <w:r>
        <w:rPr/>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rStyle w:val="Funotenzeichen"/>
        </w:rPr>
        <w:footnoteRef/>
      </w:r>
      <w:r>
        <w:rPr/>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rStyle w:val="Funotenzeichen"/>
        </w:rPr>
        <w:footnoteRef/>
      </w:r>
      <w:r>
        <w:rPr/>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rStyle w:val="Funotenzeichen"/>
        </w:rPr>
        <w:footnoteRef/>
      </w:r>
      <w:r>
        <w:rPr/>
        <w:tab/>
        <w:t>Der Qatal ist hier wegen des rückblickenden Charakters der Textsorte „Ätiologie“ sehr sicher plusquamperfektisch zu übersetzen.</w:t>
      </w:r>
    </w:p>
  </w:footnote>
  <w:footnote w:id="72">
    <w:p>
      <w:pPr>
        <w:pStyle w:val="Funote"/>
        <w:rPr/>
      </w:pPr>
      <w:r>
        <w:rPr>
          <w:rStyle w:val="Funotenzeichen"/>
        </w:rPr>
        <w:footnoteRef/>
      </w:r>
      <w:r>
        <w:rPr/>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rStyle w:val="Funotenzeichen"/>
        </w:rPr>
        <w:footnoteRef/>
      </w:r>
      <w:r>
        <w:rPr/>
        <w:tab/>
        <w:t>Möglich ist auch: bei ihrer Schöpfung.</w:t>
      </w:r>
    </w:p>
  </w:footnote>
  <w:footnote w:id="74">
    <w:p>
      <w:pPr>
        <w:pStyle w:val="Funote"/>
        <w:rPr/>
      </w:pPr>
      <w:r>
        <w:rPr>
          <w:rStyle w:val="Funotenzeichen"/>
        </w:rPr>
        <w:footnoteRef/>
      </w:r>
      <w:r>
        <w:rPr/>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rStyle w:val="Funotenzeichen"/>
        </w:rPr>
        <w:footnoteRef/>
      </w:r>
      <w:r>
        <w:rPr/>
        <w:tab/>
        <w:t>Hier wird mit der Verwandtschaft der Wörter Mensch (Adam) und Ackerboden (Adamah) gespielt.</w:t>
      </w:r>
    </w:p>
  </w:footnote>
  <w:footnote w:id="76">
    <w:p>
      <w:pPr>
        <w:pStyle w:val="Funote"/>
        <w:rPr/>
      </w:pPr>
      <w:r>
        <w:rPr>
          <w:rStyle w:val="Funotenzeichen"/>
        </w:rPr>
        <w:footnoteRef/>
      </w:r>
      <w:r>
        <w:rPr/>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rStyle w:val="Funotenzeichen"/>
        </w:rPr>
        <w:footnoteRef/>
      </w:r>
      <w:r>
        <w:rPr/>
        <w:tab/>
        <w:t xml:space="preserve">Die Entscheidung zwischen „Adam“ und „Mensch“ wird hier nur durch das Vorhandensein oder Fehlen des Artikels bestimmt. Eigennamen weisen keine Artikel auf. Hier wird der Mensch zum ersten Mal „Adam“ genannt. </w:t>
      </w:r>
    </w:p>
  </w:footnote>
  <w:footnote w:id="78">
    <w:p>
      <w:pPr>
        <w:pStyle w:val="Funote"/>
        <w:rPr/>
      </w:pPr>
      <w:r>
        <w:rPr>
          <w:rStyle w:val="Funotenzeichen"/>
        </w:rPr>
        <w:footnoteRef/>
      </w:r>
      <w:r>
        <w:rPr/>
        <w:tab/>
        <w:t xml:space="preserve">Viele Übersetzungen: „die zu ihm passte“ oder „die ihm entsprach“. </w:t>
      </w:r>
    </w:p>
  </w:footnote>
  <w:footnote w:id="79">
    <w:p>
      <w:pPr>
        <w:pStyle w:val="Funote"/>
        <w:rPr/>
      </w:pPr>
      <w:r>
        <w:rPr>
          <w:rStyle w:val="Funotenzeichen"/>
        </w:rPr>
        <w:footnoteRef/>
      </w:r>
      <w:r>
        <w:rPr/>
        <w:tab/>
        <w:t>Alternative Deutung: „und während er schlief, nahm Gott“ (SLT, NET).</w:t>
      </w:r>
    </w:p>
  </w:footnote>
  <w:footnote w:id="80">
    <w:p>
      <w:pPr>
        <w:pStyle w:val="Funote"/>
        <w:rPr/>
      </w:pPr>
      <w:r>
        <w:rPr>
          <w:rStyle w:val="Funotenzeichen"/>
        </w:rPr>
        <w:footnoteRef/>
      </w:r>
      <w:r>
        <w:rPr/>
        <w:tab/>
        <w:t xml:space="preserve">Alternativ zu verstehen als „einen Teil seiner Seite“, was die Schöpfung der Frau „aus Fleisch und Blut“ (V. 23) besser erklärt (NET Gen 2:21 Fußnote 64). </w:t>
      </w:r>
    </w:p>
  </w:footnote>
  <w:footnote w:id="81">
    <w:p>
      <w:pPr>
        <w:pStyle w:val="Funote"/>
        <w:rPr/>
      </w:pPr>
      <w:r>
        <w:rPr>
          <w:rStyle w:val="Funotenzeichen"/>
        </w:rPr>
        <w:footnoteRef/>
      </w:r>
      <w:r>
        <w:rPr/>
        <w:tab/>
        <w:t xml:space="preserve">Vgl. DBL Hebrew 9393. </w:t>
      </w:r>
    </w:p>
  </w:footnote>
  <w:footnote w:id="82">
    <w:p>
      <w:pPr>
        <w:pStyle w:val="Funote"/>
        <w:rPr/>
      </w:pPr>
      <w:r>
        <w:rPr>
          <w:rStyle w:val="Funotenzeichen"/>
        </w:rPr>
        <w:footnoteRef/>
      </w:r>
      <w:r>
        <w:rPr/>
        <w:tab/>
        <w:t xml:space="preserve">Das Pronomen ist zwar feminin, kann sich aber entweder auf „Knochen“ (f) oder die Frau beziehen und muss entsprechend übersetzt werden. </w:t>
      </w:r>
    </w:p>
  </w:footnote>
  <w:footnote w:id="83">
    <w:p>
      <w:pPr>
        <w:pStyle w:val="Funote"/>
        <w:rPr/>
      </w:pPr>
      <w:r>
        <w:rPr>
          <w:rStyle w:val="Funotenzeichen"/>
        </w:rPr>
        <w:footnoteRef/>
      </w:r>
      <w:r>
        <w:rPr/>
        <w:tab/>
        <w:t>Im Hebräischen ein Wortspiel, da das Wort für „Frau“ (</w:t>
      </w:r>
      <w:r>
        <w:rPr>
          <w:rtl w:val="true"/>
          <w:lang w:bidi="he-IL"/>
        </w:rPr>
        <w:t>אִשָּׁה</w:t>
      </w:r>
      <w:r>
        <w:rPr/>
        <w:t>) die weibliche Version des Worts für Mann (</w:t>
      </w:r>
      <w:r>
        <w:rPr>
          <w:rtl w:val="true"/>
          <w:lang w:bidi="he-IL"/>
        </w:rPr>
        <w:t>אִישׁ</w:t>
      </w:r>
      <w:r>
        <w:rPr/>
        <w:t xml:space="preserve">) ist. Luther führte darum die etwas missverständliche Übersetzung „Männin“ ein. Es ist das erste Mal, dass die beiden Begriffe zur Kennzeichnung der beiden Geschlechter gebraucht werden. </w:t>
      </w:r>
    </w:p>
  </w:footnote>
  <w:footnote w:id="84">
    <w:p>
      <w:pPr>
        <w:pStyle w:val="Funote"/>
        <w:rPr/>
      </w:pPr>
      <w:r>
        <w:rPr>
          <w:rStyle w:val="Funotenzeichen"/>
        </w:rPr>
        <w:footnoteRef/>
      </w:r>
      <w:r>
        <w:rPr/>
        <w:tab/>
        <w:t xml:space="preserve">Gnomisches Ipf.: Die Verben in diesem Vers stehen im Imperfekt, aber die Aussage ist so allgemein, dass sie eher präsentisch als futurisch verstanden werden sollte. </w:t>
      </w:r>
    </w:p>
  </w:footnote>
  <w:footnote w:id="85">
    <w:p>
      <w:pPr>
        <w:pStyle w:val="Funote"/>
        <w:rPr/>
      </w:pPr>
      <w:r>
        <w:rPr>
          <w:rStyle w:val="Funotenzeichen"/>
        </w:rPr>
        <w:footnoteRef/>
      </w:r>
      <w:r>
        <w:rPr/>
        <w:tab/>
        <w:t xml:space="preserve">Das Wort steht im Ipf., ist aber durativ zu verstehen. </w:t>
      </w:r>
    </w:p>
  </w:footnote>
  <w:footnote w:id="86">
    <w:p>
      <w:pPr>
        <w:pStyle w:val="Funote"/>
        <w:rPr/>
      </w:pPr>
      <w:r>
        <w:rPr>
          <w:rStyle w:val="Funotenzeichen"/>
        </w:rPr>
        <w:footnoteRef/>
      </w:r>
      <w:r>
        <w:rPr/>
        <w:tab/>
        <w:t>„</w:t>
      </w:r>
      <w:r>
        <w:rPr/>
        <w:t xml:space="preserve">vor einander“ ist aufgrund der Bedeutung der Stammesmodifikation Hitpael ergänzt. </w:t>
      </w:r>
    </w:p>
  </w:footnote>
  <w:footnote w:id="87">
    <w:p>
      <w:pPr>
        <w:pStyle w:val="Funote"/>
        <w:rPr/>
      </w:pPr>
      <w:r>
        <w:rPr>
          <w:rStyle w:val="Funotenzeichen"/>
        </w:rPr>
        <w:footnoteRef/>
      </w:r>
      <w:r>
        <w:rPr/>
        <w:tab/>
        <w:t>[Status: Ungeprüft]</w:t>
      </w:r>
    </w:p>
  </w:footnote>
  <w:footnote w:id="88">
    <w:p>
      <w:pPr>
        <w:pStyle w:val="Funote"/>
        <w:rPr/>
      </w:pPr>
      <w:r>
        <w:rPr>
          <w:rStyle w:val="Funotenzeichen"/>
        </w:rPr>
        <w:footnoteRef/>
      </w:r>
      <w:r>
        <w:rPr/>
        <w:tab/>
        <w:t>[Status: Ungeprüft]</w:t>
      </w:r>
    </w:p>
  </w:footnote>
  <w:footnote w:id="89">
    <w:p>
      <w:pPr>
        <w:pStyle w:val="Funote"/>
        <w:rPr/>
      </w:pPr>
      <w:r>
        <w:rPr>
          <w:rStyle w:val="Funotenzeichen"/>
        </w:rPr>
        <w:footnoteRef/>
      </w:r>
      <w:r>
        <w:rPr/>
        <w:tab/>
        <w:t>Ist diese Übersetzung so korrekt?</w:t>
      </w:r>
    </w:p>
  </w:footnote>
  <w:footnote w:id="90">
    <w:p>
      <w:pPr>
        <w:pStyle w:val="Funote"/>
        <w:rPr/>
      </w:pPr>
      <w:r>
        <w:rPr>
          <w:rStyle w:val="Funotenzeichen"/>
        </w:rPr>
        <w:footnoteRef/>
      </w:r>
      <w:r>
        <w:rPr/>
        <w:tab/>
        <w:t>Der Name des Landes „Nod“ und der Begriff aus Vers 14 für Flüchtling/Wanderer gehen auf die selbe Wurzel zurück.</w:t>
      </w:r>
    </w:p>
  </w:footnote>
  <w:footnote w:id="91">
    <w:p>
      <w:pPr>
        <w:pStyle w:val="Funote"/>
        <w:rPr/>
      </w:pPr>
      <w:r>
        <w:rPr>
          <w:rStyle w:val="Funotenzeichen"/>
        </w:rPr>
        <w:footnoteRef/>
      </w:r>
      <w:r>
        <w:rPr/>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rStyle w:val="Funotenzeichen"/>
        </w:rPr>
        <w:footnoteRef/>
      </w:r>
      <w:r>
        <w:rPr/>
        <w:tab/>
        <w:t>[Status: Ungeprüft]</w:t>
      </w:r>
    </w:p>
  </w:footnote>
  <w:footnote w:id="93">
    <w:p>
      <w:pPr>
        <w:pStyle w:val="Funote"/>
        <w:rPr/>
      </w:pPr>
      <w:r>
        <w:rPr>
          <w:rStyle w:val="Funotenzeichen"/>
        </w:rPr>
        <w:footnoteRef/>
      </w:r>
      <w:r>
        <w:rPr/>
        <w:tab/>
        <w:t>Wörtlich: „rief ihren Namen“</w:t>
      </w:r>
    </w:p>
  </w:footnote>
  <w:footnote w:id="94">
    <w:p>
      <w:pPr>
        <w:pStyle w:val="Funote"/>
        <w:rPr/>
      </w:pPr>
      <w:r>
        <w:rPr>
          <w:rStyle w:val="Funotenzeichen"/>
        </w:rPr>
        <w:footnoteRef/>
      </w:r>
      <w:r>
        <w:rPr/>
        <w:tab/>
        <w:t>Wörtlich: „rief seinen Namen“</w:t>
      </w:r>
    </w:p>
  </w:footnote>
  <w:footnote w:id="95">
    <w:p>
      <w:pPr>
        <w:pStyle w:val="Funote"/>
        <w:rPr/>
      </w:pPr>
      <w:r>
        <w:rPr>
          <w:rStyle w:val="Funotenzeichen"/>
        </w:rPr>
        <w:footnoteRef/>
      </w:r>
      <w:r>
        <w:rPr/>
        <w:tab/>
        <w:t>Wörtlich: „rief seinen Namen“</w:t>
      </w:r>
    </w:p>
  </w:footnote>
  <w:footnote w:id="96">
    <w:p>
      <w:pPr>
        <w:pStyle w:val="Funote"/>
        <w:rPr/>
      </w:pPr>
      <w:r>
        <w:rPr>
          <w:rStyle w:val="Funotenzeichen"/>
        </w:rPr>
        <w:footnoteRef/>
      </w:r>
      <w:r>
        <w:rPr/>
        <w:tab/>
        <w:t>[Status: Ungeprüft]</w:t>
      </w:r>
    </w:p>
  </w:footnote>
  <w:footnote w:id="97">
    <w:p>
      <w:pPr>
        <w:pStyle w:val="Funote"/>
        <w:rPr/>
      </w:pPr>
      <w:r>
        <w:rPr>
          <w:rStyle w:val="Funotenzeichen"/>
        </w:rPr>
        <w:footnoteRef/>
      </w:r>
      <w:r>
        <w:rPr/>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rStyle w:val="Funotenzeichen"/>
        </w:rPr>
        <w:footnoteRef/>
      </w:r>
      <w:r>
        <w:rPr/>
        <w:tab/>
        <w:t>wörtlich: die Männer des Namens, was soviel wie berühmte Männer bedeutet.</w:t>
      </w:r>
    </w:p>
  </w:footnote>
  <w:footnote w:id="99">
    <w:p>
      <w:pPr>
        <w:pStyle w:val="Funote"/>
        <w:rPr/>
      </w:pPr>
      <w:r>
        <w:rPr>
          <w:rStyle w:val="Funotenzeichen"/>
        </w:rPr>
        <w:footnoteRef/>
      </w:r>
      <w:r>
        <w:rPr/>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rStyle w:val="Funotenzeichen"/>
        </w:rPr>
        <w:footnoteRef/>
      </w:r>
      <w:r>
        <w:rPr/>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rStyle w:val="Funotenzeichen"/>
        </w:rPr>
        <w:footnoteRef/>
      </w:r>
      <w:r>
        <w:rPr/>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rStyle w:val="Funotenzeichen"/>
        </w:rPr>
        <w:footnoteRef/>
      </w:r>
      <w:r>
        <w:rPr/>
        <w:tab/>
        <w:t>Vielleicht ist diese Parenthese an das Ende des Verses 15 zu versetzen (so O. Eißfeldt im Apparat der BHS).</w:t>
      </w:r>
    </w:p>
  </w:footnote>
  <w:footnote w:id="103">
    <w:p>
      <w:pPr>
        <w:pStyle w:val="Funote"/>
        <w:rPr/>
      </w:pPr>
      <w:r>
        <w:rPr>
          <w:rStyle w:val="Funotenzeichen"/>
        </w:rPr>
        <w:footnoteRef/>
      </w:r>
      <w:r>
        <w:rPr/>
        <w:tab/>
        <w:t>Vers 16b (untere ... machen) ist vielleicht hinter Vers 14b (... machen) zu versetzen (so O. Eißfeldt im Apparat der BHS).</w:t>
      </w:r>
    </w:p>
  </w:footnote>
  <w:footnote w:id="104">
    <w:p>
      <w:pPr>
        <w:pStyle w:val="Funote"/>
        <w:rPr/>
      </w:pPr>
      <w:r>
        <w:rPr>
          <w:rStyle w:val="Funotenzeichen"/>
        </w:rPr>
        <w:footnoteRef/>
      </w:r>
      <w:r>
        <w:rPr>
          <w:rtl w:val="true"/>
          <w:lang w:bidi="he-IL"/>
        </w:rPr>
        <w:tab/>
        <w:t>הִנֵּה</w:t>
      </w:r>
      <w:r>
        <w:rPr/>
        <w:t xml:space="preserve"> </w:t>
      </w:r>
      <w:r>
        <w:rPr/>
        <w:t>mit Part. in der Funktion des futurum instans, der unmittelbar bevorstehenden Zukunft.</w:t>
      </w:r>
    </w:p>
  </w:footnote>
  <w:footnote w:id="105">
    <w:p>
      <w:pPr>
        <w:pStyle w:val="Funote"/>
        <w:rPr/>
      </w:pPr>
      <w:r>
        <w:rPr>
          <w:rStyle w:val="Funotenzeichen"/>
        </w:rPr>
        <w:footnoteRef/>
      </w:r>
      <w:r>
        <w:rPr/>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rStyle w:val="Funotenzeichen"/>
        </w:rPr>
        <w:footnoteRef/>
      </w:r>
      <w:r>
        <w:rPr/>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rStyle w:val="Funotenzeichen"/>
        </w:rPr>
        <w:footnoteRef/>
      </w:r>
      <w:r>
        <w:rPr/>
        <w:tab/>
        <w:t>Perf. cons. mit konsekutivem Sinn; wörtl.: und du wirst hineingehen ...</w:t>
      </w:r>
    </w:p>
  </w:footnote>
  <w:footnote w:id="108">
    <w:p>
      <w:pPr>
        <w:pStyle w:val="Funote"/>
        <w:rPr/>
      </w:pPr>
      <w:r>
        <w:rPr>
          <w:rStyle w:val="Funotenzeichen"/>
        </w:rPr>
        <w:footnoteRef/>
      </w:r>
      <w:r>
        <w:rPr/>
        <w:tab/>
        <w:t>Im Hebräischen ein Kollektivbegriff, der alles umfasst, was fliegen kann.</w:t>
      </w:r>
    </w:p>
  </w:footnote>
  <w:footnote w:id="109">
    <w:p>
      <w:pPr>
        <w:pStyle w:val="Funote"/>
        <w:rPr/>
      </w:pPr>
      <w:r>
        <w:rPr>
          <w:rStyle w:val="Funotenzeichen"/>
        </w:rPr>
        <w:footnoteRef/>
      </w:r>
      <w:r>
        <w:rPr/>
        <w:tab/>
        <w:t>Im Hebräischen ein Kollektivbegriff, der alles umfasst, was auf vier Beinen geht.</w:t>
      </w:r>
    </w:p>
  </w:footnote>
  <w:footnote w:id="110">
    <w:p>
      <w:pPr>
        <w:pStyle w:val="Funote"/>
        <w:rPr/>
      </w:pPr>
      <w:r>
        <w:rPr>
          <w:rStyle w:val="Funotenzeichen"/>
        </w:rPr>
        <w:footnoteRef/>
      </w:r>
      <w:r>
        <w:rPr/>
        <w:tab/>
        <w:t>Im Hebräischen ein Kollektivbegriff, der alles umfasst, was sich nicht auf vier Beinen fortbewegt und nicht fliegt.</w:t>
      </w:r>
    </w:p>
  </w:footnote>
  <w:footnote w:id="111">
    <w:p>
      <w:pPr>
        <w:pStyle w:val="Funote"/>
        <w:rPr/>
      </w:pPr>
      <w:r>
        <w:rPr>
          <w:rStyle w:val="Funotenzeichen"/>
        </w:rPr>
        <w:footnoteRef/>
      </w:r>
      <w:r>
        <w:rPr/>
        <w:tab/>
        <w:t>[Status: Ungeprüft]</w:t>
      </w:r>
    </w:p>
  </w:footnote>
  <w:footnote w:id="112">
    <w:p>
      <w:pPr>
        <w:pStyle w:val="Funote"/>
        <w:rPr/>
      </w:pPr>
      <w:r>
        <w:rPr>
          <w:rStyle w:val="Funotenzeichen"/>
        </w:rPr>
        <w:footnoteRef/>
      </w:r>
      <w:r>
        <w:rPr/>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rStyle w:val="Funotenzeichen"/>
        </w:rPr>
        <w:footnoteRef/>
      </w:r>
      <w:r>
        <w:rPr/>
        <w:tab/>
        <w:t>oder: war 40 Tage auf der Erde</w:t>
      </w:r>
    </w:p>
  </w:footnote>
  <w:footnote w:id="114">
    <w:p>
      <w:pPr>
        <w:pStyle w:val="Funote"/>
        <w:rPr/>
      </w:pPr>
      <w:r>
        <w:rPr>
          <w:rStyle w:val="Funotenzeichen"/>
        </w:rPr>
        <w:footnoteRef/>
      </w:r>
      <w:r>
        <w:rPr/>
        <w:tab/>
        <w:t>Narrativ mit konsekutivem Nebensinn: so dass er sich von der Erde erhob.</w:t>
      </w:r>
    </w:p>
  </w:footnote>
  <w:footnote w:id="115">
    <w:p>
      <w:pPr>
        <w:pStyle w:val="Funote"/>
        <w:rPr/>
      </w:pPr>
      <w:r>
        <w:rPr>
          <w:rStyle w:val="Funotenzeichen"/>
        </w:rPr>
        <w:footnoteRef/>
      </w:r>
      <w:r>
        <w:rPr/>
        <w:tab/>
        <w:t>Narrativ mit konsekutivem Nebensinn: so dass der Kasten auf der Wasseroberfläche schwamm.</w:t>
      </w:r>
    </w:p>
  </w:footnote>
  <w:footnote w:id="116">
    <w:p>
      <w:pPr>
        <w:pStyle w:val="Funote"/>
        <w:rPr/>
      </w:pPr>
      <w:r>
        <w:rPr>
          <w:rStyle w:val="Funotenzeichen"/>
        </w:rPr>
        <w:footnoteRef/>
      </w:r>
      <w:r>
        <w:rPr/>
        <w:tab/>
        <w:t>Narrativ mit konsekutivem Nebensinn: so dass alle hohen Berge unter dem ganzen Himmel bedeckt wurden.</w:t>
      </w:r>
    </w:p>
  </w:footnote>
  <w:footnote w:id="117">
    <w:p>
      <w:pPr>
        <w:pStyle w:val="Funote"/>
        <w:rPr/>
      </w:pPr>
      <w:r>
        <w:rPr>
          <w:rStyle w:val="Funotenzeichen"/>
        </w:rPr>
        <w:footnoteRef/>
      </w:r>
      <w:r>
        <w:rPr/>
        <w:tab/>
        <w:t>etwas freier übersetzt: in (durch) dessen Nase der Lebensatem strömte.</w:t>
      </w:r>
    </w:p>
  </w:footnote>
  <w:footnote w:id="118">
    <w:p>
      <w:pPr>
        <w:pStyle w:val="Funote"/>
        <w:rPr/>
      </w:pPr>
      <w:r>
        <w:rPr>
          <w:rStyle w:val="Funotenzeichen"/>
        </w:rPr>
        <w:footnoteRef/>
      </w:r>
      <w:r>
        <w:rPr/>
        <w:tab/>
        <w:t>[Status: Ungeprüft]</w:t>
      </w:r>
    </w:p>
  </w:footnote>
  <w:footnote w:id="119">
    <w:p>
      <w:pPr>
        <w:pStyle w:val="Funote"/>
        <w:rPr/>
      </w:pPr>
      <w:r>
        <w:rPr>
          <w:rStyle w:val="Funotenzeichen"/>
        </w:rPr>
        <w:footnoteRef/>
      </w:r>
      <w:r>
        <w:rPr/>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rStyle w:val="Funotenzeichen"/>
        </w:rPr>
        <w:footnoteRef/>
      </w:r>
      <w:r>
        <w:rPr/>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rStyle w:val="Funotenzeichen"/>
        </w:rPr>
        <w:footnoteRef/>
      </w:r>
      <w:r>
        <w:rPr/>
        <w:tab/>
        <w:t>damit: wörtl. und das Wasser sank. Das Hebräische bevorzugt beiordnende Hauptsätze, das Deutsche unterordnende Nebensätze, deren Sinnrichtung sich aus dem Zusammenhang ergibt.</w:t>
      </w:r>
    </w:p>
  </w:footnote>
  <w:footnote w:id="122">
    <w:p>
      <w:pPr>
        <w:pStyle w:val="Funote"/>
        <w:rPr/>
      </w:pPr>
      <w:r>
        <w:rPr>
          <w:rStyle w:val="Funotenzeichen"/>
        </w:rPr>
        <w:footnoteRef/>
      </w:r>
      <w:r>
        <w:rPr/>
        <w:tab/>
        <w:t>wörtl.: wurden verstopft. Man erinnere sich, dass das atl. Weltbild sich das Firmament wie eine Käseglocke vorstellte, in der die Löcher buchstäblich verstopft wurden</w:t>
      </w:r>
    </w:p>
  </w:footnote>
  <w:footnote w:id="123">
    <w:p>
      <w:pPr>
        <w:pStyle w:val="Funote"/>
        <w:rPr/>
      </w:pPr>
      <w:r>
        <w:rPr>
          <w:rStyle w:val="Funotenzeichen"/>
        </w:rPr>
        <w:footnoteRef/>
      </w:r>
      <w:r>
        <w:rPr/>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rStyle w:val="Funotenzeichen"/>
        </w:rPr>
        <w:footnoteRef/>
      </w:r>
      <w:r>
        <w:rPr/>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rStyle w:val="Funotenzeichen"/>
        </w:rPr>
        <w:footnoteRef/>
      </w:r>
      <w:r>
        <w:rPr/>
        <w:tab/>
        <w:t>wörtl.: kehrten um</w:t>
      </w:r>
    </w:p>
  </w:footnote>
  <w:footnote w:id="126">
    <w:p>
      <w:pPr>
        <w:pStyle w:val="Funote"/>
        <w:rPr/>
      </w:pPr>
      <w:r>
        <w:rPr>
          <w:rStyle w:val="Funotenzeichen"/>
        </w:rPr>
        <w:footnoteRef/>
      </w:r>
      <w:r>
        <w:rPr/>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rStyle w:val="Funotenzeichen"/>
        </w:rPr>
        <w:footnoteRef/>
      </w:r>
      <w:r>
        <w:rPr/>
        <w:tab/>
        <w:t>hier Plural; im Sg. "Berg"</w:t>
      </w:r>
    </w:p>
  </w:footnote>
  <w:footnote w:id="128">
    <w:p>
      <w:pPr>
        <w:pStyle w:val="Funote"/>
        <w:rPr/>
      </w:pPr>
      <w:r>
        <w:rPr>
          <w:rStyle w:val="Funotenzeichen"/>
        </w:rPr>
        <w:footnoteRef/>
      </w:r>
      <w:r>
        <w:rPr/>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rStyle w:val="Funotenzeichen"/>
        </w:rPr>
        <w:footnoteRef/>
      </w:r>
      <w:r>
        <w:rPr/>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rStyle w:val="Funotenzeichen"/>
        </w:rPr>
        <w:footnoteRef/>
      </w:r>
      <w:r>
        <w:rPr/>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rStyle w:val="Funotenzeichen"/>
        </w:rPr>
        <w:footnoteRef/>
      </w:r>
      <w:r>
        <w:rPr/>
        <w:tab/>
        <w:t>wörtl.: Fußsohle</w:t>
      </w:r>
    </w:p>
  </w:footnote>
  <w:footnote w:id="132">
    <w:p>
      <w:pPr>
        <w:pStyle w:val="Funote"/>
        <w:rPr/>
      </w:pPr>
      <w:r>
        <w:rPr>
          <w:rStyle w:val="Funotenzeichen"/>
        </w:rPr>
        <w:footnoteRef/>
      </w:r>
      <w:r>
        <w:rPr/>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rStyle w:val="Funotenzeichen"/>
        </w:rPr>
        <w:footnoteRef/>
      </w:r>
      <w:r>
        <w:rPr/>
        <w:tab/>
        <w:t>wörtl.: er fuhr fort, fliegen zu lassen</w:t>
      </w:r>
    </w:p>
  </w:footnote>
  <w:footnote w:id="134">
    <w:p>
      <w:pPr>
        <w:pStyle w:val="Funote"/>
        <w:rPr/>
      </w:pPr>
      <w:r>
        <w:rPr>
          <w:rStyle w:val="Funotenzeichen"/>
        </w:rPr>
        <w:footnoteRef/>
      </w:r>
      <w:r>
        <w:rPr/>
        <w:tab/>
        <w:t>wörtl.: gering sein, vermindert werden</w:t>
      </w:r>
    </w:p>
  </w:footnote>
  <w:footnote w:id="135">
    <w:p>
      <w:pPr>
        <w:pStyle w:val="Funote"/>
        <w:rPr/>
      </w:pPr>
      <w:r>
        <w:rPr>
          <w:rStyle w:val="Funotenzeichen"/>
        </w:rPr>
        <w:footnoteRef/>
      </w:r>
      <w:r>
        <w:rPr/>
        <w:tab/>
        <w:t>wörtl.: fuhr nicht mehr fort, zu ihm zurückzukommen</w:t>
      </w:r>
    </w:p>
  </w:footnote>
  <w:footnote w:id="136">
    <w:p>
      <w:pPr>
        <w:pStyle w:val="Funote"/>
        <w:rPr/>
      </w:pPr>
      <w:r>
        <w:rPr>
          <w:rStyle w:val="Funotenzeichen"/>
        </w:rPr>
        <w:footnoteRef/>
      </w:r>
      <w:r>
        <w:rPr/>
        <w:tab/>
        <w:t>Die Zählung bezieht sich offenbar auf die Lebensjahre Noahs</w:t>
      </w:r>
    </w:p>
  </w:footnote>
  <w:footnote w:id="137">
    <w:p>
      <w:pPr>
        <w:pStyle w:val="Funote"/>
        <w:rPr/>
      </w:pPr>
      <w:r>
        <w:rPr>
          <w:rStyle w:val="Funotenzeichen"/>
        </w:rPr>
        <w:footnoteRef/>
      </w:r>
      <w:r>
        <w:rPr/>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rStyle w:val="Funotenzeichen"/>
        </w:rPr>
        <w:footnoteRef/>
      </w:r>
      <w:r>
        <w:rPr/>
        <w:tab/>
        <w:t>im Hebr. haben Verb und Nomen den selben Stamm</w:t>
      </w:r>
    </w:p>
  </w:footnote>
  <w:footnote w:id="139">
    <w:p>
      <w:pPr>
        <w:pStyle w:val="Funote"/>
        <w:rPr/>
      </w:pPr>
      <w:r>
        <w:rPr>
          <w:rStyle w:val="Funotenzeichen"/>
        </w:rPr>
        <w:footnoteRef/>
      </w:r>
      <w:r>
        <w:rPr/>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rStyle w:val="Funotenzeichen"/>
        </w:rPr>
        <w:footnoteRef/>
      </w:r>
      <w:r>
        <w:rPr/>
        <w:tab/>
        <w:t>kann auch als: „brachte als Brandopfer dar“ übersetzt werden.</w:t>
      </w:r>
    </w:p>
  </w:footnote>
  <w:footnote w:id="141">
    <w:p>
      <w:pPr>
        <w:pStyle w:val="Funote"/>
        <w:rPr/>
      </w:pPr>
      <w:r>
        <w:rPr>
          <w:rStyle w:val="Funotenzeichen"/>
        </w:rPr>
        <w:footnoteRef/>
      </w:r>
      <w:r>
        <w:rPr/>
        <w:tab/>
        <w:t>wörtlich: den Geruch des Wohlgefallens.</w:t>
      </w:r>
    </w:p>
  </w:footnote>
  <w:footnote w:id="142">
    <w:p>
      <w:pPr>
        <w:pStyle w:val="Funote"/>
        <w:rPr/>
      </w:pPr>
      <w:r>
        <w:rPr>
          <w:rStyle w:val="Funotenzeichen"/>
        </w:rPr>
        <w:footnoteRef/>
      </w:r>
      <w:r>
        <w:rPr/>
        <w:tab/>
        <w:t>Gesenius, S. 569; wörtl.: Bis zu allen Tagen der Erde</w:t>
      </w:r>
    </w:p>
  </w:footnote>
  <w:footnote w:id="143">
    <w:p>
      <w:pPr>
        <w:pStyle w:val="Funote"/>
        <w:rPr/>
      </w:pPr>
      <w:r>
        <w:rPr>
          <w:rStyle w:val="Funotenzeichen"/>
        </w:rPr>
        <w:footnoteRef/>
      </w:r>
      <w:r>
        <w:rPr/>
        <w:tab/>
        <w:t>[Status: Ungeprüft]</w:t>
      </w:r>
    </w:p>
  </w:footnote>
  <w:footnote w:id="144">
    <w:p>
      <w:pPr>
        <w:pStyle w:val="Funote"/>
        <w:rPr/>
      </w:pPr>
      <w:r>
        <w:rPr>
          <w:rStyle w:val="Funotenzeichen"/>
        </w:rPr>
        <w:footnoteRef/>
      </w:r>
      <w:r>
        <w:rPr/>
        <w:tab/>
        <w:t>Partizip</w:t>
      </w:r>
    </w:p>
  </w:footnote>
  <w:footnote w:id="145">
    <w:p>
      <w:pPr>
        <w:pStyle w:val="Funote"/>
        <w:rPr/>
      </w:pPr>
      <w:r>
        <w:rPr>
          <w:rStyle w:val="Funotenzeichen"/>
        </w:rPr>
        <w:footnoteRef/>
      </w:r>
      <w:r>
        <w:rPr/>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rStyle w:val="Funotenzeichen"/>
        </w:rPr>
        <w:footnoteRef/>
      </w:r>
      <w:r>
        <w:rPr/>
        <w:tab/>
        <w:t>Partizip</w:t>
      </w:r>
    </w:p>
  </w:footnote>
  <w:footnote w:id="147">
    <w:p>
      <w:pPr>
        <w:pStyle w:val="Funote"/>
        <w:rPr/>
      </w:pPr>
      <w:r>
        <w:rPr>
          <w:rStyle w:val="Funotenzeichen"/>
        </w:rPr>
        <w:footnoteRef/>
      </w:r>
      <w:r>
        <w:rPr/>
        <w:tab/>
        <w:t>Partizip</w:t>
      </w:r>
    </w:p>
  </w:footnote>
  <w:footnote w:id="148">
    <w:p>
      <w:pPr>
        <w:pStyle w:val="Funote"/>
        <w:rPr/>
      </w:pPr>
      <w:r>
        <w:rPr>
          <w:rStyle w:val="Funotenzeichen"/>
        </w:rPr>
        <w:footnoteRef/>
      </w:r>
      <w:r>
        <w:rPr/>
        <w:tab/>
        <w:t>Partizip</w:t>
      </w:r>
    </w:p>
  </w:footnote>
  <w:footnote w:id="149">
    <w:p>
      <w:pPr>
        <w:pStyle w:val="Funote"/>
        <w:rPr/>
      </w:pPr>
      <w:r>
        <w:rPr>
          <w:rStyle w:val="Funotenzeichen"/>
        </w:rPr>
        <w:footnoteRef/>
      </w:r>
      <w:r>
        <w:rPr/>
        <w:tab/>
        <w:t>wörtl.: Infinitiv: zu gedenken</w:t>
      </w:r>
    </w:p>
  </w:footnote>
  <w:footnote w:id="150">
    <w:p>
      <w:pPr>
        <w:pStyle w:val="Funote"/>
        <w:rPr/>
      </w:pPr>
      <w:r>
        <w:rPr>
          <w:rStyle w:val="Funotenzeichen"/>
        </w:rPr>
        <w:footnoteRef/>
      </w:r>
      <w:r>
        <w:rPr/>
        <w:tab/>
        <w:t>Partizip</w:t>
      </w:r>
    </w:p>
  </w:footnote>
  <w:footnote w:id="151">
    <w:p>
      <w:pPr>
        <w:pStyle w:val="Funote"/>
        <w:rPr/>
      </w:pPr>
      <w:r>
        <w:rPr>
          <w:rStyle w:val="Funotenzeichen"/>
        </w:rPr>
        <w:footnoteRef/>
      </w:r>
      <w:r>
        <w:rPr/>
        <w:tab/>
        <w:t>vgl. Gesenius, S. 68</w:t>
      </w:r>
    </w:p>
  </w:footnote>
  <w:footnote w:id="152">
    <w:p>
      <w:pPr>
        <w:pStyle w:val="Funote"/>
        <w:rPr/>
      </w:pPr>
      <w:r>
        <w:rPr>
          <w:rStyle w:val="Funotenzeichen"/>
        </w:rPr>
        <w:footnoteRef/>
      </w:r>
      <w:r>
        <w:rPr/>
        <w:tab/>
        <w:t>Gemeint ist: Noach war der erste Landwirt</w:t>
      </w:r>
    </w:p>
  </w:footnote>
  <w:footnote w:id="153">
    <w:p>
      <w:pPr>
        <w:pStyle w:val="Funote"/>
        <w:rPr/>
      </w:pPr>
      <w:r>
        <w:rPr>
          <w:rStyle w:val="Funotenzeichen"/>
        </w:rPr>
        <w:footnoteRef/>
      </w:r>
      <w:r>
        <w:rPr/>
        <w:tab/>
        <w:t>wörtl.: rückwärts</w:t>
      </w:r>
    </w:p>
  </w:footnote>
  <w:footnote w:id="154">
    <w:p>
      <w:pPr>
        <w:pStyle w:val="Funote"/>
        <w:rPr/>
      </w:pPr>
      <w:r>
        <w:rPr>
          <w:rStyle w:val="Funotenzeichen"/>
        </w:rPr>
        <w:footnoteRef/>
      </w:r>
      <w:r>
        <w:rPr/>
        <w:tab/>
        <w:t>Ein Wortspiel: das Verb hat die selben Konsonanten wie der Name Japhet</w:t>
      </w:r>
    </w:p>
  </w:footnote>
  <w:footnote w:id="155">
    <w:p>
      <w:pPr>
        <w:pStyle w:val="Funote"/>
        <w:rPr/>
      </w:pPr>
      <w:r>
        <w:rPr>
          <w:rStyle w:val="Funotenzeichen"/>
        </w:rPr>
        <w:footnoteRef/>
      </w:r>
      <w:r>
        <w:rPr/>
        <w:tab/>
        <w:t>[Status: Ungeprüft]</w:t>
      </w:r>
    </w:p>
  </w:footnote>
  <w:footnote w:id="156">
    <w:p>
      <w:pPr>
        <w:pStyle w:val="Funote"/>
        <w:rPr/>
      </w:pPr>
      <w:r>
        <w:rPr>
          <w:rStyle w:val="Funotenzeichen"/>
        </w:rPr>
        <w:footnoteRef/>
      </w:r>
      <w:r>
        <w:rPr/>
        <w:tab/>
        <w:t>Demonstrativpronomen im Plural.</w:t>
      </w:r>
    </w:p>
  </w:footnote>
  <w:footnote w:id="157">
    <w:p>
      <w:pPr>
        <w:pStyle w:val="Funote"/>
        <w:rPr/>
      </w:pPr>
      <w:r>
        <w:rPr>
          <w:rStyle w:val="Funotenzeichen"/>
        </w:rPr>
        <w:footnoteRef/>
      </w:r>
      <w:r>
        <w:rPr/>
        <w:tab/>
        <w:t>Der Plural von „Werdegang“, im Hebräischen hier ohne Artikel da solche im voraufgegangenen Text noch nie erwähnt.</w:t>
      </w:r>
    </w:p>
  </w:footnote>
  <w:footnote w:id="158">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rStyle w:val="Funotenzeichen"/>
        </w:rPr>
        <w:footnoteRef/>
      </w:r>
      <w:r>
        <w:rPr/>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rStyle w:val="Funotenzeichen"/>
        </w:rPr>
        <w:footnoteRef/>
      </w:r>
      <w:r>
        <w:rPr/>
        <w:tab/>
        <w:t xml:space="preserve">So der Masoretische Text und der Samaritanus / Septuaginta und Hieronymus ohne Konjunktion; s. </w:t>
      </w:r>
      <w:r>
        <w:fldChar w:fldCharType="begin"/>
      </w:r>
      <w:r>
        <w:rPr>
          <w:rStyle w:val="Internetverknpfung"/>
        </w:rPr>
        <w:instrText> HYPERLINK "../../../../../../../../../wiki/1_Chronik_1" \l "S4"</w:instrText>
      </w:r>
      <w:r>
        <w:rPr>
          <w:rStyle w:val="Internetverknpfung"/>
        </w:rPr>
        <w:fldChar w:fldCharType="separate"/>
      </w:r>
      <w:r>
        <w:rPr>
          <w:rStyle w:val="Internetverknpfung"/>
        </w:rPr>
        <w:t>1 Chronik 1,4</w:t>
      </w:r>
      <w:r>
        <w:rPr>
          <w:rStyle w:val="Internetverknpfung"/>
        </w:rPr>
        <w:fldChar w:fldCharType="end"/>
      </w:r>
      <w:r>
        <w:rPr/>
        <w:t>.</w:t>
      </w:r>
    </w:p>
  </w:footnote>
  <w:footnote w:id="161">
    <w:p>
      <w:pPr>
        <w:pStyle w:val="Funote"/>
        <w:rPr/>
      </w:pPr>
      <w:r>
        <w:rPr>
          <w:rStyle w:val="Funotenzeichen"/>
        </w:rPr>
        <w:footnoteRef/>
      </w:r>
      <w:r>
        <w:rPr/>
        <w:tab/>
        <w:t>3. Person Plural (m) Imperfekt als hebräische Aktionsart „Nifal“ (Passiv).</w:t>
      </w:r>
    </w:p>
  </w:footnote>
  <w:footnote w:id="162">
    <w:p>
      <w:pPr>
        <w:pStyle w:val="Funote"/>
        <w:rPr/>
      </w:pPr>
      <w:r>
        <w:rPr>
          <w:rStyle w:val="Funotenzeichen"/>
        </w:rPr>
        <w:footnoteRef/>
      </w:r>
      <w:r>
        <w:rPr/>
        <w:tab/>
        <w:t xml:space="preserve">So der Masoretische Text, zusammen mit dem Samaritanus, der Septuaginta und Hieronymus; s. zu </w:t>
      </w:r>
      <w:r>
        <w:fldChar w:fldCharType="begin"/>
      </w:r>
      <w:r>
        <w:rPr>
          <w:rStyle w:val="Internetverknpfung"/>
        </w:rPr>
        <w:instrText> HYPERLINK "../../../../../../../../../wiki/1_Chronik_1" \l "S6"</w:instrText>
      </w:r>
      <w:r>
        <w:rPr>
          <w:rStyle w:val="Internetverknpfung"/>
        </w:rPr>
        <w:fldChar w:fldCharType="separate"/>
      </w:r>
      <w:r>
        <w:rPr>
          <w:rStyle w:val="Internetverknpfung"/>
        </w:rPr>
        <w:t>1 Chronik 1,6</w:t>
      </w:r>
      <w:r>
        <w:rPr>
          <w:rStyle w:val="Internetverknpfung"/>
        </w:rPr>
        <w:fldChar w:fldCharType="end"/>
      </w:r>
      <w:r>
        <w:rPr/>
        <w:t xml:space="preserve"> „Difat“.</w:t>
      </w:r>
    </w:p>
  </w:footnote>
  <w:footnote w:id="163">
    <w:p>
      <w:pPr>
        <w:pStyle w:val="Funote"/>
        <w:rPr/>
      </w:pPr>
      <w:r>
        <w:rPr>
          <w:rStyle w:val="Funotenzeichen"/>
        </w:rPr>
        <w:footnoteRef/>
      </w:r>
      <w:r>
        <w:rPr/>
        <w:tab/>
        <w:t xml:space="preserve">Im Hebräischen mit Mehrzahlendung </w:t>
      </w:r>
      <w:r>
        <w:rPr>
          <w:rtl w:val="true"/>
          <w:lang w:bidi="he-IL"/>
        </w:rPr>
        <w:t>ים</w:t>
      </w:r>
      <w:r>
        <w:rPr/>
        <w:t xml:space="preserve"> </w:t>
      </w:r>
      <w:r>
        <w:rPr/>
        <w:t xml:space="preserve">als Plural und daher eher als Name eines Volksstammes zu verstehen; </w:t>
      </w:r>
      <w:r>
        <w:fldChar w:fldCharType="begin"/>
      </w:r>
      <w:r>
        <w:rPr>
          <w:rStyle w:val="Internetverknpfung"/>
        </w:rPr>
        <w:instrText> HYPERLINK "../../../../../../../../../wiki/Jeremia_2" \l "S10"</w:instrText>
      </w:r>
      <w:r>
        <w:rPr>
          <w:rStyle w:val="Internetverknpfung"/>
        </w:rPr>
        <w:fldChar w:fldCharType="separate"/>
      </w:r>
      <w:r>
        <w:rPr>
          <w:rStyle w:val="Internetverknpfung"/>
        </w:rPr>
        <w:t>Jeremia 2,10</w:t>
      </w:r>
      <w:r>
        <w:rPr>
          <w:rStyle w:val="Internetverknpfung"/>
        </w:rPr>
        <w:fldChar w:fldCharType="end"/>
      </w:r>
      <w:r>
        <w:rPr/>
        <w:t>.</w:t>
      </w:r>
    </w:p>
  </w:footnote>
  <w:footnote w:id="164">
    <w:p>
      <w:pPr>
        <w:pStyle w:val="Funote"/>
        <w:rPr/>
      </w:pPr>
      <w:r>
        <w:rPr>
          <w:rStyle w:val="Funotenzeichen"/>
        </w:rPr>
        <w:footnoteRef/>
      </w:r>
      <w:r>
        <w:rPr/>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rStyle w:val="Funotenzeichen"/>
        </w:rPr>
        <w:footnoteRef/>
      </w:r>
      <w:r>
        <w:rPr/>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Samaritanischer Pentateuch, Septuaginta und nur wenige hebräische Handschriften bieten hier „Rodaniter“, wie auch der Masoretische Text „Rodaniter“ an der Parallelstelle </w:t>
      </w:r>
      <w:r>
        <w:fldChar w:fldCharType="begin"/>
      </w:r>
      <w:r>
        <w:rPr>
          <w:rStyle w:val="Internetverknpfung"/>
        </w:rPr>
        <w:instrText> HYPERLINK "../../../../../../../../../wiki/1_Chronik_1" \l "S7"</w:instrText>
      </w:r>
      <w:r>
        <w:rPr>
          <w:rStyle w:val="Internetverknpfung"/>
        </w:rPr>
        <w:fldChar w:fldCharType="separate"/>
      </w:r>
      <w:r>
        <w:rPr>
          <w:rStyle w:val="Internetverknpfung"/>
        </w:rPr>
        <w:t>1 Chronik 1,7</w:t>
      </w:r>
      <w:r>
        <w:rPr>
          <w:rStyle w:val="Internetverknpfung"/>
        </w:rPr>
        <w:fldChar w:fldCharType="end"/>
      </w:r>
      <w:r>
        <w:rPr/>
        <w:t>. Hieronymus hatte an beiden Stellen „Dodaniter“ gelesen.</w:t>
      </w:r>
    </w:p>
  </w:footnote>
  <w:footnote w:id="166">
    <w:p>
      <w:pPr>
        <w:pStyle w:val="Funote"/>
        <w:rPr/>
      </w:pPr>
      <w:r>
        <w:rPr>
          <w:rStyle w:val="Funotenzeichen"/>
        </w:rPr>
        <w:footnoteRef/>
      </w:r>
      <w:r>
        <w:rPr/>
        <w:tab/>
        <w:t xml:space="preserve">3. Person (m) Plural Perfekt von „verstreuen“ in der hebräischen Aktionsart „Nifal“ (Passiv). Muss sich, zurückblickend aus der Sicht des Schreibers, nicht unbedingt auf die Babylonische Zerstreuung im folgenden Kapitel </w:t>
      </w:r>
      <w:r>
        <w:fldChar w:fldCharType="begin"/>
      </w:r>
      <w:r>
        <w:rPr>
          <w:rStyle w:val="Internetverknpfung"/>
        </w:rPr>
        <w:instrText> HYPERLINK "../../../../../../../../../wiki/Genesis_11" \l "S8"</w:instrText>
      </w:r>
      <w:r>
        <w:rPr>
          <w:rStyle w:val="Internetverknpfung"/>
        </w:rPr>
        <w:fldChar w:fldCharType="separate"/>
      </w:r>
      <w:r>
        <w:rPr>
          <w:rStyle w:val="Internetverknpfung"/>
        </w:rPr>
        <w:t>Genesis 11,8</w:t>
      </w:r>
      <w:r>
        <w:rPr>
          <w:rStyle w:val="Internetverknpfung"/>
        </w:rPr>
        <w:fldChar w:fldCharType="end"/>
      </w:r>
      <w:r>
        <w:rPr/>
        <w:t xml:space="preserve"> bezogen haben.</w:t>
      </w:r>
    </w:p>
  </w:footnote>
  <w:footnote w:id="167">
    <w:p>
      <w:pPr>
        <w:pStyle w:val="Funote"/>
        <w:rPr/>
      </w:pPr>
      <w:r>
        <w:rPr>
          <w:rStyle w:val="Funotenzeichen"/>
        </w:rPr>
        <w:footnoteRef/>
      </w:r>
      <w:r>
        <w:rPr/>
        <w:tab/>
        <w:t>Plural (m), bildet im Hebräischen einen „Status constructus“, eine Sprech- und Bedeutungseinheit mit den Inseln.</w:t>
      </w:r>
    </w:p>
  </w:footnote>
  <w:footnote w:id="168">
    <w:p>
      <w:pPr>
        <w:pStyle w:val="Funote"/>
        <w:rPr/>
      </w:pPr>
      <w:r>
        <w:rPr>
          <w:rStyle w:val="Funotenzeichen"/>
        </w:rPr>
        <w:footnoteRef/>
      </w:r>
      <w:r>
        <w:rPr/>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rStyle w:val="Funotenzeichen"/>
        </w:rPr>
        <w:footnoteRef/>
      </w:r>
      <w:r>
        <w:rPr/>
        <w:tab/>
        <w:t>Plural (f)</w:t>
      </w:r>
    </w:p>
  </w:footnote>
  <w:footnote w:id="170">
    <w:p>
      <w:pPr>
        <w:pStyle w:val="Funote"/>
        <w:rPr/>
      </w:pPr>
      <w:r>
        <w:rPr>
          <w:rStyle w:val="Funotenzeichen"/>
        </w:rPr>
        <w:footnoteRef/>
      </w:r>
      <w:r>
        <w:rPr/>
        <w:tab/>
        <w:t>Singular (m)</w:t>
      </w:r>
    </w:p>
  </w:footnote>
  <w:footnote w:id="171">
    <w:p>
      <w:pPr>
        <w:pStyle w:val="Funote"/>
        <w:rPr/>
      </w:pPr>
      <w:r>
        <w:rPr>
          <w:rStyle w:val="Funotenzeichen"/>
        </w:rPr>
        <w:footnoteRef/>
      </w:r>
      <w:r>
        <w:rPr/>
        <w:tab/>
        <w:t xml:space="preserve">Hier im Kontext als Personenname erkennbar; auch Name eines Landes </w:t>
      </w:r>
      <w:r>
        <w:fldChar w:fldCharType="begin"/>
      </w:r>
      <w:r>
        <w:rPr>
          <w:rStyle w:val="Internetverknpfung"/>
        </w:rPr>
        <w:instrText> HYPERLINK "../../../../../../../../../wiki/Genesis_2" \l "S13"</w:instrText>
      </w:r>
      <w:r>
        <w:rPr>
          <w:rStyle w:val="Internetverknpfung"/>
        </w:rPr>
        <w:fldChar w:fldCharType="separate"/>
      </w:r>
      <w:r>
        <w:rPr>
          <w:rStyle w:val="Internetverknpfung"/>
        </w:rPr>
        <w:t>Genesis 2,13</w:t>
      </w:r>
      <w:r>
        <w:rPr>
          <w:rStyle w:val="Internetverknpfung"/>
        </w:rPr>
        <w:fldChar w:fldCharType="end"/>
      </w:r>
      <w:r>
        <w:rPr/>
        <w:t xml:space="preserve"> und </w:t>
      </w:r>
      <w:hyperlink r:id="rId2">
        <w:r>
          <w:rPr>
            <w:rStyle w:val="Internetverknpfung"/>
          </w:rPr>
          <w:t>2 Könige 19,9</w:t>
        </w:r>
      </w:hyperlink>
      <w:r>
        <w:rPr/>
        <w:t xml:space="preserve"> etc.</w:t>
      </w:r>
    </w:p>
  </w:footnote>
  <w:footnote w:id="172">
    <w:p>
      <w:pPr>
        <w:pStyle w:val="Funote"/>
        <w:rPr/>
      </w:pPr>
      <w:r>
        <w:rPr>
          <w:rStyle w:val="Funotenzeichen"/>
        </w:rPr>
        <w:footnoteRef/>
      </w:r>
      <w:r>
        <w:rPr/>
        <w:tab/>
        <w:t xml:space="preserve">Hier im Kontext als Personenname erkennbar; auch der Name eines Landes </w:t>
      </w:r>
      <w:r>
        <w:fldChar w:fldCharType="begin"/>
      </w:r>
      <w:r>
        <w:rPr>
          <w:rStyle w:val="Internetverknpfung"/>
        </w:rPr>
        <w:instrText> HYPERLINK "../../../../../../../../../wiki/Genesis_12" \l "S10"</w:instrText>
      </w:r>
      <w:r>
        <w:rPr>
          <w:rStyle w:val="Internetverknpfung"/>
        </w:rPr>
        <w:fldChar w:fldCharType="separate"/>
      </w:r>
      <w:r>
        <w:rPr>
          <w:rStyle w:val="Internetverknpfung"/>
        </w:rPr>
        <w:t>Genesis 12,10</w:t>
      </w:r>
      <w:r>
        <w:rPr>
          <w:rStyle w:val="Internetverknpfung"/>
        </w:rPr>
        <w:fldChar w:fldCharType="end"/>
      </w:r>
      <w:r>
        <w:rPr/>
        <w:t xml:space="preserve">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rStyle w:val="Funotenzeichen"/>
        </w:rPr>
        <w:footnoteRef/>
      </w:r>
      <w:r>
        <w:rPr/>
        <w:tab/>
        <w:t xml:space="preserve">So der Masoretische Text und Hieronymus (mit Konjunktion) / Samaritanus und Septuaginta ohne Konjunktion; s. </w:t>
      </w:r>
      <w:r>
        <w:fldChar w:fldCharType="begin"/>
      </w:r>
      <w:r>
        <w:rPr>
          <w:rStyle w:val="Internetverknpfung"/>
        </w:rPr>
        <w:instrText> HYPERLINK "../../../../../../../../../wiki/1_Chronik_1" \l "S8"</w:instrText>
      </w:r>
      <w:r>
        <w:rPr>
          <w:rStyle w:val="Internetverknpfung"/>
        </w:rPr>
        <w:fldChar w:fldCharType="separate"/>
      </w:r>
      <w:r>
        <w:rPr>
          <w:rStyle w:val="Internetverknpfung"/>
        </w:rPr>
        <w:t>1 Chronik 1,8</w:t>
      </w:r>
      <w:r>
        <w:rPr>
          <w:rStyle w:val="Internetverknpfung"/>
        </w:rPr>
        <w:fldChar w:fldCharType="end"/>
      </w:r>
      <w:r>
        <w:rPr/>
        <w:t>.</w:t>
      </w:r>
    </w:p>
  </w:footnote>
  <w:footnote w:id="174">
    <w:p>
      <w:pPr>
        <w:pStyle w:val="Funote"/>
        <w:rPr/>
      </w:pPr>
      <w:r>
        <w:rPr>
          <w:rStyle w:val="Funotenzeichen"/>
        </w:rPr>
        <w:footnoteRef/>
      </w:r>
      <w:r>
        <w:rPr/>
        <w:tab/>
        <w:t xml:space="preserve">Hier im Kontext als Personenname erkennbar; auch der Name eines Landes </w:t>
      </w:r>
      <w:hyperlink r:id="rId3">
        <w:r>
          <w:rPr>
            <w:rStyle w:val="Internetverknpfung"/>
          </w:rPr>
          <w:t>Jeremia 46,9</w:t>
        </w:r>
      </w:hyperlink>
      <w:r>
        <w:rPr/>
        <w:t xml:space="preserve"> etc.</w:t>
      </w:r>
    </w:p>
  </w:footnote>
  <w:footnote w:id="175">
    <w:p>
      <w:pPr>
        <w:pStyle w:val="Funote"/>
        <w:rPr/>
      </w:pPr>
      <w:r>
        <w:rPr>
          <w:rStyle w:val="Funotenzeichen"/>
        </w:rPr>
        <w:footnoteRef/>
      </w:r>
      <w:r>
        <w:rPr/>
        <w:tab/>
        <w:t xml:space="preserve">Hier im Kontext als Personenname erkennbar; auch der Name eines Landes </w:t>
      </w:r>
      <w:r>
        <w:fldChar w:fldCharType="begin"/>
      </w:r>
      <w:r>
        <w:rPr>
          <w:rStyle w:val="Internetverknpfung"/>
        </w:rPr>
        <w:instrText> HYPERLINK "../../../../../../../../../wiki/Genesis_11" \l "S31"</w:instrText>
      </w:r>
      <w:r>
        <w:rPr>
          <w:rStyle w:val="Internetverknpfung"/>
        </w:rPr>
        <w:fldChar w:fldCharType="separate"/>
      </w:r>
      <w:r>
        <w:rPr>
          <w:rStyle w:val="Internetverknpfung"/>
        </w:rPr>
        <w:t>Genesis 11,31</w:t>
      </w:r>
      <w:r>
        <w:rPr>
          <w:rStyle w:val="Internetverknpfung"/>
        </w:rPr>
        <w:fldChar w:fldCharType="end"/>
      </w:r>
      <w:r>
        <w:rPr/>
        <w:t xml:space="preserve"> etc.</w:t>
      </w:r>
    </w:p>
  </w:footnote>
  <w:footnote w:id="176">
    <w:p>
      <w:pPr>
        <w:pStyle w:val="Funote"/>
        <w:rPr/>
      </w:pPr>
      <w:r>
        <w:rPr>
          <w:rStyle w:val="Funotenzeichen"/>
        </w:rPr>
        <w:footnoteRef/>
      </w:r>
      <w:r>
        <w:rPr/>
        <w:tab/>
        <w:t>3. Person Singular (m) Perfekt, hier mit Plusquamperfekt wiedergegeben wegen der nachfolgenden Geschichte Nimrods im selben Vers.</w:t>
      </w:r>
    </w:p>
  </w:footnote>
  <w:footnote w:id="177">
    <w:p>
      <w:pPr>
        <w:pStyle w:val="Funote"/>
        <w:rPr/>
      </w:pPr>
      <w:r>
        <w:rPr>
          <w:rStyle w:val="Funotenzeichen"/>
        </w:rPr>
        <w:footnoteRef/>
      </w:r>
      <w:r>
        <w:rPr/>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rStyle w:val="Funotenzeichen"/>
        </w:rPr>
        <w:footnoteRef/>
      </w:r>
      <w:r>
        <w:rPr/>
        <w:tab/>
        <w:t>Personalpronomen: 3. Singular (m).</w:t>
      </w:r>
    </w:p>
  </w:footnote>
  <w:footnote w:id="179">
    <w:p>
      <w:pPr>
        <w:pStyle w:val="Funote"/>
        <w:rPr/>
      </w:pPr>
      <w:r>
        <w:rPr>
          <w:rStyle w:val="Funotenzeichen"/>
        </w:rPr>
        <w:footnoteRef/>
      </w:r>
      <w:r>
        <w:rPr/>
        <w:tab/>
        <w:t xml:space="preserve">Die Machtbestrebungen Nimrods beschränkten sich nicht nur auf die heimische Region (Schinar), sondern umfassten auch einen Neuerwerb von Gebieten; im Masoretischen Text wäre der Artikel (im Hebräischen für ein bereits bekanntes bzw. </w:t>
      </w:r>
      <w:r>
        <w:fldChar w:fldCharType="begin"/>
      </w:r>
      <w:r>
        <w:rPr>
          <w:rStyle w:val="Internetverknpfung"/>
        </w:rPr>
        <w:instrText> HYPERLINK "../../../../../../../../../wiki/Genesis_2" \l "S14"</w:instrText>
      </w:r>
      <w:r>
        <w:rPr>
          <w:rStyle w:val="Internetverknpfung"/>
        </w:rPr>
        <w:fldChar w:fldCharType="separate"/>
      </w:r>
      <w:r>
        <w:rPr>
          <w:rStyle w:val="Internetverknpfung"/>
        </w:rPr>
        <w:t>im Text zuvor schon mal erwähntes</w:t>
      </w:r>
      <w:r>
        <w:rPr>
          <w:rStyle w:val="Internetverknpfung"/>
        </w:rPr>
        <w:fldChar w:fldCharType="end"/>
      </w:r>
      <w:r>
        <w:rPr/>
        <w:t xml:space="preserve"> Land) nur nachträglich hineinpunktiert.</w:t>
      </w:r>
    </w:p>
  </w:footnote>
  <w:footnote w:id="180">
    <w:p>
      <w:pPr>
        <w:pStyle w:val="Funote"/>
        <w:rPr/>
      </w:pPr>
      <w:r>
        <w:rPr>
          <w:rStyle w:val="Funotenzeichen"/>
        </w:rPr>
        <w:footnoteRef/>
      </w:r>
      <w:r>
        <w:rPr/>
        <w:tab/>
        <w:t xml:space="preserve">Einige christliche Bibelkommentare weisen darauf hin, dass die Präposition </w:t>
      </w:r>
      <w:r>
        <w:rPr>
          <w:rtl w:val="true"/>
          <w:lang w:bidi="he-IL"/>
        </w:rPr>
        <w:t>ל</w:t>
      </w:r>
      <w:r>
        <w:rPr/>
        <w:t xml:space="preserve"> </w:t>
      </w:r>
      <w:r>
        <w:rPr/>
        <w:t xml:space="preserve">nicht nur „vor“ bedeuten kann, sondern manchmal mit „gegen“ übersetzt wird (entsprechend dem Zusammenhang auch als „für“ oder „von“) und Nimrod ein Frevler gewesen sei. Der </w:t>
      </w:r>
      <w:r>
        <w:fldChar w:fldCharType="begin"/>
      </w:r>
      <w:r>
        <w:rPr>
          <w:rStyle w:val="Internetverknpfung"/>
        </w:rPr>
        <w:instrText> HYPERLINK "../../../../../../../../../wiki/Genesis_1" \l "S28"</w:instrText>
      </w:r>
      <w:r>
        <w:rPr>
          <w:rStyle w:val="Internetverknpfung"/>
        </w:rPr>
        <w:fldChar w:fldCharType="separate"/>
      </w:r>
      <w:r>
        <w:rPr>
          <w:rStyle w:val="Internetverknpfung"/>
        </w:rPr>
        <w:t>Auftrag Gottes an die Menschen</w:t>
      </w:r>
      <w:r>
        <w:rPr>
          <w:rStyle w:val="Internetverknpfung"/>
        </w:rPr>
        <w:fldChar w:fldCharType="end"/>
      </w:r>
      <w:r>
        <w:rPr/>
        <w:t xml:space="preserve"> bestand aber unverändert und es gibt keine Anhaltspunkte dafür, dass sich die Gewalt Nimrods gegen Menschen gerichtet hat.</w:t>
      </w:r>
    </w:p>
  </w:footnote>
  <w:footnote w:id="181">
    <w:p>
      <w:pPr>
        <w:pStyle w:val="Funote"/>
        <w:rPr/>
      </w:pPr>
      <w:r>
        <w:rPr>
          <w:rStyle w:val="Funotenzeichen"/>
        </w:rPr>
        <w:footnoteRef/>
      </w:r>
      <w:r>
        <w:rPr/>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rStyle w:val="Funotenzeichen"/>
        </w:rPr>
        <w:footnoteRef/>
      </w:r>
      <w:r>
        <w:rPr/>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rStyle w:val="Funotenzeichen"/>
        </w:rPr>
        <w:footnoteRef/>
      </w:r>
      <w:r>
        <w:rPr/>
        <w:tab/>
        <w:t>3. Person Singular (f) Imperfekt, bezieht sich auf die „Herrschaft“</w:t>
      </w:r>
    </w:p>
  </w:footnote>
  <w:footnote w:id="184">
    <w:p>
      <w:pPr>
        <w:pStyle w:val="Funote"/>
        <w:rPr/>
      </w:pPr>
      <w:r>
        <w:rPr>
          <w:rStyle w:val="Funotenzeichen"/>
        </w:rPr>
        <w:footnoteRef/>
      </w:r>
      <w:r>
        <w:rPr/>
        <w:tab/>
        <w:t>Personalpronomen 3. Singular (verschrieben als masc. / punktiert als fem.) mit Artikel als Demonstrativpronomen, bezieht sich auf das Land (f) „Schinar“.</w:t>
      </w:r>
    </w:p>
  </w:footnote>
  <w:footnote w:id="185">
    <w:p>
      <w:pPr>
        <w:pStyle w:val="Funote"/>
        <w:rPr/>
      </w:pPr>
      <w:r>
        <w:rPr>
          <w:rStyle w:val="Funotenzeichen"/>
        </w:rPr>
        <w:footnoteRef/>
      </w:r>
      <w:r>
        <w:rPr/>
        <w:tab/>
        <w:t>3. Person Singular (m) Perfekt; bezieht sich nach dem geschriebenen Text auf „Assur“ (als Person) / der Kontext verlangt aber einen Bezug zu „Nimrod“.</w:t>
      </w:r>
    </w:p>
  </w:footnote>
  <w:footnote w:id="186">
    <w:p>
      <w:pPr>
        <w:pStyle w:val="Funote"/>
        <w:rPr/>
      </w:pPr>
      <w:r>
        <w:rPr>
          <w:rStyle w:val="Funotenzeichen"/>
        </w:rPr>
        <w:footnoteRef/>
      </w:r>
      <w:r>
        <w:rPr/>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 xml:space="preserve">nach Assur“; s. </w:t>
      </w:r>
      <w:r>
        <w:fldChar w:fldCharType="begin"/>
      </w:r>
      <w:r>
        <w:rPr>
          <w:rStyle w:val="Internetverknpfung"/>
        </w:rPr>
        <w:instrText> HYPERLINK "../../../../../../../../../wiki/Micha_5" \l "S6"</w:instrText>
      </w:r>
      <w:r>
        <w:rPr>
          <w:rStyle w:val="Internetverknpfung"/>
        </w:rPr>
        <w:fldChar w:fldCharType="separate"/>
      </w:r>
      <w:r>
        <w:rPr>
          <w:rStyle w:val="Internetverknpfung"/>
        </w:rPr>
        <w:t>Micha 5,6</w:t>
      </w:r>
      <w:r>
        <w:rPr>
          <w:rStyle w:val="Internetverknpfung"/>
        </w:rPr>
        <w:fldChar w:fldCharType="end"/>
      </w:r>
      <w:r>
        <w:rPr/>
        <w:t>.</w:t>
      </w:r>
    </w:p>
  </w:footnote>
  <w:footnote w:id="187">
    <w:p>
      <w:pPr>
        <w:pStyle w:val="Funote"/>
        <w:rPr/>
      </w:pPr>
      <w:r>
        <w:rPr>
          <w:rStyle w:val="Funotenzeichen"/>
        </w:rPr>
        <w:footnoteRef/>
      </w:r>
      <w:r>
        <w:rPr/>
        <w:tab/>
        <w:t>3. Person Singular (m) Imperfekt; der Kontext verlangt einen Bezug zu „Nimrod“, nicht zu einem „Assur“.</w:t>
      </w:r>
    </w:p>
  </w:footnote>
  <w:footnote w:id="188">
    <w:p>
      <w:pPr>
        <w:pStyle w:val="Funote"/>
        <w:rPr/>
      </w:pPr>
      <w:r>
        <w:rPr>
          <w:rStyle w:val="Funotenzeichen"/>
        </w:rPr>
        <w:footnoteRef/>
      </w:r>
      <w:r>
        <w:rPr/>
        <w:tab/>
        <w:t>So wörtlich; im Hebräischen eine Formel zur genauen Bestimmung, bedeutet nur „zwischen Ninive und Kelach“.</w:t>
      </w:r>
    </w:p>
  </w:footnote>
  <w:footnote w:id="189">
    <w:p>
      <w:pPr>
        <w:pStyle w:val="Funote"/>
        <w:rPr/>
      </w:pPr>
      <w:r>
        <w:rPr>
          <w:rStyle w:val="Funotenzeichen"/>
        </w:rPr>
        <w:footnoteRef/>
      </w:r>
      <w:r>
        <w:rPr/>
        <w:tab/>
        <w:t>Mit Artikel.</w:t>
      </w:r>
    </w:p>
  </w:footnote>
  <w:footnote w:id="190">
    <w:p>
      <w:pPr>
        <w:pStyle w:val="Funote"/>
        <w:rPr/>
      </w:pPr>
      <w:r>
        <w:rPr>
          <w:rStyle w:val="Funotenzeichen"/>
        </w:rPr>
        <w:footnoteRef/>
      </w:r>
      <w:r>
        <w:rPr/>
        <w:tab/>
        <w:t>Mit Artikel, kein „Status constructus“ mit der Stadt.</w:t>
      </w:r>
    </w:p>
  </w:footnote>
  <w:footnote w:id="191">
    <w:p>
      <w:pPr>
        <w:pStyle w:val="Funote"/>
        <w:rPr/>
      </w:pPr>
      <w:r>
        <w:rPr>
          <w:rStyle w:val="Funotenzeichen"/>
        </w:rPr>
        <w:footnoteRef/>
      </w:r>
      <w:r>
        <w:rPr/>
        <w:tab/>
        <w:t>3. Person Singular (m) Perfekt</w:t>
      </w:r>
    </w:p>
  </w:footnote>
  <w:footnote w:id="192">
    <w:p>
      <w:pPr>
        <w:pStyle w:val="Funote"/>
        <w:rPr/>
      </w:pPr>
      <w:r>
        <w:rPr>
          <w:rStyle w:val="Funotenzeichen"/>
        </w:rPr>
        <w:footnoteRef/>
      </w:r>
      <w:r>
        <w:rPr/>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rStyle w:val="Funotenzeichen"/>
        </w:rPr>
        <w:footnoteRef/>
      </w:r>
      <w:r>
        <w:rPr/>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rStyle w:val="Funotenzeichen"/>
        </w:rPr>
        <w:footnoteRef/>
      </w:r>
      <w:r>
        <w:rPr/>
        <w:tab/>
        <w:t>3. Person Plural (m) Perfekt</w:t>
      </w:r>
    </w:p>
  </w:footnote>
  <w:footnote w:id="195">
    <w:p>
      <w:pPr>
        <w:pStyle w:val="Funote"/>
        <w:rPr/>
      </w:pPr>
      <w:r>
        <w:rPr>
          <w:rStyle w:val="Funotenzeichen"/>
        </w:rPr>
        <w:footnoteRef/>
      </w:r>
      <w:r>
        <w:rPr/>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rStyle w:val="Funotenzeichen"/>
        </w:rPr>
        <w:footnoteRef/>
      </w:r>
      <w:r>
        <w:rPr/>
        <w:tab/>
        <w:t xml:space="preserve">Im Hebräischen mit Pluralendung </w:t>
      </w:r>
      <w:r>
        <w:rPr>
          <w:rtl w:val="true"/>
          <w:lang w:bidi="he-IL"/>
        </w:rPr>
        <w:t>ים</w:t>
      </w:r>
      <w:r>
        <w:rPr/>
        <w:t xml:space="preserve"> </w:t>
      </w:r>
      <w:r>
        <w:rPr/>
        <w:t xml:space="preserve">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w:t>
      </w:r>
      <w:hyperlink r:id="rId4">
        <w:r>
          <w:rPr>
            <w:rStyle w:val="Internetverknpfung"/>
          </w:rPr>
          <w:t>Deuteronomium 2,23</w:t>
        </w:r>
      </w:hyperlink>
      <w:r>
        <w:rPr/>
        <w:t>); richtig wäre nach den Kaftoritern (</w:t>
      </w:r>
      <w:hyperlink r:id="rId5">
        <w:r>
          <w:rPr>
            <w:rStyle w:val="Internetverknpfung"/>
          </w:rPr>
          <w:t>Jeremia 47,4</w:t>
        </w:r>
      </w:hyperlink>
      <w:r>
        <w:rPr/>
        <w:t xml:space="preserve">, </w:t>
      </w:r>
      <w:r>
        <w:fldChar w:fldCharType="begin"/>
      </w:r>
      <w:r>
        <w:rPr>
          <w:rStyle w:val="Internetverknpfung"/>
        </w:rPr>
        <w:instrText> HYPERLINK "../../../../../../../../../wiki/Amos_9" \l "S7"</w:instrText>
      </w:r>
      <w:r>
        <w:rPr>
          <w:rStyle w:val="Internetverknpfung"/>
        </w:rPr>
        <w:fldChar w:fldCharType="separate"/>
      </w:r>
      <w:r>
        <w:rPr>
          <w:rStyle w:val="Internetverknpfung"/>
        </w:rPr>
        <w:t>Amos 9,7</w:t>
      </w:r>
      <w:r>
        <w:rPr>
          <w:rStyle w:val="Internetverknpfung"/>
        </w:rPr>
        <w:fldChar w:fldCharType="end"/>
      </w:r>
      <w:r>
        <w:rPr/>
        <w:t>).</w:t>
      </w:r>
    </w:p>
  </w:footnote>
  <w:footnote w:id="197">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rStyle w:val="Funotenzeichen"/>
        </w:rPr>
        <w:footnoteRef/>
      </w:r>
      <w:r>
        <w:rPr/>
        <w:tab/>
        <w:t>Im Masoretischen Text als Constructus (Genitiv) geschrieben, daher als Angehöriger des Volksstammes zu verstehen</w:t>
      </w:r>
    </w:p>
  </w:footnote>
  <w:footnote w:id="199">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rStyle w:val="Funotenzeichen"/>
        </w:rPr>
        <w:footnoteRef/>
      </w:r>
      <w:r>
        <w:rPr/>
        <w:tab/>
        <w:t>Im Masoretischen Text als Constructus (Genitiv) geschrieben, daher als Angehöriger des Volksstammes zu verstehen</w:t>
      </w:r>
    </w:p>
  </w:footnote>
  <w:footnote w:id="201">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rStyle w:val="Funotenzeichen"/>
        </w:rPr>
        <w:footnoteRef/>
      </w:r>
      <w:r>
        <w:rPr/>
        <w:tab/>
        <w:t>Im Masoretischen Text als Constructus (Genitiv) geschrieben, daher als Angehöriger des Volksstammes zu verstehen</w:t>
      </w:r>
    </w:p>
  </w:footnote>
  <w:footnote w:id="20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rStyle w:val="Funotenzeichen"/>
        </w:rPr>
        <w:footnoteRef/>
      </w:r>
      <w:r>
        <w:rPr/>
        <w:tab/>
        <w:t>Im Masoretischen Text als Constructus (Genitiv) geschrieben, daher als Angehöriger des betreffenden Volksstammes zu verstehen</w:t>
      </w:r>
    </w:p>
  </w:footnote>
  <w:footnote w:id="205">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rStyle w:val="Funotenzeichen"/>
        </w:rPr>
        <w:footnoteRef/>
      </w:r>
      <w:r>
        <w:rPr/>
        <w:tab/>
        <w:t>Im Masoretischen Text als Constructus (Genitiv) geschrieben, daher als Angehöriger des Volksstammes zu verstehen</w:t>
      </w:r>
    </w:p>
  </w:footnote>
  <w:footnote w:id="207">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rStyle w:val="Funotenzeichen"/>
        </w:rPr>
        <w:footnoteRef/>
      </w:r>
      <w:r>
        <w:rPr/>
        <w:tab/>
        <w:t>Im Masoretischen Text als Constructus (Genitiv) geschrieben, daher als Angehöriger des Volksstammes zu verstehen</w:t>
      </w:r>
    </w:p>
  </w:footnote>
  <w:footnote w:id="209">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rStyle w:val="Funotenzeichen"/>
        </w:rPr>
        <w:footnoteRef/>
      </w:r>
      <w:r>
        <w:rPr/>
        <w:tab/>
        <w:t>Im Masoretischen Text als Constructus (Genitiv) geschrieben, daher als Angehöriger des Volksstammes zu verstehen</w:t>
      </w:r>
    </w:p>
  </w:footnote>
  <w:footnote w:id="211">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rStyle w:val="Funotenzeichen"/>
        </w:rPr>
        <w:footnoteRef/>
      </w:r>
      <w:r>
        <w:rPr/>
        <w:tab/>
        <w:t>Im Masoretischen Text als Constructus (Genitiv) geschrieben, daher als Angehöriger des Volksstammes zu verstehen</w:t>
      </w:r>
    </w:p>
  </w:footnote>
  <w:footnote w:id="21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rStyle w:val="Funotenzeichen"/>
        </w:rPr>
        <w:footnoteRef/>
      </w:r>
      <w:r>
        <w:rPr/>
        <w:tab/>
        <w:t>Im Masoretischen Text als Constructus (Genitiv) geschrieben, daher als Angehöriger des Volksstammes zu verstehen</w:t>
      </w:r>
    </w:p>
  </w:footnote>
  <w:footnote w:id="215">
    <w:p>
      <w:pPr>
        <w:pStyle w:val="Funote"/>
        <w:rPr/>
      </w:pPr>
      <w:r>
        <w:rPr>
          <w:rStyle w:val="Funotenzeichen"/>
        </w:rPr>
        <w:footnoteRef/>
      </w:r>
      <w:r>
        <w:rPr/>
        <w:tab/>
        <w:t>[Status: Ungeprüft]</w:t>
      </w:r>
    </w:p>
  </w:footnote>
  <w:footnote w:id="216">
    <w:p>
      <w:pPr>
        <w:pStyle w:val="Funote"/>
        <w:rPr/>
      </w:pPr>
      <w:r>
        <w:rPr>
          <w:rStyle w:val="Funotenzeichen"/>
        </w:rPr>
        <w:footnoteRef/>
      </w:r>
      <w:r>
        <w:rPr/>
        <w:tab/>
        <w:t>Plural</w:t>
      </w:r>
    </w:p>
  </w:footnote>
  <w:footnote w:id="217">
    <w:p>
      <w:pPr>
        <w:pStyle w:val="Funote"/>
        <w:rPr/>
      </w:pPr>
      <w:r>
        <w:rPr>
          <w:rStyle w:val="Funotenzeichen"/>
        </w:rPr>
        <w:footnoteRef/>
      </w:r>
      <w:r>
        <w:rPr/>
        <w:tab/>
        <w:t>Singular</w:t>
      </w:r>
    </w:p>
  </w:footnote>
  <w:footnote w:id="218">
    <w:p>
      <w:pPr>
        <w:pStyle w:val="Funote"/>
        <w:rPr/>
      </w:pPr>
      <w:r>
        <w:rPr>
          <w:rStyle w:val="Funotenzeichen"/>
        </w:rPr>
        <w:footnoteRef/>
      </w:r>
      <w:r>
        <w:rPr/>
        <w:tab/>
        <w:t>[Status: Ungeprüft]</w:t>
      </w:r>
    </w:p>
  </w:footnote>
  <w:footnote w:id="219">
    <w:p>
      <w:pPr>
        <w:pStyle w:val="Funote"/>
        <w:rPr/>
      </w:pPr>
      <w:r>
        <w:rPr>
          <w:rStyle w:val="Funotenzeichen"/>
        </w:rPr>
        <w:footnoteRef/>
      </w:r>
      <w:r>
        <w:rPr/>
        <w:tab/>
        <w:t>3. Person Singular (m) Perfekt, hier mit Plusquamperfekt wiedergegeben wegen der nachfolgenden Familiengeschichte Schelachs im selben Vers.</w:t>
      </w:r>
    </w:p>
  </w:footnote>
  <w:footnote w:id="220">
    <w:p>
      <w:pPr>
        <w:pStyle w:val="Funote"/>
        <w:rPr/>
      </w:pPr>
      <w:r>
        <w:rPr>
          <w:rStyle w:val="Funotenzeichen"/>
        </w:rPr>
        <w:footnoteRef/>
      </w:r>
      <w:r>
        <w:rPr/>
        <w:tab/>
        <w:t>[Status: Ungeprüft]</w:t>
      </w:r>
    </w:p>
  </w:footnote>
  <w:footnote w:id="221">
    <w:p>
      <w:pPr>
        <w:pStyle w:val="Funote"/>
        <w:rPr/>
      </w:pPr>
      <w:r>
        <w:rPr>
          <w:rStyle w:val="Funotenzeichen"/>
        </w:rPr>
        <w:footnoteRef/>
      </w:r>
      <w:r>
        <w:rPr/>
        <w:tab/>
        <w:t>[Status: Ungeprüft]</w:t>
      </w:r>
    </w:p>
  </w:footnote>
  <w:footnote w:id="222">
    <w:p>
      <w:pPr>
        <w:pStyle w:val="Funote"/>
        <w:rPr/>
      </w:pPr>
      <w:r>
        <w:rPr>
          <w:rStyle w:val="Funotenzeichen"/>
        </w:rPr>
        <w:footnoteRef/>
      </w:r>
      <w:r>
        <w:rPr/>
        <w:tab/>
        <w:t>Plural mit Artikel.</w:t>
      </w:r>
    </w:p>
  </w:footnote>
  <w:footnote w:id="223">
    <w:p>
      <w:pPr>
        <w:pStyle w:val="Funote"/>
        <w:rPr/>
      </w:pPr>
      <w:r>
        <w:rPr>
          <w:rStyle w:val="Funotenzeichen"/>
        </w:rPr>
        <w:footnoteRef/>
      </w:r>
      <w:r>
        <w:rPr/>
        <w:tab/>
        <w:t>[Status: Ungeprüft]</w:t>
      </w:r>
    </w:p>
  </w:footnote>
  <w:footnote w:id="224">
    <w:p>
      <w:pPr>
        <w:pStyle w:val="Funote"/>
        <w:rPr/>
      </w:pPr>
      <w:r>
        <w:rPr>
          <w:rStyle w:val="Funotenzeichen"/>
        </w:rPr>
        <w:footnoteRef/>
      </w:r>
      <w:r>
        <w:rPr/>
        <w:tab/>
        <w:t>mit Erdpech ist Bitumen oder Asphalt gemeint, der in dieser Gegend natürlich vorkommt.</w:t>
      </w:r>
    </w:p>
  </w:footnote>
  <w:footnote w:id="225">
    <w:p>
      <w:pPr>
        <w:pStyle w:val="Funote"/>
        <w:rPr/>
      </w:pPr>
      <w:r>
        <w:rPr>
          <w:rStyle w:val="Funotenzeichen"/>
        </w:rPr>
        <w:footnoteRef/>
      </w:r>
      <w:r>
        <w:rPr/>
        <w:tab/>
        <w:t>Wörtlich: „sein Haupt“.</w:t>
      </w:r>
    </w:p>
  </w:footnote>
  <w:footnote w:id="226">
    <w:p>
      <w:pPr>
        <w:pStyle w:val="Funote"/>
        <w:rPr/>
      </w:pPr>
      <w:r>
        <w:rPr>
          <w:rStyle w:val="Funotenzeichen"/>
        </w:rPr>
        <w:footnoteRef/>
      </w:r>
      <w:r>
        <w:rPr/>
        <w:tab/>
        <w:t>Im Hebräischen steht hier ein Wortspiel aus dem Namen der Stadt „Babel“ und dem Verb balal, das im Deutschen schwer nachgeahmt werden kann.</w:t>
      </w:r>
    </w:p>
  </w:footnote>
  <w:footnote w:id="227">
    <w:p>
      <w:pPr>
        <w:pStyle w:val="Funote"/>
        <w:rPr/>
      </w:pPr>
      <w:r>
        <w:rPr>
          <w:rStyle w:val="Funotenzeichen"/>
        </w:rPr>
        <w:footnoteRef/>
      </w:r>
      <w:r>
        <w:rPr/>
        <w:tab/>
        <w:t>eigentlich: Zeugungen (Gesenius, 17. Auflage).</w:t>
      </w:r>
    </w:p>
  </w:footnote>
  <w:footnote w:id="228">
    <w:p>
      <w:pPr>
        <w:pStyle w:val="Funote"/>
        <w:rPr/>
      </w:pPr>
      <w:r>
        <w:rPr>
          <w:rStyle w:val="Funotenzeichen"/>
        </w:rPr>
        <w:footnoteRef/>
      </w:r>
      <w:r>
        <w:rPr/>
        <w:tab/>
        <w:t>[Status: Ungeprüft]</w:t>
      </w:r>
    </w:p>
  </w:footnote>
  <w:footnote w:id="229">
    <w:p>
      <w:pPr>
        <w:pStyle w:val="Funote"/>
        <w:rPr/>
      </w:pPr>
      <w:r>
        <w:rPr>
          <w:rStyle w:val="Funotenzeichen"/>
        </w:rPr>
        <w:footnoteRef/>
      </w:r>
      <w:r>
        <w:rPr/>
        <w:tab/>
        <w:t xml:space="preserve">Die folgenden Sätze (bis V. 3) sind so formuliert, dass der Befehl aus V. 1 als Bedingung für ihr Eintreffen verstanden wird. </w:t>
      </w:r>
    </w:p>
  </w:footnote>
  <w:footnote w:id="230">
    <w:p>
      <w:pPr>
        <w:pStyle w:val="Funote"/>
        <w:rPr/>
      </w:pPr>
      <w:r>
        <w:rPr>
          <w:rStyle w:val="Funotenzeichen"/>
        </w:rPr>
        <w:footnoteRef/>
      </w:r>
      <w:r>
        <w:rPr/>
        <w:tab/>
        <w:t>Der Imperativ könnte auch schlicht mit: Sei ein Segen! übersetzt werden</w:t>
      </w:r>
    </w:p>
  </w:footnote>
  <w:footnote w:id="231">
    <w:p>
      <w:pPr>
        <w:pStyle w:val="Funote"/>
        <w:rPr/>
      </w:pPr>
      <w:r>
        <w:rPr>
          <w:rStyle w:val="Funotenzeichen"/>
        </w:rPr>
        <w:footnoteRef/>
      </w:r>
      <w:r>
        <w:rPr/>
        <w:tab/>
        <w:t>Immer noch ein Teil der bedingten Verheißung (s. V. 2).</w:t>
      </w:r>
    </w:p>
  </w:footnote>
  <w:footnote w:id="232">
    <w:p>
      <w:pPr>
        <w:pStyle w:val="Funote"/>
        <w:rPr/>
      </w:pPr>
      <w:r>
        <w:rPr>
          <w:rStyle w:val="Funotenzeichen"/>
        </w:rPr>
        <w:footnoteRef/>
      </w:r>
      <w:r>
        <w:rPr/>
        <w:tab/>
        <w:t>Die Segnenden stehen im Plural, der Schmähende aber nur im Singular.</w:t>
      </w:r>
    </w:p>
  </w:footnote>
  <w:footnote w:id="233">
    <w:p>
      <w:pPr>
        <w:pStyle w:val="Funote"/>
        <w:rPr/>
      </w:pPr>
      <w:r>
        <w:rPr>
          <w:rStyle w:val="Funotenzeichen"/>
        </w:rPr>
        <w:footnoteRef/>
      </w:r>
      <w:r>
        <w:rPr/>
        <w:tab/>
        <w:t>wörtlicher: „Segen [haben] ... alle Sippen... .“ oder „Segen ist ... allen Sippen ... .“</w:t>
      </w:r>
    </w:p>
  </w:footnote>
  <w:footnote w:id="234">
    <w:p>
      <w:pPr>
        <w:pStyle w:val="Funote"/>
        <w:rPr/>
      </w:pPr>
      <w:r>
        <w:rPr>
          <w:rStyle w:val="Funotenzeichen"/>
        </w:rPr>
        <w:footnoteRef/>
      </w:r>
      <w:r>
        <w:rPr/>
        <w:tab/>
        <w:t>d.h. Sklaven</w:t>
      </w:r>
    </w:p>
  </w:footnote>
  <w:footnote w:id="235">
    <w:p>
      <w:pPr>
        <w:pStyle w:val="Funote"/>
        <w:rPr/>
      </w:pPr>
      <w:r>
        <w:rPr>
          <w:rStyle w:val="Funotenzeichen"/>
        </w:rPr>
        <w:footnoteRef/>
      </w:r>
      <w:r>
        <w:rPr/>
        <w:tab/>
        <w:t xml:space="preserve">Nach BDB, </w:t>
      </w:r>
      <w:r>
        <w:rPr>
          <w:rtl w:val="true"/>
          <w:lang w:bidi="he-IL"/>
        </w:rPr>
        <w:t>עָבַר</w:t>
      </w:r>
      <w:r>
        <w:rPr/>
        <w:t>, Punkt 3.</w:t>
      </w:r>
    </w:p>
  </w:footnote>
  <w:footnote w:id="236">
    <w:p>
      <w:pPr>
        <w:pStyle w:val="Funote"/>
        <w:rPr/>
      </w:pPr>
      <w:r>
        <w:rPr>
          <w:rStyle w:val="Funotenzeichen"/>
        </w:rPr>
        <w:footnoteRef/>
      </w:r>
      <w:r>
        <w:rPr/>
        <w:tab/>
        <w:t>Die Satzfolgeunterbrechung zeigt an, dass dieser Satz ein informativer Einschub ist.</w:t>
      </w:r>
    </w:p>
  </w:footnote>
  <w:footnote w:id="237">
    <w:p>
      <w:pPr>
        <w:pStyle w:val="Funote"/>
        <w:rPr/>
      </w:pPr>
      <w:r>
        <w:rPr>
          <w:rStyle w:val="Funotenzeichen"/>
        </w:rPr>
        <w:footnoteRef/>
      </w:r>
      <w:r>
        <w:rPr/>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rStyle w:val="Funotenzeichen"/>
        </w:rPr>
        <w:footnoteRef/>
      </w:r>
      <w:r>
        <w:rPr/>
        <w:tab/>
        <w:t xml:space="preserve">Mit </w:t>
      </w:r>
      <w:r>
        <w:rPr>
          <w:rtl w:val="true"/>
          <w:lang w:bidi="he-IL"/>
        </w:rPr>
        <w:t>הִנֵה</w:t>
      </w:r>
      <w:r>
        <w:rPr/>
        <w:t xml:space="preserve"> </w:t>
      </w:r>
      <w:r>
        <w:rPr/>
        <w:t>soll die Dringlichkeit der Bitte unterstrichen werden.</w:t>
      </w:r>
    </w:p>
  </w:footnote>
  <w:footnote w:id="239">
    <w:p>
      <w:pPr>
        <w:pStyle w:val="Funote"/>
        <w:rPr/>
      </w:pPr>
      <w:r>
        <w:rPr>
          <w:rStyle w:val="Funotenzeichen"/>
        </w:rPr>
        <w:footnoteRef/>
      </w:r>
      <w:r>
        <w:rPr>
          <w:rtl w:val="true"/>
          <w:lang w:bidi="he-IL"/>
        </w:rPr>
        <w:tab/>
        <w:t>נֶפֶשׁ</w:t>
      </w:r>
      <w:r>
        <w:rPr/>
        <w:t xml:space="preserve"> </w:t>
      </w:r>
      <w:r>
        <w:rPr/>
        <w:t>- traditionell Seele - bezeichnet hier abgeschwächt die eigene Person,</w:t>
      </w:r>
    </w:p>
  </w:footnote>
  <w:footnote w:id="240">
    <w:p>
      <w:pPr>
        <w:pStyle w:val="Funote"/>
        <w:rPr/>
      </w:pPr>
      <w:r>
        <w:rPr>
          <w:rStyle w:val="Funotenzeichen"/>
        </w:rPr>
        <w:footnoteRef/>
      </w:r>
      <w:r>
        <w:rPr/>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rStyle w:val="Funotenzeichen"/>
        </w:rPr>
        <w:footnoteRef/>
      </w:r>
      <w:r>
        <w:rPr/>
        <w:tab/>
        <w:t>Wörtlich: und ihm wurden</w:t>
      </w:r>
    </w:p>
  </w:footnote>
  <w:footnote w:id="242">
    <w:p>
      <w:pPr>
        <w:pStyle w:val="Funote"/>
        <w:rPr/>
      </w:pPr>
      <w:r>
        <w:rPr>
          <w:rStyle w:val="Funotenzeichen"/>
        </w:rPr>
        <w:footnoteRef/>
      </w:r>
      <w:r>
        <w:rPr/>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rStyle w:val="Funotenzeichen"/>
        </w:rPr>
        <w:footnoteRef/>
      </w:r>
      <w:r>
        <w:rPr/>
        <w:tab/>
        <w:t>Impf. cons. zum Ausdruck einer Folge. Vgl. W.Gesenius, E.Kautzsch: Hebräische Grammatik, § 111 l.</w:t>
      </w:r>
    </w:p>
  </w:footnote>
  <w:footnote w:id="244">
    <w:p>
      <w:pPr>
        <w:pStyle w:val="Funote"/>
        <w:rPr/>
      </w:pPr>
      <w:r>
        <w:rPr>
          <w:rStyle w:val="Funotenzeichen"/>
        </w:rPr>
        <w:footnoteRef/>
      </w:r>
      <w:r>
        <w:rPr/>
        <w:tab/>
        <w:t>[Status: Ungeprüft]</w:t>
      </w:r>
    </w:p>
  </w:footnote>
  <w:footnote w:id="245">
    <w:p>
      <w:pPr>
        <w:pStyle w:val="Funote"/>
        <w:rPr/>
      </w:pPr>
      <w:r>
        <w:rPr>
          <w:rStyle w:val="Funotenzeichen"/>
        </w:rPr>
        <w:footnoteRef/>
      </w:r>
      <w:r>
        <w:rPr/>
        <w:tab/>
        <w:t>d.i. der wasserarme Süden Kanaans</w:t>
      </w:r>
    </w:p>
  </w:footnote>
  <w:footnote w:id="246">
    <w:p>
      <w:pPr>
        <w:pStyle w:val="Funote"/>
        <w:rPr/>
      </w:pPr>
      <w:r>
        <w:rPr>
          <w:rStyle w:val="Funotenzeichen"/>
        </w:rPr>
        <w:footnoteRef/>
      </w:r>
      <w:r>
        <w:rPr/>
        <w:tab/>
        <w:t>Im Hebräischen ist Vers 2 ein Nominalsatz (Satz ohne verbales Prädikat), der den Texthintergrund markiert. Er ist wichtig, um den nun folgenden Konflikt zu verstehen.</w:t>
      </w:r>
    </w:p>
  </w:footnote>
  <w:footnote w:id="247">
    <w:p>
      <w:pPr>
        <w:pStyle w:val="Funote"/>
        <w:rPr/>
      </w:pPr>
      <w:r>
        <w:rPr>
          <w:rStyle w:val="Funotenzeichen"/>
        </w:rPr>
        <w:footnoteRef/>
      </w:r>
      <w:r>
        <w:rPr/>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rStyle w:val="Funotenzeichen"/>
        </w:rPr>
        <w:footnoteRef/>
      </w:r>
      <w:r>
        <w:rPr/>
        <w:tab/>
        <w:t>Gemeint sind die Reisestationen auf seinen bisherigen Wanderungen durch Kanaan.</w:t>
      </w:r>
    </w:p>
  </w:footnote>
  <w:footnote w:id="249">
    <w:p>
      <w:pPr>
        <w:pStyle w:val="Funote"/>
        <w:rPr/>
      </w:pPr>
      <w:r>
        <w:rPr>
          <w:rStyle w:val="Funotenzeichen"/>
        </w:rPr>
        <w:footnoteRef/>
      </w:r>
      <w:r>
        <w:rPr/>
        <w:tab/>
        <w:t>Abrams Zelt steht hier stellvertretend für alle Zelte seiner Sippe.</w:t>
      </w:r>
    </w:p>
  </w:footnote>
  <w:footnote w:id="250">
    <w:p>
      <w:pPr>
        <w:pStyle w:val="Funote"/>
        <w:rPr/>
      </w:pPr>
      <w:r>
        <w:rPr>
          <w:rStyle w:val="Funotenzeichen"/>
        </w:rPr>
        <w:footnoteRef/>
      </w:r>
      <w:r>
        <w:rPr/>
        <w:tab/>
        <w:t>vgl. Gen 12,8{{par|Gen|12|8}}</w:t>
      </w:r>
    </w:p>
  </w:footnote>
  <w:footnote w:id="251">
    <w:p>
      <w:pPr>
        <w:pStyle w:val="Funote"/>
        <w:rPr/>
      </w:pPr>
      <w:r>
        <w:rPr>
          <w:rStyle w:val="Funotenzeichen"/>
        </w:rPr>
        <w:footnoteRef/>
      </w:r>
      <w:r>
        <w:rPr/>
        <w:tab/>
        <w:t>Wörtl.: an den Ort des Altars, wo ... (Vorwegnahme des Nebensatzobjekts im Hauptsatz).</w:t>
      </w:r>
    </w:p>
  </w:footnote>
  <w:footnote w:id="252">
    <w:p>
      <w:pPr>
        <w:pStyle w:val="Funote"/>
        <w:rPr/>
      </w:pPr>
      <w:r>
        <w:rPr>
          <w:rStyle w:val="Funotenzeichen"/>
        </w:rPr>
        <w:footnoteRef/>
      </w:r>
      <w:r>
        <w:rPr/>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rStyle w:val="Funotenzeichen"/>
        </w:rPr>
        <w:footnoteRef/>
      </w:r>
      <w:r>
        <w:rPr/>
        <w:tab/>
        <w:t>attributives Partizip (der mit Abram gehende), übersetzt durch einen Attributsatz.</w:t>
      </w:r>
    </w:p>
  </w:footnote>
  <w:footnote w:id="254">
    <w:p>
      <w:pPr>
        <w:pStyle w:val="Funote"/>
        <w:rPr/>
      </w:pPr>
      <w:r>
        <w:rPr>
          <w:rStyle w:val="Funotenzeichen"/>
        </w:rPr>
        <w:footnoteRef/>
      </w:r>
      <w:r>
        <w:rPr/>
        <w:tab/>
        <w:t>Zelte steht hier natürlich für deren Bewohner, nämlich Lots Sippe, die auch seine Sklaven einschloss.</w:t>
      </w:r>
    </w:p>
  </w:footnote>
  <w:footnote w:id="255">
    <w:p>
      <w:pPr>
        <w:pStyle w:val="Funote"/>
        <w:rPr/>
      </w:pPr>
      <w:r>
        <w:rPr>
          <w:rStyle w:val="Funotenzeichen"/>
        </w:rPr>
        <w:footnoteRef/>
      </w:r>
      <w:r>
        <w:rPr/>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rStyle w:val="Funotenzeichen"/>
        </w:rPr>
        <w:footnoteRef/>
      </w:r>
      <w:r>
        <w:rPr/>
        <w:tab/>
        <w:t>Wörtl.: ertrug sie nicht, dass sie ... Erneute Vorwegnahme eines Satzgliedes. Vgl. Vers 4.</w:t>
      </w:r>
    </w:p>
  </w:footnote>
  <w:footnote w:id="257">
    <w:p>
      <w:pPr>
        <w:pStyle w:val="Funote"/>
        <w:rPr/>
      </w:pPr>
      <w:r>
        <w:rPr>
          <w:rStyle w:val="Funotenzeichen"/>
        </w:rPr>
        <w:footnoteRef/>
      </w:r>
      <w:r>
        <w:rPr>
          <w:rtl w:val="true"/>
          <w:lang w:bidi="he-IL"/>
        </w:rPr>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Style w:val="Funotenzeichen"/>
        </w:rPr>
        <w:footnoteRef/>
      </w:r>
      <w:r>
        <w:rPr>
          <w:rtl w:val="true"/>
          <w:lang w:bidi="he-IL"/>
        </w:rPr>
        <w:tab/>
        <w:t>מְרִיבָה</w:t>
      </w:r>
      <w:r>
        <w:rPr/>
        <w:t xml:space="preserve"> </w:t>
      </w:r>
      <w:r>
        <w:rPr/>
        <w:t>(Hader/Streit) ist ein sehr seltenes Wort (Gen 13,8 und Num 27,14)</w:t>
      </w:r>
    </w:p>
  </w:footnote>
  <w:footnote w:id="259">
    <w:p>
      <w:pPr>
        <w:pStyle w:val="Funote"/>
        <w:rPr/>
      </w:pPr>
      <w:r>
        <w:rPr>
          <w:rStyle w:val="Funotenzeichen"/>
        </w:rPr>
        <w:footnoteRef/>
      </w:r>
      <w:r>
        <w:rPr>
          <w:rtl w:val="true"/>
          <w:lang w:bidi="he-IL"/>
        </w:rPr>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rStyle w:val="Funotenzeichen"/>
        </w:rPr>
        <w:footnoteRef/>
      </w:r>
      <w:r>
        <w:rPr/>
        <w:tab/>
        <w:t>d.h. Dir steht doch das ganze Land offen; du kannst gehen, wohin du willst.</w:t>
      </w:r>
    </w:p>
  </w:footnote>
  <w:footnote w:id="261">
    <w:p>
      <w:pPr>
        <w:pStyle w:val="Funote"/>
        <w:rPr/>
      </w:pPr>
      <w:r>
        <w:rPr>
          <w:rStyle w:val="Funotenzeichen"/>
        </w:rPr>
        <w:footnoteRef/>
      </w:r>
      <w:r>
        <w:rPr/>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Style w:val="Funotenzeichen"/>
        </w:rPr>
        <w:footnoteRef/>
      </w:r>
      <w:r>
        <w:rPr>
          <w:rtl w:val="true"/>
          <w:lang w:bidi="he-IL"/>
        </w:rPr>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rStyle w:val="Funotenzeichen"/>
        </w:rPr>
        <w:footnoteRef/>
      </w:r>
      <w:r>
        <w:rPr/>
        <w:tab/>
        <w:t>„</w:t>
      </w:r>
      <w:r>
        <w:rPr/>
        <w:t>Augen“ steht im Hebräischen in der Zweizahl (Dual).</w:t>
      </w:r>
    </w:p>
  </w:footnote>
  <w:footnote w:id="264">
    <w:p>
      <w:pPr>
        <w:pStyle w:val="Funote"/>
        <w:rPr/>
      </w:pPr>
      <w:r>
        <w:rPr>
          <w:rStyle w:val="Funotenzeichen"/>
        </w:rPr>
        <w:footnoteRef/>
      </w:r>
      <w:r>
        <w:rPr/>
        <w:tab/>
        <w:t>wörtlich: seine Gesamtheit</w:t>
      </w:r>
    </w:p>
  </w:footnote>
  <w:footnote w:id="265">
    <w:p>
      <w:pPr>
        <w:pStyle w:val="Funote"/>
        <w:rPr/>
      </w:pPr>
      <w:r>
        <w:rPr>
          <w:rStyle w:val="Funotenzeichen"/>
        </w:rPr>
        <w:footnoteRef/>
      </w:r>
      <w:r>
        <w:rPr/>
        <w:tab/>
        <w:t>wörtlich: vor dem Zerstören (Inf. constr.)</w:t>
      </w:r>
    </w:p>
  </w:footnote>
  <w:footnote w:id="266">
    <w:p>
      <w:pPr>
        <w:pStyle w:val="Funote"/>
        <w:rPr/>
      </w:pPr>
      <w:r>
        <w:rPr>
          <w:rStyle w:val="Funotenzeichen"/>
        </w:rPr>
        <w:footnoteRef/>
      </w:r>
      <w:r>
        <w:rPr/>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rStyle w:val="Funotenzeichen"/>
        </w:rPr>
        <w:footnoteRef/>
      </w:r>
      <w:r>
        <w:rPr/>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Style w:val="Funotenzeichen"/>
        </w:rPr>
        <w:footnoteRef/>
      </w:r>
      <w:r>
        <w:rPr>
          <w:rtl w:val="true"/>
          <w:lang w:bidi="he-IL"/>
        </w:rPr>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rStyle w:val="Funotenzeichen"/>
        </w:rPr>
        <w:footnoteRef/>
      </w:r>
      <w:r>
        <w:rPr/>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rStyle w:val="Funotenzeichen"/>
        </w:rPr>
        <w:footnoteRef/>
      </w:r>
      <w:r>
        <w:rPr/>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rStyle w:val="Funotenzeichen"/>
        </w:rPr>
        <w:footnoteRef/>
      </w:r>
      <w:r>
        <w:rPr/>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rStyle w:val="Funotenzeichen"/>
        </w:rPr>
        <w:footnoteRef/>
      </w:r>
      <w:r>
        <w:rPr/>
        <w:tab/>
        <w:t>Der Jordan trennt das Ostjordanland (Transjordanien) vom Westjordanland, dem biblischen Kanaan. Die schmale Jordansenke selbst bildet einen eigenen Bereich, den man „kikkār“ (d.h. Kreis) nannte.</w:t>
      </w:r>
    </w:p>
  </w:footnote>
  <w:footnote w:id="273">
    <w:p>
      <w:pPr>
        <w:pStyle w:val="Funote"/>
        <w:rPr/>
      </w:pPr>
      <w:r>
        <w:rPr>
          <w:rStyle w:val="Funotenzeichen"/>
        </w:rPr>
        <w:footnoteRef/>
      </w:r>
      <w:r>
        <w:rPr/>
        <w:tab/>
        <w:t>wörtlich: von Osten; vgl. dazu die Fußnote von Vers 11.</w:t>
      </w:r>
    </w:p>
  </w:footnote>
  <w:footnote w:id="274">
    <w:p>
      <w:pPr>
        <w:pStyle w:val="Funote"/>
        <w:rPr/>
      </w:pPr>
      <w:r>
        <w:rPr>
          <w:rStyle w:val="Funotenzeichen"/>
        </w:rPr>
        <w:footnoteRef/>
      </w:r>
      <w:r>
        <w:rPr/>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rStyle w:val="Funotenzeichen"/>
        </w:rPr>
        <w:footnoteRef/>
      </w:r>
      <w:r>
        <w:rPr/>
        <w:tab/>
        <w:t>Inf. constr.</w:t>
      </w:r>
    </w:p>
  </w:footnote>
  <w:footnote w:id="276">
    <w:p>
      <w:pPr>
        <w:pStyle w:val="Funote"/>
        <w:rPr/>
      </w:pPr>
      <w:r>
        <w:rPr>
          <w:rStyle w:val="Funotenzeichen"/>
        </w:rPr>
        <w:footnoteRef/>
      </w:r>
      <w:r>
        <w:rPr/>
        <w:tab/>
        <w:t>zusammengesetzte Präposition: von + mit/bei</w:t>
      </w:r>
    </w:p>
  </w:footnote>
  <w:footnote w:id="277">
    <w:p>
      <w:pPr>
        <w:pStyle w:val="Funote"/>
        <w:rPr/>
      </w:pPr>
      <w:r>
        <w:rPr>
          <w:rStyle w:val="Funotenzeichen"/>
        </w:rPr>
        <w:footnoteRef/>
      </w:r>
      <w:r>
        <w:rPr/>
        <w:tab/>
        <w:t>Der Vers ist in ganz deutlicher Anspielung auf Vers 10 formuliert.</w:t>
      </w:r>
    </w:p>
  </w:footnote>
  <w:footnote w:id="278">
    <w:p>
      <w:pPr>
        <w:pStyle w:val="Funote"/>
        <w:rPr/>
      </w:pPr>
      <w:r>
        <w:rPr>
          <w:rStyle w:val="Funotenzeichen"/>
        </w:rPr>
        <w:footnoteRef/>
      </w:r>
      <w:r>
        <w:rPr/>
        <w:tab/>
        <w:t>hervorhebende Vorwegnahme des Hauptsatzobjekts</w:t>
      </w:r>
    </w:p>
  </w:footnote>
  <w:footnote w:id="279">
    <w:p>
      <w:pPr>
        <w:pStyle w:val="Funote"/>
        <w:rPr/>
      </w:pPr>
      <w:r>
        <w:rPr>
          <w:rStyle w:val="Funotenzeichen"/>
        </w:rPr>
        <w:footnoteRef/>
      </w:r>
      <w:r>
        <w:rPr/>
        <w:tab/>
        <w:t>im Hebräischen ein Part. zum Ausdruck von Dauer und Beharren</w:t>
      </w:r>
    </w:p>
  </w:footnote>
  <w:footnote w:id="280">
    <w:p>
      <w:pPr>
        <w:pStyle w:val="Funote"/>
        <w:rPr/>
      </w:pPr>
      <w:r>
        <w:rPr>
          <w:rStyle w:val="Funotenzeichen"/>
        </w:rPr>
        <w:footnoteRef/>
      </w:r>
      <w:r>
        <w:rPr/>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Style w:val="Funotenzeichen"/>
        </w:rPr>
        <w:footnoteRef/>
      </w:r>
      <w:r>
        <w:rPr>
          <w:rtl w:val="true"/>
          <w:lang w:bidi="he-IL"/>
        </w:rPr>
        <w:tab/>
        <w:t>אהל</w:t>
      </w:r>
      <w:r>
        <w:rPr/>
        <w:t xml:space="preserve"> </w:t>
      </w:r>
      <w:r>
        <w:rPr/>
        <w:t>bezeichnet die nomadische Lebensweise Abrams, die mit „zelten“ nur unzureichend wiedergegeben wird.</w:t>
      </w:r>
    </w:p>
  </w:footnote>
  <w:footnote w:id="282">
    <w:p>
      <w:pPr>
        <w:pStyle w:val="Funote"/>
        <w:rPr/>
      </w:pPr>
      <w:r>
        <w:rPr>
          <w:rStyle w:val="Funotenzeichen"/>
        </w:rPr>
        <w:footnoteRef/>
      </w:r>
      <w:r>
        <w:rPr/>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rStyle w:val="Funotenzeichen"/>
        </w:rPr>
        <w:footnoteRef/>
      </w:r>
      <w:r>
        <w:rPr/>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rStyle w:val="Funotenzeichen"/>
        </w:rPr>
        <w:footnoteRef/>
      </w:r>
      <w:r>
        <w:rPr/>
        <w:tab/>
        <w:t>Wird in Gen 14,13 mit einem Amoriter namens Mamre identifiziert.</w:t>
      </w:r>
    </w:p>
  </w:footnote>
  <w:footnote w:id="285">
    <w:p>
      <w:pPr>
        <w:pStyle w:val="Funote"/>
        <w:rPr/>
      </w:pPr>
      <w:r>
        <w:rPr>
          <w:rStyle w:val="Funotenzeichen"/>
        </w:rPr>
        <w:footnoteRef/>
      </w:r>
      <w:r>
        <w:rPr/>
        <w:tab/>
        <w:t>[Status: Ungeprüft]</w:t>
      </w:r>
    </w:p>
  </w:footnote>
  <w:footnote w:id="286">
    <w:p>
      <w:pPr>
        <w:pStyle w:val="Funote"/>
        <w:rPr/>
      </w:pPr>
      <w:r>
        <w:rPr>
          <w:rStyle w:val="Funotenzeichen"/>
        </w:rPr>
        <w:footnoteRef/>
      </w:r>
      <w:r>
        <w:rPr/>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rStyle w:val="Funotenzeichen"/>
        </w:rPr>
        <w:footnoteRef/>
      </w:r>
      <w:r>
        <w:rPr/>
        <w:tab/>
        <w:t>Eine moabitische Stadt an der Spitze des Toten Meeres.</w:t>
      </w:r>
    </w:p>
  </w:footnote>
  <w:footnote w:id="288">
    <w:p>
      <w:pPr>
        <w:pStyle w:val="Funote"/>
        <w:rPr/>
      </w:pPr>
      <w:r>
        <w:rPr>
          <w:rStyle w:val="Funotenzeichen"/>
        </w:rPr>
        <w:footnoteRef/>
      </w:r>
      <w:r>
        <w:rPr/>
        <w:tab/>
        <w:t>Im Hebr. steht der Sg., im Dt. muss der Pl. stehen.</w:t>
      </w:r>
    </w:p>
  </w:footnote>
  <w:footnote w:id="289">
    <w:p>
      <w:pPr>
        <w:pStyle w:val="Funote"/>
        <w:rPr/>
      </w:pPr>
      <w:r>
        <w:rPr>
          <w:rStyle w:val="Funotenzeichen"/>
        </w:rPr>
        <w:footnoteRef/>
      </w:r>
      <w:r>
        <w:rPr/>
        <w:tab/>
        <w:t>Ein Hauptstamm der Urbevölkerung Palästinas</w:t>
      </w:r>
    </w:p>
  </w:footnote>
  <w:footnote w:id="290">
    <w:p>
      <w:pPr>
        <w:pStyle w:val="Funote"/>
        <w:rPr/>
      </w:pPr>
      <w:r>
        <w:rPr>
          <w:rStyle w:val="Funotenzeichen"/>
        </w:rPr>
        <w:footnoteRef/>
      </w:r>
      <w:r>
        <w:rPr/>
        <w:tab/>
        <w:t>Eine Stadt in Basan; das Wort bezeichnet auch die kanaanäische Fruchtbarkeits- und Kriegsgöttin Astarte</w:t>
      </w:r>
    </w:p>
  </w:footnote>
  <w:footnote w:id="291">
    <w:p>
      <w:pPr>
        <w:pStyle w:val="Funote"/>
        <w:rPr/>
      </w:pPr>
      <w:r>
        <w:rPr>
          <w:rStyle w:val="Funotenzeichen"/>
        </w:rPr>
        <w:footnoteRef/>
      </w:r>
      <w:r>
        <w:rPr/>
        <w:tab/>
        <w:t xml:space="preserve">Das Wort ist der Dual von </w:t>
      </w:r>
      <w:r>
        <w:rPr>
          <w:rtl w:val="true"/>
          <w:lang w:bidi="he-IL"/>
        </w:rPr>
        <w:t>קֶרֶן</w:t>
      </w:r>
      <w:r>
        <w:rPr/>
        <w:t>, Horn.</w:t>
      </w:r>
    </w:p>
  </w:footnote>
  <w:footnote w:id="292">
    <w:p>
      <w:pPr>
        <w:pStyle w:val="Funote"/>
        <w:rPr/>
      </w:pPr>
      <w:r>
        <w:rPr>
          <w:rStyle w:val="Funotenzeichen"/>
        </w:rPr>
        <w:footnoteRef/>
      </w:r>
      <w:r>
        <w:rPr/>
        <w:tab/>
        <w:t>Die Ureinwohner des moabitischen Gebietes.</w:t>
      </w:r>
    </w:p>
  </w:footnote>
  <w:footnote w:id="293">
    <w:p>
      <w:pPr>
        <w:pStyle w:val="Funote"/>
        <w:rPr/>
      </w:pPr>
      <w:r>
        <w:rPr>
          <w:rStyle w:val="Funotenzeichen"/>
        </w:rPr>
        <w:footnoteRef/>
      </w:r>
      <w:r>
        <w:rPr/>
        <w:tab/>
        <w:t xml:space="preserve">Die "Höhlenbewohner", von </w:t>
      </w:r>
      <w:r>
        <w:rPr>
          <w:rtl w:val="true"/>
          <w:lang w:bidi="he-IL"/>
        </w:rPr>
        <w:t>חור</w:t>
      </w:r>
      <w:r>
        <w:rPr/>
        <w:t>, Höhle.</w:t>
      </w:r>
    </w:p>
  </w:footnote>
  <w:footnote w:id="294">
    <w:p>
      <w:pPr>
        <w:pStyle w:val="Funote"/>
        <w:rPr/>
      </w:pPr>
      <w:r>
        <w:rPr>
          <w:rStyle w:val="Funotenzeichen"/>
        </w:rPr>
        <w:footnoteRef/>
      </w:r>
      <w:r>
        <w:rPr/>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rStyle w:val="Funotenzeichen"/>
        </w:rPr>
        <w:footnoteRef/>
      </w:r>
      <w:r>
        <w:rPr/>
        <w:tab/>
        <w:t>Eine zwischen Ägypten und Edom gelegene Wüste.</w:t>
      </w:r>
    </w:p>
  </w:footnote>
  <w:footnote w:id="296">
    <w:p>
      <w:pPr>
        <w:pStyle w:val="Funote"/>
        <w:rPr/>
      </w:pPr>
      <w:r>
        <w:rPr>
          <w:rStyle w:val="Funotenzeichen"/>
        </w:rPr>
        <w:footnoteRef/>
      </w:r>
      <w:r>
        <w:rPr/>
        <w:tab/>
        <w:t>Weil sie am südlichsten Zipfel Palästinas angekommen waren; jetzt ziehen sie wieder nach Norden</w:t>
      </w:r>
    </w:p>
  </w:footnote>
  <w:footnote w:id="297">
    <w:p>
      <w:pPr>
        <w:pStyle w:val="Funote"/>
        <w:rPr/>
      </w:pPr>
      <w:r>
        <w:rPr>
          <w:rStyle w:val="Funotenzeichen"/>
        </w:rPr>
        <w:footnoteRef/>
      </w:r>
      <w:r>
        <w:rPr>
          <w:rtl w:val="true"/>
          <w:lang w:bidi="he-IL"/>
        </w:rPr>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rStyle w:val="Funotenzeichen"/>
        </w:rPr>
        <w:footnoteRef/>
      </w:r>
      <w:r>
        <w:rPr/>
        <w:tab/>
        <w:t>Partizip, relativisch aufgelöst</w:t>
      </w:r>
    </w:p>
  </w:footnote>
  <w:footnote w:id="299">
    <w:p>
      <w:pPr>
        <w:pStyle w:val="Funote"/>
        <w:rPr/>
      </w:pPr>
      <w:r>
        <w:rPr>
          <w:rStyle w:val="Funotenzeichen"/>
        </w:rPr>
        <w:footnoteRef/>
      </w:r>
      <w:r>
        <w:rPr/>
        <w:tab/>
        <w:t>Im Hebr. steht der Sg., im Dt. muss der Pl. stehen.</w:t>
      </w:r>
    </w:p>
  </w:footnote>
  <w:footnote w:id="300">
    <w:p>
      <w:pPr>
        <w:pStyle w:val="Funote"/>
        <w:rPr/>
      </w:pPr>
      <w:r>
        <w:rPr>
          <w:rStyle w:val="Funotenzeichen"/>
        </w:rPr>
        <w:footnoteRef/>
      </w:r>
      <w:r>
        <w:rPr/>
        <w:tab/>
        <w:t>wörtl.: die Schlacht rüsten, ordnen.</w:t>
      </w:r>
    </w:p>
  </w:footnote>
  <w:footnote w:id="301">
    <w:p>
      <w:pPr>
        <w:pStyle w:val="Funote"/>
        <w:rPr/>
      </w:pPr>
      <w:r>
        <w:rPr>
          <w:rStyle w:val="Funotenzeichen"/>
        </w:rPr>
        <w:footnoteRef/>
      </w:r>
      <w:r>
        <w:rPr/>
        <w:tab/>
        <w:t>Der Artikel tritt vor das unbenannte Zahlwort, Brockelmann Syntax § 85b.</w:t>
      </w:r>
    </w:p>
  </w:footnote>
  <w:footnote w:id="302">
    <w:p>
      <w:pPr>
        <w:pStyle w:val="Funote"/>
        <w:rPr/>
      </w:pPr>
      <w:r>
        <w:rPr>
          <w:rStyle w:val="Funotenzeichen"/>
        </w:rPr>
        <w:footnoteRef/>
      </w:r>
      <w:r>
        <w:rPr/>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rStyle w:val="Funotenzeichen"/>
        </w:rPr>
        <w:footnoteRef/>
      </w:r>
      <w:r>
        <w:rPr/>
        <w:tab/>
        <w:t>Waw consecutivum</w:t>
      </w:r>
    </w:p>
  </w:footnote>
  <w:footnote w:id="304">
    <w:p>
      <w:pPr>
        <w:pStyle w:val="Funote"/>
        <w:rPr/>
      </w:pPr>
      <w:r>
        <w:rPr>
          <w:rStyle w:val="Funotenzeichen"/>
        </w:rPr>
        <w:footnoteRef/>
      </w:r>
      <w:r>
        <w:rPr/>
        <w:tab/>
        <w:t>Partizip</w:t>
      </w:r>
    </w:p>
  </w:footnote>
  <w:footnote w:id="305">
    <w:p>
      <w:pPr>
        <w:pStyle w:val="Funote"/>
        <w:rPr/>
      </w:pPr>
      <w:r>
        <w:rPr>
          <w:rStyle w:val="Funotenzeichen"/>
        </w:rPr>
        <w:footnoteRef/>
      </w:r>
      <w:r>
        <w:rPr/>
        <w:tab/>
        <w:t>Wörtl.: Essen. Bei den Vorräten handelt es sich besonders um Getreide.</w:t>
      </w:r>
    </w:p>
  </w:footnote>
  <w:footnote w:id="306">
    <w:p>
      <w:pPr>
        <w:pStyle w:val="Funote"/>
        <w:rPr/>
      </w:pPr>
      <w:r>
        <w:rPr>
          <w:rStyle w:val="Funotenzeichen"/>
        </w:rPr>
        <w:footnoteRef/>
      </w:r>
      <w:r>
        <w:rPr/>
        <w:tab/>
        <w:t>Wörtl.: Herren des Bundes</w:t>
      </w:r>
    </w:p>
  </w:footnote>
  <w:footnote w:id="307">
    <w:p>
      <w:pPr>
        <w:pStyle w:val="Funote"/>
        <w:rPr/>
      </w:pPr>
      <w:r>
        <w:rPr>
          <w:rStyle w:val="Funotenzeichen"/>
        </w:rPr>
        <w:footnoteRef/>
      </w:r>
      <w:r>
        <w:rPr/>
        <w:tab/>
        <w:t>Waw consecutivum</w:t>
      </w:r>
    </w:p>
  </w:footnote>
  <w:footnote w:id="308">
    <w:p>
      <w:pPr>
        <w:pStyle w:val="Funote"/>
        <w:rPr/>
      </w:pPr>
      <w:r>
        <w:rPr>
          <w:rStyle w:val="Funotenzeichen"/>
        </w:rPr>
        <w:footnoteRef/>
      </w:r>
      <w:r>
        <w:rPr/>
        <w:tab/>
        <w:t xml:space="preserve">Der Samaritanus und die Septuaginta lesen statt dessen: er musterte, </w:t>
      </w:r>
      <w:r>
        <w:rPr>
          <w:rtl w:val="true"/>
          <w:lang w:bidi="he-IL"/>
        </w:rPr>
        <w:t>וַיָדֶק</w:t>
      </w:r>
      <w:r>
        <w:rPr/>
        <w:t xml:space="preserve"> </w:t>
      </w:r>
    </w:p>
  </w:footnote>
  <w:footnote w:id="309">
    <w:p>
      <w:pPr>
        <w:pStyle w:val="Funote"/>
        <w:rPr/>
      </w:pPr>
      <w:r>
        <w:rPr>
          <w:rStyle w:val="Funotenzeichen"/>
        </w:rPr>
        <w:footnoteRef/>
      </w:r>
      <w:r>
        <w:rPr/>
        <w:tab/>
        <w:t>Partizip, relativisch aufgelöst</w:t>
      </w:r>
    </w:p>
  </w:footnote>
  <w:footnote w:id="310">
    <w:p>
      <w:pPr>
        <w:pStyle w:val="Funote"/>
        <w:rPr/>
      </w:pPr>
      <w:r>
        <w:rPr>
          <w:rStyle w:val="Funotenzeichen"/>
        </w:rPr>
        <w:footnoteRef/>
      </w:r>
      <w:r>
        <w:rPr/>
        <w:tab/>
        <w:t>Das Stammesgebiet eines der zwölf Söhne Jakobs, der wiederum Abrahams Enkel war.</w:t>
      </w:r>
    </w:p>
  </w:footnote>
  <w:footnote w:id="311">
    <w:p>
      <w:pPr>
        <w:pStyle w:val="Funote"/>
        <w:rPr/>
      </w:pPr>
      <w:r>
        <w:rPr>
          <w:rStyle w:val="Funotenzeichen"/>
        </w:rPr>
        <w:footnoteRef/>
      </w:r>
      <w:r>
        <w:rPr/>
        <w:tab/>
        <w:t>Hier wird der Name getrennt geschrieben, während er in den vorigen Versen zusammengeschrieben ist.</w:t>
      </w:r>
    </w:p>
  </w:footnote>
  <w:footnote w:id="312">
    <w:p>
      <w:pPr>
        <w:pStyle w:val="Funote"/>
        <w:rPr/>
      </w:pPr>
      <w:r>
        <w:rPr>
          <w:rStyle w:val="Funotenzeichen"/>
        </w:rPr>
        <w:footnoteRef/>
      </w:r>
      <w:r>
        <w:rPr/>
        <w:tab/>
        <w:t>Der Name heißt übersetzt: Gerechter König</w:t>
      </w:r>
    </w:p>
  </w:footnote>
  <w:footnote w:id="313">
    <w:p>
      <w:pPr>
        <w:pStyle w:val="Funote"/>
        <w:rPr/>
      </w:pPr>
      <w:r>
        <w:rPr>
          <w:rStyle w:val="Funotenzeichen"/>
        </w:rPr>
        <w:footnoteRef/>
      </w:r>
      <w:r>
        <w:rPr/>
        <w:tab/>
        <w:t>Vgl. Ps 78,35</w:t>
      </w:r>
    </w:p>
  </w:footnote>
  <w:footnote w:id="314">
    <w:p>
      <w:pPr>
        <w:pStyle w:val="Funote"/>
        <w:rPr/>
      </w:pPr>
      <w:r>
        <w:rPr>
          <w:rStyle w:val="Funotenzeichen"/>
        </w:rPr>
        <w:footnoteRef/>
      </w:r>
      <w:r>
        <w:rPr/>
        <w:tab/>
        <w:t>Das Perfekt steht hier für den Zusammenfall (Koinzidenz) von Aussage und Handlung. Abram hebt die Hand zum Schwur.</w:t>
      </w:r>
    </w:p>
  </w:footnote>
  <w:footnote w:id="315">
    <w:p>
      <w:pPr>
        <w:pStyle w:val="Funote"/>
        <w:rPr/>
      </w:pPr>
      <w:r>
        <w:rPr>
          <w:rStyle w:val="Funotenzeichen"/>
        </w:rPr>
        <w:footnoteRef/>
      </w:r>
      <w:r>
        <w:rPr/>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rStyle w:val="Funotenzeichen"/>
        </w:rPr>
        <w:footnoteRef/>
      </w:r>
      <w:r>
        <w:rPr/>
        <w:tab/>
        <w:t>Gesenius übersetzt diese Präposition mit "Ich komme nicht in Betracht"</w:t>
      </w:r>
    </w:p>
  </w:footnote>
  <w:footnote w:id="317">
    <w:p>
      <w:pPr>
        <w:pStyle w:val="Funote"/>
        <w:rPr/>
      </w:pPr>
      <w:r>
        <w:rPr>
          <w:rStyle w:val="Funotenzeichen"/>
        </w:rPr>
        <w:footnoteRef/>
      </w:r>
      <w:r>
        <w:rPr/>
        <w:tab/>
        <w:t>[Status: Ungeprüft]</w:t>
      </w:r>
    </w:p>
  </w:footnote>
  <w:footnote w:id="318">
    <w:p>
      <w:pPr>
        <w:pStyle w:val="Funote"/>
        <w:rPr/>
      </w:pPr>
      <w:r>
        <w:rPr>
          <w:rStyle w:val="Funotenzeichen"/>
        </w:rPr>
        <w:footnoteRef/>
      </w:r>
      <w:r>
        <w:rPr/>
        <w:tab/>
        <w:t>Nominalsatz. Man kann auch übersetzen: Wird sehr reich sein.</w:t>
      </w:r>
    </w:p>
  </w:footnote>
  <w:footnote w:id="319">
    <w:p>
      <w:pPr>
        <w:pStyle w:val="Funote"/>
        <w:rPr/>
      </w:pPr>
      <w:r>
        <w:rPr>
          <w:rStyle w:val="Funotenzeichen"/>
        </w:rPr>
        <w:footnoteRef/>
      </w:r>
      <w:r>
        <w:rPr/>
        <w:tab/>
        <w:t>Ptz.</w:t>
      </w:r>
    </w:p>
  </w:footnote>
  <w:footnote w:id="320">
    <w:p>
      <w:pPr>
        <w:pStyle w:val="Funote"/>
        <w:rPr/>
      </w:pPr>
      <w:r>
        <w:rPr>
          <w:rStyle w:val="Funotenzeichen"/>
        </w:rPr>
        <w:footnoteRef/>
      </w:r>
      <w:r>
        <w:rPr/>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rStyle w:val="Funotenzeichen"/>
        </w:rPr>
        <w:footnoteRef/>
      </w:r>
      <w:r>
        <w:rPr/>
        <w:tab/>
        <w:t>Ein im Haus geborener Sklave</w:t>
      </w:r>
    </w:p>
  </w:footnote>
  <w:footnote w:id="322">
    <w:p>
      <w:pPr>
        <w:pStyle w:val="Funote"/>
        <w:rPr/>
      </w:pPr>
      <w:r>
        <w:rPr>
          <w:rStyle w:val="Funotenzeichen"/>
        </w:rPr>
        <w:footnoteRef/>
      </w:r>
      <w:r>
        <w:rPr/>
        <w:tab/>
        <w:t>Wörtl.: der aus deinem Leibensinneren herausgeht</w:t>
      </w:r>
    </w:p>
  </w:footnote>
  <w:footnote w:id="323">
    <w:p>
      <w:pPr>
        <w:pStyle w:val="Funote"/>
        <w:rPr/>
      </w:pPr>
      <w:r>
        <w:rPr>
          <w:rStyle w:val="Funotenzeichen"/>
        </w:rPr>
        <w:footnoteRef/>
      </w:r>
      <w:r>
        <w:rPr/>
        <w:tab/>
        <w:t>Eine Färse ist eine Kuh, die noch nicht gekalbt hat und daher noch keine Milch gibt.</w:t>
      </w:r>
    </w:p>
  </w:footnote>
  <w:footnote w:id="324">
    <w:p>
      <w:pPr>
        <w:pStyle w:val="Funote"/>
        <w:rPr/>
      </w:pPr>
      <w:r>
        <w:rPr>
          <w:rStyle w:val="Funotenzeichen"/>
        </w:rPr>
        <w:footnoteRef/>
      </w:r>
      <w:r>
        <w:rPr/>
        <w:tab/>
        <w:t>Wörtl.: Genossen</w:t>
      </w:r>
    </w:p>
  </w:footnote>
  <w:footnote w:id="325">
    <w:p>
      <w:pPr>
        <w:pStyle w:val="Funote"/>
        <w:rPr/>
      </w:pPr>
      <w:r>
        <w:rPr>
          <w:rStyle w:val="Funotenzeichen"/>
        </w:rPr>
        <w:footnoteRef/>
      </w:r>
      <w:r>
        <w:rPr/>
        <w:tab/>
        <w:t>Das Wort steht ihm Hebr. im Singular, weshalb auch das Verb im HS im Sg. steht, meint aber einen Plural, weshalb das Akkusativzeichen im NS im Pl. steht.</w:t>
      </w:r>
    </w:p>
  </w:footnote>
  <w:footnote w:id="326">
    <w:p>
      <w:pPr>
        <w:pStyle w:val="Funote"/>
        <w:rPr/>
      </w:pPr>
      <w:r>
        <w:rPr>
          <w:rStyle w:val="Funotenzeichen"/>
        </w:rPr>
        <w:footnoteRef/>
      </w:r>
      <w:r>
        <w:rPr/>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rStyle w:val="Funotenzeichen"/>
        </w:rPr>
        <w:footnoteRef/>
      </w:r>
      <w:r>
        <w:rPr/>
        <w:tab/>
        <w:t>[Status: Ungeprüft]</w:t>
      </w:r>
    </w:p>
  </w:footnote>
  <w:footnote w:id="328">
    <w:p>
      <w:pPr>
        <w:pStyle w:val="Funote"/>
        <w:rPr/>
      </w:pPr>
      <w:r>
        <w:rPr>
          <w:rStyle w:val="Funotenzeichen"/>
        </w:rPr>
        <w:footnoteRef/>
      </w:r>
      <w:r>
        <w:rPr/>
        <w:tab/>
        <w:t>Wörtl.: gehe hinein zu, aber i.S. des Beischlafs</w:t>
      </w:r>
    </w:p>
  </w:footnote>
  <w:footnote w:id="329">
    <w:p>
      <w:pPr>
        <w:pStyle w:val="Funote"/>
        <w:rPr/>
      </w:pPr>
      <w:r>
        <w:rPr>
          <w:rStyle w:val="Funotenzeichen"/>
        </w:rPr>
        <w:footnoteRef/>
      </w:r>
      <w:r>
        <w:rPr/>
        <w:tab/>
        <w:t>Im Hebr. steht das Verb im Infintiv, also wörtl. vielleicht "des Wohnens"</w:t>
      </w:r>
    </w:p>
  </w:footnote>
  <w:footnote w:id="330">
    <w:p>
      <w:pPr>
        <w:pStyle w:val="Funote"/>
        <w:rPr/>
      </w:pPr>
      <w:r>
        <w:rPr>
          <w:rStyle w:val="Funotenzeichen"/>
        </w:rPr>
        <w:footnoteRef/>
      </w:r>
      <w:r>
        <w:rPr/>
        <w:tab/>
        <w:t>S.o. Anm. zu Vers 2</w:t>
      </w:r>
    </w:p>
  </w:footnote>
  <w:footnote w:id="331">
    <w:p>
      <w:pPr>
        <w:pStyle w:val="Funote"/>
        <w:rPr/>
      </w:pPr>
      <w:r>
        <w:rPr>
          <w:rStyle w:val="Funotenzeichen"/>
        </w:rPr>
        <w:footnoteRef/>
      </w:r>
      <w:r>
        <w:rPr/>
        <w:tab/>
        <w:t>Wörtl.: mein Unrecht</w:t>
      </w:r>
    </w:p>
  </w:footnote>
  <w:footnote w:id="332">
    <w:p>
      <w:pPr>
        <w:pStyle w:val="Funote"/>
        <w:rPr/>
      </w:pPr>
      <w:r>
        <w:rPr>
          <w:rStyle w:val="Funotenzeichen"/>
        </w:rPr>
        <w:footnoteRef/>
      </w:r>
      <w:r>
        <w:rPr/>
        <w:tab/>
        <w:t>Waw-Perfekt</w:t>
      </w:r>
    </w:p>
  </w:footnote>
  <w:footnote w:id="333">
    <w:p>
      <w:pPr>
        <w:pStyle w:val="Funote"/>
        <w:rPr/>
      </w:pPr>
      <w:r>
        <w:rPr>
          <w:rStyle w:val="Funotenzeichen"/>
        </w:rPr>
        <w:footnoteRef/>
      </w:r>
      <w:r>
        <w:rPr/>
        <w:tab/>
        <w:t>Verbaler Wunschsatz, Brockelmann, Syntax § 8a.</w:t>
      </w:r>
    </w:p>
  </w:footnote>
  <w:footnote w:id="334">
    <w:p>
      <w:pPr>
        <w:pStyle w:val="Funote"/>
        <w:rPr/>
      </w:pPr>
      <w:r>
        <w:rPr>
          <w:rStyle w:val="Funotenzeichen"/>
        </w:rPr>
        <w:footnoteRef/>
      </w:r>
      <w:r>
        <w:rPr/>
        <w:tab/>
        <w:t>Das Verb meint "fliehen" i.S. von durchbrennen, also einer übereilten, kopflosen Flucht, vgl. Gesenius z.St.</w:t>
      </w:r>
    </w:p>
  </w:footnote>
  <w:footnote w:id="335">
    <w:p>
      <w:pPr>
        <w:pStyle w:val="Funote"/>
        <w:rPr/>
      </w:pPr>
      <w:r>
        <w:rPr>
          <w:rStyle w:val="Funotenzeichen"/>
        </w:rPr>
        <w:footnoteRef/>
      </w:r>
      <w:r>
        <w:rPr/>
        <w:tab/>
        <w:t>Waw-Perfekt</w:t>
      </w:r>
    </w:p>
  </w:footnote>
  <w:footnote w:id="336">
    <w:p>
      <w:pPr>
        <w:pStyle w:val="Funote"/>
        <w:rPr/>
      </w:pPr>
      <w:r>
        <w:rPr>
          <w:rStyle w:val="Funotenzeichen"/>
        </w:rPr>
        <w:footnoteRef/>
      </w:r>
      <w:r>
        <w:rPr/>
        <w:tab/>
        <w:t>Figura Etymologica: Indem Infinitiv und finite Form des selben Verbs zusammengestellt werden, wird das Verb verstärkt.</w:t>
      </w:r>
    </w:p>
  </w:footnote>
  <w:footnote w:id="337">
    <w:p>
      <w:pPr>
        <w:pStyle w:val="Funote"/>
        <w:rPr/>
      </w:pPr>
      <w:r>
        <w:rPr>
          <w:rStyle w:val="Funotenzeichen"/>
        </w:rPr>
        <w:footnoteRef/>
      </w:r>
      <w:r>
        <w:rPr/>
        <w:tab/>
        <w:t>Wörtl.: Du wirst seinen Namen Jischmael rufen. Jischma El = Gott wird hören.</w:t>
      </w:r>
    </w:p>
  </w:footnote>
  <w:footnote w:id="338">
    <w:p>
      <w:pPr>
        <w:pStyle w:val="Funote"/>
        <w:rPr/>
      </w:pPr>
      <w:r>
        <w:rPr>
          <w:rStyle w:val="Funotenzeichen"/>
        </w:rPr>
        <w:footnoteRef/>
      </w:r>
      <w:r>
        <w:rPr/>
        <w:tab/>
        <w:t>Wörtl.: Wildesel-Mensch</w:t>
      </w:r>
    </w:p>
  </w:footnote>
  <w:footnote w:id="339">
    <w:p>
      <w:pPr>
        <w:pStyle w:val="Funote"/>
        <w:rPr/>
      </w:pPr>
      <w:r>
        <w:rPr>
          <w:rStyle w:val="Funotenzeichen"/>
        </w:rPr>
        <w:footnoteRef/>
      </w:r>
      <w:r>
        <w:rPr/>
        <w:tab/>
        <w:t>Auch im Hebr. ein Wortspiel</w:t>
      </w:r>
    </w:p>
  </w:footnote>
  <w:footnote w:id="340">
    <w:p>
      <w:pPr>
        <w:pStyle w:val="Funote"/>
        <w:rPr/>
      </w:pPr>
      <w:r>
        <w:rPr>
          <w:rStyle w:val="Funotenzeichen"/>
        </w:rPr>
        <w:footnoteRef/>
      </w:r>
      <w:r>
        <w:rPr/>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rStyle w:val="Funotenzeichen"/>
        </w:rPr>
        <w:footnoteRef/>
      </w:r>
      <w:r>
        <w:rPr/>
        <w:tab/>
        <w:t>Ptz., relativisch aufgelöst</w:t>
      </w:r>
    </w:p>
  </w:footnote>
  <w:footnote w:id="342">
    <w:p>
      <w:pPr>
        <w:pStyle w:val="Funote"/>
        <w:rPr/>
      </w:pPr>
      <w:r>
        <w:rPr>
          <w:rStyle w:val="Funotenzeichen"/>
        </w:rPr>
        <w:footnoteRef/>
      </w:r>
      <w:r>
        <w:rPr/>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rStyle w:val="Funotenzeichen"/>
        </w:rPr>
        <w:footnoteRef/>
      </w:r>
      <w:r>
        <w:rPr/>
        <w:tab/>
        <w:t>[Status: Ungeprüft]</w:t>
      </w:r>
    </w:p>
  </w:footnote>
  <w:footnote w:id="344">
    <w:p>
      <w:pPr>
        <w:pStyle w:val="Funote"/>
        <w:rPr/>
      </w:pPr>
      <w:r>
        <w:rPr>
          <w:rStyle w:val="Funotenzeichen"/>
        </w:rPr>
        <w:footnoteRef/>
      </w:r>
      <w:r>
        <w:rPr/>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rStyle w:val="Funotenzeichen"/>
        </w:rPr>
        <w:footnoteRef/>
      </w:r>
      <w:r>
        <w:rPr/>
        <w:tab/>
        <w:t>Wörtl.: Wandle vor mir. "Wandeln" ist hier i.S. von "Umgang haben mit", "verkehren mit" gemeint, u.zw. die Gemeinschaft des Frommen mit Gott, vgl. Gesenius z.St.</w:t>
      </w:r>
    </w:p>
  </w:footnote>
  <w:footnote w:id="346">
    <w:p>
      <w:pPr>
        <w:pStyle w:val="Funote"/>
        <w:rPr/>
      </w:pPr>
      <w:r>
        <w:rPr>
          <w:rStyle w:val="Funotenzeichen"/>
        </w:rPr>
        <w:footnoteRef/>
      </w:r>
      <w:r>
        <w:rPr/>
        <w:tab/>
        <w:t>Nominalsatz; ein (Hilfs)Verb muss ergänzt werden; der Satz kann auch im Futur stehen: Ich werde meinen Bund mit dir haben.</w:t>
      </w:r>
    </w:p>
  </w:footnote>
  <w:footnote w:id="347">
    <w:p>
      <w:pPr>
        <w:pStyle w:val="Funote"/>
        <w:rPr/>
      </w:pPr>
      <w:r>
        <w:rPr>
          <w:rStyle w:val="Funotenzeichen"/>
        </w:rPr>
        <w:footnoteRef/>
      </w:r>
      <w:r>
        <w:rPr/>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rStyle w:val="Funotenzeichen"/>
        </w:rPr>
        <w:footnoteRef/>
      </w:r>
      <w:r>
        <w:rPr/>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rStyle w:val="Funotenzeichen"/>
        </w:rPr>
        <w:footnoteRef/>
      </w:r>
      <w:r>
        <w:rPr/>
        <w:tab/>
        <w:t>S.o. zu Vers 7.</w:t>
      </w:r>
    </w:p>
  </w:footnote>
  <w:footnote w:id="350">
    <w:p>
      <w:pPr>
        <w:pStyle w:val="Funote"/>
        <w:rPr/>
      </w:pPr>
      <w:r>
        <w:rPr>
          <w:rStyle w:val="Funotenzeichen"/>
        </w:rPr>
        <w:footnoteRef/>
      </w:r>
      <w:r>
        <w:rPr/>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r>
        <w:rPr>
          <w:rStyle w:val="Funotenzeichen"/>
        </w:rPr>
        <w:footnoteRef/>
      </w:r>
      <w:hyperlink r:id="rId6">
        <w:r>
          <w:rPr>
            <w:rStyle w:val="Internetverknpfung"/>
          </w:rPr>
          <w:tab/>
          <w:t>Figura Etymologica</w:t>
        </w:r>
      </w:hyperlink>
    </w:p>
  </w:footnote>
  <w:footnote w:id="352">
    <w:p>
      <w:pPr>
        <w:pStyle w:val="Funote"/>
        <w:rPr/>
      </w:pPr>
      <w:r>
        <w:rPr>
          <w:rStyle w:val="Funotenzeichen"/>
        </w:rPr>
        <w:footnoteRef/>
      </w:r>
      <w:r>
        <w:rPr/>
        <w:tab/>
        <w:t>Das Wort "Leib" oder "Fleisch" wird euphemistisch für das Genital verwendet.</w:t>
      </w:r>
    </w:p>
  </w:footnote>
  <w:footnote w:id="353">
    <w:p>
      <w:pPr>
        <w:pStyle w:val="Funote"/>
        <w:rPr/>
      </w:pPr>
      <w:r>
        <w:rPr>
          <w:rStyle w:val="Funotenzeichen"/>
        </w:rPr>
        <w:footnoteRef/>
      </w:r>
      <w:r>
        <w:rPr/>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rStyle w:val="Funotenzeichen"/>
        </w:rPr>
        <w:footnoteRef/>
      </w:r>
      <w:r>
        <w:rPr/>
        <w:tab/>
        <w:t>[Status: Ungeprüft]</w:t>
      </w:r>
    </w:p>
  </w:footnote>
  <w:footnote w:id="355">
    <w:p>
      <w:pPr>
        <w:pStyle w:val="Funote"/>
        <w:rPr/>
      </w:pPr>
      <w:r>
        <w:rPr>
          <w:rStyle w:val="Funotenzeichen"/>
        </w:rPr>
        <w:footnoteRef/>
      </w:r>
      <w:r>
        <w:rPr/>
        <w:tab/>
        <w:t>ihm: d.h. Abraham</w:t>
      </w:r>
    </w:p>
  </w:footnote>
  <w:footnote w:id="356">
    <w:p>
      <w:pPr>
        <w:pStyle w:val="Funote"/>
        <w:rPr/>
      </w:pPr>
      <w:r>
        <w:rPr>
          <w:rStyle w:val="Funotenzeichen"/>
        </w:rPr>
        <w:footnoteRef/>
      </w:r>
      <w:r>
        <w:rPr/>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rStyle w:val="Funotenzeichen"/>
        </w:rPr>
        <w:footnoteRef/>
      </w:r>
      <w:r>
        <w:rPr/>
        <w:tab/>
        <w:t>gerade ... saß: Part. Qal Akt. (war) sitzend, aufgelöst mit Hilfe eines temporalen Nebensatzes.</w:t>
      </w:r>
    </w:p>
  </w:footnote>
  <w:footnote w:id="358">
    <w:p>
      <w:pPr>
        <w:pStyle w:val="Funote"/>
        <w:rPr/>
      </w:pPr>
      <w:r>
        <w:rPr>
          <w:rStyle w:val="Funotenzeichen"/>
        </w:rPr>
        <w:footnoteRef/>
      </w:r>
      <w:r>
        <w:rPr/>
        <w:tab/>
        <w:t>als ... heiß war: Inf. cs. aufgelöst mit Hilfe eines kondit. Gliedsatzes.</w:t>
      </w:r>
    </w:p>
  </w:footnote>
  <w:footnote w:id="359">
    <w:p>
      <w:pPr>
        <w:pStyle w:val="Funote"/>
        <w:rPr/>
      </w:pPr>
      <w:r>
        <w:rPr>
          <w:rStyle w:val="Funotenzeichen"/>
        </w:rPr>
        <w:footnoteRef/>
      </w:r>
      <w:r>
        <w:rPr/>
        <w:tab/>
        <w:t>dass da: wörtl. und siehe</w:t>
      </w:r>
    </w:p>
  </w:footnote>
  <w:footnote w:id="360">
    <w:p>
      <w:pPr>
        <w:pStyle w:val="Funote"/>
        <w:rPr/>
      </w:pPr>
      <w:r>
        <w:rPr>
          <w:rStyle w:val="Funotenzeichen"/>
        </w:rPr>
        <w:footnoteRef/>
      </w:r>
      <w:r>
        <w:rPr/>
        <w:tab/>
        <w:t>und als er [sie] sah, lief er: wörtl. und er sah und lief (mit der im Hebr. üblichen Beiordnung, wo das Deutsche Nebensätze verwendet).</w:t>
      </w:r>
    </w:p>
  </w:footnote>
  <w:footnote w:id="361">
    <w:p>
      <w:pPr>
        <w:pStyle w:val="Funote"/>
        <w:rPr/>
      </w:pPr>
      <w:r>
        <w:rPr>
          <w:rStyle w:val="Funotenzeichen"/>
        </w:rPr>
        <w:footnoteRef/>
      </w:r>
      <w:r>
        <w:rPr/>
        <w:tab/>
        <w:t>warf sich nieder: im Orient Zeichen höchster Ehrerbietung</w:t>
      </w:r>
    </w:p>
  </w:footnote>
  <w:footnote w:id="362">
    <w:p>
      <w:pPr>
        <w:pStyle w:val="Funote"/>
        <w:rPr/>
      </w:pPr>
      <w:r>
        <w:rPr>
          <w:rStyle w:val="Funotenzeichen"/>
        </w:rPr>
        <w:footnoteRef/>
      </w:r>
      <w:r>
        <w:rPr/>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rStyle w:val="Funotenzeichen"/>
        </w:rPr>
        <w:footnoteRef/>
      </w:r>
      <w:r>
        <w:rPr/>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rStyle w:val="Funotenzeichen"/>
        </w:rPr>
        <w:footnoteRef/>
      </w:r>
      <w:r>
        <w:rPr/>
        <w:tab/>
        <w:t>lasst euch ... bringen: eig. Pass. Qal: es werde euch gebracht</w:t>
      </w:r>
    </w:p>
  </w:footnote>
  <w:footnote w:id="365">
    <w:p>
      <w:pPr>
        <w:pStyle w:val="Funote"/>
        <w:rPr/>
      </w:pPr>
      <w:r>
        <w:rPr>
          <w:rStyle w:val="Funotenzeichen"/>
        </w:rPr>
        <w:footnoteRef/>
      </w:r>
      <w:r>
        <w:rPr/>
        <w:tab/>
        <w:t>damit ihr ... könnt: im Hebr. Beiordnung: und ihr könnt (sollt) waschen ... und euch legen.</w:t>
      </w:r>
    </w:p>
  </w:footnote>
  <w:footnote w:id="366">
    <w:p>
      <w:pPr>
        <w:pStyle w:val="Funote"/>
        <w:rPr/>
      </w:pPr>
      <w:r>
        <w:rPr>
          <w:rStyle w:val="Funotenzeichen"/>
        </w:rPr>
        <w:footnoteRef/>
      </w:r>
      <w:r>
        <w:rPr/>
        <w:tab/>
        <w:t>euch stärken: wörtl. euer Herz (i.S.v. Lebenskraft; vgl. THAT 862) stärken</w:t>
      </w:r>
    </w:p>
  </w:footnote>
  <w:footnote w:id="367">
    <w:p>
      <w:pPr>
        <w:pStyle w:val="Funote"/>
        <w:rPr/>
      </w:pPr>
      <w:r>
        <w:rPr>
          <w:rStyle w:val="Funotenzeichen"/>
        </w:rPr>
        <w:footnoteRef/>
      </w:r>
      <w:r>
        <w:rPr/>
        <w:tab/>
        <w:t xml:space="preserve">denn dazu: Gesenius-Donner (s.v. </w:t>
      </w:r>
      <w:r>
        <w:rPr>
          <w:rtl w:val="true"/>
          <w:lang w:bidi="he-IL"/>
        </w:rPr>
        <w:t>עבר</w:t>
      </w:r>
      <w:r>
        <w:rPr/>
        <w:t xml:space="preserve"> </w:t>
      </w:r>
      <w:r>
        <w:rPr/>
        <w:t>Qal 2.) schlagen vor: warum denn sonst</w:t>
      </w:r>
    </w:p>
  </w:footnote>
  <w:footnote w:id="368">
    <w:p>
      <w:pPr>
        <w:pStyle w:val="Funote"/>
        <w:rPr/>
      </w:pPr>
      <w:r>
        <w:rPr>
          <w:rStyle w:val="Funotenzeichen"/>
        </w:rPr>
        <w:footnoteRef/>
      </w:r>
      <w:r>
        <w:rPr/>
        <w:tab/>
        <w:t>mach es: im Hebr. kein Imperativ, sondern Imperfekt: du wirst/kannst/sollst/magst tun</w:t>
      </w:r>
    </w:p>
  </w:footnote>
  <w:footnote w:id="369">
    <w:p>
      <w:pPr>
        <w:pStyle w:val="Funote"/>
        <w:rPr/>
      </w:pPr>
      <w:r>
        <w:rPr>
          <w:rStyle w:val="Funotenzeichen"/>
        </w:rPr>
        <w:footnoteRef/>
      </w:r>
      <w:r>
        <w:rPr/>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rStyle w:val="Funotenzeichen"/>
        </w:rPr>
        <w:footnoteRef/>
      </w:r>
      <w:r>
        <w:rPr/>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rStyle w:val="Funotenzeichen"/>
        </w:rPr>
        <w:footnoteRef/>
      </w:r>
      <w:r>
        <w:rPr/>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rStyle w:val="Funotenzeichen"/>
        </w:rPr>
        <w:footnoteRef/>
      </w:r>
      <w:r>
        <w:rPr/>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rStyle w:val="Funotenzeichen"/>
        </w:rPr>
        <w:footnoteRef/>
      </w:r>
      <w:r>
        <w:rPr/>
        <w:tab/>
        <w:t>der es: im Hebr. beigeordnet: und er ...</w:t>
      </w:r>
    </w:p>
  </w:footnote>
  <w:footnote w:id="374">
    <w:p>
      <w:pPr>
        <w:pStyle w:val="Funote"/>
        <w:rPr/>
      </w:pPr>
      <w:r>
        <w:rPr>
          <w:rStyle w:val="Funotenzeichen"/>
        </w:rPr>
        <w:footnoteRef/>
      </w:r>
      <w:r>
        <w:rPr/>
        <w:tab/>
        <w:t>eilig zubereitete: wörtl. sich beeilte es zuzubereiten</w:t>
      </w:r>
    </w:p>
  </w:footnote>
  <w:footnote w:id="375">
    <w:p>
      <w:pPr>
        <w:pStyle w:val="Funote"/>
        <w:rPr/>
      </w:pPr>
      <w:r>
        <w:rPr>
          <w:rStyle w:val="Funotenzeichen"/>
        </w:rPr>
        <w:footnoteRef/>
      </w:r>
      <w:r>
        <w:rPr/>
        <w:tab/>
        <w:t>hatte zubereiten lassen: wörtl. zubereitet hatte</w:t>
      </w:r>
    </w:p>
  </w:footnote>
  <w:footnote w:id="376">
    <w:p>
      <w:pPr>
        <w:pStyle w:val="Funote"/>
        <w:rPr/>
      </w:pPr>
      <w:r>
        <w:rPr>
          <w:rStyle w:val="Funotenzeichen"/>
        </w:rPr>
        <w:footnoteRef/>
      </w:r>
      <w:r>
        <w:rPr/>
        <w:tab/>
        <w:t>setzte [es] ihnen vor: wörtl. gab [es] vor sie</w:t>
      </w:r>
    </w:p>
  </w:footnote>
  <w:footnote w:id="377">
    <w:p>
      <w:pPr>
        <w:pStyle w:val="Funote"/>
        <w:rPr/>
      </w:pPr>
      <w:r>
        <w:rPr>
          <w:rStyle w:val="Funotenzeichen"/>
        </w:rPr>
        <w:footnoteRef/>
      </w:r>
      <w:r>
        <w:rPr/>
        <w:tab/>
        <w:t>während sie aßen: im Hebr. beigeordnet: und sie aßen</w:t>
      </w:r>
    </w:p>
  </w:footnote>
  <w:footnote w:id="378">
    <w:p>
      <w:pPr>
        <w:pStyle w:val="Funote"/>
        <w:rPr/>
      </w:pPr>
      <w:r>
        <w:rPr>
          <w:rStyle w:val="Funotenzeichen"/>
        </w:rPr>
        <w:footnoteRef/>
      </w:r>
      <w:r>
        <w:rPr/>
        <w:tab/>
        <w:t>auf jeden Fall: wörtl. Zurückkehren werde ich zurückkehren; Inf. abs. mit wurzelgleichem Verb zur Verstärkung der Aussage.</w:t>
      </w:r>
    </w:p>
  </w:footnote>
  <w:footnote w:id="379">
    <w:p>
      <w:pPr>
        <w:pStyle w:val="Funote"/>
        <w:rPr/>
      </w:pPr>
      <w:r>
        <w:rPr>
          <w:rStyle w:val="Funotenzeichen"/>
        </w:rPr>
        <w:footnoteRef/>
      </w:r>
      <w:r>
        <w:rPr/>
        <w:tab/>
        <w:t>im nächsten Jahr: ein hebr. Idiom, das man nicht wörtlich übersetzen kann (etwa: um die Zeit eines Jahres).</w:t>
      </w:r>
    </w:p>
  </w:footnote>
  <w:footnote w:id="380">
    <w:p>
      <w:pPr>
        <w:pStyle w:val="Funote"/>
        <w:rPr/>
      </w:pPr>
      <w:r>
        <w:rPr>
          <w:rStyle w:val="Funotenzeichen"/>
        </w:rPr>
        <w:footnoteRef/>
      </w:r>
      <w:r>
        <w:rPr/>
        <w:tab/>
        <w:t>[wird] deine Frau einen Sohn [haben]: eig. [wird] deiner Frau Sara ein Sohn [sein]</w:t>
      </w:r>
    </w:p>
  </w:footnote>
  <w:footnote w:id="381">
    <w:p>
      <w:pPr>
        <w:pStyle w:val="Funote"/>
        <w:rPr/>
      </w:pPr>
      <w:r>
        <w:rPr>
          <w:rStyle w:val="Funotenzeichen"/>
        </w:rPr>
        <w:footnoteRef/>
      </w:r>
      <w:r>
        <w:rPr/>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rStyle w:val="Funotenzeichen"/>
        </w:rPr>
        <w:footnoteRef/>
      </w:r>
      <w:r>
        <w:rPr/>
        <w:tab/>
        <w:t>Leben: wörtl. Weg; hier in Bezug auf Fruchtbarkeit, Kinder mit all den sozialen Implikationen.</w:t>
      </w:r>
    </w:p>
  </w:footnote>
  <w:footnote w:id="383">
    <w:p>
      <w:pPr>
        <w:pStyle w:val="Funote"/>
        <w:rPr/>
      </w:pPr>
      <w:r>
        <w:rPr>
          <w:rStyle w:val="Funotenzeichen"/>
        </w:rPr>
        <w:footnoteRef/>
      </w:r>
      <w:r>
        <w:rPr/>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rStyle w:val="Funotenzeichen"/>
        </w:rPr>
        <w:footnoteRef/>
      </w:r>
      <w:r>
        <w:rPr/>
        <w:tab/>
        <w:t>in ihrem Inneren: d.h. in sich hinein und damit für andere nicht hörbar</w:t>
      </w:r>
    </w:p>
  </w:footnote>
  <w:footnote w:id="385">
    <w:p>
      <w:pPr>
        <w:pStyle w:val="Funote"/>
        <w:rPr/>
      </w:pPr>
      <w:r>
        <w:rPr>
          <w:rStyle w:val="Funotenzeichen"/>
        </w:rPr>
        <w:footnoteRef/>
      </w:r>
      <w:r>
        <w:rPr/>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rStyle w:val="Funotenzeichen"/>
        </w:rPr>
        <w:footnoteRef/>
      </w:r>
      <w:r>
        <w:rPr/>
        <w:tab/>
        <w:t>nachdem ... bin: wörtl. nach meinem Altern (Inf. cs.); das hebr. Verb (</w:t>
      </w:r>
      <w:r>
        <w:rPr>
          <w:rtl w:val="true"/>
          <w:lang w:bidi="he-IL"/>
        </w:rPr>
        <w:t>בלה</w:t>
      </w:r>
      <w:r>
        <w:rPr/>
        <w:t>) dient zur Bezeichnung abgetragener Kleidung.</w:t>
      </w:r>
    </w:p>
  </w:footnote>
  <w:footnote w:id="387">
    <w:p>
      <w:pPr>
        <w:pStyle w:val="Funote"/>
        <w:rPr/>
      </w:pPr>
      <w:r>
        <w:rPr>
          <w:rStyle w:val="Funotenzeichen"/>
        </w:rPr>
        <w:footnoteRef/>
      </w:r>
      <w:r>
        <w:rPr/>
        <w:tab/>
        <w:t>soll mir werden: wörtl. ist mir geworden; Sara versetzt sich gedanklich in die verheißene Zukunft und blickt von dort zurück (in die Vergangenheit).</w:t>
      </w:r>
    </w:p>
  </w:footnote>
  <w:footnote w:id="388">
    <w:p>
      <w:pPr>
        <w:pStyle w:val="Funote"/>
        <w:rPr/>
      </w:pPr>
      <w:r>
        <w:rPr>
          <w:rStyle w:val="Funotenzeichen"/>
        </w:rPr>
        <w:footnoteRef/>
      </w:r>
      <w:r>
        <w:rPr/>
        <w:tab/>
        <w:t>obwohl: im Hebr. Beiordnung: und ich bin alt</w:t>
      </w:r>
    </w:p>
  </w:footnote>
  <w:footnote w:id="389">
    <w:p>
      <w:pPr>
        <w:pStyle w:val="Funote"/>
        <w:rPr/>
      </w:pPr>
      <w:r>
        <w:rPr>
          <w:rStyle w:val="Funotenzeichen"/>
        </w:rPr>
        <w:footnoteRef/>
      </w:r>
      <w:r>
        <w:rPr/>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rStyle w:val="Funotenzeichen"/>
        </w:rPr>
        <w:footnoteRef/>
      </w:r>
      <w:r>
        <w:rPr/>
        <w:tab/>
        <w:t>dann wird Sara: wörtl. und Sara wird ...</w:t>
      </w:r>
    </w:p>
  </w:footnote>
  <w:footnote w:id="391">
    <w:p>
      <w:pPr>
        <w:pStyle w:val="Funote"/>
        <w:rPr/>
      </w:pPr>
      <w:r>
        <w:rPr>
          <w:rStyle w:val="Funotenzeichen"/>
        </w:rPr>
        <w:footnoteRef/>
      </w:r>
      <w:r>
        <w:rPr/>
        <w:tab/>
        <w:t>Sara wird haben: wörtl. Sara (Dat.) wird sein</w:t>
      </w:r>
    </w:p>
  </w:footnote>
  <w:footnote w:id="392">
    <w:p>
      <w:pPr>
        <w:pStyle w:val="Funote"/>
        <w:rPr/>
      </w:pPr>
      <w:r>
        <w:rPr>
          <w:rStyle w:val="Funotenzeichen"/>
        </w:rPr>
        <w:footnoteRef/>
      </w:r>
      <w:r>
        <w:rPr/>
        <w:tab/>
        <w:t>doch: wörtl. nein, vielmehr hast du gelacht.</w:t>
      </w:r>
    </w:p>
  </w:footnote>
  <w:footnote w:id="393">
    <w:p>
      <w:pPr>
        <w:pStyle w:val="Funote"/>
        <w:rPr/>
      </w:pPr>
      <w:r>
        <w:rPr>
          <w:rStyle w:val="Funotenzeichen"/>
        </w:rPr>
        <w:footnoteRef/>
      </w:r>
      <w:r>
        <w:rPr/>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rStyle w:val="Funotenzeichen"/>
        </w:rPr>
        <w:footnoteRef/>
      </w:r>
      <w:r>
        <w:rPr/>
        <w:tab/>
        <w:t>Abraham ging aber: wörtl. und Abraham gehend; der Partizipialsatz unterbricht die Erählung und beschreibt die Voraussetzung für das folgende Gespräch.</w:t>
      </w:r>
    </w:p>
  </w:footnote>
  <w:footnote w:id="395">
    <w:p>
      <w:pPr>
        <w:pStyle w:val="Funote"/>
        <w:rPr/>
      </w:pPr>
      <w:r>
        <w:rPr>
          <w:rStyle w:val="Funotenzeichen"/>
        </w:rPr>
        <w:footnoteRef/>
      </w:r>
      <w:r>
        <w:rPr/>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rStyle w:val="Funotenzeichen"/>
        </w:rPr>
        <w:footnoteRef/>
      </w:r>
      <w:r>
        <w:rPr/>
        <w:tab/>
        <w:t>bin ich einer, der verheimlicht: wörtl. [ein] verheimlichend[er] ich?</w:t>
      </w:r>
    </w:p>
  </w:footnote>
  <w:footnote w:id="397">
    <w:p>
      <w:pPr>
        <w:pStyle w:val="Funote"/>
        <w:rPr/>
      </w:pPr>
      <w:r>
        <w:rPr>
          <w:rStyle w:val="Funotenzeichen"/>
        </w:rPr>
        <w:footnoteRef/>
      </w:r>
      <w:r>
        <w:rPr/>
        <w:tab/>
        <w:t>ich zu tun gedenke: wörtl. ich tuend [bin]</w:t>
      </w:r>
    </w:p>
  </w:footnote>
  <w:footnote w:id="398">
    <w:p>
      <w:pPr>
        <w:pStyle w:val="Funote"/>
        <w:rPr/>
      </w:pPr>
      <w:r>
        <w:rPr>
          <w:rStyle w:val="Funotenzeichen"/>
        </w:rPr>
        <w:footnoteRef/>
      </w:r>
      <w:r>
        <w:rPr/>
        <w:tab/>
        <w:t>Abraham wird doch: invertierter Verbalsatz, der das Subjekt (Abraham) hervorhebt.</w:t>
      </w:r>
    </w:p>
  </w:footnote>
  <w:footnote w:id="399">
    <w:p>
      <w:pPr>
        <w:pStyle w:val="Funote"/>
        <w:rPr/>
      </w:pPr>
      <w:r>
        <w:rPr>
          <w:rStyle w:val="Funotenzeichen"/>
        </w:rPr>
        <w:footnoteRef/>
      </w:r>
      <w:r>
        <w:rPr/>
        <w:tab/>
        <w:t>auf jeden Fall: Inf. abs. zur Verstärkung der finiten Verbform (</w:t>
      </w:r>
      <w:r>
        <w:rPr>
          <w:rtl w:val="true"/>
          <w:lang w:bidi="he-IL"/>
        </w:rPr>
        <w:t>הָיוׂ יִהְיֶה</w:t>
      </w:r>
      <w:r>
        <w:rPr/>
        <w:t>)</w:t>
      </w:r>
    </w:p>
  </w:footnote>
  <w:footnote w:id="400">
    <w:p>
      <w:pPr>
        <w:pStyle w:val="Funote"/>
        <w:rPr/>
      </w:pPr>
      <w:r>
        <w:rPr>
          <w:rStyle w:val="Funotenzeichen"/>
        </w:rPr>
        <w:footnoteRef/>
      </w:r>
      <w:r>
        <w:rPr/>
        <w:tab/>
        <w:t>Segen werden sich zuschreiben seinetwegen: od. segnen werden sich in ihm; od. gesegnet werden in ihm.</w:t>
      </w:r>
    </w:p>
  </w:footnote>
  <w:footnote w:id="401">
    <w:p>
      <w:pPr>
        <w:pStyle w:val="Funote"/>
        <w:rPr/>
      </w:pPr>
      <w:r>
        <w:rPr>
          <w:rStyle w:val="Funotenzeichen"/>
        </w:rPr>
        <w:footnoteRef/>
      </w:r>
      <w:r>
        <w:rPr/>
        <w:tab/>
        <w:t>den Weg JHWHs: d.h. entweder den Weg, den JHWH geht oder den Weg, den JHWH vorschreibt</w:t>
      </w:r>
    </w:p>
  </w:footnote>
  <w:footnote w:id="402">
    <w:p>
      <w:pPr>
        <w:pStyle w:val="Funote"/>
        <w:rPr/>
      </w:pPr>
      <w:r>
        <w:rPr>
          <w:rStyle w:val="Funotenzeichen"/>
        </w:rPr>
        <w:footnoteRef/>
      </w:r>
      <w:r>
        <w:rPr/>
        <w:tab/>
        <w:t>indem sie ... handeln: wörtl. zu tun (Inf. cs. in modaler Funktion)</w:t>
      </w:r>
    </w:p>
  </w:footnote>
  <w:footnote w:id="403">
    <w:p>
      <w:pPr>
        <w:pStyle w:val="Funote"/>
        <w:rPr/>
      </w:pPr>
      <w:r>
        <w:rPr>
          <w:rStyle w:val="Funotenzeichen"/>
        </w:rPr>
        <w:footnoteRef/>
      </w:r>
      <w:r>
        <w:rPr/>
        <w:tab/>
        <w:t>gerecht und rechtmäßig handeln: wörtl. Gerechtigkeit und Recht tun (das Hebräische bevorzugt Nomina gegenüber Adjektiven bzw. Adverbien),</w:t>
      </w:r>
    </w:p>
  </w:footnote>
  <w:footnote w:id="404">
    <w:p>
      <w:pPr>
        <w:pStyle w:val="Funote"/>
        <w:rPr/>
      </w:pPr>
      <w:r>
        <w:rPr>
          <w:rStyle w:val="Funotenzeichen"/>
        </w:rPr>
        <w:footnoteRef/>
      </w:r>
      <w:r>
        <w:rPr/>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rStyle w:val="Funotenzeichen"/>
        </w:rPr>
        <w:footnoteRef/>
      </w:r>
      <w:r>
        <w:rPr/>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rStyle w:val="Funotenzeichen"/>
        </w:rPr>
        <w:footnoteRef/>
      </w:r>
      <w:r>
        <w:rPr/>
        <w:tab/>
        <w:t>das zu mir kommt: nach masoretischer Punktation müsste übersetzt werden: das zu mir gekommen ist. Der bloße Konsonantentext legt allerdings die oben gewählte Übersetzung nahe.</w:t>
      </w:r>
    </w:p>
  </w:footnote>
  <w:footnote w:id="407">
    <w:p>
      <w:pPr>
        <w:pStyle w:val="Funote"/>
        <w:rPr/>
      </w:pPr>
      <w:r>
        <w:rPr>
          <w:rStyle w:val="Funotenzeichen"/>
        </w:rPr>
        <w:footnoteRef/>
      </w:r>
      <w:r>
        <w:rPr/>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rStyle w:val="Funotenzeichen"/>
        </w:rPr>
        <w:footnoteRef/>
      </w:r>
      <w:r>
        <w:rPr/>
        <w:tab/>
        <w:t>und wenn nicht, will ich es wissen: das zweite Glied der Doppelfrage ist durch das redundante "will ich es wissen" stark betont.</w:t>
      </w:r>
    </w:p>
  </w:footnote>
  <w:footnote w:id="409">
    <w:p>
      <w:pPr>
        <w:pStyle w:val="Funote"/>
        <w:rPr/>
      </w:pPr>
      <w:r>
        <w:rPr>
          <w:rStyle w:val="Funotenzeichen"/>
        </w:rPr>
        <w:footnoteRef/>
      </w:r>
      <w:r>
        <w:rPr/>
        <w:tab/>
        <w:t>in Richtung Sodom: eig. Sodom-wärts</w:t>
      </w:r>
    </w:p>
  </w:footnote>
  <w:footnote w:id="410">
    <w:p>
      <w:pPr>
        <w:pStyle w:val="Funote"/>
        <w:rPr/>
      </w:pPr>
      <w:r>
        <w:rPr>
          <w:rStyle w:val="Funotenzeichen"/>
        </w:rPr>
        <w:footnoteRef/>
      </w:r>
      <w:r>
        <w:rPr/>
        <w:tab/>
        <w:t>Abraham aber stand noch: wörtl. und Abraham, er [war] stehend (Satzfolge unterbrechender Nominalsatz).</w:t>
      </w:r>
    </w:p>
  </w:footnote>
  <w:footnote w:id="411">
    <w:p>
      <w:pPr>
        <w:pStyle w:val="Funote"/>
        <w:rPr/>
      </w:pPr>
      <w:r>
        <w:rPr>
          <w:rStyle w:val="Funotenzeichen"/>
        </w:rPr>
        <w:footnoteRef/>
      </w:r>
      <w:r>
        <w:rPr/>
        <w:tab/>
        <w:t>in ihm: wörtl. im Innern von ihr (mit Bezug auf das Wort Stadt)</w:t>
      </w:r>
    </w:p>
  </w:footnote>
  <w:footnote w:id="412">
    <w:p>
      <w:pPr>
        <w:pStyle w:val="Funote"/>
        <w:rPr/>
      </w:pPr>
      <w:r>
        <w:rPr>
          <w:rStyle w:val="Funotenzeichen"/>
        </w:rPr>
        <w:footnoteRef/>
      </w:r>
      <w:r>
        <w:rPr/>
        <w:tab/>
        <w:t>solchem Tun: wörtl. entsprechend diesem Wort (dieser Sache) zu tun</w:t>
      </w:r>
    </w:p>
  </w:footnote>
  <w:footnote w:id="413">
    <w:p>
      <w:pPr>
        <w:pStyle w:val="Funote"/>
        <w:rPr/>
      </w:pPr>
      <w:r>
        <w:rPr>
          <w:rStyle w:val="Funotenzeichen"/>
        </w:rPr>
        <w:footnoteRef/>
      </w:r>
      <w:r>
        <w:rPr/>
        <w:tab/>
        <w:t>Recht tun: möglich sind auch die Übersetzungen: tun, was [dem Gerechten] gebührt oder: zum Recht verhelfen</w:t>
      </w:r>
    </w:p>
  </w:footnote>
  <w:footnote w:id="414">
    <w:p>
      <w:pPr>
        <w:pStyle w:val="Funote"/>
        <w:rPr/>
      </w:pPr>
      <w:r>
        <w:rPr>
          <w:rStyle w:val="Funotenzeichen"/>
        </w:rPr>
        <w:footnoteRef/>
      </w:r>
      <w:r>
        <w:rPr/>
        <w:tab/>
        <w:t>dann werde ich vergeben: im Hebr. Beiordnung: und ich werde vergeben</w:t>
      </w:r>
    </w:p>
  </w:footnote>
  <w:footnote w:id="415">
    <w:p>
      <w:pPr>
        <w:pStyle w:val="Funote"/>
        <w:rPr/>
      </w:pPr>
      <w:r>
        <w:rPr>
          <w:rStyle w:val="Funotenzeichen"/>
        </w:rPr>
        <w:footnoteRef/>
      </w:r>
      <w:r>
        <w:rPr/>
        <w:tab/>
        <w:t>obwohl: im Hebr. Beiordnung: und</w:t>
      </w:r>
    </w:p>
  </w:footnote>
  <w:footnote w:id="416">
    <w:p>
      <w:pPr>
        <w:pStyle w:val="Funote"/>
        <w:rPr/>
      </w:pPr>
      <w:r>
        <w:rPr>
          <w:rStyle w:val="Funotenzeichen"/>
        </w:rPr>
        <w:footnoteRef/>
      </w:r>
      <w:r>
        <w:rPr/>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rStyle w:val="Funotenzeichen"/>
        </w:rPr>
        <w:footnoteRef/>
      </w:r>
      <w:r>
        <w:rPr/>
        <w:tab/>
        <w:t>[es] nicht tun: nämlich Sodom vernichten</w:t>
      </w:r>
    </w:p>
  </w:footnote>
  <w:footnote w:id="418">
    <w:p>
      <w:pPr>
        <w:pStyle w:val="Funote"/>
        <w:rPr/>
      </w:pPr>
      <w:r>
        <w:rPr>
          <w:rStyle w:val="Funotenzeichen"/>
        </w:rPr>
        <w:footnoteRef/>
      </w:r>
      <w:r>
        <w:rPr/>
        <w:tab/>
        <w:t>der Herr zürne nicht: wörtl. es entbrenne dem Herrn nicht [der Zorn]</w:t>
      </w:r>
    </w:p>
  </w:footnote>
  <w:footnote w:id="419">
    <w:p>
      <w:pPr>
        <w:pStyle w:val="Funote"/>
        <w:rPr/>
      </w:pPr>
      <w:r>
        <w:rPr>
          <w:rStyle w:val="Funotenzeichen"/>
        </w:rPr>
        <w:footnoteRef/>
      </w:r>
      <w:r>
        <w:rPr/>
        <w:tab/>
        <w:t>wenn ich rede: im Hebr. Beiordnung: und ich rede</w:t>
      </w:r>
    </w:p>
  </w:footnote>
  <w:footnote w:id="420">
    <w:p>
      <w:pPr>
        <w:pStyle w:val="Funote"/>
        <w:rPr/>
      </w:pPr>
      <w:r>
        <w:rPr>
          <w:rStyle w:val="Funotenzeichen"/>
        </w:rPr>
        <w:footnoteRef/>
      </w:r>
      <w:r>
        <w:rPr/>
        <w:tab/>
        <w:t>als er vollendet hatte zu reden zu Abraham</w:t>
      </w:r>
    </w:p>
  </w:footnote>
  <w:footnote w:id="421">
    <w:p>
      <w:pPr>
        <w:pStyle w:val="Funote"/>
        <w:rPr/>
      </w:pPr>
      <w:r>
        <w:rPr>
          <w:rStyle w:val="Funotenzeichen"/>
        </w:rPr>
        <w:footnoteRef/>
      </w:r>
      <w:r>
        <w:rPr/>
        <w:tab/>
        <w:t>[Status: Ungeprüft]</w:t>
      </w:r>
    </w:p>
  </w:footnote>
  <w:footnote w:id="422">
    <w:p>
      <w:pPr>
        <w:pStyle w:val="Funote"/>
        <w:rPr/>
      </w:pPr>
      <w:r>
        <w:rPr>
          <w:rStyle w:val="Funotenzeichen"/>
        </w:rPr>
        <w:footnoteRef/>
      </w:r>
      <w:r>
        <w:rPr/>
        <w:tab/>
        <w:t>Das Stadttor war der Ort, wo man sich traf, zu Gericht saß, Verträge abschloss, Handel trieb u.dgl.m. Die Begegnung der beiden Männer mit Lot geschah demnach in aller Öffentlichkeit.</w:t>
      </w:r>
    </w:p>
  </w:footnote>
  <w:footnote w:id="423">
    <w:p>
      <w:pPr>
        <w:pStyle w:val="Funote"/>
        <w:rPr/>
      </w:pPr>
      <w:r>
        <w:rPr>
          <w:rStyle w:val="Funotenzeichen"/>
        </w:rPr>
        <w:footnoteRef/>
      </w:r>
      <w:r>
        <w:rPr/>
        <w:tab/>
        <w:t>als Lot gerade saß: wörtl. und Lot sitzend</w:t>
      </w:r>
    </w:p>
  </w:footnote>
  <w:footnote w:id="424">
    <w:p>
      <w:pPr>
        <w:pStyle w:val="Funote"/>
        <w:rPr/>
      </w:pPr>
      <w:r>
        <w:rPr>
          <w:rStyle w:val="Funotenzeichen"/>
        </w:rPr>
        <w:footnoteRef/>
      </w:r>
      <w:r>
        <w:rPr/>
        <w:tab/>
        <w:t>wörtl.: sieh/seht doch</w:t>
      </w:r>
    </w:p>
  </w:footnote>
  <w:footnote w:id="425">
    <w:p>
      <w:pPr>
        <w:pStyle w:val="Funote"/>
        <w:rPr/>
      </w:pPr>
      <w:r>
        <w:rPr>
          <w:rStyle w:val="Funotenzeichen"/>
        </w:rPr>
        <w:footnoteRef/>
      </w:r>
      <w:r>
        <w:rPr/>
        <w:tab/>
        <w:t>wörtl. weicht, d.h. sie sollen ihren eingeschlagenen Weg verlassen</w:t>
      </w:r>
    </w:p>
  </w:footnote>
  <w:footnote w:id="426">
    <w:p>
      <w:pPr>
        <w:pStyle w:val="Funote"/>
        <w:rPr/>
      </w:pPr>
      <w:r>
        <w:rPr>
          <w:rStyle w:val="Funotenzeichen"/>
        </w:rPr>
        <w:footnoteRef/>
      </w:r>
      <w:r>
        <w:rPr/>
        <w:tab/>
        <w:t>Die hebr. Verbform (perf. cons.) drückt als Fortsetzung der Imperative deren Folge aus.</w:t>
      </w:r>
    </w:p>
  </w:footnote>
  <w:footnote w:id="427">
    <w:p>
      <w:pPr>
        <w:pStyle w:val="Funote"/>
        <w:rPr/>
      </w:pPr>
      <w:r>
        <w:rPr>
          <w:rStyle w:val="Funotenzeichen"/>
        </w:rPr>
        <w:footnoteRef/>
      </w:r>
      <w:r>
        <w:rPr/>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rStyle w:val="Funotenzeichen"/>
        </w:rPr>
        <w:footnoteRef/>
      </w:r>
      <w:r>
        <w:rPr/>
        <w:tab/>
        <w:t>so dass sie kamen: wörtl. und sie kamen. Das Hebräische bevorzugt die Beiordnung durch Hauptsätze, wo das Deutsche die Unterordnung durch Nebensätze hat.</w:t>
      </w:r>
    </w:p>
  </w:footnote>
  <w:footnote w:id="429">
    <w:p>
      <w:pPr>
        <w:pStyle w:val="Funote"/>
        <w:rPr/>
      </w:pPr>
      <w:r>
        <w:rPr>
          <w:rStyle w:val="Funotenzeichen"/>
        </w:rPr>
        <w:footnoteRef/>
      </w:r>
      <w:r>
        <w:rPr/>
        <w:tab/>
        <w:t>außerdem buk er Mazzen: wörtl. und Mazzen buk er; im Hebr. ein invertierter Verbalsatz, der die Erzählung unterbricht.</w:t>
      </w:r>
    </w:p>
  </w:footnote>
  <w:footnote w:id="430">
    <w:p>
      <w:pPr>
        <w:pStyle w:val="Funote"/>
        <w:rPr/>
      </w:pPr>
      <w:r>
        <w:rPr>
          <w:rStyle w:val="Funotenzeichen"/>
        </w:rPr>
        <w:footnoteRef/>
      </w:r>
      <w:r>
        <w:rPr/>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rStyle w:val="Funotenzeichen"/>
        </w:rPr>
        <w:footnoteRef/>
      </w:r>
      <w:r>
        <w:rPr/>
        <w:tab/>
        <w:t>wörtl.: Sie legten sich noch nicht schlafen und die Männer hatten … (Beiordnung statt Unterordnung)</w:t>
      </w:r>
    </w:p>
  </w:footnote>
  <w:footnote w:id="432">
    <w:p>
      <w:pPr>
        <w:pStyle w:val="Funote"/>
        <w:rPr/>
      </w:pPr>
      <w:r>
        <w:rPr>
          <w:rStyle w:val="Funotenzeichen"/>
        </w:rPr>
        <w:footnoteRef/>
      </w:r>
      <w:r>
        <w:rPr/>
        <w:tab/>
        <w:t>Ausnahme: wörtl. Ende/Grenze</w:t>
      </w:r>
    </w:p>
  </w:footnote>
  <w:footnote w:id="433">
    <w:p>
      <w:pPr>
        <w:pStyle w:val="Funote"/>
        <w:rPr/>
      </w:pPr>
      <w:r>
        <w:rPr>
          <w:rStyle w:val="Funotenzeichen"/>
        </w:rPr>
        <w:footnoteRef/>
      </w:r>
      <w:r>
        <w:rPr/>
        <w:tab/>
        <w:t>heute Nacht: wörtl. die[se] Nacht; der Artikel hat hier noch seine ursprüngliche demonstrative Funktion.</w:t>
      </w:r>
    </w:p>
  </w:footnote>
  <w:footnote w:id="434">
    <w:p>
      <w:pPr>
        <w:pStyle w:val="Funote"/>
        <w:rPr/>
      </w:pPr>
      <w:r>
        <w:rPr>
          <w:rStyle w:val="Funotenzeichen"/>
        </w:rPr>
        <w:footnoteRef/>
      </w:r>
      <w:r>
        <w:rPr/>
        <w:tab/>
        <w:t>es ihnen besorgen: wörtl. sie erkennen; hier ein euphemistischer Ausdruck für den Geschlechtsverkehr, der hier ein Akt der Demütigung sein soll.</w:t>
      </w:r>
    </w:p>
  </w:footnote>
  <w:footnote w:id="435">
    <w:p>
      <w:pPr>
        <w:pStyle w:val="Funote"/>
        <w:rPr/>
      </w:pPr>
      <w:r>
        <w:rPr>
          <w:rStyle w:val="Funotenzeichen"/>
        </w:rPr>
        <w:footnoteRef/>
      </w:r>
      <w:r>
        <w:rPr/>
        <w:tab/>
        <w:t>Das heißt vermutlich, dass er die im Haus Verbliebenen angewiesen hat die Tür hinter ihm zu verriegeln.</w:t>
      </w:r>
    </w:p>
  </w:footnote>
  <w:footnote w:id="436">
    <w:p>
      <w:pPr>
        <w:pStyle w:val="Funote"/>
        <w:rPr/>
      </w:pPr>
      <w:r>
        <w:rPr>
          <w:rStyle w:val="Funotenzeichen"/>
        </w:rPr>
        <w:footnoteRef/>
      </w:r>
      <w:r>
        <w:rPr/>
        <w:tab/>
        <w:t>wörtl. ihr mögt/dürft doch nicht böse handeln. Lot befiehlt nicht, sondern fordert sie höflich - vgl. die Anrede! - auf.</w:t>
      </w:r>
    </w:p>
  </w:footnote>
  <w:footnote w:id="437">
    <w:p>
      <w:pPr>
        <w:pStyle w:val="Funote"/>
        <w:rPr/>
      </w:pPr>
      <w:r>
        <w:rPr>
          <w:rStyle w:val="Funotenzeichen"/>
        </w:rPr>
        <w:footnoteRef/>
      </w:r>
      <w:r>
        <w:rPr/>
        <w:tab/>
        <w:t xml:space="preserve">Brüder: hier wohl im Sinne von Freunde (vgl. Ges. s.v. </w:t>
      </w:r>
      <w:r>
        <w:rPr>
          <w:rtl w:val="true"/>
          <w:lang w:bidi="he-IL"/>
        </w:rPr>
        <w:t>אָח</w:t>
      </w:r>
    </w:p>
  </w:footnote>
  <w:footnote w:id="438">
    <w:p>
      <w:pPr>
        <w:pStyle w:val="Funote"/>
        <w:rPr/>
      </w:pPr>
      <w:r>
        <w:rPr>
          <w:rStyle w:val="Funotenzeichen"/>
        </w:rPr>
        <w:footnoteRef/>
      </w:r>
      <w:r>
        <w:rPr/>
        <w:tab/>
        <w:t>keinem Mann beigewohnt: wörtl. keinen Mann erkannt; im Hebräischen eine Umschreibung für den Geschlechtsverkehr</w:t>
      </w:r>
    </w:p>
  </w:footnote>
  <w:footnote w:id="439">
    <w:p>
      <w:pPr>
        <w:pStyle w:val="Funote"/>
        <w:rPr/>
      </w:pPr>
      <w:r>
        <w:rPr>
          <w:rStyle w:val="Funotenzeichen"/>
        </w:rPr>
        <w:footnoteRef/>
      </w:r>
      <w:r>
        <w:rPr/>
        <w:tab/>
        <w:t>d.h. macht mit ihnen, was ihr wollt.</w:t>
      </w:r>
    </w:p>
  </w:footnote>
  <w:footnote w:id="440">
    <w:p>
      <w:pPr>
        <w:pStyle w:val="Funote"/>
        <w:rPr/>
      </w:pPr>
      <w:r>
        <w:rPr>
          <w:rStyle w:val="Funotenzeichen"/>
        </w:rPr>
        <w:footnoteRef/>
      </w:r>
      <w:r>
        <w:rPr/>
        <w:tab/>
        <w:t>Schutz meines Hauses: wörtl. Schatten meines Gebälks</w:t>
      </w:r>
    </w:p>
  </w:footnote>
  <w:footnote w:id="441">
    <w:p>
      <w:pPr>
        <w:pStyle w:val="Funote"/>
        <w:rPr/>
      </w:pPr>
      <w:r>
        <w:rPr>
          <w:rStyle w:val="Funotenzeichen"/>
        </w:rPr>
        <w:footnoteRef/>
      </w:r>
      <w:r>
        <w:rPr/>
        <w:tab/>
        <w:t>Mach, dass du wegkommst: wörtl. tritt näher (komm) dorthin (i.S.v. weg)</w:t>
      </w:r>
    </w:p>
  </w:footnote>
  <w:footnote w:id="442">
    <w:p>
      <w:pPr>
        <w:pStyle w:val="Funote"/>
        <w:rPr/>
      </w:pPr>
      <w:r>
        <w:rPr>
          <w:rStyle w:val="Funotenzeichen"/>
        </w:rPr>
        <w:footnoteRef/>
      </w:r>
      <w:r>
        <w:rPr/>
        <w:tab/>
        <w:t>[um] unseren Schutz zu genießen: wörtl. Schutzbürger zu sein</w:t>
      </w:r>
    </w:p>
  </w:footnote>
  <w:footnote w:id="443">
    <w:p>
      <w:pPr>
        <w:pStyle w:val="Funote"/>
        <w:rPr/>
      </w:pPr>
      <w:r>
        <w:rPr>
          <w:rStyle w:val="Funotenzeichen"/>
        </w:rPr>
        <w:footnoteRef/>
      </w:r>
      <w:r>
        <w:rPr/>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rStyle w:val="Funotenzeichen"/>
        </w:rPr>
        <w:footnoteRef/>
      </w:r>
      <w:r>
        <w:rPr/>
        <w:tab/>
        <w:t>ihretwegen: oder mehr als ihnen</w:t>
      </w:r>
    </w:p>
  </w:footnote>
  <w:footnote w:id="445">
    <w:p>
      <w:pPr>
        <w:pStyle w:val="Funote"/>
        <w:rPr/>
      </w:pPr>
      <w:r>
        <w:rPr>
          <w:rStyle w:val="Funotenzeichen"/>
        </w:rPr>
        <w:footnoteRef/>
      </w:r>
      <w:r>
        <w:rPr/>
        <w:tab/>
        <w:t>übel mitspielen: wörtl. Böses tun</w:t>
      </w:r>
    </w:p>
  </w:footnote>
  <w:footnote w:id="446">
    <w:p>
      <w:pPr>
        <w:pStyle w:val="Funote"/>
        <w:rPr/>
      </w:pPr>
      <w:r>
        <w:rPr>
          <w:rStyle w:val="Funotenzeichen"/>
        </w:rPr>
        <w:footnoteRef/>
      </w:r>
      <w:r>
        <w:rPr/>
        <w:tab/>
        <w:t xml:space="preserve">ergriffen die Männer: wörtl. streckten die Männer ihre Hand aus </w:t>
      </w:r>
    </w:p>
  </w:footnote>
  <w:footnote w:id="447">
    <w:p>
      <w:pPr>
        <w:pStyle w:val="Funote"/>
        <w:rPr/>
      </w:pPr>
      <w:r>
        <w:rPr>
          <w:rStyle w:val="Funotenzeichen"/>
        </w:rPr>
        <w:footnoteRef/>
      </w:r>
      <w:r>
        <w:rPr/>
        <w:tab/>
        <w:t>völliger Blindheit: eig. steht das Wort im Plural, der sich vielleicht auf die Mehrzahl der Männer bezieht. Das Wort erscheint nur noch in 2Kö 6,18</w:t>
      </w:r>
    </w:p>
  </w:footnote>
  <w:footnote w:id="448">
    <w:p>
      <w:pPr>
        <w:pStyle w:val="Funote"/>
        <w:rPr/>
      </w:pPr>
      <w:r>
        <w:rPr>
          <w:rStyle w:val="Funotenzeichen"/>
        </w:rPr>
        <w:footnoteRef/>
      </w:r>
      <w:r>
        <w:rPr/>
        <w:tab/>
        <w:t>d.h. ausnahmslos jeden</w:t>
      </w:r>
    </w:p>
  </w:footnote>
  <w:footnote w:id="449">
    <w:p>
      <w:pPr>
        <w:pStyle w:val="Funote"/>
        <w:rPr/>
      </w:pPr>
      <w:r>
        <w:rPr>
          <w:rStyle w:val="Funotenzeichen"/>
        </w:rPr>
        <w:footnoteRef/>
      </w:r>
      <w:r>
        <w:rPr/>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rStyle w:val="Funotenzeichen"/>
        </w:rPr>
        <w:footnoteRef/>
      </w:r>
      <w:r>
        <w:rPr/>
        <w:tab/>
        <w:t>oder: alle, die dir … gehören</w:t>
      </w:r>
    </w:p>
  </w:footnote>
  <w:footnote w:id="451">
    <w:p>
      <w:pPr>
        <w:pStyle w:val="Funote"/>
        <w:rPr/>
      </w:pPr>
      <w:r>
        <w:rPr>
          <w:rStyle w:val="Funotenzeichen"/>
        </w:rPr>
        <w:footnoteRef/>
      </w:r>
      <w:r>
        <w:rPr/>
        <w:tab/>
        <w:t xml:space="preserve">wir sind dabei zu vernichten: wörtl. wir [sind] vernichtend; das aktive Partizip markiert den (beginnenden) Vollzug einer Handlung. </w:t>
      </w:r>
    </w:p>
  </w:footnote>
  <w:footnote w:id="452">
    <w:p>
      <w:pPr>
        <w:pStyle w:val="Funote"/>
        <w:rPr/>
      </w:pPr>
      <w:r>
        <w:rPr>
          <w:rStyle w:val="Funotenzeichen"/>
        </w:rPr>
        <w:footnoteRef/>
      </w:r>
      <w:r>
        <w:rPr/>
        <w:tab/>
        <w:t>wörtl. beim Angesicht JHWHs</w:t>
      </w:r>
    </w:p>
  </w:footnote>
  <w:footnote w:id="453">
    <w:p>
      <w:pPr>
        <w:pStyle w:val="Funote"/>
        <w:rPr/>
      </w:pPr>
      <w:r>
        <w:rPr>
          <w:rStyle w:val="Funotenzeichen"/>
        </w:rPr>
        <w:footnoteRef/>
      </w:r>
      <w:r>
        <w:rPr/>
        <w:tab/>
        <w:t>die seine Töchter nehmen würden: wörtl. den seine Töchter Nehmenden</w:t>
      </w:r>
    </w:p>
  </w:footnote>
  <w:footnote w:id="454">
    <w:p>
      <w:pPr>
        <w:pStyle w:val="Funote"/>
        <w:rPr/>
      </w:pPr>
      <w:r>
        <w:rPr>
          <w:rStyle w:val="Funotenzeichen"/>
        </w:rPr>
        <w:footnoteRef/>
      </w:r>
      <w:r>
        <w:rPr/>
        <w:tab/>
        <w:t>JHWH ist im Begriff zu vernichten: wörtl. vernichtend JHWH</w:t>
      </w:r>
    </w:p>
  </w:footnote>
  <w:footnote w:id="455">
    <w:p>
      <w:pPr>
        <w:pStyle w:val="Funote"/>
        <w:rPr/>
      </w:pPr>
      <w:r>
        <w:rPr>
          <w:rStyle w:val="Funotenzeichen"/>
        </w:rPr>
        <w:footnoteRef/>
      </w:r>
      <w:r>
        <w:rPr/>
        <w:tab/>
        <w:t>da drängten die Boten: wörtl. und die Boten drängten (Beiordnung statt Unterordnung)</w:t>
      </w:r>
    </w:p>
  </w:footnote>
  <w:footnote w:id="456">
    <w:p>
      <w:pPr>
        <w:pStyle w:val="Funote"/>
        <w:rPr/>
      </w:pPr>
      <w:r>
        <w:rPr>
          <w:rStyle w:val="Funotenzeichen"/>
        </w:rPr>
        <w:footnoteRef/>
      </w:r>
      <w:r>
        <w:rPr/>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rStyle w:val="Funotenzeichen"/>
        </w:rPr>
        <w:footnoteRef/>
      </w:r>
      <w:r>
        <w:rPr/>
        <w:tab/>
        <w:t>in der Sünde: d.h. vielleicht „samt der Sünde“ (doch würde man dann eher „samt den Bewohnern“ erwarten) oder „wegen der Sünde“. Die Neue Zürcher Bibel übersetzt „im Strafgericht“</w:t>
      </w:r>
    </w:p>
  </w:footnote>
  <w:footnote w:id="458">
    <w:p>
      <w:pPr>
        <w:pStyle w:val="Funote"/>
        <w:rPr/>
      </w:pPr>
      <w:r>
        <w:rPr>
          <w:rStyle w:val="Funotenzeichen"/>
        </w:rPr>
        <w:footnoteRef/>
      </w:r>
      <w:r>
        <w:rPr/>
        <w:tab/>
        <w:t>als er zögerte: wörtl. und er zögerte und es ergriffen ihn …</w:t>
      </w:r>
    </w:p>
  </w:footnote>
  <w:footnote w:id="459">
    <w:p>
      <w:pPr>
        <w:pStyle w:val="Funote"/>
        <w:rPr/>
      </w:pPr>
      <w:r>
        <w:rPr>
          <w:rStyle w:val="Funotenzeichen"/>
        </w:rPr>
        <w:footnoteRef/>
      </w:r>
      <w:r>
        <w:rPr/>
        <w:tab/>
        <w:t>weil JHWH Mitleid mit ihm hatte: wörtl. im Mitleid JHWHs auf ihm</w:t>
      </w:r>
    </w:p>
  </w:footnote>
  <w:footnote w:id="460">
    <w:p>
      <w:pPr>
        <w:pStyle w:val="Funote"/>
        <w:rPr/>
      </w:pPr>
      <w:r>
        <w:rPr>
          <w:rStyle w:val="Funotenzeichen"/>
        </w:rPr>
        <w:footnoteRef/>
      </w:r>
      <w:r>
        <w:rPr/>
        <w:tab/>
        <w:t>da sagte [einer der Männer]: wörtl. und er sagte</w:t>
      </w:r>
    </w:p>
  </w:footnote>
  <w:footnote w:id="461">
    <w:p>
      <w:pPr>
        <w:pStyle w:val="Funote"/>
        <w:rPr/>
      </w:pPr>
      <w:r>
        <w:rPr>
          <w:rStyle w:val="Funotenzeichen"/>
        </w:rPr>
        <w:footnoteRef/>
      </w:r>
      <w:r>
        <w:rPr/>
        <w:tab/>
        <w:t>um deines Lebens willen: wörtl. auf dein Leben</w:t>
      </w:r>
    </w:p>
  </w:footnote>
  <w:footnote w:id="462">
    <w:p>
      <w:pPr>
        <w:pStyle w:val="Funote"/>
        <w:rPr/>
      </w:pPr>
      <w:r>
        <w:rPr>
          <w:rStyle w:val="Funotenzeichen"/>
        </w:rPr>
        <w:footnoteRef/>
      </w:r>
      <w:r>
        <w:rPr/>
        <w:tab/>
        <w:t>irgendwo im Umkreis: wörtl. in all dem Umkreis</w:t>
      </w:r>
    </w:p>
  </w:footnote>
  <w:footnote w:id="463">
    <w:p>
      <w:pPr>
        <w:pStyle w:val="Funote"/>
        <w:rPr/>
      </w:pPr>
      <w:r>
        <w:rPr>
          <w:rStyle w:val="Funotenzeichen"/>
        </w:rPr>
        <w:footnoteRef/>
      </w:r>
      <w:r>
        <w:rPr/>
        <w:tab/>
        <w:t>sonst wirst du: od. damit du nicht</w:t>
      </w:r>
    </w:p>
  </w:footnote>
  <w:footnote w:id="464">
    <w:p>
      <w:pPr>
        <w:pStyle w:val="Funote"/>
        <w:rPr/>
      </w:pPr>
      <w:r>
        <w:rPr>
          <w:rStyle w:val="Funotenzeichen"/>
        </w:rPr>
        <w:footnoteRef/>
      </w:r>
      <w:r>
        <w:rPr/>
        <w:tab/>
        <w:t>bei allem Respekt: wörtl. meine Herren</w:t>
      </w:r>
    </w:p>
  </w:footnote>
  <w:footnote w:id="465">
    <w:p>
      <w:pPr>
        <w:pStyle w:val="Funote"/>
        <w:rPr/>
      </w:pPr>
      <w:r>
        <w:rPr>
          <w:rStyle w:val="Funotenzeichen"/>
        </w:rPr>
        <w:footnoteRef/>
      </w:r>
      <w:r>
        <w:rPr/>
        <w:tab/>
        <w:t>du hast mir große Güte erwiesen: wörtl. du hast deine Güte groß gemacht, die du erwiesen (gemacht) hast an (mit, bei) mir</w:t>
      </w:r>
    </w:p>
  </w:footnote>
  <w:footnote w:id="466">
    <w:p>
      <w:pPr>
        <w:pStyle w:val="Funote"/>
        <w:rPr/>
      </w:pPr>
      <w:r>
        <w:rPr>
          <w:rStyle w:val="Funotenzeichen"/>
        </w:rPr>
        <w:footnoteRef/>
      </w:r>
      <w:r>
        <w:rPr/>
        <w:tab/>
        <w:t>indem du mich am leben lässt: wörtl. am leben zu lassen meine Seele</w:t>
      </w:r>
    </w:p>
  </w:footnote>
  <w:footnote w:id="467">
    <w:p>
      <w:pPr>
        <w:pStyle w:val="Funote"/>
        <w:rPr/>
      </w:pPr>
      <w:r>
        <w:rPr>
          <w:rStyle w:val="Funotenzeichen"/>
        </w:rPr>
        <w:footnoteRef/>
      </w:r>
      <w:r>
        <w:rPr/>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rStyle w:val="Funotenzeichen"/>
        </w:rPr>
        <w:footnoteRef/>
      </w:r>
      <w:r>
        <w:rPr/>
        <w:tab/>
        <w:t>od. Ich will mich dorthin retten</w:t>
      </w:r>
    </w:p>
  </w:footnote>
  <w:footnote w:id="469">
    <w:p>
      <w:pPr>
        <w:pStyle w:val="Funote"/>
        <w:rPr/>
      </w:pPr>
      <w:r>
        <w:rPr>
          <w:rStyle w:val="Funotenzeichen"/>
        </w:rPr>
        <w:footnoteRef/>
      </w:r>
      <w:r>
        <w:rPr/>
        <w:tab/>
        <w:t>klein wie sie ist: [ist] sie nicht klein?</w:t>
      </w:r>
    </w:p>
  </w:footnote>
  <w:footnote w:id="470">
    <w:p>
      <w:pPr>
        <w:pStyle w:val="Funote"/>
        <w:rPr/>
      </w:pPr>
      <w:r>
        <w:rPr>
          <w:rStyle w:val="Funotenzeichen"/>
        </w:rPr>
        <w:footnoteRef/>
      </w:r>
      <w:r>
        <w:rPr/>
        <w:tab/>
        <w:t>dann bleibe ich am leben: wörtl. und am leben bleibt meine Seele</w:t>
      </w:r>
    </w:p>
  </w:footnote>
  <w:footnote w:id="471">
    <w:p>
      <w:pPr>
        <w:pStyle w:val="Funote"/>
        <w:rPr/>
      </w:pPr>
      <w:r>
        <w:rPr>
          <w:rStyle w:val="Funotenzeichen"/>
        </w:rPr>
        <w:footnoteRef/>
      </w:r>
      <w:r>
        <w:rPr/>
        <w:tab/>
        <w:t>in dieser Sache: od. in diesem Wort</w:t>
      </w:r>
    </w:p>
  </w:footnote>
  <w:footnote w:id="472">
    <w:p>
      <w:pPr>
        <w:pStyle w:val="Funote"/>
        <w:rPr/>
      </w:pPr>
      <w:r>
        <w:rPr>
          <w:rStyle w:val="Funotenzeichen"/>
        </w:rPr>
        <w:footnoteRef/>
      </w:r>
      <w:r>
        <w:rPr/>
        <w:tab/>
        <w:t>„</w:t>
      </w:r>
      <w:r>
        <w:rPr/>
        <w:t>jmds Angesicht erheben“ ist im Hebräischen ein Idiom für vielfältige Formen freundlicher Zuwendung, hier etwa „auf jmd. Rücksicht nehmen“</w:t>
      </w:r>
    </w:p>
  </w:footnote>
  <w:footnote w:id="473">
    <w:p>
      <w:pPr>
        <w:pStyle w:val="Funote"/>
        <w:rPr/>
      </w:pPr>
      <w:r>
        <w:rPr>
          <w:rStyle w:val="Funotenzeichen"/>
        </w:rPr>
        <w:footnoteRef/>
      </w:r>
      <w:r>
        <w:rPr/>
        <w:tab/>
        <w:t>so dass ich die Stadt nicht verwüsten werde: wörtl. nicht umzuwenden meiner die Stadt</w:t>
      </w:r>
    </w:p>
  </w:footnote>
  <w:footnote w:id="474">
    <w:p>
      <w:pPr>
        <w:pStyle w:val="Funote"/>
        <w:rPr/>
      </w:pPr>
      <w:r>
        <w:rPr>
          <w:rStyle w:val="Funotenzeichen"/>
        </w:rPr>
        <w:footnoteRef/>
      </w:r>
      <w:r>
        <w:rPr/>
        <w:tab/>
        <w:t xml:space="preserve">wörtl. nicht etwas; „etwas“ ist im Hebräischen dieselbe Vokabel wie „Wort“, </w:t>
      </w:r>
      <w:r>
        <w:rPr>
          <w:rtl w:val="true"/>
          <w:lang w:bidi="he-IL"/>
        </w:rPr>
        <w:t>דָּבָר</w:t>
      </w:r>
    </w:p>
  </w:footnote>
  <w:footnote w:id="475">
    <w:p>
      <w:pPr>
        <w:pStyle w:val="Funote"/>
        <w:rPr/>
      </w:pPr>
      <w:r>
        <w:rPr>
          <w:rStyle w:val="Funotenzeichen"/>
        </w:rPr>
        <w:footnoteRef/>
      </w:r>
      <w:r>
        <w:rPr/>
        <w:tab/>
        <w:t>bis du dorthin gekommen bist: wörtl. [bis] zu deinem Kommen dorthin</w:t>
      </w:r>
    </w:p>
  </w:footnote>
  <w:footnote w:id="476">
    <w:p>
      <w:pPr>
        <w:pStyle w:val="Funote"/>
        <w:rPr/>
      </w:pPr>
      <w:r>
        <w:rPr>
          <w:rStyle w:val="Funotenzeichen"/>
        </w:rPr>
        <w:footnoteRef/>
      </w:r>
      <w:r>
        <w:rPr/>
        <w:tab/>
        <w:t>od. er</w:t>
      </w:r>
    </w:p>
  </w:footnote>
  <w:footnote w:id="477">
    <w:p>
      <w:pPr>
        <w:pStyle w:val="Funote"/>
        <w:rPr/>
      </w:pPr>
      <w:r>
        <w:rPr>
          <w:rStyle w:val="Funotenzeichen"/>
        </w:rPr>
        <w:footnoteRef/>
      </w:r>
      <w:r>
        <w:rPr/>
        <w:tab/>
        <w:t xml:space="preserve">die Stadt Zoar genannt: wörtl. den Namen der Stadt Zoar gerufen </w:t>
      </w:r>
    </w:p>
  </w:footnote>
  <w:footnote w:id="478">
    <w:p>
      <w:pPr>
        <w:pStyle w:val="Funote"/>
        <w:rPr/>
      </w:pPr>
      <w:r>
        <w:rPr>
          <w:rStyle w:val="Funotenzeichen"/>
        </w:rPr>
        <w:footnoteRef/>
      </w:r>
      <w:r>
        <w:rPr/>
        <w:tab/>
        <w:t>wörtl. hinausgegangen</w:t>
      </w:r>
    </w:p>
  </w:footnote>
  <w:footnote w:id="479">
    <w:p>
      <w:pPr>
        <w:pStyle w:val="Funote"/>
        <w:rPr/>
      </w:pPr>
      <w:r>
        <w:rPr>
          <w:rStyle w:val="Funotenzeichen"/>
        </w:rPr>
        <w:footnoteRef/>
      </w:r>
      <w:r>
        <w:rPr/>
        <w:tab/>
        <w:t>als Lot kam: wörtl. und Lot kam</w:t>
      </w:r>
    </w:p>
  </w:footnote>
  <w:footnote w:id="480">
    <w:p>
      <w:pPr>
        <w:pStyle w:val="Funote"/>
        <w:rPr/>
      </w:pPr>
      <w:r>
        <w:rPr>
          <w:rStyle w:val="Funotenzeichen"/>
        </w:rPr>
        <w:footnoteRef/>
      </w:r>
      <w:r>
        <w:rPr/>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rStyle w:val="Funotenzeichen"/>
        </w:rPr>
        <w:footnoteRef/>
      </w:r>
      <w:r>
        <w:rPr/>
        <w:tab/>
        <w:t>Textkritik: LXX und Vulgata überliefern „alles Gewächs“, allerdings ist der lectio brevior (d.h. kürzeren Lesart) des MTs der Vorzug zu geben.</w:t>
      </w:r>
    </w:p>
  </w:footnote>
  <w:footnote w:id="482">
    <w:p>
      <w:pPr>
        <w:pStyle w:val="Funote"/>
        <w:rPr/>
      </w:pPr>
      <w:r>
        <w:rPr>
          <w:rStyle w:val="Funotenzeichen"/>
        </w:rPr>
        <w:footnoteRef/>
      </w:r>
      <w:r>
        <w:rPr/>
        <w:tab/>
        <w:t>hinter: wörtl. von-hinter</w:t>
      </w:r>
    </w:p>
  </w:footnote>
  <w:footnote w:id="483">
    <w:p>
      <w:pPr>
        <w:pStyle w:val="Funote"/>
        <w:rPr/>
      </w:pPr>
      <w:r>
        <w:rPr>
          <w:rStyle w:val="Funotenzeichen"/>
        </w:rPr>
        <w:footnoteRef/>
      </w:r>
      <w:r>
        <w:rPr/>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rStyle w:val="Funotenzeichen"/>
        </w:rPr>
        <w:footnoteRef/>
      </w:r>
      <w:r>
        <w:rPr/>
        <w:tab/>
        <w:t xml:space="preserve">Die Vulgata überliefert „ubi steterat </w:t>
      </w:r>
      <w:r>
        <w:rPr>
          <w:i/>
        </w:rPr>
        <w:t>prius</w:t>
      </w:r>
      <w:r>
        <w:rPr/>
        <w:t xml:space="preserve"> cum Domino“ d.h. wo er </w:t>
      </w:r>
      <w:r>
        <w:rPr>
          <w:i/>
        </w:rPr>
        <w:t>zuvor</w:t>
      </w:r>
      <w:r>
        <w:rPr/>
        <w:t xml:space="preserve"> mit (bei) dem Herrn gestanden hatte. Dabei handelt es sich sehr wahrscheinlich um einen erklärenden Zusatz (vgl. MT und Vulgata in Lev 16,23; Num 5,25; 31,12; Ri 18,14).</w:t>
      </w:r>
    </w:p>
  </w:footnote>
  <w:footnote w:id="485">
    <w:p>
      <w:pPr>
        <w:pStyle w:val="Funote"/>
        <w:rPr/>
      </w:pPr>
      <w:r>
        <w:rPr>
          <w:rStyle w:val="Funotenzeichen"/>
        </w:rPr>
        <w:footnoteRef/>
      </w:r>
      <w:r>
        <w:rPr/>
        <w:tab/>
        <w:t>auf Sodom und Gomorra: wörtl. auf die Fläche (das Angesicht) Sodoms und Gomorras</w:t>
      </w:r>
    </w:p>
  </w:footnote>
  <w:footnote w:id="486">
    <w:p>
      <w:pPr>
        <w:pStyle w:val="Funote"/>
        <w:rPr/>
      </w:pPr>
      <w:r>
        <w:rPr>
          <w:rStyle w:val="Funotenzeichen"/>
        </w:rPr>
        <w:footnoteRef/>
      </w:r>
      <w:r>
        <w:rPr/>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rStyle w:val="Funotenzeichen"/>
        </w:rPr>
        <w:footnoteRef/>
      </w:r>
      <w:r>
        <w:rPr/>
        <w:tab/>
        <w:t>das ganze Umland: wörtl. die ganze Fläche des Landes des Umkreises</w:t>
      </w:r>
    </w:p>
  </w:footnote>
  <w:footnote w:id="488">
    <w:p>
      <w:pPr>
        <w:pStyle w:val="Funote"/>
        <w:rPr/>
      </w:pPr>
      <w:r>
        <w:rPr>
          <w:rStyle w:val="Funotenzeichen"/>
        </w:rPr>
        <w:footnoteRef/>
      </w:r>
      <w:r>
        <w:rPr/>
        <w:tab/>
        <w:t>Rauch vom Land: wörtl. der Rauch des Landes</w:t>
      </w:r>
    </w:p>
  </w:footnote>
  <w:footnote w:id="489">
    <w:p>
      <w:pPr>
        <w:pStyle w:val="Funote"/>
        <w:rPr/>
      </w:pPr>
      <w:r>
        <w:rPr>
          <w:rStyle w:val="Funotenzeichen"/>
        </w:rPr>
        <w:footnoteRef/>
      </w:r>
      <w:r>
        <w:rPr/>
        <w:tab/>
        <w:t>wörtl. des Schmelzofens</w:t>
      </w:r>
    </w:p>
  </w:footnote>
  <w:footnote w:id="490">
    <w:p>
      <w:pPr>
        <w:pStyle w:val="Funote"/>
        <w:rPr/>
      </w:pPr>
      <w:r>
        <w:rPr>
          <w:rStyle w:val="Funotenzeichen"/>
        </w:rPr>
        <w:footnoteRef/>
      </w:r>
      <w:r>
        <w:rPr/>
        <w:tab/>
        <w:t>als Gott die umliegenden Städte vernichtete: wörtl. im Vernichten Gottes die Städte des Umkreises</w:t>
      </w:r>
    </w:p>
  </w:footnote>
  <w:footnote w:id="491">
    <w:p>
      <w:pPr>
        <w:pStyle w:val="Funote"/>
        <w:rPr/>
      </w:pPr>
      <w:r>
        <w:rPr>
          <w:rStyle w:val="Funotenzeichen"/>
        </w:rPr>
        <w:footnoteRef/>
      </w:r>
      <w:r>
        <w:rPr/>
        <w:tab/>
        <w:t>gedachte: im Sinn von "wandte sich gnädig zu"</w:t>
      </w:r>
    </w:p>
  </w:footnote>
  <w:footnote w:id="492">
    <w:p>
      <w:pPr>
        <w:pStyle w:val="Funote"/>
        <w:rPr/>
      </w:pPr>
      <w:r>
        <w:rPr>
          <w:rStyle w:val="Funotenzeichen"/>
        </w:rPr>
        <w:footnoteRef/>
      </w:r>
      <w:r>
        <w:rPr/>
        <w:tab/>
        <w:t>ließ Lot ... ziehen: od. schickte Lot</w:t>
      </w:r>
    </w:p>
  </w:footnote>
  <w:footnote w:id="493">
    <w:p>
      <w:pPr>
        <w:pStyle w:val="Funote"/>
        <w:rPr/>
      </w:pPr>
      <w:r>
        <w:rPr>
          <w:rStyle w:val="Funotenzeichen"/>
        </w:rPr>
        <w:footnoteRef/>
      </w:r>
      <w:r>
        <w:rPr/>
        <w:tab/>
        <w:t>als er die Städte zerstörte: wörtl. im Zerstören der Städte</w:t>
      </w:r>
    </w:p>
  </w:footnote>
  <w:footnote w:id="494">
    <w:p>
      <w:pPr>
        <w:pStyle w:val="Funote"/>
        <w:rPr/>
      </w:pPr>
      <w:r>
        <w:rPr>
          <w:rStyle w:val="Funotenzeichen"/>
        </w:rPr>
        <w:footnoteRef/>
      </w:r>
      <w:r>
        <w:rPr/>
        <w:tab/>
        <w:t>so wohnte er: wörtl. und er wohnte</w:t>
      </w:r>
    </w:p>
  </w:footnote>
  <w:footnote w:id="495">
    <w:p>
      <w:pPr>
        <w:pStyle w:val="Funote"/>
        <w:rPr/>
      </w:pPr>
      <w:r>
        <w:rPr>
          <w:rStyle w:val="Funotenzeichen"/>
        </w:rPr>
        <w:footnoteRef/>
      </w:r>
      <w:r>
        <w:rPr/>
        <w:tab/>
        <w:t>in einer Höhle: wörtl. in der Höhle; Artikel vor allgemein bekannten Gattungsbegriffen (vgl. er ging in die Berge/ins Gebirge; er fuhr auf das Meer hinaus; viele Menschen leben auf dem Land)</w:t>
      </w:r>
    </w:p>
  </w:footnote>
  <w:footnote w:id="496">
    <w:p>
      <w:pPr>
        <w:pStyle w:val="Funote"/>
        <w:rPr/>
      </w:pPr>
      <w:r>
        <w:rPr>
          <w:rStyle w:val="Funotenzeichen"/>
        </w:rPr>
        <w:footnoteRef/>
      </w:r>
      <w:r>
        <w:rPr/>
        <w:tab/>
        <w:t>die ältere [Tochter] zu der jüngeren: wörtl. die Erstgeborene zu der Jungen; das Hebräische kennt keine Steigerungsformen des Adjektivs.</w:t>
      </w:r>
    </w:p>
  </w:footnote>
  <w:footnote w:id="497">
    <w:p>
      <w:pPr>
        <w:pStyle w:val="Funote"/>
        <w:rPr/>
      </w:pPr>
      <w:r>
        <w:rPr>
          <w:rStyle w:val="Funotenzeichen"/>
        </w:rPr>
        <w:footnoteRef/>
      </w:r>
      <w:r>
        <w:rPr/>
        <w:tab/>
        <w:t>sich mit uns zu verbinden: wörtl. hineinzugehen zu (od. auf) uns</w:t>
      </w:r>
    </w:p>
  </w:footnote>
  <w:footnote w:id="498">
    <w:p>
      <w:pPr>
        <w:pStyle w:val="Funote"/>
        <w:rPr/>
      </w:pPr>
      <w:r>
        <w:rPr>
          <w:rStyle w:val="Funotenzeichen"/>
        </w:rPr>
        <w:footnoteRef/>
      </w:r>
      <w:r>
        <w:rPr/>
        <w:tab/>
        <w:t>wie das in aller Welt geschieht: wörtl. wie es der Weg der ganzen Erde [ist]</w:t>
      </w:r>
    </w:p>
  </w:footnote>
  <w:footnote w:id="499">
    <w:p>
      <w:pPr>
        <w:pStyle w:val="Funote"/>
        <w:rPr/>
      </w:pPr>
      <w:r>
        <w:rPr>
          <w:rStyle w:val="Funotenzeichen"/>
        </w:rPr>
        <w:footnoteRef/>
      </w:r>
      <w:r>
        <w:rPr>
          <w:i/>
        </w:rPr>
        <w:tab/>
        <w:t>betrunken machen</w:t>
      </w:r>
      <w:r>
        <w:rPr/>
        <w:t xml:space="preserve"> - wörtl.: Wein trinken lassen</w:t>
      </w:r>
    </w:p>
  </w:footnote>
  <w:footnote w:id="500">
    <w:p>
      <w:pPr>
        <w:pStyle w:val="Funote"/>
        <w:rPr/>
      </w:pPr>
      <w:r>
        <w:rPr>
          <w:rStyle w:val="Funotenzeichen"/>
        </w:rPr>
        <w:footnoteRef/>
      </w:r>
      <w:r>
        <w:rPr>
          <w:i/>
        </w:rPr>
        <w:tab/>
        <w:t>um …zu und um ... zu</w:t>
      </w:r>
      <w:r>
        <w:rPr/>
        <w:t xml:space="preserve"> - oder und wir werden ... und wir werden ...</w:t>
      </w:r>
    </w:p>
  </w:footnote>
  <w:footnote w:id="501">
    <w:p>
      <w:pPr>
        <w:pStyle w:val="Funote"/>
        <w:rPr/>
      </w:pPr>
      <w:r>
        <w:rPr>
          <w:rStyle w:val="Funotenzeichen"/>
        </w:rPr>
        <w:footnoteRef/>
      </w:r>
      <w:r>
        <w:rPr>
          <w:i/>
        </w:rPr>
        <w:tab/>
        <w:t>heute Nacht</w:t>
      </w:r>
      <w:r>
        <w:rPr/>
        <w:t xml:space="preserve"> - wörtl. die Nacht = diese Nacht; der Artikel hat hier noch seine ursprüngliche demonstraktive Funktion.</w:t>
      </w:r>
    </w:p>
  </w:footnote>
  <w:footnote w:id="502">
    <w:p>
      <w:pPr>
        <w:pStyle w:val="Funote"/>
        <w:rPr/>
      </w:pPr>
      <w:r>
        <w:rPr>
          <w:rStyle w:val="Funotenzeichen"/>
        </w:rPr>
        <w:footnoteRef/>
      </w:r>
      <w:r>
        <w:rPr/>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Style w:val="Funotenzeichen"/>
        </w:rPr>
        <w:footnoteRef/>
      </w:r>
      <w:r>
        <w:rPr>
          <w:rtl w:val="true"/>
          <w:lang w:bidi="he-IL"/>
        </w:rPr>
        <w:tab/>
        <w:t>מוֹאָב</w:t>
      </w:r>
      <w:r>
        <w:rPr/>
        <w:t xml:space="preserve"> </w:t>
      </w:r>
      <w:r>
        <w:rPr/>
        <w:t xml:space="preserve">(môʾāb) klingt so ähnlich wie </w:t>
      </w:r>
      <w:r>
        <w:rPr>
          <w:rtl w:val="true"/>
          <w:lang w:bidi="he-IL"/>
        </w:rPr>
        <w:t>מֵאָב</w:t>
      </w:r>
      <w:r>
        <w:rPr/>
        <w:t xml:space="preserve"> </w:t>
      </w:r>
      <w:r>
        <w:rPr/>
        <w:t xml:space="preserve">(mēʾāb) d.h. </w:t>
      </w:r>
      <w:r>
        <w:rPr>
          <w:i/>
        </w:rPr>
        <w:t>vom Vater</w:t>
      </w:r>
    </w:p>
  </w:footnote>
  <w:footnote w:id="504">
    <w:p>
      <w:pPr>
        <w:pStyle w:val="Funote"/>
        <w:rPr/>
      </w:pPr>
      <w:r>
        <w:rPr>
          <w:rStyle w:val="Funotenzeichen"/>
        </w:rPr>
        <w:footnoteRef/>
      </w:r>
      <w:r>
        <w:rPr/>
        <w:tab/>
        <w:t>d.h. der heutigen Moabiter</w:t>
      </w:r>
    </w:p>
  </w:footnote>
  <w:footnote w:id="505">
    <w:p>
      <w:pPr>
        <w:pStyle w:val="Funote"/>
        <w:rPr/>
      </w:pPr>
      <w:r>
        <w:rPr>
          <w:rStyle w:val="Funotenzeichen"/>
        </w:rPr>
        <w:footnoteRef/>
      </w:r>
      <w:r>
        <w:rPr/>
        <w:tab/>
        <w:t xml:space="preserve">d.h. </w:t>
      </w:r>
      <w:r>
        <w:rPr>
          <w:i/>
        </w:rPr>
        <w:t>Sohn meines (nächsten) Verwandten</w:t>
      </w:r>
    </w:p>
  </w:footnote>
  <w:footnote w:id="506">
    <w:p>
      <w:pPr>
        <w:pStyle w:val="Funote"/>
        <w:rPr/>
      </w:pPr>
      <w:r>
        <w:rPr>
          <w:rStyle w:val="Funotenzeichen"/>
        </w:rPr>
        <w:footnoteRef/>
      </w:r>
      <w:r>
        <w:rPr/>
        <w:tab/>
        <w:t xml:space="preserve">Hebräisch </w:t>
      </w:r>
      <w:r>
        <w:rPr>
          <w:rtl w:val="true"/>
          <w:lang w:bidi="he-IL"/>
        </w:rPr>
        <w:t>בְנֵי־עַמּוֹן</w:t>
      </w:r>
      <w:r>
        <w:rPr/>
        <w:t xml:space="preserve"> </w:t>
      </w:r>
      <w:r>
        <w:rPr/>
        <w:t xml:space="preserve">(bənê-ʿammôn) d.h. </w:t>
      </w:r>
      <w:r>
        <w:rPr>
          <w:i/>
        </w:rPr>
        <w:t>der Söhne Ammon</w:t>
      </w:r>
    </w:p>
  </w:footnote>
  <w:footnote w:id="507">
    <w:p>
      <w:pPr>
        <w:pStyle w:val="Funote"/>
        <w:rPr/>
      </w:pPr>
      <w:r>
        <w:rPr>
          <w:rStyle w:val="Funotenzeichen"/>
        </w:rPr>
        <w:footnoteRef/>
      </w:r>
      <w:r>
        <w:rPr/>
        <w:tab/>
        <w:t>d.h. der heutigen Ammoniter</w:t>
      </w:r>
    </w:p>
  </w:footnote>
  <w:footnote w:id="508">
    <w:p>
      <w:pPr>
        <w:pStyle w:val="Funote"/>
        <w:rPr/>
      </w:pPr>
      <w:r>
        <w:rPr>
          <w:rStyle w:val="Funotenzeichen"/>
        </w:rPr>
        <w:footnoteRef/>
      </w:r>
      <w:r>
        <w:rPr/>
        <w:tab/>
        <w:t>[Status: Ungeprüft]</w:t>
      </w:r>
    </w:p>
  </w:footnote>
  <w:footnote w:id="509">
    <w:p>
      <w:pPr>
        <w:pStyle w:val="Funote"/>
        <w:rPr/>
      </w:pPr>
      <w:r>
        <w:rPr>
          <w:rStyle w:val="Funotenzeichen"/>
        </w:rPr>
        <w:footnoteRef/>
      </w:r>
      <w:r>
        <w:rPr/>
        <w:tab/>
        <w:t xml:space="preserve">Wörtl.: König. Die kanaanäischen Stadtfürsten wurden als </w:t>
      </w:r>
      <w:r>
        <w:rPr>
          <w:rtl w:val="true"/>
          <w:lang w:bidi="he-IL"/>
        </w:rPr>
        <w:t>מֶלֶך</w:t>
      </w:r>
      <w:r>
        <w:rPr/>
        <w:t>, König, bezeichnet.</w:t>
      </w:r>
    </w:p>
  </w:footnote>
  <w:footnote w:id="510">
    <w:p>
      <w:pPr>
        <w:pStyle w:val="Funote"/>
        <w:rPr/>
      </w:pPr>
      <w:r>
        <w:rPr>
          <w:rStyle w:val="Funotenzeichen"/>
        </w:rPr>
        <w:footnoteRef/>
      </w:r>
      <w:r>
        <w:rPr/>
        <w:tab/>
        <w:t>Wörtl.: zur Frau genommen von einem Eheherrn</w:t>
      </w:r>
    </w:p>
  </w:footnote>
  <w:footnote w:id="511">
    <w:p>
      <w:pPr>
        <w:pStyle w:val="Funote"/>
        <w:rPr/>
      </w:pPr>
      <w:r>
        <w:rPr>
          <w:rStyle w:val="Funotenzeichen"/>
        </w:rPr>
        <w:footnoteRef/>
      </w:r>
      <w:r>
        <w:rPr/>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rStyle w:val="Funotenzeichen"/>
        </w:rPr>
        <w:footnoteRef/>
      </w:r>
      <w:r>
        <w:rPr/>
        <w:tab/>
        <w:t xml:space="preserve">Es steht da: </w:t>
      </w:r>
      <w:r>
        <w:rPr>
          <w:rtl w:val="true"/>
          <w:lang w:bidi="he-IL"/>
        </w:rPr>
        <w:t>הוא</w:t>
      </w:r>
      <w:r>
        <w:rPr/>
        <w:t>, er, aber vokalisiert ist das Femininum.</w:t>
      </w:r>
    </w:p>
  </w:footnote>
  <w:footnote w:id="513">
    <w:p>
      <w:pPr>
        <w:pStyle w:val="Funote"/>
        <w:rPr/>
      </w:pPr>
      <w:r>
        <w:rPr>
          <w:rStyle w:val="Funotenzeichen"/>
        </w:rPr>
        <w:footnoteRef/>
      </w:r>
      <w:r>
        <w:rPr/>
        <w:tab/>
        <w:t>Imperativ</w:t>
      </w:r>
    </w:p>
  </w:footnote>
  <w:footnote w:id="514">
    <w:p>
      <w:pPr>
        <w:pStyle w:val="Funote"/>
        <w:rPr/>
      </w:pPr>
      <w:r>
        <w:rPr>
          <w:rStyle w:val="Funotenzeichen"/>
        </w:rPr>
        <w:footnoteRef/>
      </w:r>
      <w:hyperlink r:id="rId7">
        <w:r>
          <w:rPr>
            <w:rStyle w:val="Internetverknpfung"/>
          </w:rPr>
          <w:tab/>
          <w:t>figura etymologica</w:t>
        </w:r>
      </w:hyperlink>
    </w:p>
  </w:footnote>
  <w:footnote w:id="515">
    <w:p>
      <w:pPr>
        <w:pStyle w:val="Funote"/>
        <w:rPr/>
      </w:pPr>
      <w:r>
        <w:rPr>
          <w:rStyle w:val="Funotenzeichen"/>
        </w:rPr>
        <w:footnoteRef/>
      </w:r>
      <w:r>
        <w:rPr/>
        <w:tab/>
        <w:t>Wörtl.: Erzählte all diese Worte vor ihren Ohren</w:t>
      </w:r>
    </w:p>
  </w:footnote>
  <w:footnote w:id="516">
    <w:p>
      <w:pPr>
        <w:pStyle w:val="Funote"/>
        <w:rPr/>
      </w:pPr>
      <w:r>
        <w:rPr>
          <w:rStyle w:val="Funotenzeichen"/>
        </w:rPr>
        <w:footnoteRef/>
      </w:r>
      <w:r>
        <w:rPr/>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rStyle w:val="Funotenzeichen"/>
        </w:rPr>
        <w:footnoteRef/>
      </w:r>
      <w:r>
        <w:rPr/>
        <w:tab/>
        <w:t>Gemeint ist: Mein Land steht dir offen</w:t>
      </w:r>
    </w:p>
  </w:footnote>
  <w:footnote w:id="518">
    <w:p>
      <w:pPr>
        <w:pStyle w:val="Funote"/>
        <w:rPr/>
      </w:pPr>
      <w:r>
        <w:rPr>
          <w:rStyle w:val="Funotenzeichen"/>
        </w:rPr>
        <w:footnoteRef/>
      </w:r>
      <w:r>
        <w:rPr/>
        <w:tab/>
        <w:t>Wörtl.: Wo es in deinen Augen gut ist</w:t>
      </w:r>
    </w:p>
  </w:footnote>
  <w:footnote w:id="519">
    <w:p>
      <w:pPr>
        <w:pStyle w:val="Funote"/>
        <w:rPr/>
      </w:pPr>
      <w:r>
        <w:rPr>
          <w:rStyle w:val="Funotenzeichen"/>
        </w:rPr>
        <w:footnoteRef/>
      </w:r>
      <w:r>
        <w:rPr/>
        <w:tab/>
        <w:t>Wörtl.: eine Decke der Augen</w:t>
      </w:r>
    </w:p>
  </w:footnote>
  <w:footnote w:id="520">
    <w:p>
      <w:pPr>
        <w:pStyle w:val="Funote"/>
        <w:rPr/>
      </w:pPr>
      <w:r>
        <w:rPr>
          <w:rStyle w:val="Funotenzeichen"/>
        </w:rPr>
        <w:footnoteRef/>
      </w:r>
      <w:hyperlink r:id="rId8">
        <w:r>
          <w:rPr>
            <w:rStyle w:val="Internetverknpfung"/>
          </w:rPr>
          <w:tab/>
          <w:t>figura etymologica</w:t>
        </w:r>
      </w:hyperlink>
    </w:p>
  </w:footnote>
  <w:footnote w:id="521">
    <w:p>
      <w:pPr>
        <w:pStyle w:val="Funote"/>
        <w:rPr/>
      </w:pPr>
      <w:r>
        <w:rPr>
          <w:rStyle w:val="Funotenzeichen"/>
        </w:rPr>
        <w:footnoteRef/>
      </w:r>
      <w:r>
        <w:rPr/>
        <w:tab/>
        <w:t>[Status: Ungeprüft]</w:t>
      </w:r>
    </w:p>
  </w:footnote>
  <w:footnote w:id="522">
    <w:p>
      <w:pPr>
        <w:pStyle w:val="Funote"/>
        <w:rPr/>
      </w:pPr>
      <w:r>
        <w:rPr>
          <w:rStyle w:val="Funotenzeichen"/>
        </w:rPr>
        <w:footnoteRef/>
      </w:r>
      <w:r>
        <w:rPr/>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rStyle w:val="Funotenzeichen"/>
        </w:rPr>
        <w:footnoteRef/>
      </w:r>
      <w:r>
        <w:rPr/>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rStyle w:val="Funotenzeichen"/>
        </w:rPr>
        <w:footnoteRef/>
      </w:r>
      <w:r>
        <w:rPr/>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rStyle w:val="Funotenzeichen"/>
        </w:rPr>
        <w:footnoteRef/>
      </w:r>
      <w:r>
        <w:rPr/>
        <w:tab/>
        <w:t>Im Syrischen wird mit diesem Wort der Beifuß, Artemisia, bezeichnet. Beifuß ist kein Strauch, sondern eine Staude, die nicht viel Schatten hergibt.</w:t>
      </w:r>
    </w:p>
  </w:footnote>
  <w:footnote w:id="526">
    <w:p>
      <w:pPr>
        <w:pStyle w:val="Funote"/>
        <w:rPr/>
      </w:pPr>
      <w:r>
        <w:rPr>
          <w:rStyle w:val="Funotenzeichen"/>
        </w:rPr>
        <w:footnoteRef/>
      </w:r>
      <w:r>
        <w:rPr/>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rStyle w:val="Funotenzeichen"/>
        </w:rPr>
        <w:footnoteRef/>
      </w:r>
      <w:r>
        <w:rPr/>
        <w:tab/>
        <w:t>Wörtl.: hier, eine Ortsangabe. Ich denke, es ist auf Gott zu beziehen.</w:t>
      </w:r>
    </w:p>
  </w:footnote>
  <w:footnote w:id="528">
    <w:p>
      <w:pPr>
        <w:pStyle w:val="Funote"/>
        <w:rPr/>
      </w:pPr>
      <w:r>
        <w:rPr>
          <w:rStyle w:val="Funotenzeichen"/>
        </w:rPr>
        <w:footnoteRef/>
      </w:r>
      <w:r>
        <w:rPr/>
        <w:tab/>
        <w:t>Das sind Ziegen und Schafe</w:t>
      </w:r>
    </w:p>
  </w:footnote>
  <w:footnote w:id="529">
    <w:p>
      <w:pPr>
        <w:pStyle w:val="Funote"/>
        <w:rPr/>
      </w:pPr>
      <w:r>
        <w:rPr>
          <w:rStyle w:val="Funotenzeichen"/>
        </w:rPr>
        <w:footnoteRef/>
      </w:r>
      <w:r>
        <w:rPr/>
        <w:tab/>
        <w:t>Also: Warum hast du diese sieben Lämmer für sich hingestellt?</w:t>
      </w:r>
    </w:p>
  </w:footnote>
  <w:footnote w:id="530">
    <w:p>
      <w:pPr>
        <w:pStyle w:val="Funote"/>
        <w:rPr/>
      </w:pPr>
      <w:r>
        <w:rPr>
          <w:rStyle w:val="Funotenzeichen"/>
        </w:rPr>
        <w:footnoteRef/>
      </w:r>
      <w:r>
        <w:rPr>
          <w:rtl w:val="true"/>
          <w:lang w:bidi="he-IL"/>
        </w:rPr>
        <w:tab/>
        <w:t>כִי</w:t>
      </w:r>
      <w:r>
        <w:rPr/>
        <w:t xml:space="preserve"> </w:t>
      </w:r>
      <w:r>
        <w:rPr/>
        <w:t>steht hier zur Einführung der direkten Rede, vgl. Gesenius S. 342</w:t>
      </w:r>
    </w:p>
  </w:footnote>
  <w:footnote w:id="531">
    <w:p>
      <w:pPr>
        <w:pStyle w:val="Funote"/>
        <w:rPr/>
      </w:pPr>
      <w:r>
        <w:rPr>
          <w:rStyle w:val="Funotenzeichen"/>
        </w:rPr>
        <w:footnoteRef/>
      </w:r>
      <w:r>
        <w:rPr/>
        <w:tab/>
        <w:t>[Status: Ungeprüft]</w:t>
      </w:r>
    </w:p>
  </w:footnote>
  <w:footnote w:id="532">
    <w:p>
      <w:pPr>
        <w:pStyle w:val="Funote"/>
        <w:rPr/>
      </w:pPr>
      <w:r>
        <w:rPr>
          <w:rStyle w:val="Funotenzeichen"/>
        </w:rPr>
        <w:footnoteRef/>
      </w:r>
      <w:r>
        <w:rPr/>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3">
    <w:p>
      <w:pPr>
        <w:pStyle w:val="Funote"/>
        <w:rPr/>
      </w:pPr>
      <w:r>
        <w:rPr>
          <w:rStyle w:val="Funotenzeichen"/>
        </w:rPr>
        <w:footnoteRef/>
      </w:r>
      <w:r>
        <w:rPr/>
        <w:tab/>
        <w:t>„</w:t>
      </w:r>
      <w:r>
        <w:rPr/>
        <w:t>naar“ - im Unterschied zu „äbäd“ - heißt auch Knabe; Isaak wird in V. 5 so bezeichnet.</w:t>
      </w:r>
    </w:p>
  </w:footnote>
  <w:footnote w:id="534">
    <w:p>
      <w:pPr>
        <w:pStyle w:val="Funote"/>
        <w:rPr/>
      </w:pPr>
      <w:r>
        <w:rPr>
          <w:rStyle w:val="Funotenzeichen"/>
        </w:rPr>
        <w:footnoteRef/>
      </w:r>
      <w:r>
        <w:rPr/>
        <w:tab/>
        <w:t xml:space="preserve">Kann man „aze ola“ als Constructusverbindung ansprechen? Dann wäre es am besten als Compositum „Brandopferholz“ wiederzugeben. </w:t>
      </w:r>
    </w:p>
  </w:footnote>
  <w:footnote w:id="535">
    <w:p>
      <w:pPr>
        <w:pStyle w:val="Funote"/>
        <w:rPr/>
      </w:pPr>
      <w:r>
        <w:rPr>
          <w:rStyle w:val="Funotenzeichen"/>
        </w:rPr>
        <w:footnoteRef/>
      </w:r>
      <w:r>
        <w:rPr/>
        <w:tab/>
        <w:t>„</w:t>
      </w:r>
      <w:r>
        <w:rPr/>
        <w:t xml:space="preserve">Sä“ ist Schaf oder Ziege; die Übersetzung „Lamm“ (so die Einheitsübersetzung) geht zu weit. </w:t>
      </w:r>
    </w:p>
  </w:footnote>
  <w:footnote w:id="536">
    <w:p>
      <w:pPr>
        <w:pStyle w:val="Funote"/>
        <w:rPr/>
      </w:pPr>
      <w:r>
        <w:rPr>
          <w:rStyle w:val="Funotenzeichen"/>
        </w:rPr>
        <w:footnoteRef/>
      </w:r>
      <w:r>
        <w:rPr/>
        <w:tab/>
        <w:t xml:space="preserve">Eine der vielen Bedeutungen von „raah“, sehen, das in diesem Text ein Schlüsselwort ist, vgl. Vers 14. </w:t>
      </w:r>
    </w:p>
  </w:footnote>
  <w:footnote w:id="537">
    <w:p>
      <w:pPr>
        <w:pStyle w:val="Funote"/>
        <w:rPr/>
      </w:pPr>
      <w:r>
        <w:rPr>
          <w:rStyle w:val="Funotenzeichen"/>
        </w:rPr>
        <w:footnoteRef/>
      </w:r>
      <w:r>
        <w:rPr/>
        <w:tab/>
        <w:t xml:space="preserve">Man beachte den Wechsel ins Hif'il und die Parallelstelle 2.Chronik 3,1, das einzige andere Vorkommen des Namens Morija im Ersten Testament: Der Berg Morija wird dort mit dem Jerusalemer Tempelberg identifiziert. </w:t>
      </w:r>
    </w:p>
  </w:footnote>
  <w:footnote w:id="538">
    <w:p>
      <w:pPr>
        <w:pStyle w:val="Funote"/>
        <w:rPr/>
      </w:pPr>
      <w:r>
        <w:rPr>
          <w:rStyle w:val="Funotenzeichen"/>
        </w:rPr>
        <w:footnoteRef/>
      </w:r>
      <w:r>
        <w:rPr/>
        <w:tab/>
        <w:t>Im Schwursatz steht das Verb im konstatierenden Perfekt, weil Aussage und Vollzug der Handlung zusammenfallen (Brockelmann, Syntax, § 41 d.).</w:t>
      </w:r>
    </w:p>
  </w:footnote>
  <w:footnote w:id="539">
    <w:p>
      <w:pPr>
        <w:pStyle w:val="Funote"/>
        <w:rPr/>
      </w:pPr>
      <w:r>
        <w:rPr>
          <w:rStyle w:val="Funotenzeichen"/>
        </w:rPr>
        <w:footnoteRef/>
      </w:r>
      <w:r>
        <w:rPr>
          <w:rtl w:val="true"/>
          <w:lang w:bidi="he-IL"/>
        </w:rPr>
        <w:tab/>
        <w:t>כי</w:t>
      </w:r>
      <w:r>
        <w:rPr/>
        <w:t xml:space="preserve"> </w:t>
      </w:r>
      <w:r>
        <w:rPr/>
        <w:t>hat im Schwursatz die Funktion einer Bekräftigung.</w:t>
      </w:r>
    </w:p>
  </w:footnote>
  <w:footnote w:id="540">
    <w:p>
      <w:pPr>
        <w:pStyle w:val="Funote"/>
        <w:rPr/>
      </w:pPr>
      <w:r>
        <w:rPr>
          <w:rStyle w:val="Funotenzeichen"/>
        </w:rPr>
        <w:footnoteRef/>
      </w:r>
      <w:hyperlink r:id="rId9">
        <w:r>
          <w:rPr>
            <w:rStyle w:val="Internetverknpfung"/>
          </w:rPr>
          <w:tab/>
          <w:t>figura etymologica</w:t>
        </w:r>
      </w:hyperlink>
      <w:r>
        <w:rPr/>
        <w:t>: Das finite Verb wird durch den Inf. abs. verstärkt.</w:t>
      </w:r>
    </w:p>
  </w:footnote>
  <w:footnote w:id="541">
    <w:p>
      <w:pPr>
        <w:pStyle w:val="Funote"/>
        <w:rPr/>
      </w:pPr>
      <w:r>
        <w:rPr>
          <w:rStyle w:val="Funotenzeichen"/>
        </w:rPr>
        <w:footnoteRef/>
      </w:r>
      <w:r>
        <w:rPr/>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2">
    <w:p>
      <w:pPr>
        <w:pStyle w:val="Funote"/>
        <w:rPr/>
      </w:pPr>
      <w:r>
        <w:rPr>
          <w:rStyle w:val="Funotenzeichen"/>
        </w:rPr>
        <w:footnoteRef/>
      </w:r>
      <w:r>
        <w:rPr/>
        <w:tab/>
        <w:t>[Status: Ungeprüft]</w:t>
      </w:r>
    </w:p>
  </w:footnote>
  <w:footnote w:id="543">
    <w:p>
      <w:pPr>
        <w:pStyle w:val="Funote"/>
        <w:rPr/>
      </w:pPr>
      <w:r>
        <w:rPr>
          <w:rStyle w:val="Funotenzeichen"/>
        </w:rPr>
        <w:footnoteRef/>
      </w:r>
      <w:r>
        <w:rPr>
          <w:rtl w:val="true"/>
          <w:lang w:bidi="he-IL"/>
        </w:rPr>
        <w:tab/>
        <w:t>קִרְיָה</w:t>
      </w:r>
      <w:r>
        <w:rPr/>
        <w:t xml:space="preserve"> </w:t>
      </w:r>
      <w:r>
        <w:rPr/>
        <w:t xml:space="preserve">bedeutet „Stadt, Ortschaft“, </w:t>
      </w:r>
      <w:r>
        <w:rPr>
          <w:rtl w:val="true"/>
          <w:lang w:bidi="he-IL"/>
        </w:rPr>
        <w:t>אַרְבַּע</w:t>
      </w:r>
      <w:r>
        <w:rPr/>
        <w:t xml:space="preserve"> </w:t>
      </w:r>
      <w:r>
        <w:rPr/>
        <w:t>ist „vier“, also wörtlich: Vierstadt.</w:t>
      </w:r>
    </w:p>
  </w:footnote>
  <w:footnote w:id="544">
    <w:p>
      <w:pPr>
        <w:pStyle w:val="Funote"/>
        <w:rPr/>
      </w:pPr>
      <w:r>
        <w:rPr>
          <w:rStyle w:val="Funotenzeichen"/>
        </w:rPr>
        <w:footnoteRef/>
      </w:r>
      <w:hyperlink r:id="rId10">
        <w:r>
          <w:rPr>
            <w:rStyle w:val="Internetverknpfung"/>
          </w:rPr>
          <w:tab/>
          <w:t>Waw-Perfekt</w:t>
        </w:r>
      </w:hyperlink>
      <w:r>
        <w:rPr/>
        <w:t xml:space="preserve"> (Narrativ), wörtlich: Und Abraham erhob sich.</w:t>
      </w:r>
    </w:p>
  </w:footnote>
  <w:footnote w:id="545">
    <w:p>
      <w:pPr>
        <w:pStyle w:val="Funote"/>
        <w:rPr/>
      </w:pPr>
      <w:r>
        <w:rPr>
          <w:rStyle w:val="Funotenzeichen"/>
        </w:rPr>
        <w:footnoteRef/>
      </w:r>
      <w:r>
        <w:rPr/>
        <w:tab/>
        <w:t>= ohne Bürgerrechte</w:t>
      </w:r>
    </w:p>
  </w:footnote>
  <w:footnote w:id="546">
    <w:p>
      <w:pPr>
        <w:pStyle w:val="Funote"/>
        <w:rPr/>
      </w:pPr>
      <w:r>
        <w:rPr>
          <w:rStyle w:val="Funotenzeichen"/>
        </w:rPr>
        <w:footnoteRef/>
      </w:r>
      <w:r>
        <w:rPr/>
        <w:tab/>
        <w:t>Wörtl.: ein Grundbesitz-Grab</w:t>
      </w:r>
    </w:p>
  </w:footnote>
  <w:footnote w:id="547">
    <w:p>
      <w:pPr>
        <w:pStyle w:val="Funote"/>
        <w:rPr/>
      </w:pPr>
      <w:r>
        <w:rPr>
          <w:rStyle w:val="Funotenzeichen"/>
        </w:rPr>
        <w:footnoteRef/>
      </w:r>
      <w:hyperlink r:id="rId11">
        <w:r>
          <w:rPr>
            <w:rStyle w:val="Internetverknpfung"/>
          </w:rPr>
          <w:tab/>
          <w:t>Waw-Perfekt</w:t>
        </w:r>
      </w:hyperlink>
      <w:r>
        <w:rPr/>
        <w:t>, wörtlich: und ich werde begraben.</w:t>
      </w:r>
    </w:p>
  </w:footnote>
  <w:footnote w:id="548">
    <w:p>
      <w:pPr>
        <w:pStyle w:val="Funote"/>
        <w:rPr/>
      </w:pPr>
      <w:r>
        <w:rPr>
          <w:rStyle w:val="Funotenzeichen"/>
        </w:rPr>
        <w:footnoteRef/>
      </w:r>
      <w:r>
        <w:rPr/>
        <w:tab/>
        <w:t>Partizip</w:t>
      </w:r>
    </w:p>
  </w:footnote>
  <w:footnote w:id="549">
    <w:p>
      <w:pPr>
        <w:pStyle w:val="Funote"/>
        <w:rPr/>
      </w:pPr>
      <w:r>
        <w:rPr>
          <w:rStyle w:val="Funotenzeichen"/>
        </w:rPr>
        <w:footnoteRef/>
      </w:r>
      <w:hyperlink r:id="rId12">
        <w:r>
          <w:rPr>
            <w:rStyle w:val="Internetverknpfung"/>
          </w:rPr>
          <w:tab/>
          <w:t>Waw-Perfekt</w:t>
        </w:r>
      </w:hyperlink>
      <w:r>
        <w:rPr/>
        <w:t>, wörtlich: da</w:t>
      </w:r>
    </w:p>
  </w:footnote>
  <w:footnote w:id="550">
    <w:p>
      <w:pPr>
        <w:pStyle w:val="Funote"/>
        <w:rPr/>
      </w:pPr>
      <w:r>
        <w:rPr>
          <w:rStyle w:val="Funotenzeichen"/>
        </w:rPr>
        <w:footnoteRef/>
      </w:r>
      <w:r>
        <w:rPr>
          <w:rtl w:val="true"/>
          <w:lang w:bidi="he-IL"/>
        </w:rPr>
        <w:tab/>
        <w:t>עַם־הָאָרֶץ</w:t>
      </w:r>
      <w:r>
        <w:rPr/>
        <w:t xml:space="preserve"> </w:t>
      </w:r>
      <w:r>
        <w:rPr/>
        <w:t>(wörtl.: Volk/ Bevölkerung des Landes) ist ein feststehender Ausdruck, der das Volk des Landes bzw. die Landbevölkerung im Gegensatz zu den Fremden bezeichnet, Gesenius S. 977.</w:t>
      </w:r>
    </w:p>
  </w:footnote>
  <w:footnote w:id="551">
    <w:p>
      <w:pPr>
        <w:pStyle w:val="Funote"/>
        <w:rPr/>
      </w:pPr>
      <w:r>
        <w:rPr>
          <w:rStyle w:val="Funotenzeichen"/>
        </w:rPr>
        <w:footnoteRef/>
      </w:r>
      <w:r>
        <w:rPr/>
        <w:tab/>
        <w:t>„</w:t>
      </w:r>
      <w:r>
        <w:rPr/>
        <w:t>Das Doppelte“ oder „Das Geteilte“</w:t>
      </w:r>
    </w:p>
  </w:footnote>
  <w:footnote w:id="552">
    <w:p>
      <w:pPr>
        <w:pStyle w:val="Funote"/>
        <w:rPr/>
      </w:pPr>
      <w:r>
        <w:rPr>
          <w:rStyle w:val="Funotenzeichen"/>
        </w:rPr>
        <w:footnoteRef/>
      </w:r>
      <w:r>
        <w:rPr/>
        <w:tab/>
        <w:t>Wörtl.: ein Grundbesitz-Grab</w:t>
      </w:r>
    </w:p>
  </w:footnote>
  <w:footnote w:id="553">
    <w:p>
      <w:pPr>
        <w:pStyle w:val="Funote"/>
        <w:rPr/>
      </w:pPr>
      <w:r>
        <w:rPr>
          <w:rStyle w:val="Funotenzeichen"/>
        </w:rPr>
        <w:footnoteRef/>
      </w:r>
      <w:r>
        <w:rPr/>
        <w:tab/>
        <w:t>Partizip</w:t>
      </w:r>
    </w:p>
  </w:footnote>
  <w:footnote w:id="554">
    <w:p>
      <w:pPr>
        <w:pStyle w:val="Funote"/>
        <w:rPr/>
      </w:pPr>
      <w:r>
        <w:rPr>
          <w:rStyle w:val="Funotenzeichen"/>
        </w:rPr>
        <w:footnoteRef/>
      </w:r>
      <w:r>
        <w:rPr/>
        <w:tab/>
        <w:t>Das Tor ist der Ort, wo Recht gesprochen wird und Verträge abgeschlossen werden.</w:t>
      </w:r>
    </w:p>
  </w:footnote>
  <w:footnote w:id="555">
    <w:p>
      <w:pPr>
        <w:pStyle w:val="Funote"/>
        <w:rPr/>
      </w:pPr>
      <w:r>
        <w:rPr>
          <w:rStyle w:val="Funotenzeichen"/>
        </w:rPr>
        <w:footnoteRef/>
      </w:r>
      <w:hyperlink r:id="rId13">
        <w:r>
          <w:rPr>
            <w:rStyle w:val="Internetverknpfung"/>
          </w:rPr>
          <w:tab/>
          <w:t>Waw-Perfekt</w:t>
        </w:r>
      </w:hyperlink>
      <w:r>
        <w:rPr/>
        <w:t>, wörtlich: da</w:t>
      </w:r>
    </w:p>
  </w:footnote>
  <w:footnote w:id="556">
    <w:p>
      <w:pPr>
        <w:pStyle w:val="Funote"/>
        <w:rPr/>
      </w:pPr>
      <w:r>
        <w:rPr>
          <w:rStyle w:val="Funotenzeichen"/>
        </w:rPr>
        <w:footnoteRef/>
      </w:r>
      <w:r>
        <w:rPr/>
        <w:tab/>
        <w:t>[Status: Ungeprüft]</w:t>
      </w:r>
    </w:p>
  </w:footnote>
  <w:footnote w:id="557">
    <w:p>
      <w:pPr>
        <w:pStyle w:val="Funote"/>
        <w:rPr/>
      </w:pPr>
      <w:r>
        <w:rPr>
          <w:rStyle w:val="Funotenzeichen"/>
        </w:rPr>
        <w:footnoteRef/>
      </w:r>
      <w:r>
        <w:rPr/>
        <w:tab/>
        <w:t>Euphemismus für die Genitalien, auf die man beim Schwur die Hand legt, Gesenius S. 498.</w:t>
      </w:r>
    </w:p>
  </w:footnote>
  <w:footnote w:id="558">
    <w:p>
      <w:pPr>
        <w:pStyle w:val="Funote"/>
        <w:rPr/>
      </w:pPr>
      <w:r>
        <w:rPr>
          <w:rStyle w:val="Funotenzeichen"/>
        </w:rPr>
        <w:footnoteRef/>
      </w:r>
      <w:hyperlink r:id="rId14">
        <w:r>
          <w:rPr>
            <w:rStyle w:val="Internetverknpfung"/>
          </w:rPr>
          <w:tab/>
          <w:t>waw-perfekt</w:t>
        </w:r>
      </w:hyperlink>
    </w:p>
  </w:footnote>
  <w:footnote w:id="559">
    <w:p>
      <w:pPr>
        <w:pStyle w:val="Funote"/>
        <w:rPr/>
      </w:pPr>
      <w:r>
        <w:rPr>
          <w:rStyle w:val="Funotenzeichen"/>
        </w:rPr>
        <w:footnoteRef/>
      </w:r>
      <w:r>
        <w:rPr/>
        <w:tab/>
        <w:t>Wörtl.: Zu gehen hinter mir in dieses Land</w:t>
      </w:r>
    </w:p>
  </w:footnote>
  <w:footnote w:id="560">
    <w:p>
      <w:pPr>
        <w:pStyle w:val="Funote"/>
        <w:rPr/>
      </w:pPr>
      <w:r>
        <w:rPr>
          <w:rStyle w:val="Funotenzeichen"/>
        </w:rPr>
        <w:footnoteRef/>
      </w:r>
      <w:hyperlink r:id="rId15">
        <w:r>
          <w:rPr>
            <w:rStyle w:val="Internetverknpfung"/>
          </w:rPr>
          <w:tab/>
          <w:t>fig. etym.</w:t>
        </w:r>
      </w:hyperlink>
      <w:r>
        <w:rPr/>
        <w:t>: Zu einer finiten Verform tritt der absolute Infinitiv desselben Verbs. Durch diese Fügung erhält der Verbalausdruck besonderen Nachdruck, Schneider, Grammatik § 50.4.2.</w:t>
      </w:r>
    </w:p>
  </w:footnote>
  <w:footnote w:id="561">
    <w:p>
      <w:pPr>
        <w:pStyle w:val="Funote"/>
        <w:rPr/>
      </w:pPr>
      <w:r>
        <w:rPr>
          <w:rStyle w:val="Funotenzeichen"/>
        </w:rPr>
        <w:footnoteRef/>
      </w:r>
      <w:hyperlink r:id="rId16">
        <w:r>
          <w:rPr>
            <w:rStyle w:val="Internetverknpfung"/>
          </w:rPr>
          <w:tab/>
          <w:t>Waw-Perfekt</w:t>
        </w:r>
      </w:hyperlink>
    </w:p>
  </w:footnote>
  <w:footnote w:id="562">
    <w:p>
      <w:pPr>
        <w:pStyle w:val="Funote"/>
        <w:rPr/>
      </w:pPr>
      <w:r>
        <w:rPr>
          <w:rStyle w:val="Funotenzeichen"/>
        </w:rPr>
        <w:footnoteRef/>
      </w:r>
      <w:r>
        <w:rPr/>
        <w:tab/>
        <w:t>Wörtl. rein, unschuldig sein von den Folgen eines Eides</w:t>
      </w:r>
    </w:p>
  </w:footnote>
  <w:footnote w:id="563">
    <w:p>
      <w:pPr>
        <w:pStyle w:val="Funote"/>
        <w:rPr/>
      </w:pPr>
      <w:r>
        <w:rPr>
          <w:rStyle w:val="Funotenzeichen"/>
        </w:rPr>
        <w:footnoteRef/>
      </w:r>
      <w:r>
        <w:rPr/>
        <w:tab/>
        <w:t>Wörtl.: meines Eides = des Eides, den du mir geschworen hast.</w:t>
      </w:r>
    </w:p>
  </w:footnote>
  <w:footnote w:id="564">
    <w:p>
      <w:pPr>
        <w:pStyle w:val="Funote"/>
        <w:rPr/>
      </w:pPr>
      <w:r>
        <w:rPr>
          <w:rStyle w:val="Funotenzeichen"/>
        </w:rPr>
        <w:footnoteRef/>
      </w:r>
      <w:r>
        <w:rPr/>
        <w:tab/>
        <w:t>wörtl.: hatte in seiner Hand</w:t>
      </w:r>
    </w:p>
  </w:footnote>
  <w:footnote w:id="565">
    <w:p>
      <w:pPr>
        <w:pStyle w:val="Funote"/>
        <w:rPr/>
      </w:pPr>
      <w:r>
        <w:rPr>
          <w:rStyle w:val="Funotenzeichen"/>
        </w:rPr>
        <w:footnoteRef/>
      </w:r>
      <w:hyperlink r:id="rId17">
        <w:r>
          <w:rPr>
            <w:rStyle w:val="Internetverknpfung"/>
          </w:rPr>
          <w:tab/>
          <w:t>Waw-Perfekt</w:t>
        </w:r>
      </w:hyperlink>
    </w:p>
  </w:footnote>
  <w:footnote w:id="566">
    <w:p>
      <w:pPr>
        <w:pStyle w:val="Funote"/>
        <w:rPr/>
      </w:pPr>
      <w:r>
        <w:rPr>
          <w:rStyle w:val="Funotenzeichen"/>
        </w:rPr>
        <w:footnoteRef/>
      </w:r>
      <w:r>
        <w:rPr/>
        <w:tab/>
        <w:t>Das Gebiet der Aramäerstaaten im Euphratknie zwischen Euphrat und Balihu, später auf Nordsyrien ausgedehnt, Gesenius S. 790.</w:t>
      </w:r>
    </w:p>
  </w:footnote>
  <w:footnote w:id="567">
    <w:p>
      <w:pPr>
        <w:pStyle w:val="Funote"/>
        <w:rPr/>
      </w:pPr>
      <w:r>
        <w:rPr>
          <w:rStyle w:val="Funotenzeichen"/>
        </w:rPr>
        <w:footnoteRef/>
      </w:r>
      <w:hyperlink r:id="rId18">
        <w:r>
          <w:rPr>
            <w:rStyle w:val="Internetverknpfung"/>
          </w:rPr>
          <w:tab/>
          <w:t>Waw-Perfekt</w:t>
        </w:r>
      </w:hyperlink>
      <w:r>
        <w:rPr/>
        <w:t>; wörtl.: und die Töchter … werden herauskommen.</w:t>
      </w:r>
    </w:p>
  </w:footnote>
  <w:footnote w:id="568">
    <w:p>
      <w:pPr>
        <w:pStyle w:val="Funote"/>
        <w:rPr/>
      </w:pPr>
      <w:r>
        <w:rPr>
          <w:rStyle w:val="Funotenzeichen"/>
        </w:rPr>
        <w:footnoteRef/>
      </w:r>
      <w:hyperlink r:id="rId19">
        <w:r>
          <w:rPr>
            <w:rStyle w:val="Internetverknpfung"/>
          </w:rPr>
          <w:tab/>
          <w:t>Waw-Perfekt</w:t>
        </w:r>
      </w:hyperlink>
      <w:r>
        <w:rPr/>
        <w:t>, wörtl.: Und es wird geschehen: …</w:t>
      </w:r>
    </w:p>
  </w:footnote>
  <w:footnote w:id="569">
    <w:p>
      <w:pPr>
        <w:pStyle w:val="Funote"/>
        <w:rPr/>
      </w:pPr>
      <w:r>
        <w:rPr>
          <w:rStyle w:val="Funotenzeichen"/>
        </w:rPr>
        <w:footnoteRef/>
      </w:r>
      <w:hyperlink r:id="rId20">
        <w:r>
          <w:rPr>
            <w:rStyle w:val="Internetverknpfung"/>
          </w:rPr>
          <w:tab/>
          <w:t>Waw-Perfekt</w:t>
        </w:r>
      </w:hyperlink>
      <w:r>
        <w:rPr/>
        <w:t>, wörtl.: und ich werde trinken</w:t>
      </w:r>
    </w:p>
  </w:footnote>
  <w:footnote w:id="570">
    <w:p>
      <w:pPr>
        <w:pStyle w:val="Funote"/>
        <w:rPr/>
      </w:pPr>
      <w:r>
        <w:rPr>
          <w:rStyle w:val="Funotenzeichen"/>
        </w:rPr>
        <w:footnoteRef/>
      </w:r>
      <w:r>
        <w:rPr/>
        <w:tab/>
        <w:t>Wörtl.: und sie antwortet</w:t>
      </w:r>
    </w:p>
  </w:footnote>
  <w:footnote w:id="571">
    <w:p>
      <w:pPr>
        <w:pStyle w:val="Funote"/>
        <w:rPr/>
      </w:pPr>
      <w:r>
        <w:rPr>
          <w:rStyle w:val="Funotenzeichen"/>
        </w:rPr>
        <w:footnoteRef/>
      </w:r>
      <w:r>
        <w:rPr/>
        <w:tab/>
        <w:t>Wörtl.: Beendet zu reden</w:t>
      </w:r>
    </w:p>
  </w:footnote>
  <w:footnote w:id="572">
    <w:p>
      <w:pPr>
        <w:pStyle w:val="Funote"/>
        <w:rPr/>
      </w:pPr>
      <w:r>
        <w:rPr>
          <w:rStyle w:val="Funotenzeichen"/>
        </w:rPr>
        <w:footnoteRef/>
      </w:r>
      <w:r>
        <w:rPr/>
        <w:tab/>
        <w:t>Partizip</w:t>
      </w:r>
    </w:p>
  </w:footnote>
  <w:footnote w:id="573">
    <w:p>
      <w:pPr>
        <w:pStyle w:val="Funote"/>
        <w:rPr/>
      </w:pPr>
      <w:r>
        <w:rPr>
          <w:rStyle w:val="Funotenzeichen"/>
        </w:rPr>
        <w:footnoteRef/>
      </w:r>
      <w:r>
        <w:rPr/>
        <w:tab/>
        <w:t>Euphemismus für Geschlechtsverkehr</w:t>
      </w:r>
    </w:p>
  </w:footnote>
  <w:footnote w:id="574">
    <w:p>
      <w:pPr>
        <w:pStyle w:val="Funote"/>
        <w:rPr/>
      </w:pPr>
      <w:r>
        <w:rPr>
          <w:rStyle w:val="Funotenzeichen"/>
        </w:rPr>
        <w:footnoteRef/>
      </w:r>
      <w:r>
        <w:rPr/>
        <w:tab/>
        <w:t>Im Orient sind viele Brunnen tiefe Schächte; über eine in ihren Rand gehauene Treppe gelangt man zum Wasser.</w:t>
      </w:r>
    </w:p>
  </w:footnote>
  <w:footnote w:id="575">
    <w:p>
      <w:pPr>
        <w:pStyle w:val="Funote"/>
        <w:rPr/>
      </w:pPr>
      <w:r>
        <w:rPr>
          <w:rStyle w:val="Funotenzeichen"/>
        </w:rPr>
        <w:footnoteRef/>
      </w:r>
      <w:hyperlink r:id="rId21">
        <w:r>
          <w:rPr>
            <w:rStyle w:val="Internetverknpfung"/>
          </w:rPr>
          <w:tab/>
          <w:t>Waw-Perfekt</w:t>
        </w:r>
      </w:hyperlink>
    </w:p>
  </w:footnote>
  <w:footnote w:id="576">
    <w:p>
      <w:pPr>
        <w:pStyle w:val="Funote"/>
        <w:rPr/>
      </w:pPr>
      <w:r>
        <w:rPr>
          <w:rStyle w:val="Funotenzeichen"/>
        </w:rPr>
        <w:footnoteRef/>
      </w:r>
      <w:r>
        <w:rPr/>
        <w:tab/>
        <w:t>Wörtl.: voll sind zu trinken</w:t>
      </w:r>
    </w:p>
  </w:footnote>
  <w:footnote w:id="577">
    <w:p>
      <w:pPr>
        <w:pStyle w:val="Funote"/>
        <w:rPr/>
      </w:pPr>
      <w:r>
        <w:rPr>
          <w:rStyle w:val="Funotenzeichen"/>
        </w:rPr>
        <w:footnoteRef/>
      </w:r>
      <w:r>
        <w:rPr/>
        <w:tab/>
        <w:t>Wörtl.: als die Kamele voll waren zu trinken</w:t>
      </w:r>
    </w:p>
  </w:footnote>
  <w:footnote w:id="578">
    <w:p>
      <w:pPr>
        <w:pStyle w:val="Funote"/>
        <w:rPr/>
      </w:pPr>
      <w:r>
        <w:rPr>
          <w:rStyle w:val="Funotenzeichen"/>
        </w:rPr>
        <w:footnoteRef/>
      </w:r>
      <w:r>
        <w:rPr/>
        <w:tab/>
        <w:t>Wörtl.: „neigte sich“, aber dieses „Neigen“ geschieht so, dass man sich auf die Knie wirft, so dass die Stirn den Boden berührt, vgl. das Gebet im Islam.</w:t>
      </w:r>
    </w:p>
  </w:footnote>
  <w:footnote w:id="579">
    <w:p>
      <w:pPr>
        <w:pStyle w:val="Funote"/>
        <w:rPr/>
      </w:pPr>
      <w:r>
        <w:rPr>
          <w:rStyle w:val="Funotenzeichen"/>
        </w:rPr>
        <w:footnoteRef/>
      </w:r>
      <w:r>
        <w:rPr/>
        <w:tab/>
        <w:t>Dieser Satz muss vielleicht an der mit ** bezeichneten Stelle in Vers 30 eingefügt werden, so der Apparat der BHS.</w:t>
      </w:r>
    </w:p>
  </w:footnote>
  <w:footnote w:id="580">
    <w:p>
      <w:pPr>
        <w:pStyle w:val="Funote"/>
        <w:rPr/>
      </w:pPr>
      <w:r>
        <w:rPr>
          <w:rStyle w:val="Funotenzeichen"/>
        </w:rPr>
        <w:footnoteRef/>
      </w:r>
      <w:r>
        <w:rPr/>
        <w:tab/>
        <w:t>So der Apparat der BHS; im Text steht der Inf.constr., wörtl.: beim Sehen.</w:t>
      </w:r>
    </w:p>
  </w:footnote>
  <w:footnote w:id="581">
    <w:p>
      <w:pPr>
        <w:pStyle w:val="Funote"/>
        <w:rPr/>
      </w:pPr>
      <w:r>
        <w:rPr>
          <w:rStyle w:val="Funotenzeichen"/>
        </w:rPr>
        <w:footnoteRef/>
      </w:r>
      <w:r>
        <w:rPr/>
        <w:tab/>
        <w:t>Partizip</w:t>
      </w:r>
    </w:p>
  </w:footnote>
  <w:footnote w:id="582">
    <w:p>
      <w:pPr>
        <w:pStyle w:val="Funote"/>
        <w:rPr/>
      </w:pPr>
      <w:r>
        <w:rPr>
          <w:rStyle w:val="Funotenzeichen"/>
        </w:rPr>
        <w:footnoteRef/>
      </w:r>
      <w:r>
        <w:rPr/>
        <w:tab/>
        <w:t>Die Septuaginta hat hier den Plural, s. Apparat BHS</w:t>
      </w:r>
    </w:p>
  </w:footnote>
  <w:footnote w:id="583">
    <w:p>
      <w:pPr>
        <w:pStyle w:val="Funote"/>
        <w:rPr/>
      </w:pPr>
      <w:r>
        <w:rPr>
          <w:rStyle w:val="Funotenzeichen"/>
        </w:rPr>
        <w:footnoteRef/>
      </w:r>
      <w:r>
        <w:rPr/>
        <w:tab/>
        <w:t xml:space="preserve">In einer Schwurformel hat </w:t>
      </w:r>
      <w:r>
        <w:rPr>
          <w:rtl w:val="true"/>
          <w:lang w:bidi="he-IL"/>
        </w:rPr>
        <w:t>אִם־לאֹ</w:t>
      </w:r>
      <w:r>
        <w:rPr/>
        <w:t xml:space="preserve"> </w:t>
      </w:r>
      <w:r>
        <w:rPr/>
        <w:t>positiven Sinn, vgl. Brockelmann, Syntax § 170c.</w:t>
      </w:r>
    </w:p>
  </w:footnote>
  <w:footnote w:id="584">
    <w:p>
      <w:pPr>
        <w:pStyle w:val="Funote"/>
        <w:rPr/>
      </w:pPr>
      <w:r>
        <w:rPr>
          <w:rStyle w:val="Funotenzeichen"/>
        </w:rPr>
        <w:footnoteRef/>
      </w:r>
      <w:r>
        <w:rPr/>
        <w:tab/>
        <w:t>wörtl.: Hinter mir gehen.</w:t>
      </w:r>
    </w:p>
  </w:footnote>
  <w:footnote w:id="585">
    <w:p>
      <w:pPr>
        <w:pStyle w:val="Funote"/>
        <w:rPr/>
      </w:pPr>
      <w:r>
        <w:rPr>
          <w:rStyle w:val="Funotenzeichen"/>
        </w:rPr>
        <w:footnoteRef/>
      </w:r>
      <w:r>
        <w:rPr/>
        <w:tab/>
        <w:t>D.h. dem mir geschworenen</w:t>
      </w:r>
    </w:p>
  </w:footnote>
  <w:footnote w:id="586">
    <w:p>
      <w:pPr>
        <w:pStyle w:val="Funote"/>
        <w:rPr/>
      </w:pPr>
      <w:r>
        <w:rPr>
          <w:rStyle w:val="Funotenzeichen"/>
        </w:rPr>
        <w:footnoteRef/>
      </w:r>
      <w:r>
        <w:rPr/>
        <w:tab/>
        <w:t>Alle folgenden Verbformen in der wörtlichen Rede des Knechtes stehen im Imperfekt. Ich gebe sie im Deutschen mit dem Präsens wieder.</w:t>
      </w:r>
    </w:p>
  </w:footnote>
  <w:footnote w:id="587">
    <w:p>
      <w:pPr>
        <w:pStyle w:val="Funote"/>
        <w:rPr/>
      </w:pPr>
      <w:r>
        <w:rPr>
          <w:rStyle w:val="Funotenzeichen"/>
        </w:rPr>
        <w:footnoteRef/>
      </w:r>
      <w:r>
        <w:rPr/>
        <w:tab/>
        <w:t>Wörtl.: „Wenn es bitte Gelingen gibt für meinen Weg“; der Nachsatz einer real gedachten Bedingung fehlt öfter, wenn eine Bitte ausgesprochen werden soll, vgl. Brockelmann, Syntax § 170a.</w:t>
      </w:r>
    </w:p>
  </w:footnote>
  <w:footnote w:id="588">
    <w:p>
      <w:pPr>
        <w:pStyle w:val="Funote"/>
        <w:rPr/>
      </w:pPr>
      <w:r>
        <w:rPr>
          <w:rStyle w:val="Funotenzeichen"/>
        </w:rPr>
        <w:footnoteRef/>
      </w:r>
      <w:r>
        <w:rPr/>
        <w:tab/>
        <w:t>Partizip, wörtl.: gehe</w:t>
      </w:r>
    </w:p>
  </w:footnote>
  <w:footnote w:id="589">
    <w:p>
      <w:pPr>
        <w:pStyle w:val="Funote"/>
        <w:rPr/>
      </w:pPr>
      <w:r>
        <w:rPr>
          <w:rStyle w:val="Funotenzeichen"/>
        </w:rPr>
        <w:footnoteRef/>
      </w:r>
      <w:r>
        <w:rPr/>
        <w:tab/>
        <w:t>Imperativ</w:t>
      </w:r>
    </w:p>
  </w:footnote>
  <w:footnote w:id="590">
    <w:p>
      <w:pPr>
        <w:pStyle w:val="Funote"/>
        <w:rPr/>
      </w:pPr>
      <w:r>
        <w:rPr>
          <w:rStyle w:val="Funotenzeichen"/>
        </w:rPr>
        <w:footnoteRef/>
      </w:r>
      <w:r>
        <w:rPr/>
        <w:tab/>
        <w:t>Partizip</w:t>
      </w:r>
    </w:p>
  </w:footnote>
  <w:footnote w:id="591">
    <w:p>
      <w:pPr>
        <w:pStyle w:val="Funote"/>
        <w:rPr/>
      </w:pPr>
      <w:r>
        <w:rPr>
          <w:rStyle w:val="Funotenzeichen"/>
        </w:rPr>
        <w:footnoteRef/>
      </w:r>
      <w:r>
        <w:rPr/>
        <w:tab/>
        <w:t xml:space="preserve">Im Hebr. steht hier </w:t>
      </w:r>
      <w:r>
        <w:rPr>
          <w:rtl w:val="true"/>
          <w:lang w:bidi="he-IL"/>
        </w:rPr>
        <w:t>בָא מִבּוֹא</w:t>
      </w:r>
      <w:r>
        <w:rPr/>
        <w:t xml:space="preserve">, das finite Verb in der 3. Pers. Sg. und der Infinitiv (cstr./abs.) mit der Präposition </w:t>
      </w:r>
      <w:r>
        <w:rPr>
          <w:rtl w:val="true"/>
          <w:lang w:bidi="he-IL"/>
        </w:rPr>
        <w:t>מיִן</w:t>
      </w:r>
      <w:r>
        <w:rPr/>
        <w:t xml:space="preserve">, von - er kam vom Kommen? Ist evtl. gemeint, dass Isaak zurückkam? Der Apparat der BHS vermutet eine Verschreibung und schlägt vor, mit der Septuaginta </w:t>
      </w:r>
      <w:r>
        <w:rPr>
          <w:rtl w:val="true"/>
          <w:lang w:bidi="he-IL"/>
        </w:rPr>
        <w:t>מִדְבַּר</w:t>
      </w:r>
      <w:r>
        <w:rPr/>
        <w:t xml:space="preserve"> </w:t>
      </w:r>
      <w:r>
        <w:rPr/>
        <w:t>zu lesen: Er kam aus der Wüste (wo der Brunnen Lachai-roi liegt, vgl. Gen 16,13f).</w:t>
      </w:r>
    </w:p>
  </w:footnote>
  <w:footnote w:id="592">
    <w:p>
      <w:pPr>
        <w:pStyle w:val="Funote"/>
        <w:rPr/>
      </w:pPr>
      <w:r>
        <w:rPr>
          <w:rStyle w:val="Funotenzeichen"/>
        </w:rPr>
        <w:footnoteRef/>
      </w:r>
      <w:r>
        <w:rPr/>
        <w:tab/>
        <w:t>„</w:t>
      </w:r>
      <w:r>
        <w:rPr/>
        <w:t>Des Lebendigen, der mich sieht“.</w:t>
      </w:r>
    </w:p>
  </w:footnote>
  <w:footnote w:id="593">
    <w:p>
      <w:pPr>
        <w:pStyle w:val="Funote"/>
        <w:rPr/>
      </w:pPr>
      <w:r>
        <w:rPr>
          <w:rStyle w:val="Funotenzeichen"/>
        </w:rPr>
        <w:footnoteRef/>
      </w:r>
      <w:r>
        <w:rPr/>
        <w:tab/>
        <w:t xml:space="preserve">Das Verb </w:t>
      </w:r>
      <w:r>
        <w:rPr>
          <w:rtl w:val="true"/>
          <w:lang w:bidi="he-IL"/>
        </w:rPr>
        <w:t>שׂוּחַ</w:t>
      </w:r>
      <w:r>
        <w:rPr/>
        <w:t xml:space="preserve"> </w:t>
      </w:r>
      <w:r>
        <w:rPr/>
        <w:t>kommt nur einmal im AT vor; seine Bedeutung ist unklar. Man vermutet „sich ergehen, umherstreifen“, aber auch urinieren, vgl. Gesenius S. 1279.</w:t>
      </w:r>
    </w:p>
  </w:footnote>
  <w:footnote w:id="594">
    <w:p>
      <w:pPr>
        <w:pStyle w:val="Funote"/>
        <w:rPr/>
      </w:pPr>
      <w:r>
        <w:rPr>
          <w:rStyle w:val="Funotenzeichen"/>
        </w:rPr>
        <w:footnoteRef/>
      </w:r>
      <w:r>
        <w:rPr/>
        <w:tab/>
        <w:t>wörtlich: Isaak [war] ein Sohn von vierzig Jahren</w:t>
      </w:r>
    </w:p>
  </w:footnote>
  <w:footnote w:id="595">
    <w:p>
      <w:pPr>
        <w:pStyle w:val="Funote"/>
        <w:rPr/>
      </w:pPr>
      <w:r>
        <w:rPr>
          <w:rStyle w:val="Funotenzeichen"/>
        </w:rPr>
        <w:footnoteRef/>
      </w:r>
      <w:r>
        <w:rPr/>
        <w:tab/>
        <w:t>wörtlich: bei seinem Nehmen</w:t>
      </w:r>
    </w:p>
  </w:footnote>
  <w:footnote w:id="596">
    <w:p>
      <w:pPr>
        <w:pStyle w:val="Funote"/>
        <w:rPr/>
      </w:pPr>
      <w:r>
        <w:rPr>
          <w:rStyle w:val="Funotenzeichen"/>
        </w:rPr>
        <w:footnoteRef/>
      </w:r>
      <w:r>
        <w:rPr/>
        <w:tab/>
        <w:t xml:space="preserve">vgl. Gesenius unter </w:t>
      </w:r>
      <w:r>
        <w:rPr>
          <w:rtl w:val="true"/>
          <w:lang w:bidi="he-IL"/>
        </w:rPr>
        <w:t>רצץ</w:t>
      </w:r>
      <w:r>
        <w:rPr/>
        <w:t xml:space="preserve"> </w:t>
      </w:r>
    </w:p>
  </w:footnote>
  <w:footnote w:id="597">
    <w:p>
      <w:pPr>
        <w:pStyle w:val="Funote"/>
        <w:rPr/>
      </w:pPr>
      <w:r>
        <w:rPr>
          <w:rStyle w:val="Funotenzeichen"/>
        </w:rPr>
        <w:footnoteRef/>
      </w:r>
      <w:r>
        <w:rPr/>
        <w:tab/>
        <w:t xml:space="preserve">vgl. Gesenius unter </w:t>
      </w:r>
      <w:r>
        <w:rPr>
          <w:rtl w:val="true"/>
          <w:lang w:bidi="he-IL"/>
        </w:rPr>
        <w:t>רצץ</w:t>
      </w:r>
      <w:r>
        <w:rPr/>
        <w:t xml:space="preserve"> </w:t>
      </w:r>
    </w:p>
  </w:footnote>
  <w:footnote w:id="598">
    <w:p>
      <w:pPr>
        <w:pStyle w:val="Funote"/>
        <w:rPr/>
      </w:pPr>
      <w:r>
        <w:rPr>
          <w:rStyle w:val="Funotenzeichen"/>
        </w:rPr>
        <w:footnoteRef/>
      </w:r>
      <w:r>
        <w:rPr/>
        <w:tab/>
        <w:t xml:space="preserve">vgl. LXX und dazu Benseler unter </w:t>
      </w:r>
      <w:r>
        <w:rPr>
          <w:lang w:val="el-GR"/>
        </w:rPr>
        <w:t>σκαίρω</w:t>
      </w:r>
    </w:p>
  </w:footnote>
  <w:footnote w:id="599">
    <w:p>
      <w:pPr>
        <w:pStyle w:val="Funote"/>
        <w:rPr/>
      </w:pPr>
      <w:r>
        <w:rPr>
          <w:rStyle w:val="Funotenzeichen"/>
        </w:rPr>
        <w:footnoteRef/>
      </w:r>
      <w:r>
        <w:rPr/>
        <w:tab/>
        <w:t xml:space="preserve">möglicherweise </w:t>
      </w:r>
      <w:r>
        <w:rPr>
          <w:rtl w:val="true"/>
          <w:lang w:bidi="he-IL"/>
        </w:rPr>
        <w:t>חַיׇּה</w:t>
      </w:r>
      <w:r>
        <w:rPr/>
        <w:t xml:space="preserve"> </w:t>
      </w:r>
      <w:r>
        <w:rPr/>
        <w:t>einzufügen vgl. Apparat der BHS</w:t>
      </w:r>
    </w:p>
  </w:footnote>
  <w:footnote w:id="600">
    <w:p>
      <w:pPr>
        <w:pStyle w:val="Funote"/>
        <w:rPr/>
      </w:pPr>
      <w:r>
        <w:rPr>
          <w:rStyle w:val="Funotenzeichen"/>
        </w:rPr>
        <w:footnoteRef/>
      </w:r>
      <w:r>
        <w:rPr/>
        <w:tab/>
        <w:t>die LXX, die syrische Übersetzung und die Vulgata setzen diese Verbform in den Singular, wie in Vers 26.</w:t>
      </w:r>
    </w:p>
  </w:footnote>
  <w:footnote w:id="601">
    <w:p>
      <w:pPr>
        <w:pStyle w:val="Funote"/>
        <w:rPr/>
      </w:pPr>
      <w:r>
        <w:rPr>
          <w:rStyle w:val="Funotenzeichen"/>
        </w:rPr>
        <w:footnoteRef/>
      </w:r>
      <w:r>
        <w:rPr/>
        <w:tab/>
        <w:t>einige hebräische Handschriften ergänzen hier einen Plural, vgl Anm. zu Vers 25.</w:t>
      </w:r>
    </w:p>
  </w:footnote>
  <w:footnote w:id="602">
    <w:p>
      <w:pPr>
        <w:pStyle w:val="Funote"/>
        <w:rPr/>
      </w:pPr>
      <w:r>
        <w:rPr>
          <w:rStyle w:val="Funotenzeichen"/>
        </w:rPr>
        <w:footnoteRef/>
      </w:r>
      <w:r>
        <w:rPr/>
        <w:tab/>
        <w:t>vgl. Anm. zu Vers 20.</w:t>
      </w:r>
    </w:p>
  </w:footnote>
  <w:footnote w:id="603">
    <w:p>
      <w:pPr>
        <w:pStyle w:val="Funote"/>
        <w:rPr/>
      </w:pPr>
      <w:r>
        <w:rPr>
          <w:rStyle w:val="Funotenzeichen"/>
        </w:rPr>
        <w:footnoteRef/>
      </w:r>
      <w:r>
        <w:rPr/>
        <w:tab/>
        <w:t>Wörtlich: bei ihrem Gebären.</w:t>
      </w:r>
    </w:p>
  </w:footnote>
  <w:footnote w:id="604">
    <w:p>
      <w:pPr>
        <w:pStyle w:val="Funote"/>
        <w:rPr/>
      </w:pPr>
      <w:r>
        <w:rPr>
          <w:rStyle w:val="Funotenzeichen"/>
        </w:rPr>
        <w:footnoteRef/>
      </w:r>
      <w:r>
        <w:rPr/>
        <w:tab/>
        <w:t>Partizip</w:t>
      </w:r>
    </w:p>
  </w:footnote>
  <w:footnote w:id="605">
    <w:p>
      <w:pPr>
        <w:pStyle w:val="Funote"/>
        <w:rPr/>
      </w:pPr>
      <w:r>
        <w:rPr>
          <w:rStyle w:val="Funotenzeichen"/>
        </w:rPr>
        <w:footnoteRef/>
      </w:r>
      <w:r>
        <w:rPr/>
        <w:tab/>
        <w:t>[Status: Ungeprüft]</w:t>
      </w:r>
    </w:p>
  </w:footnote>
  <w:footnote w:id="606">
    <w:p>
      <w:pPr>
        <w:pStyle w:val="Funote"/>
        <w:rPr/>
      </w:pPr>
      <w:r>
        <w:rPr>
          <w:rStyle w:val="Funotenzeichen"/>
        </w:rPr>
        <w:footnoteRef/>
      </w:r>
      <w:r>
        <w:rPr/>
        <w:tab/>
        <w:t>Wörtl.: „weg vom Sehen“</w:t>
      </w:r>
    </w:p>
  </w:footnote>
  <w:footnote w:id="607">
    <w:p>
      <w:pPr>
        <w:pStyle w:val="Funote"/>
        <w:rPr/>
      </w:pPr>
      <w:r>
        <w:rPr>
          <w:rStyle w:val="Funotenzeichen"/>
        </w:rPr>
        <w:footnoteRef/>
      </w:r>
      <w:r>
        <w:rPr/>
        <w:tab/>
        <w:t>Wörtl.: Hier [bin] ich.</w:t>
      </w:r>
    </w:p>
  </w:footnote>
  <w:footnote w:id="608">
    <w:p>
      <w:pPr>
        <w:pStyle w:val="Funote"/>
        <w:rPr/>
      </w:pPr>
      <w:r>
        <w:rPr>
          <w:rStyle w:val="Funotenzeichen"/>
        </w:rPr>
        <w:footnoteRef/>
      </w:r>
      <w:r>
        <w:rPr/>
        <w:tab/>
        <w:t>Wörtlich: Sieh doch!</w:t>
      </w:r>
    </w:p>
  </w:footnote>
  <w:footnote w:id="609">
    <w:p>
      <w:pPr>
        <w:pStyle w:val="Funote"/>
        <w:rPr/>
      </w:pPr>
      <w:r>
        <w:rPr>
          <w:rStyle w:val="Funotenzeichen"/>
        </w:rPr>
        <w:footnoteRef/>
      </w:r>
      <w:r>
        <w:rPr/>
        <w:tab/>
        <w:t>Der Köcher mit den Pfeilen</w:t>
      </w:r>
    </w:p>
  </w:footnote>
  <w:footnote w:id="610">
    <w:p>
      <w:pPr>
        <w:pStyle w:val="Funote"/>
        <w:rPr/>
      </w:pPr>
      <w:r>
        <w:rPr>
          <w:rStyle w:val="Funotenzeichen"/>
        </w:rPr>
        <w:footnoteRef/>
      </w:r>
      <w:r>
        <w:rPr/>
        <w:tab/>
        <w:t xml:space="preserve">Der hebräische Text markiert hier eine Verschreibung: Geschrieben (Ketib) steht </w:t>
      </w:r>
      <w:r>
        <w:rPr>
          <w:rtl w:val="true"/>
          <w:lang w:bidi="he-IL"/>
        </w:rPr>
        <w:t>צידה</w:t>
      </w:r>
      <w:r>
        <w:rPr/>
        <w:t xml:space="preserve">, Nahrung, Reiseproviant, zu Lesen (Qere) ist </w:t>
      </w:r>
      <w:r>
        <w:rPr>
          <w:rtl w:val="true"/>
          <w:lang w:bidi="he-IL"/>
        </w:rPr>
        <w:t>ציד</w:t>
      </w:r>
      <w:r>
        <w:rPr/>
        <w:t>, Wild, Jagdbeute, vgl. Vers 5.</w:t>
      </w:r>
    </w:p>
  </w:footnote>
  <w:footnote w:id="611">
    <w:p>
      <w:pPr>
        <w:pStyle w:val="Funote"/>
        <w:rPr/>
      </w:pPr>
      <w:r>
        <w:rPr>
          <w:rStyle w:val="Funotenzeichen"/>
        </w:rPr>
        <w:footnoteRef/>
      </w:r>
      <w:r>
        <w:rPr/>
        <w:tab/>
        <w:t>Es steht kein Suffix, daher ist unklar, worauf sich das „ich liebe“ bezieht.</w:t>
      </w:r>
    </w:p>
  </w:footnote>
  <w:footnote w:id="612">
    <w:p>
      <w:pPr>
        <w:pStyle w:val="Funote"/>
        <w:rPr/>
      </w:pPr>
      <w:r>
        <w:rPr>
          <w:rStyle w:val="Funotenzeichen"/>
        </w:rPr>
        <w:footnoteRef/>
      </w:r>
      <w:r>
        <w:rPr/>
        <w:tab/>
        <w:t>Partizip</w:t>
      </w:r>
    </w:p>
  </w:footnote>
  <w:footnote w:id="613">
    <w:p>
      <w:pPr>
        <w:pStyle w:val="Funote"/>
        <w:rPr/>
      </w:pPr>
      <w:r>
        <w:rPr>
          <w:rStyle w:val="Funotenzeichen"/>
        </w:rPr>
        <w:footnoteRef/>
      </w:r>
      <w:r>
        <w:rPr/>
        <w:tab/>
        <w:t>Partizip</w:t>
      </w:r>
    </w:p>
  </w:footnote>
  <w:footnote w:id="614">
    <w:p>
      <w:pPr>
        <w:pStyle w:val="Funote"/>
        <w:rPr/>
      </w:pPr>
      <w:r>
        <w:rPr>
          <w:rStyle w:val="Funotenzeichen"/>
        </w:rPr>
        <w:footnoteRef/>
      </w:r>
      <w:r>
        <w:rPr/>
        <w:tab/>
        <w:t xml:space="preserve">Die Septuaginta ergänzt: </w:t>
      </w:r>
      <w:r>
        <w:rPr>
          <w:lang w:val="el-GR"/>
        </w:rPr>
        <w:t>τω πατρι αυτου</w:t>
      </w:r>
      <w:r>
        <w:rPr/>
        <w:t>, seinem Vater.</w:t>
      </w:r>
    </w:p>
  </w:footnote>
  <w:footnote w:id="615">
    <w:p>
      <w:pPr>
        <w:pStyle w:val="Funote"/>
        <w:rPr/>
      </w:pPr>
      <w:r>
        <w:rPr>
          <w:rStyle w:val="Funotenzeichen"/>
        </w:rPr>
        <w:footnoteRef/>
      </w:r>
      <w:r>
        <w:rPr/>
        <w:tab/>
        <w:t>Partizip</w:t>
      </w:r>
    </w:p>
  </w:footnote>
  <w:footnote w:id="616">
    <w:p>
      <w:pPr>
        <w:pStyle w:val="Funote"/>
        <w:rPr/>
      </w:pPr>
      <w:r>
        <w:rPr>
          <w:rStyle w:val="Funotenzeichen"/>
        </w:rPr>
        <w:footnoteRef/>
      </w:r>
      <w:r>
        <w:rPr/>
        <w:tab/>
        <w:t>Das Adjektiv bedeutet auch einschmeichelnd, trügerisch.</w:t>
      </w:r>
    </w:p>
  </w:footnote>
  <w:footnote w:id="617">
    <w:p>
      <w:pPr>
        <w:pStyle w:val="Funote"/>
        <w:rPr/>
      </w:pPr>
      <w:r>
        <w:rPr>
          <w:rStyle w:val="Funotenzeichen"/>
        </w:rPr>
        <w:footnoteRef/>
      </w:r>
      <w:r>
        <w:rPr/>
        <w:tab/>
        <w:t>Waw-Perfekt</w:t>
      </w:r>
    </w:p>
  </w:footnote>
  <w:footnote w:id="618">
    <w:p>
      <w:pPr>
        <w:pStyle w:val="Funote"/>
        <w:rPr/>
      </w:pPr>
      <w:r>
        <w:rPr>
          <w:rStyle w:val="Funotenzeichen"/>
        </w:rPr>
        <w:footnoteRef/>
      </w:r>
      <w:r>
        <w:rPr/>
        <w:tab/>
        <w:t>Wörtlich: Sehe</w:t>
      </w:r>
    </w:p>
  </w:footnote>
  <w:footnote w:id="619">
    <w:p>
      <w:pPr>
        <w:pStyle w:val="Funote"/>
        <w:rPr/>
      </w:pPr>
      <w:r>
        <w:rPr>
          <w:rStyle w:val="Funotenzeichen"/>
        </w:rPr>
        <w:footnoteRef/>
      </w:r>
      <w:r>
        <w:rPr/>
        <w:tab/>
        <w:t xml:space="preserve">Hier liegt eine Verschreibung vor. Geschrieben (Ketib) steht das Imperfekt </w:t>
      </w:r>
      <w:r>
        <w:rPr>
          <w:rtl w:val="true"/>
          <w:lang w:bidi="he-IL"/>
        </w:rPr>
        <w:t>וישתחו</w:t>
      </w:r>
      <w:r>
        <w:rPr/>
        <w:t xml:space="preserve">, sie werden sich beugen, zu lesen (Qere) ist der Imperativ </w:t>
      </w:r>
      <w:r>
        <w:rPr>
          <w:rtl w:val="true"/>
          <w:lang w:bidi="he-IL"/>
        </w:rPr>
        <w:t>וישתחוו</w:t>
      </w:r>
      <w:r>
        <w:rPr/>
        <w:t>, sie sollen sich beugen.</w:t>
      </w:r>
    </w:p>
  </w:footnote>
  <w:footnote w:id="620">
    <w:p>
      <w:pPr>
        <w:pStyle w:val="Funote"/>
        <w:rPr/>
      </w:pPr>
      <w:r>
        <w:rPr>
          <w:rStyle w:val="Funotenzeichen"/>
        </w:rPr>
        <w:footnoteRef/>
      </w:r>
      <w:r>
        <w:rPr/>
        <w:tab/>
        <w:t>Wörtlich: Im Weggehen ging er weg. Es handelt sich um eine Figura Etymologica: Zu der finiten Verbform tritt der Infinitv desselben Verbs. Durch diese Fügung erhält der Verbalausdruck besonderen Nachdruck (Schneider, Grammatik 50.4.2).</w:t>
      </w:r>
    </w:p>
  </w:footnote>
  <w:footnote w:id="621">
    <w:p>
      <w:pPr>
        <w:pStyle w:val="Funote"/>
        <w:rPr/>
      </w:pPr>
      <w:r>
        <w:rPr>
          <w:rStyle w:val="Funotenzeichen"/>
        </w:rPr>
        <w:footnoteRef/>
      </w:r>
      <w:r>
        <w:rPr/>
        <w:tab/>
        <w:t>Figura Etymologica, vgl. Gesenius 394. Wörtlich: Isaak erschreckte einen überaus großen Schrecken (Entsetzen)</w:t>
      </w:r>
    </w:p>
  </w:footnote>
  <w:footnote w:id="622">
    <w:p>
      <w:pPr>
        <w:pStyle w:val="Funote"/>
        <w:rPr/>
      </w:pPr>
      <w:r>
        <w:rPr>
          <w:rStyle w:val="Funotenzeichen"/>
        </w:rPr>
        <w:footnoteRef/>
      </w:r>
      <w:r>
        <w:rPr/>
        <w:tab/>
        <w:t xml:space="preserve">Ein im Deutschen nicht wiederzugebendes Wortspiel: Der Name </w:t>
      </w:r>
      <w:r>
        <w:rPr>
          <w:rtl w:val="true"/>
          <w:lang w:bidi="he-IL"/>
        </w:rPr>
        <w:t>יעקב</w:t>
      </w:r>
      <w:r>
        <w:rPr/>
        <w:t xml:space="preserve"> </w:t>
      </w:r>
      <w:r>
        <w:rPr/>
        <w:t xml:space="preserve">ist auch die 3.Sg. Impf. Qal des Verbs </w:t>
      </w:r>
      <w:r>
        <w:rPr>
          <w:rtl w:val="true"/>
          <w:lang w:bidi="he-IL"/>
        </w:rPr>
        <w:t>עקב</w:t>
      </w:r>
      <w:r>
        <w:rPr/>
        <w:t xml:space="preserve"> </w:t>
      </w:r>
      <w:r>
        <w:rPr/>
        <w:t xml:space="preserve">= er betrügt. Gen 25,26 leitet den Namen vom Nomen </w:t>
      </w:r>
      <w:r>
        <w:rPr>
          <w:rtl w:val="true"/>
          <w:lang w:bidi="he-IL"/>
        </w:rPr>
        <w:t>עקב</w:t>
      </w:r>
      <w:r>
        <w:rPr/>
        <w:t>, Ferse, ab, das mit dem Verb eine gemeinsame Wurzel bildet: auf dem Fuße folgen, an die Ferse fassen.</w:t>
      </w:r>
    </w:p>
  </w:footnote>
  <w:footnote w:id="623">
    <w:p>
      <w:pPr>
        <w:pStyle w:val="Funote"/>
        <w:rPr/>
      </w:pPr>
      <w:r>
        <w:rPr>
          <w:rStyle w:val="Funotenzeichen"/>
        </w:rPr>
        <w:footnoteRef/>
      </w:r>
      <w:r>
        <w:rPr/>
        <w:tab/>
        <w:t xml:space="preserve">Das Verb ist </w:t>
      </w:r>
      <w:r>
        <w:rPr>
          <w:rtl w:val="true"/>
          <w:lang w:bidi="he-IL"/>
        </w:rPr>
        <w:t>עקב</w:t>
      </w:r>
      <w:r>
        <w:rPr/>
        <w:t>, s. vorige Anmerkung.</w:t>
      </w:r>
    </w:p>
  </w:footnote>
  <w:footnote w:id="624">
    <w:p>
      <w:pPr>
        <w:pStyle w:val="Funote"/>
        <w:rPr/>
      </w:pPr>
      <w:r>
        <w:rPr>
          <w:rStyle w:val="Funotenzeichen"/>
        </w:rPr>
        <w:footnoteRef/>
      </w:r>
      <w:r>
        <w:rPr/>
        <w:tab/>
        <w:t xml:space="preserve">Im hebräischen Text steht „fettes Land“, aber das hat Isaak ja schon Jakob versprochen. Der dritte Versteil macht klar, dass Esau das Gegenteil erhält. Im Hebräischen steht dafür </w:t>
      </w:r>
      <w:r>
        <w:rPr>
          <w:rtl w:val="true"/>
          <w:lang w:bidi="he-IL"/>
        </w:rPr>
        <w:t>מן</w:t>
      </w:r>
      <w:r>
        <w:rPr/>
        <w:t xml:space="preserve">, ohne. Das Wort </w:t>
      </w:r>
      <w:r>
        <w:rPr>
          <w:rtl w:val="true"/>
          <w:lang w:bidi="he-IL"/>
        </w:rPr>
        <w:t>משמני</w:t>
      </w:r>
      <w:r>
        <w:rPr/>
        <w:t xml:space="preserve"> </w:t>
      </w:r>
      <w:r>
        <w:rPr/>
        <w:t xml:space="preserve">könnte man auch </w:t>
      </w:r>
      <w:r>
        <w:rPr>
          <w:rtl w:val="true"/>
          <w:lang w:bidi="he-IL"/>
        </w:rPr>
        <w:t>מן שצמי</w:t>
      </w:r>
      <w:r>
        <w:rPr/>
        <w:t xml:space="preserve"> </w:t>
      </w:r>
      <w:r>
        <w:rPr/>
        <w:t>lesen; bei der Zusammenziehung beider Worte würde das Nun wegfallen, und im Schin müsste ein Punkt (Dagesch) stehen, dann würde es „ohne Fett der Erde“ heißen. Es steht aber so nicht im Text.</w:t>
      </w:r>
    </w:p>
  </w:footnote>
  <w:footnote w:id="625">
    <w:p>
      <w:pPr>
        <w:pStyle w:val="Funote"/>
        <w:rPr/>
      </w:pPr>
      <w:r>
        <w:rPr>
          <w:rStyle w:val="Funotenzeichen"/>
        </w:rPr>
        <w:footnoteRef/>
      </w:r>
      <w:r>
        <w:rPr/>
        <w:tab/>
        <w:t xml:space="preserve">So Gesenius, S. 1224. Die Wurzel </w:t>
      </w:r>
      <w:r>
        <w:rPr>
          <w:rtl w:val="true"/>
          <w:lang w:bidi="he-IL"/>
        </w:rPr>
        <w:t>רוד</w:t>
      </w:r>
      <w:r>
        <w:rPr/>
        <w:t xml:space="preserve"> </w:t>
      </w:r>
      <w:r>
        <w:rPr/>
        <w:t xml:space="preserve">im Hif'il kommt nur an dieser Stelle und in Psalm 55,3 vor, das Qal nur Hosea 12,1 und Jeremia 2,31; an allen Stellen ist der Text unsicher. An den drei genannten Stellen hat das Verb die Bedeutung „umherschweifen“, aber diese Bedeutung ergibt hier keinen Sinn. Deshalb werden im Apparat der BHS verschiedene andere Möglichkeiten vorgeschlagen: Der samaritanische Pentateuch hat hier das Imperfekt Nif'al von </w:t>
      </w:r>
      <w:r>
        <w:rPr>
          <w:rtl w:val="true"/>
          <w:lang w:bidi="he-IL"/>
        </w:rPr>
        <w:t>אדר</w:t>
      </w:r>
      <w:r>
        <w:rPr/>
        <w:t xml:space="preserve">, „du wirst dich verherrlichen“. Die Septuaginta (und ihr folgend die Vulgata) übersetzen </w:t>
      </w:r>
      <w:r>
        <w:rPr>
          <w:lang w:val="el-GR"/>
        </w:rPr>
        <w:t>καθελης</w:t>
      </w:r>
      <w:r>
        <w:rPr/>
        <w:t xml:space="preserve"> (von </w:t>
      </w:r>
      <w:r>
        <w:rPr>
          <w:lang w:val="el-GR"/>
        </w:rPr>
        <w:t>καθαιρεω</w:t>
      </w:r>
      <w:r>
        <w:rPr/>
        <w:t xml:space="preserve">, herunternehmen, niederreißen) = „du wirst herunterreißen“. Der Bearbeiter schlägt vor, </w:t>
      </w:r>
      <w:r>
        <w:rPr>
          <w:rtl w:val="true"/>
          <w:lang w:bidi="he-IL"/>
        </w:rPr>
        <w:t>ארך</w:t>
      </w:r>
      <w:r>
        <w:rPr/>
        <w:t xml:space="preserve"> </w:t>
      </w:r>
      <w:r>
        <w:rPr/>
        <w:t xml:space="preserve">hif'il zu lesen, „du wirst lange leben“, oder </w:t>
      </w:r>
      <w:r>
        <w:rPr>
          <w:rtl w:val="true"/>
          <w:lang w:bidi="he-IL"/>
        </w:rPr>
        <w:t>מרד</w:t>
      </w:r>
      <w:r>
        <w:rPr/>
        <w:t xml:space="preserve"> </w:t>
      </w:r>
      <w:r>
        <w:rPr/>
        <w:t>Qal, „du wirst dich auflehnen“.</w:t>
      </w:r>
    </w:p>
  </w:footnote>
  <w:footnote w:id="626">
    <w:p>
      <w:pPr>
        <w:pStyle w:val="Funote"/>
        <w:rPr/>
      </w:pPr>
      <w:r>
        <w:rPr>
          <w:rStyle w:val="Funotenzeichen"/>
        </w:rPr>
        <w:footnoteRef/>
      </w:r>
      <w:r>
        <w:rPr/>
        <w:tab/>
        <w:t>Partizip</w:t>
      </w:r>
    </w:p>
  </w:footnote>
  <w:footnote w:id="627">
    <w:p>
      <w:pPr>
        <w:pStyle w:val="Funote"/>
        <w:rPr/>
      </w:pPr>
      <w:r>
        <w:rPr>
          <w:rStyle w:val="Funotenzeichen"/>
        </w:rPr>
        <w:footnoteRef/>
      </w:r>
      <w:r>
        <w:rPr/>
        <w:tab/>
        <w:t>Esau müsste als Mörder seine Familie verlassen.</w:t>
      </w:r>
    </w:p>
  </w:footnote>
  <w:footnote w:id="628">
    <w:p>
      <w:pPr>
        <w:pStyle w:val="Funote"/>
        <w:rPr/>
      </w:pPr>
      <w:r>
        <w:rPr>
          <w:rStyle w:val="Funotenzeichen"/>
        </w:rPr>
        <w:footnoteRef/>
      </w:r>
      <w:r>
        <w:rPr/>
        <w:tab/>
        <w:t>Gemeint ist Esau</w:t>
      </w:r>
    </w:p>
  </w:footnote>
  <w:footnote w:id="629">
    <w:p>
      <w:pPr>
        <w:pStyle w:val="Funote"/>
        <w:rPr/>
      </w:pPr>
      <w:r>
        <w:rPr>
          <w:rStyle w:val="Funotenzeichen"/>
        </w:rPr>
        <w:footnoteRef/>
      </w:r>
      <w:r>
        <w:rPr/>
        <w:tab/>
        <w:t>Gesenius: Sklavin der Frau, die sie ihm als Kebsweib geben konnte</w:t>
      </w:r>
    </w:p>
  </w:footnote>
  <w:footnote w:id="630">
    <w:p>
      <w:pPr>
        <w:pStyle w:val="Funote"/>
        <w:rPr/>
      </w:pPr>
      <w:r>
        <w:rPr>
          <w:rStyle w:val="Funotenzeichen"/>
        </w:rPr>
        <w:footnoteRef/>
      </w:r>
      <w:r>
        <w:rPr/>
        <w:tab/>
        <w:t>Gesenius: nervus ischiadicus</w:t>
      </w:r>
    </w:p>
  </w:footnote>
  <w:footnote w:id="631">
    <w:p>
      <w:pPr>
        <w:pStyle w:val="Funote"/>
        <w:rPr/>
      </w:pPr>
      <w:r>
        <w:rPr>
          <w:rStyle w:val="Funotenzeichen"/>
        </w:rPr>
        <w:footnoteRef/>
      </w:r>
      <w:r>
        <w:rPr/>
        <w:tab/>
        <w:t>[Status: Ungeprüft]</w:t>
      </w:r>
    </w:p>
  </w:footnote>
  <w:footnote w:id="632">
    <w:p>
      <w:pPr>
        <w:pStyle w:val="Funote"/>
        <w:rPr/>
      </w:pPr>
      <w:r>
        <w:rPr>
          <w:rStyle w:val="Funotenzeichen"/>
        </w:rPr>
        <w:footnoteRef/>
      </w:r>
      <w:r>
        <w:rPr/>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633">
    <w:p>
      <w:pPr>
        <w:pStyle w:val="Funote"/>
        <w:rPr/>
      </w:pPr>
      <w:r>
        <w:rPr>
          <w:rStyle w:val="Funotenzeichen"/>
        </w:rPr>
        <w:footnoteRef/>
      </w:r>
      <w:r>
        <w:rPr/>
        <w:tab/>
        <w:t xml:space="preserve">Wörtlich „war hütend“. </w:t>
      </w:r>
    </w:p>
  </w:footnote>
  <w:footnote w:id="634">
    <w:p>
      <w:pPr>
        <w:pStyle w:val="Funote"/>
        <w:rPr/>
      </w:pPr>
      <w:r>
        <w:rPr>
          <w:rStyle w:val="Funotenzeichen"/>
        </w:rPr>
        <w:footnoteRef/>
      </w:r>
      <w:r>
        <w:rPr/>
        <w:tab/>
        <w:t xml:space="preserve">Das sind Schafe und Ziegen. </w:t>
      </w:r>
    </w:p>
  </w:footnote>
  <w:footnote w:id="635">
    <w:p>
      <w:pPr>
        <w:pStyle w:val="Funote"/>
        <w:rPr/>
      </w:pPr>
      <w:r>
        <w:rPr>
          <w:rStyle w:val="Funotenzeichen"/>
        </w:rPr>
        <w:footnoteRef/>
      </w:r>
      <w:r>
        <w:rPr/>
        <w:tab/>
        <w:t xml:space="preserve">Es wirkt hier so, als ob Josef seine Brüder anschwärzt, aber die Wortbedeutung ist nicht so klar. In </w:t>
      </w:r>
      <w:r>
        <w:fldChar w:fldCharType="begin"/>
      </w:r>
      <w:r>
        <w:rPr>
          <w:rStyle w:val="Internetverknpfung"/>
        </w:rPr>
        <w:instrText> HYPERLINK "../../../../../../../../../wiki/Jeremia_20" \l "s10"</w:instrText>
      </w:r>
      <w:r>
        <w:rPr>
          <w:rStyle w:val="Internetverknpfung"/>
        </w:rPr>
        <w:fldChar w:fldCharType="separate"/>
      </w:r>
      <w:r>
        <w:rPr>
          <w:rStyle w:val="Internetverknpfung"/>
        </w:rPr>
        <w:t>Jer 20,10</w:t>
      </w:r>
      <w:r>
        <w:rPr>
          <w:rStyle w:val="Internetverknpfung"/>
        </w:rPr>
        <w:fldChar w:fldCharType="end"/>
      </w:r>
      <w:r>
        <w:rPr/>
        <w:t xml:space="preserve"> und </w:t>
      </w:r>
      <w:hyperlink r:id="rId22">
        <w:r>
          <w:rPr>
            <w:rStyle w:val="Internetverknpfung"/>
          </w:rPr>
          <w:t>Hes 36,4</w:t>
        </w:r>
      </w:hyperlink>
      <w:r>
        <w:rPr/>
        <w:t xml:space="preserve"> bedeutet es neutral „Tratsch“, in den Psalmen (</w:t>
      </w:r>
      <w:hyperlink r:id="rId23">
        <w:r>
          <w:rPr>
            <w:rStyle w:val="Internetverknpfung"/>
          </w:rPr>
          <w:t>25,10</w:t>
        </w:r>
      </w:hyperlink>
      <w:r>
        <w:rPr/>
        <w:t xml:space="preserve">; </w:t>
      </w:r>
      <w:r>
        <w:fldChar w:fldCharType="begin"/>
      </w:r>
      <w:r>
        <w:rPr>
          <w:rStyle w:val="Internetverknpfung"/>
        </w:rPr>
        <w:instrText> HYPERLINK "../../../../../../../../../wiki/Psalm_31" \l "s14"</w:instrText>
      </w:r>
      <w:r>
        <w:rPr>
          <w:rStyle w:val="Internetverknpfung"/>
        </w:rPr>
        <w:fldChar w:fldCharType="separate"/>
      </w:r>
      <w:r>
        <w:rPr>
          <w:rStyle w:val="Internetverknpfung"/>
        </w:rPr>
        <w:t>31,14</w:t>
      </w:r>
      <w:r>
        <w:rPr>
          <w:rStyle w:val="Internetverknpfung"/>
        </w:rPr>
        <w:fldChar w:fldCharType="end"/>
      </w:r>
      <w:r>
        <w:rPr/>
        <w:t xml:space="preserve">) „Gerücht“ (bes. negativ in </w:t>
      </w:r>
      <w:r>
        <w:fldChar w:fldCharType="begin"/>
      </w:r>
      <w:r>
        <w:rPr>
          <w:rStyle w:val="Internetverknpfung"/>
        </w:rPr>
        <w:instrText> HYPERLINK "../../../../../../../../../wiki/Psalm_10" \l "s18"</w:instrText>
      </w:r>
      <w:r>
        <w:rPr>
          <w:rStyle w:val="Internetverknpfung"/>
        </w:rPr>
        <w:fldChar w:fldCharType="separate"/>
      </w:r>
      <w:r>
        <w:rPr>
          <w:rStyle w:val="Internetverknpfung"/>
        </w:rPr>
        <w:t>10,18</w:t>
      </w:r>
      <w:r>
        <w:rPr>
          <w:rStyle w:val="Internetverknpfung"/>
        </w:rPr>
        <w:fldChar w:fldCharType="end"/>
      </w:r>
      <w:r>
        <w:rPr/>
        <w:t xml:space="preserve">). Aber im Pentateuch kommt es nur noch in </w:t>
      </w:r>
      <w:r>
        <w:fldChar w:fldCharType="begin"/>
      </w:r>
      <w:r>
        <w:rPr>
          <w:rStyle w:val="Internetverknpfung"/>
        </w:rPr>
        <w:instrText> HYPERLINK "../../../../../../../../../wiki/Numeri_13" \l "s32"</w:instrText>
      </w:r>
      <w:r>
        <w:rPr>
          <w:rStyle w:val="Internetverknpfung"/>
        </w:rPr>
        <w:fldChar w:fldCharType="separate"/>
      </w:r>
      <w:r>
        <w:rPr>
          <w:rStyle w:val="Internetverknpfung"/>
        </w:rPr>
        <w:t>Num 13,32</w:t>
      </w:r>
      <w:r>
        <w:rPr>
          <w:rStyle w:val="Internetverknpfung"/>
        </w:rPr>
        <w:fldChar w:fldCharType="end"/>
      </w:r>
      <w:r>
        <w:rPr/>
        <w:t xml:space="preserve">; </w:t>
      </w:r>
      <w:r>
        <w:fldChar w:fldCharType="begin"/>
      </w:r>
      <w:r>
        <w:rPr>
          <w:rStyle w:val="Internetverknpfung"/>
        </w:rPr>
        <w:instrText> HYPERLINK "../../../../../../../../../wiki/Numeri_14" \l "s36"</w:instrText>
      </w:r>
      <w:r>
        <w:rPr>
          <w:rStyle w:val="Internetverknpfung"/>
        </w:rPr>
        <w:fldChar w:fldCharType="separate"/>
      </w:r>
      <w:r>
        <w:rPr>
          <w:rStyle w:val="Internetverknpfung"/>
        </w:rPr>
        <w:t>14,36f.</w:t>
      </w:r>
      <w:r>
        <w:rPr>
          <w:rStyle w:val="Internetverknpfung"/>
        </w:rPr>
        <w:fldChar w:fldCharType="end"/>
      </w:r>
      <w:r>
        <w:rPr/>
        <w:t xml:space="preserve"> vor, wo die israelitischen Kundschafter einen Bericht über das eigentlich gute Land Kanaan negativ wiedergeben. Er stellt also womöglich nur Tatsachen negativ dar oder liefert einen neutralen Bericht böser Taten. </w:t>
      </w:r>
    </w:p>
  </w:footnote>
  <w:footnote w:id="636">
    <w:p>
      <w:pPr>
        <w:pStyle w:val="Funote"/>
        <w:rPr/>
      </w:pPr>
      <w:r>
        <w:rPr>
          <w:rStyle w:val="Funotenzeichen"/>
        </w:rPr>
        <w:footnoteRef/>
      </w:r>
      <w:r>
        <w:rPr/>
        <w:tab/>
        <w:t>Wörtlich: „fügten sie noch hinzu, ihn zu hassen“</w:t>
      </w:r>
    </w:p>
  </w:footnote>
  <w:footnote w:id="637">
    <w:p>
      <w:pPr>
        <w:pStyle w:val="Funote"/>
        <w:rPr/>
      </w:pPr>
      <w:r>
        <w:rPr>
          <w:rStyle w:val="Funotenzeichen"/>
        </w:rPr>
        <w:footnoteRef/>
      </w:r>
      <w:r>
        <w:rPr/>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638">
    <w:p>
      <w:pPr>
        <w:pStyle w:val="Funote"/>
        <w:rPr/>
      </w:pPr>
      <w:r>
        <w:rPr>
          <w:rStyle w:val="Funotenzeichen"/>
        </w:rPr>
        <w:footnoteRef/>
      </w:r>
      <w:r>
        <w:rPr/>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639">
    <w:p>
      <w:pPr>
        <w:pStyle w:val="Funote"/>
        <w:rPr/>
      </w:pPr>
      <w:r>
        <w:rPr>
          <w:rStyle w:val="Funotenzeichen"/>
        </w:rPr>
        <w:footnoteRef/>
      </w:r>
      <w:r>
        <w:rPr/>
        <w:tab/>
        <w:t>Wörtlich: „fügten sie noch hinzu, ihn zu hassen“</w:t>
      </w:r>
    </w:p>
  </w:footnote>
  <w:footnote w:id="640">
    <w:p>
      <w:pPr>
        <w:pStyle w:val="Funote"/>
        <w:rPr/>
      </w:pPr>
      <w:r>
        <w:rPr>
          <w:rStyle w:val="Funotenzeichen"/>
        </w:rPr>
        <w:footnoteRef/>
      </w:r>
      <w:r>
        <w:rPr/>
        <w:tab/>
        <w:t>Wörtlich: „[waren] sich vor mir Niederwerfende“</w:t>
      </w:r>
    </w:p>
  </w:footnote>
  <w:footnote w:id="641">
    <w:p>
      <w:pPr>
        <w:pStyle w:val="Funote"/>
        <w:rPr/>
      </w:pPr>
      <w:r>
        <w:rPr>
          <w:rStyle w:val="Funotenzeichen"/>
        </w:rPr>
        <w:footnoteRef/>
      </w:r>
      <w:r>
        <w:rPr/>
        <w:tab/>
        <w:t>Wörtlich: „bring mir Nachricht zurück“</w:t>
      </w:r>
    </w:p>
  </w:footnote>
  <w:footnote w:id="642">
    <w:p>
      <w:pPr>
        <w:pStyle w:val="Funote"/>
        <w:rPr/>
      </w:pPr>
      <w:r>
        <w:rPr>
          <w:rStyle w:val="Funotenzeichen"/>
        </w:rPr>
        <w:footnoteRef/>
      </w:r>
      <w:r>
        <w:rPr/>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643">
    <w:p>
      <w:pPr>
        <w:pStyle w:val="Funote"/>
        <w:rPr/>
      </w:pPr>
      <w:r>
        <w:rPr>
          <w:rStyle w:val="Funotenzeichen"/>
        </w:rPr>
        <w:footnoteRef/>
      </w:r>
      <w:r>
        <w:rPr/>
        <w:tab/>
        <w:t xml:space="preserve">Auflösung eines Ptz. </w:t>
      </w:r>
    </w:p>
  </w:footnote>
  <w:footnote w:id="644">
    <w:p>
      <w:pPr>
        <w:pStyle w:val="Funote"/>
        <w:rPr/>
      </w:pPr>
      <w:r>
        <w:rPr>
          <w:rStyle w:val="Funotenzeichen"/>
        </w:rPr>
        <w:footnoteRef/>
      </w:r>
      <w:r>
        <w:rPr/>
        <w:tab/>
        <w:t xml:space="preserve">Wörtlich: „Herr der Träume“. Laut Gesenius bezeichnet hebr. </w:t>
      </w:r>
      <w:r>
        <w:rPr>
          <w:rtl w:val="true"/>
          <w:lang w:bidi="he-IL"/>
        </w:rPr>
        <w:t>בַּעַל</w:t>
      </w:r>
      <w:r>
        <w:rPr/>
        <w:t xml:space="preserve"> „</w:t>
      </w:r>
      <w:r>
        <w:rPr/>
        <w:t xml:space="preserve">Herr“ in Verbindung mit bestimmten Substantiven eine Person, „mit dem die Sache irgendwie verbunden ist“. So ist ein „Herr der Pfeile“ zum Beispiel ein Bogenschütze (Gen 49:23) und ein „Herr der Träume“ ein Träumer. </w:t>
      </w:r>
    </w:p>
  </w:footnote>
  <w:footnote w:id="645">
    <w:p>
      <w:pPr>
        <w:pStyle w:val="Funote"/>
        <w:rPr/>
      </w:pPr>
      <w:r>
        <w:rPr>
          <w:rStyle w:val="Funotenzeichen"/>
        </w:rPr>
        <w:footnoteRef/>
      </w:r>
      <w:r>
        <w:rPr/>
        <w:tab/>
        <w:t xml:space="preserve">Die beiden Verben in diesem Satz scheinen ihre auffordernde (kohortative) Bedeutung vom vorausgehenden Imperativ </w:t>
      </w:r>
      <w:r>
        <w:rPr>
          <w:rtl w:val="true"/>
          <w:lang w:bidi="he-IL"/>
        </w:rPr>
        <w:t>לְכוּ</w:t>
      </w:r>
      <w:r>
        <w:rPr/>
        <w:t xml:space="preserve"> </w:t>
      </w:r>
      <w:r>
        <w:rPr/>
        <w:t xml:space="preserve">(hier übersetzt als „los“) zu „erben“. Der Form nach sind die Verben nicht kohortativ. Beide Verben weisen die allgemeine Form </w:t>
      </w:r>
      <w:r>
        <w:rPr>
          <w:rStyle w:val="Betont"/>
        </w:rPr>
        <w:t>weyiqtol</w:t>
      </w:r>
      <w:r>
        <w:rPr/>
        <w:t xml:space="preserve"> auf (</w:t>
      </w:r>
      <w:r>
        <w:rPr>
          <w:rtl w:val="true"/>
          <w:lang w:bidi="he-IL"/>
        </w:rPr>
        <w:t>ו</w:t>
      </w:r>
      <w:r>
        <w:rPr/>
        <w:t xml:space="preserve"> </w:t>
      </w:r>
      <w:r>
        <w:rPr/>
        <w:t>+ Imperfekt). Die Bedeutung dieser Form wird in der Forschung kontrovers diskutiert (</w:t>
      </w:r>
      <w:r>
        <w:rPr>
          <w:rStyle w:val="Betont"/>
        </w:rPr>
        <w:t>William's Hebrew Syntax</w:t>
      </w:r>
      <w:r>
        <w:rPr/>
        <w:t>, §180).</w:t>
      </w:r>
    </w:p>
  </w:footnote>
  <w:footnote w:id="646">
    <w:p>
      <w:pPr>
        <w:pStyle w:val="Funote"/>
        <w:rPr/>
      </w:pPr>
      <w:r>
        <w:rPr>
          <w:rStyle w:val="Funotenzeichen"/>
        </w:rPr>
        <w:footnoteRef/>
      </w:r>
      <w:r>
        <w:rPr/>
        <w:tab/>
        <w:t>Wörtlich: „was seine Träume werden“.</w:t>
      </w:r>
    </w:p>
  </w:footnote>
  <w:footnote w:id="647">
    <w:p>
      <w:pPr>
        <w:pStyle w:val="Funote"/>
        <w:rPr/>
      </w:pPr>
      <w:r>
        <w:rPr>
          <w:rStyle w:val="Funotenzeichen"/>
        </w:rPr>
        <w:footnoteRef/>
      </w:r>
      <w:r>
        <w:rPr/>
        <w:tab/>
        <w:t>Wörtlich: „Wir werden ihn nicht schlagen [in Bezug auf sein] Leben.“</w:t>
      </w:r>
    </w:p>
  </w:footnote>
  <w:footnote w:id="648">
    <w:p>
      <w:pPr>
        <w:pStyle w:val="Funote"/>
        <w:rPr/>
      </w:pPr>
      <w:r>
        <w:rPr>
          <w:rStyle w:val="Funotenzeichen"/>
        </w:rPr>
        <w:footnoteRef/>
      </w:r>
      <w:r>
        <w:rPr/>
        <w:tab/>
        <w:t>Wörtlich: „Und es geschah, als Josef zu seinen Brüdern gekommen war“.</w:t>
      </w:r>
    </w:p>
  </w:footnote>
  <w:footnote w:id="649">
    <w:p>
      <w:pPr>
        <w:pStyle w:val="Funote"/>
        <w:rPr/>
      </w:pPr>
      <w:r>
        <w:rPr>
          <w:rStyle w:val="Funotenzeichen"/>
        </w:rPr>
        <w:footnoteRef/>
      </w:r>
      <w:r>
        <w:rPr/>
        <w:tab/>
        <w:t>Tragakant ist eine pflanzlich gewonnene, gummiartige Substanz, die im Altertum u.a. bei der Herstellung von Räucherwerk, Arzneien und Kosmetikprodukten Verwendung fand.</w:t>
      </w:r>
    </w:p>
  </w:footnote>
  <w:footnote w:id="650">
    <w:p>
      <w:pPr>
        <w:pStyle w:val="Funote"/>
        <w:rPr/>
      </w:pPr>
      <w:r>
        <w:rPr>
          <w:rStyle w:val="Funotenzeichen"/>
        </w:rPr>
        <w:footnoteRef/>
      </w:r>
      <w:r>
        <w:rPr/>
        <w:tab/>
        <w:t>Ladanum ist ein Pflanzenharz, das u.a. als Heilmittel für Atem- und Verdauungsprobleme verwendet wurde.</w:t>
      </w:r>
    </w:p>
  </w:footnote>
  <w:footnote w:id="651">
    <w:p>
      <w:pPr>
        <w:pStyle w:val="Funote"/>
        <w:rPr/>
      </w:pPr>
      <w:r>
        <w:rPr>
          <w:rStyle w:val="Funotenzeichen"/>
        </w:rPr>
        <w:footnoteRef/>
      </w:r>
      <w:r>
        <w:rPr/>
        <w:tab/>
        <w:t>Wörtlich: „Sie gingen, um [ihre Waren] nach Ägypten hinabzubringen“.</w:t>
      </w:r>
    </w:p>
  </w:footnote>
  <w:footnote w:id="652">
    <w:p>
      <w:pPr>
        <w:pStyle w:val="Funote"/>
        <w:rPr/>
      </w:pPr>
      <w:r>
        <w:rPr>
          <w:rStyle w:val="Funotenzeichen"/>
        </w:rPr>
        <w:footnoteRef/>
      </w:r>
      <w:r>
        <w:rPr/>
        <w:tab/>
        <w:t>Vgl. Gen 4:10, wo nach Abels Tod die „Stimme seines Blutes“ vom Ackerboden her den Klageruf erhebt und von Gott erhört wird.</w:t>
      </w:r>
    </w:p>
  </w:footnote>
  <w:footnote w:id="653">
    <w:p>
      <w:pPr>
        <w:pStyle w:val="Funote"/>
        <w:rPr/>
      </w:pPr>
      <w:r>
        <w:rPr>
          <w:rStyle w:val="Funotenzeichen"/>
        </w:rPr>
        <w:footnoteRef/>
      </w:r>
      <w:r>
        <w:rPr/>
        <w:tab/>
        <w:t xml:space="preserve">Im hebräischen Original stehen zwei koordinierte Verben, „zogen [heraus]“ und „brachten nach oben“, die denselben Vorgang bezeichnen und daher mittels eines einzigen Verbs wiedergegeben werden können (vgl. </w:t>
      </w:r>
      <w:r>
        <w:rPr>
          <w:rStyle w:val="Betont"/>
        </w:rPr>
        <w:t>Williams' Hebrew Syntax</w:t>
      </w:r>
      <w:r>
        <w:rPr/>
        <w:t xml:space="preserve"> §223).</w:t>
      </w:r>
    </w:p>
  </w:footnote>
  <w:footnote w:id="654">
    <w:p>
      <w:pPr>
        <w:pStyle w:val="Funote"/>
        <w:rPr/>
      </w:pPr>
      <w:r>
        <w:rPr>
          <w:rStyle w:val="Funotenzeichen"/>
        </w:rPr>
        <w:footnoteRef/>
      </w:r>
      <w:r>
        <w:rPr/>
        <w:tab/>
        <w:t>Wörtlich: „Wohin komme (part.) ich ?“</w:t>
      </w:r>
    </w:p>
  </w:footnote>
  <w:footnote w:id="655">
    <w:p>
      <w:pPr>
        <w:pStyle w:val="Funote"/>
        <w:rPr/>
      </w:pPr>
      <w:r>
        <w:rPr>
          <w:rStyle w:val="Funotenzeichen"/>
        </w:rPr>
        <w:footnoteRef/>
      </w:r>
      <w:r>
        <w:rPr/>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656">
    <w:p>
      <w:pPr>
        <w:pStyle w:val="Funote"/>
        <w:rPr/>
      </w:pPr>
      <w:r>
        <w:rPr>
          <w:rStyle w:val="Funotenzeichen"/>
        </w:rPr>
        <w:footnoteRef/>
      </w:r>
      <w:r>
        <w:rPr/>
        <w:tab/>
        <w:t>Wörtlich: „Wahrlich ein Zerrissener [ist] Josef.“</w:t>
      </w:r>
    </w:p>
  </w:footnote>
  <w:footnote w:id="657">
    <w:p>
      <w:pPr>
        <w:pStyle w:val="Funote"/>
        <w:rPr/>
      </w:pPr>
      <w:r>
        <w:rPr>
          <w:rStyle w:val="Funotenzeichen"/>
        </w:rPr>
        <w:footnoteRef/>
      </w:r>
      <w:r>
        <w:rPr/>
        <w:tab/>
        <w:t>Im hebräischen Original (d.h. im masoretischen Text) steht „Medaniter“ (wahrscheinlich ein Schreibfehler).</w:t>
      </w:r>
    </w:p>
  </w:footnote>
  <w:footnote w:id="658">
    <w:p>
      <w:pPr>
        <w:pStyle w:val="Funote"/>
        <w:rPr/>
      </w:pPr>
      <w:r>
        <w:rPr>
          <w:rStyle w:val="Funotenzeichen"/>
        </w:rPr>
        <w:footnoteRef/>
      </w:r>
      <w:r>
        <w:rPr/>
        <w:tab/>
        <w:t>[Status: Ungeprüft]</w:t>
      </w:r>
    </w:p>
  </w:footnote>
  <w:footnote w:id="659">
    <w:p>
      <w:pPr>
        <w:pStyle w:val="Funote"/>
        <w:rPr/>
      </w:pPr>
      <w:r>
        <w:rPr>
          <w:rStyle w:val="Funotenzeichen"/>
        </w:rPr>
        <w:footnoteRef/>
      </w:r>
      <w:r>
        <w:rPr/>
        <w:tab/>
        <w:t>Oder: „Und er zeltete / schlug sein Zelt auf in der Nähe eines adullamitischen Mannes.“</w:t>
      </w:r>
    </w:p>
  </w:footnote>
  <w:footnote w:id="660">
    <w:p>
      <w:pPr>
        <w:pStyle w:val="Funote"/>
        <w:rPr/>
      </w:pPr>
      <w:r>
        <w:rPr>
          <w:rStyle w:val="Funotenzeichen"/>
        </w:rPr>
        <w:footnoteRef/>
      </w:r>
      <w:r>
        <w:rPr/>
        <w:tab/>
        <w:t>Die Wendung „zu einer Frau kommen“ ist im Hebräischen ein Euphemismus für „mit einer Frau Geschlechtsverkehr haben“.</w:t>
      </w:r>
    </w:p>
  </w:footnote>
  <w:footnote w:id="661">
    <w:p>
      <w:pPr>
        <w:pStyle w:val="Funote"/>
        <w:rPr/>
      </w:pPr>
      <w:r>
        <w:rPr>
          <w:rStyle w:val="Funotenzeichen"/>
        </w:rPr>
        <w:footnoteRef/>
      </w:r>
      <w:r>
        <w:rPr/>
        <w:tab/>
        <w:t>Wörtlich: „Und sie fügte noch hinzu [schwanger zu werden]“ (verbaler Hendiadyoin)</w:t>
      </w:r>
    </w:p>
  </w:footnote>
  <w:footnote w:id="662">
    <w:p>
      <w:pPr>
        <w:pStyle w:val="Funote"/>
        <w:rPr/>
      </w:pPr>
      <w:r>
        <w:rPr>
          <w:rStyle w:val="Funotenzeichen"/>
        </w:rPr>
        <w:footnoteRef/>
      </w:r>
      <w:r>
        <w:rPr/>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663">
    <w:p>
      <w:pPr>
        <w:pStyle w:val="Funote"/>
        <w:rPr/>
      </w:pPr>
      <w:r>
        <w:rPr>
          <w:rStyle w:val="Funotenzeichen"/>
        </w:rPr>
        <w:footnoteRef/>
      </w:r>
      <w:r>
        <w:rPr/>
        <w:tab/>
        <w:t>Gemeint ist: „Vollziehe Beischlaf mit der Frau deines Bruders“. Der unmittelbar folgende Teilsatz stellt klar, dass der Beischlaf im gesetzlichen Rahmen der Schwagerehe erfolgen soll.</w:t>
      </w:r>
    </w:p>
  </w:footnote>
  <w:footnote w:id="664">
    <w:p>
      <w:pPr>
        <w:pStyle w:val="Funote"/>
        <w:rPr/>
      </w:pPr>
      <w:r>
        <w:rPr>
          <w:rStyle w:val="Funotenzeichen"/>
        </w:rPr>
        <w:footnoteRef/>
      </w:r>
      <w:r>
        <w:rPr/>
        <w:tab/>
        <w:t xml:space="preserve">Starb ein verheirateter Mann, ohne mit seiner Frau einen Erben gezeugt zu haben, musste dies nach </w:t>
      </w:r>
      <w:hyperlink r:id="rId24">
        <w:r>
          <w:rPr>
            <w:rStyle w:val="Internetverknpfung"/>
          </w:rPr>
          <w:t>Dtn 25,5-6</w:t>
        </w:r>
      </w:hyperlink>
      <w:r>
        <w:rPr/>
        <w:t xml:space="preserve"> „nachgeholt“ werden, indem einer der Brüder des Verstorbenen mit der Witwe die sogenannte Schwagerehe (Levirat) einging.</w:t>
      </w:r>
    </w:p>
  </w:footnote>
  <w:footnote w:id="665">
    <w:p>
      <w:pPr>
        <w:pStyle w:val="Funote"/>
        <w:rPr/>
      </w:pPr>
      <w:r>
        <w:rPr>
          <w:rStyle w:val="Funotenzeichen"/>
        </w:rPr>
        <w:footnoteRef/>
      </w:r>
      <w:r>
        <w:rPr/>
        <w:tab/>
        <w:t>Im hebräischen Original steht „auf“ statt „zu“, was wahrscheinlich ein Schreibfehler ist (vgl. den kritischen Apparat der Biblia Hebraica).</w:t>
      </w:r>
    </w:p>
  </w:footnote>
  <w:footnote w:id="666">
    <w:p>
      <w:pPr>
        <w:pStyle w:val="Funote"/>
        <w:rPr/>
      </w:pPr>
      <w:r>
        <w:rPr>
          <w:rStyle w:val="Funotenzeichen"/>
        </w:rPr>
        <w:footnoteRef/>
      </w:r>
      <w:r>
        <w:rPr/>
        <w:tab/>
        <w:t>Das Siegel wurde an einer Schnur um den Hals gehängt getragen.</w:t>
      </w:r>
    </w:p>
  </w:footnote>
  <w:footnote w:id="667">
    <w:p>
      <w:pPr>
        <w:pStyle w:val="Funote"/>
        <w:rPr/>
      </w:pPr>
      <w:r>
        <w:rPr>
          <w:rStyle w:val="Funotenzeichen"/>
        </w:rPr>
        <w:footnoteRef/>
      </w:r>
      <w:r>
        <w:rPr/>
        <w:tab/>
        <w:t>Das von Juda hinterlegte Pfand (Siegelring samt Band und Stab) war sicherlich mehr wert als der Ziegenbock, den Juda der Prostituierten als Lohn versprochen hatte.</w:t>
      </w:r>
    </w:p>
  </w:footnote>
  <w:footnote w:id="668">
    <w:p>
      <w:pPr>
        <w:pStyle w:val="Funote"/>
        <w:rPr/>
      </w:pPr>
      <w:r>
        <w:rPr>
          <w:rStyle w:val="Funotenzeichen"/>
        </w:rPr>
        <w:footnoteRef/>
      </w:r>
      <w:r>
        <w:rPr/>
        <w:tab/>
        <w:t>Gemeint ist: „damit wir nicht durch weitere peinliche Nachforschungen zum Gespött der Leute werden“.</w:t>
      </w:r>
    </w:p>
  </w:footnote>
  <w:footnote w:id="669">
    <w:p>
      <w:pPr>
        <w:pStyle w:val="Funote"/>
        <w:rPr/>
      </w:pPr>
      <w:r>
        <w:rPr>
          <w:rStyle w:val="Funotenzeichen"/>
        </w:rPr>
        <w:footnoteRef/>
      </w:r>
      <w:r>
        <w:rPr/>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670">
    <w:p>
      <w:pPr>
        <w:pStyle w:val="Funote"/>
        <w:rPr/>
      </w:pPr>
      <w:r>
        <w:rPr>
          <w:rStyle w:val="Funotenzeichen"/>
        </w:rPr>
        <w:footnoteRef/>
      </w:r>
      <w:r>
        <w:rPr/>
        <w:tab/>
        <w:t>Im hebräischen Original steht „er erkannte sie nicht mehr“, ein Euphemismus für „er hatte keinen Geschlechtsverkehr mehr mit ihr“.</w:t>
      </w:r>
    </w:p>
  </w:footnote>
  <w:footnote w:id="671">
    <w:p>
      <w:pPr>
        <w:pStyle w:val="Funote"/>
        <w:rPr/>
      </w:pPr>
      <w:r>
        <w:rPr>
          <w:rStyle w:val="Funotenzeichen"/>
        </w:rPr>
        <w:footnoteRef/>
      </w:r>
      <w:r>
        <w:rPr/>
        <w:tab/>
        <w:t xml:space="preserve">Hebr. </w:t>
      </w:r>
      <w:r>
        <w:rPr>
          <w:rStyle w:val="Betont"/>
        </w:rPr>
        <w:t>perez</w:t>
      </w:r>
      <w:r>
        <w:rPr/>
        <w:t xml:space="preserve"> bedeutet „Riss, Durchbruch“</w:t>
      </w:r>
    </w:p>
  </w:footnote>
  <w:footnote w:id="672">
    <w:p>
      <w:pPr>
        <w:pStyle w:val="Funote"/>
        <w:rPr/>
      </w:pPr>
      <w:r>
        <w:rPr>
          <w:rStyle w:val="Funotenzeichen"/>
        </w:rPr>
        <w:footnoteRef/>
      </w:r>
      <w:r>
        <w:rPr/>
        <w:tab/>
        <w:t xml:space="preserve">Hebr. </w:t>
      </w:r>
      <w:r>
        <w:rPr>
          <w:rStyle w:val="Betont"/>
        </w:rPr>
        <w:t>serach</w:t>
      </w:r>
      <w:r>
        <w:rPr/>
        <w:t xml:space="preserve"> bedeutet „Sonnenaufgang“</w:t>
      </w:r>
    </w:p>
  </w:footnote>
  <w:footnote w:id="673">
    <w:p>
      <w:pPr>
        <w:pStyle w:val="Funote"/>
        <w:rPr/>
      </w:pPr>
      <w:r>
        <w:rPr>
          <w:rStyle w:val="Funotenzeichen"/>
        </w:rPr>
        <w:footnoteRef/>
      </w:r>
      <w:r>
        <w:rPr/>
        <w:tab/>
        <w:t>[Status: Ungeprüft]</w:t>
      </w:r>
    </w:p>
  </w:footnote>
  <w:footnote w:id="674">
    <w:p>
      <w:pPr>
        <w:pStyle w:val="Funote"/>
        <w:rPr/>
      </w:pPr>
      <w:r>
        <w:rPr>
          <w:rStyle w:val="Funotenzeichen"/>
        </w:rPr>
        <w:footnoteRef/>
      </w:r>
      <w:r>
        <w:rPr/>
        <w:tab/>
        <w:t>D.h. Potifars.</w:t>
      </w:r>
    </w:p>
  </w:footnote>
  <w:footnote w:id="675">
    <w:p>
      <w:pPr>
        <w:pStyle w:val="Funote"/>
        <w:rPr/>
      </w:pPr>
      <w:r>
        <w:rPr>
          <w:rStyle w:val="Funotenzeichen"/>
        </w:rPr>
        <w:footnoteRef/>
      </w:r>
      <w:r>
        <w:rPr/>
        <w:tab/>
        <w:t>Für die Lesefassung bietet sich eine freie Übersetzung der hebräischen Ausdrucksweise an, z.B.: „Seitdem er Josef hatte, brauchte Potifar sich um nichts mehr zu kümmern, außer um seine intimsten Angelegenheiten.“</w:t>
      </w:r>
    </w:p>
  </w:footnote>
  <w:footnote w:id="676">
    <w:p>
      <w:pPr>
        <w:pStyle w:val="Funote"/>
        <w:rPr/>
      </w:pPr>
      <w:r>
        <w:rPr>
          <w:rStyle w:val="Funotenzeichen"/>
        </w:rPr>
        <w:footnoteRef/>
      </w:r>
      <w:r>
        <w:rPr/>
        <w:tab/>
        <w:t xml:space="preserve">Die beiden Verben „floh“ und „zog hinaus“ bezeichnen unterschiedliche Aspekte des gleichen Vorgangs (Art der Bewegung und Richtung der Bewegung) und müssen daher nicht beide als Verben übersetzt werden (vgl. </w:t>
      </w:r>
      <w:r>
        <w:rPr>
          <w:rStyle w:val="Betont"/>
        </w:rPr>
        <w:t>Williams' Hebrew Syntax</w:t>
      </w:r>
      <w:r>
        <w:rPr/>
        <w:t xml:space="preserve"> §223). Für die Lesefassung bietet sich z.B. an: „und floh hinaus auf die Straße“.</w:t>
      </w:r>
    </w:p>
  </w:footnote>
  <w:footnote w:id="677">
    <w:p>
      <w:pPr>
        <w:pStyle w:val="Funote"/>
        <w:rPr/>
      </w:pPr>
      <w:r>
        <w:rPr>
          <w:rStyle w:val="Funotenzeichen"/>
        </w:rPr>
        <w:footnoteRef/>
      </w:r>
      <w:r>
        <w:rPr/>
        <w:tab/>
        <w:t>D.h. Potifar.</w:t>
      </w:r>
    </w:p>
  </w:footnote>
  <w:footnote w:id="678">
    <w:p>
      <w:pPr>
        <w:pStyle w:val="Funote"/>
        <w:rPr/>
      </w:pPr>
      <w:r>
        <w:rPr>
          <w:rStyle w:val="Funotenzeichen"/>
        </w:rPr>
        <w:footnoteRef/>
      </w:r>
      <w:r>
        <w:rPr/>
        <w:tab/>
        <w:t>D.h. Potifar oder Hebräer, vgl. Fußnote in 17.</w:t>
      </w:r>
    </w:p>
  </w:footnote>
  <w:footnote w:id="679">
    <w:p>
      <w:pPr>
        <w:pStyle w:val="Funote"/>
        <w:rPr/>
      </w:pPr>
      <w:r>
        <w:rPr>
          <w:rStyle w:val="Funotenzeichen"/>
        </w:rPr>
        <w:footnoteRef/>
      </w:r>
      <w:r>
        <w:rPr/>
        <w:tab/>
        <w:t>D.h. „erzählte ihm die gleiche Geschichte“.</w:t>
      </w:r>
    </w:p>
  </w:footnote>
  <w:footnote w:id="680">
    <w:p>
      <w:pPr>
        <w:pStyle w:val="Funote"/>
        <w:rPr/>
      </w:pPr>
      <w:r>
        <w:rPr>
          <w:rStyle w:val="Funotenzeichen"/>
        </w:rPr>
        <w:footnoteRef/>
      </w:r>
      <w:r>
        <w:rPr/>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81">
    <w:p>
      <w:pPr>
        <w:pStyle w:val="Funote"/>
        <w:rPr/>
      </w:pPr>
      <w:r>
        <w:rPr>
          <w:rStyle w:val="Funotenzeichen"/>
        </w:rPr>
        <w:footnoteRef/>
      </w:r>
      <w:r>
        <w:rPr/>
        <w:tab/>
        <w:t>Wörtlich: „Er gab seine Gnade in den Augen des Gefängnismeisters“.</w:t>
      </w:r>
    </w:p>
  </w:footnote>
  <w:footnote w:id="682">
    <w:p>
      <w:pPr>
        <w:pStyle w:val="Funote"/>
        <w:rPr/>
      </w:pPr>
      <w:r>
        <w:rPr>
          <w:rStyle w:val="Funotenzeichen"/>
        </w:rPr>
        <w:footnoteRef/>
      </w:r>
      <w:r>
        <w:rPr/>
        <w:tab/>
        <w:t>Wörtlich: „Und alles, was sie dort Tuende waren: Er war der Tuende“.</w:t>
      </w:r>
    </w:p>
  </w:footnote>
  <w:footnote w:id="683">
    <w:p>
      <w:pPr>
        <w:pStyle w:val="Funote"/>
        <w:rPr/>
      </w:pPr>
      <w:r>
        <w:rPr>
          <w:rStyle w:val="Funotenzeichen"/>
        </w:rPr>
        <w:footnoteRef/>
      </w:r>
      <w:r>
        <w:rPr/>
        <w:tab/>
        <w:t>Wörtlich: „Anführer/Obersten der Mundschenke“ bzw. „Anführer/Obersten der Bäcker“.</w:t>
      </w:r>
    </w:p>
  </w:footnote>
  <w:footnote w:id="684">
    <w:p>
      <w:pPr>
        <w:pStyle w:val="Funote"/>
        <w:rPr/>
      </w:pPr>
      <w:r>
        <w:rPr>
          <w:rStyle w:val="Funotenzeichen"/>
        </w:rPr>
        <w:footnoteRef/>
      </w:r>
      <w:r>
        <w:rPr/>
        <w:tab/>
        <w:t>Wörtlich: „Warum sind eure Gesichter heute so schlecht?“</w:t>
      </w:r>
    </w:p>
  </w:footnote>
  <w:footnote w:id="685">
    <w:p>
      <w:pPr>
        <w:pStyle w:val="Funote"/>
        <w:rPr/>
      </w:pPr>
      <w:r>
        <w:rPr>
          <w:rStyle w:val="Funotenzeichen"/>
        </w:rPr>
        <w:footnoteRef/>
      </w:r>
      <w:r>
        <w:rPr/>
        <w:tab/>
        <w:t>Die Ägypter glaubten, Träume wären ein Medium, durch das Götter mit den Menschen kommunizierten. Josefs Idee, Gott könne ihm bei der Interpretation des Traumes helfen, entspricht dieser Auffassung.</w:t>
      </w:r>
    </w:p>
  </w:footnote>
  <w:footnote w:id="686">
    <w:p>
      <w:pPr>
        <w:pStyle w:val="Funote"/>
        <w:rPr/>
      </w:pPr>
      <w:r>
        <w:rPr>
          <w:rStyle w:val="Funotenzeichen"/>
        </w:rPr>
        <w:footnoteRef/>
      </w:r>
      <w:r>
        <w:rPr/>
        <w:tab/>
        <w:t>Wörtlich: „stieg ihre Blüte auf“</w:t>
      </w:r>
    </w:p>
  </w:footnote>
  <w:footnote w:id="687">
    <w:p>
      <w:pPr>
        <w:pStyle w:val="Funote"/>
        <w:rPr/>
      </w:pPr>
      <w:r>
        <w:rPr>
          <w:rStyle w:val="Funotenzeichen"/>
        </w:rPr>
        <w:footnoteRef/>
      </w:r>
      <w:r>
        <w:rPr/>
        <w:tab/>
        <w:t>Trauben sind die beerenhaltigen Büschel der Weinrebe. Umgangssprachlich wird nicht zwischen Trauben und Beeren unterschieden</w:t>
      </w:r>
    </w:p>
  </w:footnote>
  <w:footnote w:id="688">
    <w:p>
      <w:pPr>
        <w:pStyle w:val="Funote"/>
        <w:rPr/>
      </w:pPr>
      <w:r>
        <w:rPr>
          <w:rStyle w:val="Funotenzeichen"/>
        </w:rPr>
        <w:footnoteRef/>
      </w:r>
      <w:r>
        <w:rPr/>
        <w:tab/>
        <w:t>Wörtlich: „deinen Kopf erheben“</w:t>
      </w:r>
    </w:p>
  </w:footnote>
  <w:footnote w:id="689">
    <w:p>
      <w:pPr>
        <w:pStyle w:val="Funote"/>
        <w:rPr/>
      </w:pPr>
      <w:r>
        <w:rPr>
          <w:rStyle w:val="Funotenzeichen"/>
        </w:rPr>
        <w:footnoteRef/>
      </w:r>
      <w:r>
        <w:rPr/>
        <w:tab/>
        <w:t>Gemeint ist: „wie du vorher zu tun pflegtest“</w:t>
      </w:r>
    </w:p>
  </w:footnote>
  <w:footnote w:id="690">
    <w:p>
      <w:pPr>
        <w:pStyle w:val="Funote"/>
        <w:rPr/>
      </w:pPr>
      <w:r>
        <w:rPr>
          <w:rStyle w:val="Funotenzeichen"/>
        </w:rPr>
        <w:footnoteRef/>
      </w:r>
      <w:r>
        <w:rPr/>
        <w:tab/>
        <w:t>Im alten Ägypten trug man Speisen in Körben gestapelt auf dem Kopf zu Tisch.</w:t>
      </w:r>
    </w:p>
  </w:footnote>
  <w:footnote w:id="691">
    <w:p>
      <w:pPr>
        <w:pStyle w:val="Funote"/>
        <w:rPr/>
      </w:pPr>
      <w:r>
        <w:rPr>
          <w:rStyle w:val="Funotenzeichen"/>
        </w:rPr>
        <w:footnoteRef/>
      </w:r>
      <w:r>
        <w:rPr/>
        <w:tab/>
        <w:t>Wörtlich: „deinen Kopf erheben von (auf) dir“. Dies ist ein etwas makaberes Wortspiel. In Vers 13 hatte Josef dem obersten Mundschenk gesagt, der Pharao würde seinen „Kopf erheben“, also ihn begnadigen. Beim obersten Bäcker verwendet Josef die gleichen Worte, fügt aber hinzu: „von auf dir“ - das heißt, der Kopf des Bäckers wird entfernt.</w:t>
      </w:r>
    </w:p>
  </w:footnote>
  <w:footnote w:id="692">
    <w:p>
      <w:pPr>
        <w:pStyle w:val="Funote"/>
        <w:rPr/>
      </w:pPr>
      <w:r>
        <w:rPr>
          <w:rStyle w:val="Funotenzeichen"/>
        </w:rPr>
        <w:footnoteRef/>
      </w:r>
      <w:r>
        <w:rPr/>
        <w:tab/>
        <w:t>Wörtlich: „am Ende von zwei Jahren Tagen“. Der Zusatz des Wortes „Tage“ dient der Verdeutlichung.</w:t>
      </w:r>
    </w:p>
  </w:footnote>
  <w:footnote w:id="693">
    <w:p>
      <w:pPr>
        <w:pStyle w:val="Funote"/>
        <w:rPr/>
      </w:pPr>
      <w:r>
        <w:rPr>
          <w:rStyle w:val="Funotenzeichen"/>
        </w:rPr>
        <w:footnoteRef/>
      </w:r>
      <w:r>
        <w:rPr/>
        <w:tab/>
        <w:t>Gemeint ist sicher der Nil, da ein hebräisches Wort ägyptischer Herkunft verwendet wird.</w:t>
      </w:r>
    </w:p>
  </w:footnote>
  <w:footnote w:id="694">
    <w:p>
      <w:pPr>
        <w:pStyle w:val="Funote"/>
        <w:rPr/>
      </w:pPr>
      <w:r>
        <w:rPr>
          <w:rStyle w:val="Funotenzeichen"/>
        </w:rPr>
        <w:footnoteRef/>
      </w:r>
      <w:r>
        <w:rPr/>
        <w:tab/>
        <w:t>Wörtlich: „ohne mich“.</w:t>
      </w:r>
    </w:p>
  </w:footnote>
  <w:footnote w:id="695">
    <w:p>
      <w:pPr>
        <w:pStyle w:val="Funote"/>
        <w:rPr/>
      </w:pPr>
      <w:r>
        <w:rPr>
          <w:rStyle w:val="Funotenzeichen"/>
        </w:rPr>
        <w:footnoteRef/>
      </w:r>
      <w:r>
        <w:rPr/>
        <w:tab/>
        <w:t>Wörtlich: „in ihre Mitte“</w:t>
      </w:r>
    </w:p>
  </w:footnote>
  <w:footnote w:id="696">
    <w:p>
      <w:pPr>
        <w:pStyle w:val="Funote"/>
        <w:rPr/>
      </w:pPr>
      <w:r>
        <w:rPr>
          <w:rStyle w:val="Funotenzeichen"/>
        </w:rPr>
        <w:footnoteRef/>
      </w:r>
      <w:r>
        <w:rPr/>
        <w:tab/>
        <w:t>D.h. von der Fülle wird keine Spur mehr zu finden sein.</w:t>
      </w:r>
    </w:p>
  </w:footnote>
  <w:footnote w:id="697">
    <w:p>
      <w:pPr>
        <w:pStyle w:val="Funote"/>
        <w:rPr/>
      </w:pPr>
      <w:r>
        <w:rPr>
          <w:rStyle w:val="Funotenzeichen"/>
        </w:rPr>
        <w:footnoteRef/>
      </w:r>
      <w:r>
        <w:rPr/>
        <w:tab/>
        <w:t>Wörtlich: „er möge das Land Ägypten fünfteln“</w:t>
      </w:r>
    </w:p>
  </w:footnote>
  <w:footnote w:id="698">
    <w:p>
      <w:pPr>
        <w:pStyle w:val="Funote"/>
        <w:rPr/>
      </w:pPr>
      <w:r>
        <w:rPr>
          <w:rStyle w:val="Funotenzeichen"/>
        </w:rPr>
        <w:footnoteRef/>
      </w:r>
      <w:r>
        <w:rPr/>
        <w:tab/>
        <w:t>Wörtlich: „deinen Mund soll mein ganzes Volk küssen“.</w:t>
      </w:r>
    </w:p>
  </w:footnote>
  <w:footnote w:id="699">
    <w:p>
      <w:pPr>
        <w:pStyle w:val="Funote"/>
        <w:rPr/>
      </w:pPr>
      <w:r>
        <w:rPr>
          <w:rStyle w:val="Funotenzeichen"/>
        </w:rPr>
        <w:footnoteRef/>
      </w:r>
      <w:r>
        <w:rPr/>
        <w:tab/>
        <w:t>Der offenbar ägyptische Name bedeutet möglicherweise, „Gott spricht: er lebt/lebe!“, die Etymologie ist jedoch umstritten (Gesenius 18. Auflage)</w:t>
      </w:r>
    </w:p>
  </w:footnote>
  <w:footnote w:id="700">
    <w:p>
      <w:pPr>
        <w:pStyle w:val="Funote"/>
        <w:rPr/>
      </w:pPr>
      <w:r>
        <w:rPr>
          <w:rStyle w:val="Funotenzeichen"/>
        </w:rPr>
        <w:footnoteRef/>
      </w:r>
      <w:r>
        <w:rPr/>
        <w:tab/>
        <w:t>Wörtlich: „weil es keine Zahl mehr gab“.</w:t>
      </w:r>
    </w:p>
  </w:footnote>
  <w:footnote w:id="701">
    <w:p>
      <w:pPr>
        <w:pStyle w:val="Funote"/>
        <w:rPr/>
      </w:pPr>
      <w:r>
        <w:rPr>
          <w:rStyle w:val="Funotenzeichen"/>
        </w:rPr>
        <w:footnoteRef/>
      </w:r>
      <w:r>
        <w:rPr/>
        <w:tab/>
        <w:t>Es ist umstritten, ob die Volksetymologie „der Fruchtbare“ korrekt ist.</w:t>
      </w:r>
    </w:p>
  </w:footnote>
  <w:footnote w:id="702">
    <w:p>
      <w:pPr>
        <w:pStyle w:val="Funote"/>
        <w:rPr/>
      </w:pPr>
      <w:r>
        <w:rPr>
          <w:rStyle w:val="Funotenzeichen"/>
        </w:rPr>
        <w:footnoteRef/>
      </w:r>
      <w:r>
        <w:rPr/>
        <w:tab/>
        <w:t>Wörtlich: „kleinen Jungen des Alters“.</w:t>
      </w:r>
    </w:p>
  </w:footnote>
  <w:footnote w:id="703">
    <w:p>
      <w:pPr>
        <w:pStyle w:val="Funote"/>
        <w:rPr/>
      </w:pPr>
      <w:r>
        <w:rPr>
          <w:rStyle w:val="Funotenzeichen"/>
        </w:rPr>
        <w:footnoteRef/>
      </w:r>
      <w:r>
        <w:rPr/>
        <w:tab/>
        <w:t>Satzreihe mit Imperativ + Waw consecutivum, final aufgelöst.</w:t>
      </w:r>
    </w:p>
  </w:footnote>
  <w:footnote w:id="704">
    <w:p>
      <w:pPr>
        <w:pStyle w:val="Funote"/>
        <w:rPr/>
      </w:pPr>
      <w:r>
        <w:rPr>
          <w:rStyle w:val="Funotenzeichen"/>
        </w:rPr>
        <w:footnoteRef/>
      </w:r>
      <w:r>
        <w:rPr/>
        <w:tab/>
        <w:t>Konditionalsatz, der auf einer Waw-Satzfolge mit modalem Pf. cons. beruht.</w:t>
      </w:r>
    </w:p>
  </w:footnote>
  <w:footnote w:id="705">
    <w:p>
      <w:pPr>
        <w:pStyle w:val="Funote"/>
        <w:rPr/>
      </w:pPr>
      <w:r>
        <w:rPr>
          <w:rStyle w:val="Funotenzeichen"/>
        </w:rPr>
        <w:footnoteRef/>
      </w:r>
      <w:r>
        <w:rPr/>
        <w:tab/>
        <w:t>Superlativ durch Determination.</w:t>
      </w:r>
    </w:p>
  </w:footnote>
  <w:footnote w:id="706">
    <w:p>
      <w:pPr>
        <w:pStyle w:val="Funote"/>
        <w:rPr/>
      </w:pPr>
      <w:r>
        <w:rPr>
          <w:rStyle w:val="Funotenzeichen"/>
        </w:rPr>
        <w:footnoteRef/>
      </w:r>
      <w:r>
        <w:rPr/>
        <w:tab/>
        <w:t xml:space="preserve">Wörtlich „und“. Satzreihe wegen </w:t>
      </w:r>
      <w:r>
        <w:rPr>
          <w:rtl w:val="true"/>
          <w:lang w:bidi="he-IL"/>
        </w:rPr>
        <w:t>כִּי</w:t>
      </w:r>
      <w:r>
        <w:rPr/>
        <w:t xml:space="preserve"> </w:t>
      </w:r>
      <w:r>
        <w:rPr/>
        <w:t>temporal übersetzt.</w:t>
      </w:r>
    </w:p>
  </w:footnote>
  <w:footnote w:id="707">
    <w:p>
      <w:pPr>
        <w:pStyle w:val="Funote"/>
        <w:rPr/>
      </w:pPr>
      <w:r>
        <w:rPr>
          <w:rStyle w:val="Funotenzeichen"/>
        </w:rPr>
        <w:footnoteRef/>
      </w:r>
      <w:r>
        <w:rPr/>
        <w:tab/>
        <w:t xml:space="preserve">Wörtlich: „und“. Wegen </w:t>
      </w:r>
      <w:r>
        <w:rPr>
          <w:rtl w:val="true"/>
          <w:lang w:bidi="he-IL"/>
        </w:rPr>
        <w:t>אִם</w:t>
      </w:r>
      <w:r>
        <w:rPr/>
        <w:t xml:space="preserve"> </w:t>
      </w:r>
      <w:r>
        <w:rPr/>
        <w:t>kausal zu deuten.</w:t>
      </w:r>
    </w:p>
  </w:footnote>
  <w:footnote w:id="708">
    <w:p>
      <w:pPr>
        <w:pStyle w:val="Funote"/>
        <w:rPr/>
      </w:pPr>
      <w:r>
        <w:rPr>
          <w:rStyle w:val="Funotenzeichen"/>
        </w:rPr>
        <w:footnoteRef/>
      </w:r>
      <w:r>
        <w:rPr/>
        <w:tab/>
        <w:t xml:space="preserve">Wörtlich: „und“. Wegen </w:t>
      </w:r>
      <w:r>
        <w:rPr>
          <w:rtl w:val="true"/>
          <w:lang w:bidi="he-IL"/>
        </w:rPr>
        <w:t>כִּי</w:t>
      </w:r>
      <w:r>
        <w:rPr/>
        <w:t xml:space="preserve"> </w:t>
      </w:r>
      <w:r>
        <w:rPr/>
        <w:t>konditional.</w:t>
      </w:r>
    </w:p>
  </w:footnote>
  <w:footnote w:id="709">
    <w:p>
      <w:pPr>
        <w:pStyle w:val="Funote"/>
        <w:rPr/>
      </w:pPr>
      <w:r>
        <w:rPr>
          <w:rStyle w:val="Funotenzeichen"/>
        </w:rPr>
        <w:footnoteRef/>
      </w:r>
      <w:r>
        <w:rPr/>
        <w:tab/>
        <w:t>D.h. von wilden Tieren.</w:t>
      </w:r>
    </w:p>
  </w:footnote>
  <w:footnote w:id="710">
    <w:p>
      <w:pPr>
        <w:pStyle w:val="Funote"/>
        <w:rPr/>
      </w:pPr>
      <w:r>
        <w:rPr>
          <w:rStyle w:val="Funotenzeichen"/>
        </w:rPr>
        <w:footnoteRef/>
      </w:r>
      <w:r>
        <w:rPr/>
        <w:tab/>
        <w:t xml:space="preserve">Eigentlich futurisch zu übersetzen. </w:t>
      </w:r>
    </w:p>
  </w:footnote>
  <w:footnote w:id="711">
    <w:p>
      <w:pPr>
        <w:pStyle w:val="Funote"/>
        <w:rPr/>
      </w:pPr>
      <w:r>
        <w:rPr>
          <w:rStyle w:val="Funotenzeichen"/>
        </w:rPr>
        <w:footnoteRef/>
      </w:r>
      <w:r>
        <w:rPr/>
        <w:tab/>
        <w:t xml:space="preserve">Eigentlich futurisch zu übersetzen. </w:t>
      </w:r>
    </w:p>
  </w:footnote>
  <w:footnote w:id="712">
    <w:p>
      <w:pPr>
        <w:pStyle w:val="Funote"/>
        <w:rPr/>
      </w:pPr>
      <w:r>
        <w:rPr>
          <w:rStyle w:val="Funotenzeichen"/>
        </w:rPr>
        <w:footnoteRef/>
      </w:r>
      <w:r>
        <w:rPr/>
        <w:tab/>
        <w:t xml:space="preserve">Aus Waw-Satzfolge gebildeter Konditionalsatz. Der erste Satzteil kann wahlweise eigenständig übersetzt oder mit in das „Wenn“ hineingenommen werden. </w:t>
      </w:r>
    </w:p>
  </w:footnote>
  <w:footnote w:id="713">
    <w:p>
      <w:pPr>
        <w:pStyle w:val="Funote"/>
        <w:rPr/>
      </w:pPr>
      <w:r>
        <w:rPr>
          <w:rStyle w:val="Funotenzeichen"/>
        </w:rPr>
        <w:footnoteRef/>
      </w:r>
      <w:r>
        <w:rPr/>
        <w:tab/>
        <w:t xml:space="preserve">Also die des Vaters mit der des Sohnes. Zu verstehen als „er hängt ja sehr an ihm“ o.ä. </w:t>
      </w:r>
    </w:p>
  </w:footnote>
  <w:footnote w:id="714">
    <w:p>
      <w:pPr>
        <w:pStyle w:val="Funote"/>
        <w:rPr/>
      </w:pPr>
      <w:r>
        <w:rPr>
          <w:rStyle w:val="Funotenzeichen"/>
        </w:rPr>
        <w:footnoteRef/>
      </w:r>
      <w:r>
        <w:rPr/>
        <w:tab/>
        <w:t xml:space="preserve">Eigentlich futurisch zu übersetzen. </w:t>
      </w:r>
    </w:p>
  </w:footnote>
  <w:footnote w:id="715">
    <w:p>
      <w:pPr>
        <w:pStyle w:val="Funote"/>
        <w:rPr/>
      </w:pPr>
      <w:r>
        <w:rPr>
          <w:rStyle w:val="Funotenzeichen"/>
        </w:rPr>
        <w:footnoteRef/>
      </w:r>
      <w:r>
        <w:rPr/>
        <w:tab/>
        <w:t xml:space="preserve">Eigentlich futurisch zu übersetzen. </w:t>
      </w:r>
    </w:p>
  </w:footnote>
  <w:footnote w:id="716">
    <w:p>
      <w:pPr>
        <w:pStyle w:val="Funote"/>
        <w:rPr/>
      </w:pPr>
      <w:r>
        <w:rPr>
          <w:rStyle w:val="Funotenzeichen"/>
        </w:rPr>
        <w:footnoteRef/>
      </w:r>
      <w:r>
        <w:rPr/>
        <w:tab/>
        <w:t>Wörtlich: „sündigen“. Hier muss es jedoch entsprechend dieser Übersetzung verstanden werden.</w:t>
      </w:r>
    </w:p>
  </w:footnote>
  <w:footnote w:id="717">
    <w:p>
      <w:pPr>
        <w:pStyle w:val="Funote"/>
        <w:rPr/>
      </w:pPr>
      <w:r>
        <w:rPr>
          <w:rStyle w:val="Funotenzeichen"/>
        </w:rPr>
        <w:footnoteRef/>
      </w:r>
      <w:r>
        <w:rPr/>
        <w:tab/>
        <w:t>double duty-Prädikat aus der ersten Vershälfte</w:t>
      </w:r>
    </w:p>
  </w:footnote>
  <w:footnote w:id="718">
    <w:p>
      <w:pPr>
        <w:pStyle w:val="Funote"/>
        <w:rPr/>
      </w:pPr>
      <w:r>
        <w:rPr>
          <w:rStyle w:val="Funotenzeichen"/>
        </w:rPr>
        <w:footnoteRef/>
      </w:r>
      <w:r>
        <w:rPr/>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719">
    <w:p>
      <w:pPr>
        <w:pStyle w:val="Funote"/>
        <w:rPr/>
      </w:pPr>
      <w:r>
        <w:rPr>
          <w:rStyle w:val="Funotenzeichen"/>
        </w:rPr>
        <w:footnoteRef/>
      </w:r>
      <w:r>
        <w:rPr/>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720">
    <w:p>
      <w:pPr>
        <w:pStyle w:val="Funote"/>
        <w:rPr/>
      </w:pPr>
      <w:r>
        <w:rPr>
          <w:rStyle w:val="Funotenzeichen"/>
        </w:rPr>
        <w:footnoteRef/>
      </w:r>
      <w:r>
        <w:rPr/>
        <w:tab/>
        <w:t>[Status: Ungeprüft]</w:t>
      </w:r>
    </w:p>
  </w:footnote>
  <w:footnote w:id="721">
    <w:p>
      <w:pPr>
        <w:pStyle w:val="Funote"/>
        <w:rPr/>
      </w:pPr>
      <w:r>
        <w:rPr>
          <w:rStyle w:val="Funotenzeichen"/>
        </w:rPr>
        <w:footnoteRef/>
      </w:r>
      <w:r>
        <w:rPr/>
        <w:tab/>
        <w:t>[Status: Ungeprüft]</w:t>
      </w:r>
    </w:p>
  </w:footnote>
  <w:footnote w:id="722">
    <w:p>
      <w:pPr>
        <w:pStyle w:val="Funote"/>
        <w:rPr/>
      </w:pPr>
      <w:r>
        <w:rPr>
          <w:rStyle w:val="Funotenzeichen"/>
        </w:rPr>
        <w:footnoteRef/>
      </w:r>
      <w:r>
        <w:rPr/>
        <w:tab/>
        <w:t>Wörtlich: „die Tochter Levis“</w:t>
      </w:r>
    </w:p>
  </w:footnote>
  <w:footnote w:id="723">
    <w:p>
      <w:pPr>
        <w:pStyle w:val="Funote"/>
        <w:rPr/>
      </w:pPr>
      <w:r>
        <w:rPr>
          <w:rStyle w:val="Funotenzeichen"/>
        </w:rPr>
        <w:footnoteRef/>
      </w:r>
      <w:r>
        <w:rPr/>
        <w:tab/>
        <w:t>Das Wort bezeichnet sowohl ein rechteckiges Kästchen als auch ein größeres Schiff. Es wird auch im Zusammenhang mit der Arche Noach verwendet.</w:t>
      </w:r>
    </w:p>
  </w:footnote>
  <w:footnote w:id="724">
    <w:p>
      <w:pPr>
        <w:pStyle w:val="Funote"/>
        <w:rPr/>
      </w:pPr>
      <w:r>
        <w:rPr>
          <w:rStyle w:val="Funotenzeichen"/>
        </w:rPr>
        <w:footnoteRef/>
      </w:r>
      <w:r>
        <w:rPr/>
        <w:tab/>
        <w:t>Constructus-Verbindung.</w:t>
      </w:r>
    </w:p>
  </w:footnote>
  <w:footnote w:id="725">
    <w:p>
      <w:pPr>
        <w:pStyle w:val="Funote"/>
        <w:rPr/>
      </w:pPr>
      <w:r>
        <w:rPr>
          <w:rStyle w:val="Funotenzeichen"/>
        </w:rPr>
        <w:footnoteRef/>
      </w:r>
      <w:r>
        <w:rPr/>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726">
    <w:p>
      <w:pPr>
        <w:pStyle w:val="Funote"/>
        <w:rPr/>
      </w:pPr>
      <w:r>
        <w:rPr>
          <w:rStyle w:val="Funotenzeichen"/>
        </w:rPr>
        <w:footnoteRef/>
      </w:r>
      <w:r>
        <w:rPr/>
        <w:tab/>
        <w:t>Wörtlich: „und“, hier final zu verstehen.</w:t>
      </w:r>
    </w:p>
  </w:footnote>
  <w:footnote w:id="727">
    <w:p>
      <w:pPr>
        <w:pStyle w:val="Funote"/>
        <w:rPr/>
      </w:pPr>
      <w:r>
        <w:rPr>
          <w:rStyle w:val="Funotenzeichen"/>
        </w:rPr>
        <w:footnoteRef/>
      </w:r>
      <w:r>
        <w:rPr/>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728">
    <w:p>
      <w:pPr>
        <w:pStyle w:val="Funote"/>
        <w:rPr/>
      </w:pPr>
      <w:r>
        <w:rPr>
          <w:rStyle w:val="Funotenzeichen"/>
        </w:rPr>
        <w:footnoteRef/>
      </w:r>
      <w:r>
        <w:rPr/>
        <w:tab/>
        <w:t>Weniger idiomatisch: „rief/nannte seinen Namen“</w:t>
      </w:r>
    </w:p>
  </w:footnote>
  <w:footnote w:id="729">
    <w:p>
      <w:pPr>
        <w:pStyle w:val="Funote"/>
        <w:rPr/>
      </w:pPr>
      <w:r>
        <w:rPr>
          <w:rStyle w:val="Funotenzeichen"/>
        </w:rPr>
        <w:footnoteRef/>
      </w:r>
      <w:r>
        <w:rPr/>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730">
    <w:p>
      <w:pPr>
        <w:pStyle w:val="Funote"/>
        <w:rPr/>
      </w:pPr>
      <w:r>
        <w:rPr>
          <w:rStyle w:val="Funotenzeichen"/>
        </w:rPr>
        <w:footnoteRef/>
      </w:r>
      <w:r>
        <w:rPr/>
        <w:tab/>
        <w:t>D.h. er schaut sich um</w:t>
      </w:r>
    </w:p>
  </w:footnote>
  <w:footnote w:id="731">
    <w:p>
      <w:pPr>
        <w:pStyle w:val="Funote"/>
        <w:rPr/>
      </w:pPr>
      <w:r>
        <w:rPr>
          <w:rStyle w:val="Funotenzeichen"/>
        </w:rPr>
        <w:footnoteRef/>
      </w:r>
      <w:r>
        <w:rPr/>
        <w:tab/>
        <w:t>Figura etymologica.</w:t>
      </w:r>
    </w:p>
  </w:footnote>
  <w:footnote w:id="732">
    <w:p>
      <w:pPr>
        <w:pStyle w:val="Funote"/>
        <w:rPr/>
      </w:pPr>
      <w:r>
        <w:rPr>
          <w:rStyle w:val="Funotenzeichen"/>
        </w:rPr>
        <w:footnoteRef/>
      </w:r>
      <w:r>
        <w:rPr/>
        <w:tab/>
        <w:t>LXX: „nach“.</w:t>
      </w:r>
    </w:p>
  </w:footnote>
  <w:footnote w:id="733">
    <w:p>
      <w:pPr>
        <w:pStyle w:val="Funote"/>
        <w:rPr/>
      </w:pPr>
      <w:r>
        <w:rPr>
          <w:rStyle w:val="Funotenzeichen"/>
        </w:rPr>
        <w:footnoteRef/>
      </w:r>
      <w:r>
        <w:rPr/>
        <w:tab/>
        <w:t>Hier fehlt ein Objekt; vermutlich wird Bezug auf Vv. 23-24 genommen. Die LXX fügt „sie“ an (dann: „und Gott kannte sie“). Vgl. NET Ex 2,25 Fußnote 95.</w:t>
      </w:r>
    </w:p>
  </w:footnote>
  <w:footnote w:id="734">
    <w:p>
      <w:pPr>
        <w:pStyle w:val="Funote"/>
        <w:rPr/>
      </w:pPr>
      <w:r>
        <w:rPr>
          <w:rStyle w:val="Funotenzeichen"/>
        </w:rPr>
        <w:footnoteRef/>
      </w:r>
      <w:r>
        <w:rPr/>
        <w:tab/>
        <w:t>[Status: Zuverlässig]</w:t>
      </w:r>
    </w:p>
  </w:footnote>
  <w:footnote w:id="735">
    <w:p>
      <w:pPr>
        <w:pStyle w:val="Funote"/>
        <w:rPr/>
      </w:pPr>
      <w:r>
        <w:rPr>
          <w:rStyle w:val="Funotenzeichen"/>
        </w:rPr>
        <w:footnoteRef/>
      </w:r>
      <w:r>
        <w:rPr/>
        <w:tab/>
        <w:t>Dieses Waw muss im Kontext von Ex 2,25 gesehen werden.</w:t>
      </w:r>
    </w:p>
  </w:footnote>
  <w:footnote w:id="736">
    <w:p>
      <w:pPr>
        <w:pStyle w:val="Funote"/>
        <w:rPr/>
      </w:pPr>
      <w:r>
        <w:rPr>
          <w:rStyle w:val="Funotenzeichen"/>
        </w:rPr>
        <w:footnoteRef/>
      </w:r>
      <w:r>
        <w:rPr/>
        <w:tab/>
        <w:t>Kleinvieh entspricht Schafen und Ziegen (vgl. DBL Hebrew, 7366).</w:t>
      </w:r>
    </w:p>
  </w:footnote>
  <w:footnote w:id="737">
    <w:p>
      <w:pPr>
        <w:pStyle w:val="Funote"/>
        <w:rPr/>
      </w:pPr>
      <w:r>
        <w:rPr>
          <w:rStyle w:val="Funotenzeichen"/>
        </w:rPr>
        <w:footnoteRef/>
      </w:r>
      <w:r>
        <w:rPr/>
        <w:tab/>
        <w:t>Wörtlich: „war hütend/Hirte das Kleinvieh (Akk.)“. Die gewählte Übersetzung entspricht dem Konsens anderer Übersetzungen.</w:t>
      </w:r>
    </w:p>
  </w:footnote>
  <w:footnote w:id="738">
    <w:p>
      <w:pPr>
        <w:pStyle w:val="Funote"/>
        <w:rPr/>
      </w:pPr>
      <w:r>
        <w:rPr>
          <w:rStyle w:val="Funotenzeichen"/>
        </w:rPr>
        <w:footnoteRef/>
      </w:r>
      <w:r>
        <w:rPr/>
        <w:tab/>
        <w:t>Wörtlich „Flamme des Feuers“.</w:t>
      </w:r>
    </w:p>
  </w:footnote>
  <w:footnote w:id="739">
    <w:p>
      <w:pPr>
        <w:pStyle w:val="Funote"/>
        <w:rPr/>
      </w:pPr>
      <w:r>
        <w:rPr>
          <w:rStyle w:val="Funotenzeichen"/>
        </w:rPr>
        <w:footnoteRef/>
      </w:r>
      <w:r>
        <w:rPr/>
        <w:tab/>
        <w:t xml:space="preserve">Das Wort bezeichnet vermutlich einen Dornbusch, möglicherweise eine Brombeere (vgl. BDB, </w:t>
      </w:r>
      <w:r>
        <w:rPr>
          <w:rtl w:val="true"/>
          <w:lang w:bidi="he-IL"/>
        </w:rPr>
        <w:t>סְנֶה</w:t>
      </w:r>
      <w:r>
        <w:rPr/>
        <w:t>).</w:t>
      </w:r>
    </w:p>
  </w:footnote>
  <w:footnote w:id="740">
    <w:p>
      <w:pPr>
        <w:pStyle w:val="Funote"/>
        <w:rPr/>
      </w:pPr>
      <w:r>
        <w:rPr>
          <w:rStyle w:val="Funotenzeichen"/>
        </w:rPr>
        <w:footnoteRef/>
      </w:r>
      <w:r>
        <w:rPr/>
        <w:tab/>
        <w:t xml:space="preserve">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 </w:t>
      </w:r>
    </w:p>
  </w:footnote>
  <w:footnote w:id="741">
    <w:p>
      <w:pPr>
        <w:pStyle w:val="Funote"/>
        <w:rPr/>
      </w:pPr>
      <w:r>
        <w:rPr>
          <w:rStyle w:val="Funotenzeichen"/>
        </w:rPr>
        <w:footnoteRef/>
      </w:r>
      <w:r>
        <w:rPr/>
        <w:tab/>
        <w:t xml:space="preserve">D.h. „lichterloh“. Im Deutschen wird die zusätzliche Information, dass </w:t>
      </w:r>
      <w:r>
        <w:rPr>
          <w:i/>
        </w:rPr>
        <w:t>Feuer</w:t>
      </w:r>
      <w:r>
        <w:rPr/>
        <w:t xml:space="preserve"> in dem Busch brannte, als überflüssig empfunden. </w:t>
      </w:r>
    </w:p>
  </w:footnote>
  <w:footnote w:id="742">
    <w:p>
      <w:pPr>
        <w:pStyle w:val="Funote"/>
        <w:rPr/>
      </w:pPr>
      <w:r>
        <w:rPr>
          <w:rStyle w:val="Funotenzeichen"/>
        </w:rPr>
        <w:footnoteRef/>
      </w:r>
      <w:r>
        <w:rPr/>
        <w:tab/>
        <w:t>Ein Ptz. akt., das eine fortwährende Handlung ausdrückt.</w:t>
      </w:r>
    </w:p>
  </w:footnote>
  <w:footnote w:id="743">
    <w:p>
      <w:pPr>
        <w:pStyle w:val="Funote"/>
        <w:rPr/>
      </w:pPr>
      <w:r>
        <w:rPr>
          <w:rStyle w:val="Funotenzeichen"/>
        </w:rPr>
        <w:footnoteRef/>
      </w:r>
      <w:r>
        <w:rPr/>
        <w:tab/>
        <w:t>Der Kohortativ ist eine Selbstaufforderung.</w:t>
      </w:r>
    </w:p>
  </w:footnote>
  <w:footnote w:id="744">
    <w:p>
      <w:pPr>
        <w:pStyle w:val="Funote"/>
        <w:rPr/>
      </w:pPr>
      <w:r>
        <w:rPr>
          <w:rStyle w:val="Funotenzeichen"/>
        </w:rPr>
        <w:footnoteRef/>
      </w:r>
      <w:r>
        <w:rPr/>
        <w:tab/>
        <w:t xml:space="preserve">Zwei verbundene Kohortative, von denen der zweite den Zweck angibt. </w:t>
      </w:r>
    </w:p>
  </w:footnote>
  <w:footnote w:id="745">
    <w:p>
      <w:pPr>
        <w:pStyle w:val="Funote"/>
        <w:rPr/>
      </w:pPr>
      <w:r>
        <w:rPr>
          <w:rStyle w:val="Funotenzeichen"/>
        </w:rPr>
        <w:footnoteRef/>
      </w:r>
      <w:r>
        <w:rPr/>
        <w:tab/>
        <w:t>Duratives Ipf., das (wie das Ptz. in V. 2) ein fortwährendes Geschehen andeutet.</w:t>
      </w:r>
    </w:p>
  </w:footnote>
  <w:footnote w:id="746">
    <w:p>
      <w:pPr>
        <w:pStyle w:val="Funote"/>
        <w:rPr/>
      </w:pPr>
      <w:r>
        <w:rPr>
          <w:rStyle w:val="Funotenzeichen"/>
        </w:rPr>
        <w:footnoteRef/>
      </w:r>
      <w:r>
        <w:rPr/>
        <w:tab/>
        <w:t xml:space="preserve">Oder: „,[und herausfinden], warum der Busch nicht verbrennt!“ Die gewählte Lösung ist wohl eine genauere Übersetzung des Wortbestands, weil kein Verb ergänzt werden muss. </w:t>
      </w:r>
    </w:p>
  </w:footnote>
  <w:footnote w:id="747">
    <w:p>
      <w:pPr>
        <w:pStyle w:val="Funote"/>
        <w:rPr/>
      </w:pPr>
      <w:r>
        <w:rPr>
          <w:rStyle w:val="Funotenzeichen"/>
        </w:rPr>
        <w:footnoteRef/>
      </w:r>
      <w:r>
        <w:rPr/>
        <w:tab/>
        <w:t>Also sinngemäß: „Ich höre!“</w:t>
      </w:r>
    </w:p>
  </w:footnote>
  <w:footnote w:id="748">
    <w:p>
      <w:pPr>
        <w:pStyle w:val="Funote"/>
        <w:rPr/>
      </w:pPr>
      <w:r>
        <w:rPr>
          <w:rStyle w:val="Funotenzeichen"/>
        </w:rPr>
        <w:footnoteRef/>
      </w:r>
      <w:r>
        <w:rPr/>
        <w:tab/>
        <w:t>Wörtlich „Erdboden-Heiliges/Heiligtum“.</w:t>
      </w:r>
    </w:p>
  </w:footnote>
  <w:footnote w:id="749">
    <w:p>
      <w:pPr>
        <w:pStyle w:val="Funote"/>
        <w:rPr/>
      </w:pPr>
      <w:r>
        <w:rPr>
          <w:rStyle w:val="Funotenzeichen"/>
        </w:rPr>
        <w:footnoteRef/>
      </w:r>
      <w:r>
        <w:rPr/>
        <w:tab/>
        <w:t>„</w:t>
      </w:r>
      <w:r>
        <w:rPr/>
        <w:t xml:space="preserve">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 </w:t>
      </w:r>
    </w:p>
  </w:footnote>
  <w:footnote w:id="750">
    <w:p>
      <w:pPr>
        <w:pStyle w:val="Funote"/>
        <w:rPr/>
      </w:pPr>
      <w:r>
        <w:rPr>
          <w:rStyle w:val="Funotenzeichen"/>
        </w:rPr>
        <w:footnoteRef/>
      </w:r>
      <w:r>
        <w:rPr/>
        <w:tab/>
        <w:t xml:space="preserve">Hier heißt es im Hebräischen „ihrer“ mit Bezug auf die Menschen, die das Volk bilden (Constructio ad sensum). Im Deutschen muss entsprechend aber „seiner“ verwendet werden. </w:t>
      </w:r>
    </w:p>
  </w:footnote>
  <w:footnote w:id="751">
    <w:p>
      <w:pPr>
        <w:pStyle w:val="Funote"/>
        <w:rPr/>
      </w:pPr>
      <w:r>
        <w:rPr>
          <w:rStyle w:val="Funotenzeichen"/>
        </w:rPr>
        <w:footnoteRef/>
      </w:r>
      <w:r>
        <w:rPr/>
        <w:tab/>
        <w:t xml:space="preserve">Perfekt, das mit einem „Verb der Beziehung“ („wissen“) präsentisch gebraucht wird. </w:t>
      </w:r>
    </w:p>
  </w:footnote>
  <w:footnote w:id="752">
    <w:p>
      <w:pPr>
        <w:pStyle w:val="Funote"/>
        <w:rPr/>
      </w:pPr>
      <w:r>
        <w:rPr>
          <w:rStyle w:val="Funotenzeichen"/>
        </w:rPr>
        <w:footnoteRef/>
      </w:r>
      <w:r>
        <w:rPr/>
        <w:tab/>
        <w:t>Oder, etwas freier: „in dem Milch und Honig fließen.“</w:t>
      </w:r>
    </w:p>
  </w:footnote>
  <w:footnote w:id="753">
    <w:p>
      <w:pPr>
        <w:pStyle w:val="Funote"/>
        <w:rPr/>
      </w:pPr>
      <w:r>
        <w:rPr>
          <w:rStyle w:val="Funotenzeichen"/>
        </w:rPr>
        <w:footnoteRef/>
      </w:r>
      <w:r>
        <w:rPr/>
        <w:tab/>
        <w:t>„</w:t>
      </w:r>
      <w:r>
        <w:rPr/>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754">
    <w:p>
      <w:pPr>
        <w:pStyle w:val="Funote"/>
        <w:rPr/>
      </w:pPr>
      <w:r>
        <w:rPr>
          <w:rStyle w:val="Funotenzeichen"/>
        </w:rPr>
        <w:footnoteRef/>
      </w:r>
      <w:r>
        <w:rPr/>
        <w:tab/>
        <w:t xml:space="preserve">Die nur sinngemäß übersetzbare Partikel „siehe“ wirkt als Verstärkung der gemachten Aussage. Hier wurde sie in den Kontext eingearbeitet, indem der Kontrast am Satzanfang besonders stark ausgedrückt wurde. </w:t>
      </w:r>
    </w:p>
  </w:footnote>
  <w:footnote w:id="755">
    <w:p>
      <w:pPr>
        <w:pStyle w:val="Funote"/>
        <w:rPr/>
      </w:pPr>
      <w:r>
        <w:rPr>
          <w:rStyle w:val="Funotenzeichen"/>
        </w:rPr>
        <w:footnoteRef/>
      </w:r>
      <w:r>
        <w:rPr/>
        <w:tab/>
        <w:t xml:space="preserve">Constructio ad sensum: Das hier verwendete Partizip steht im Plural, weil es sich auf Ägypten als Metapher für die Ägypter bezieht. </w:t>
      </w:r>
    </w:p>
  </w:footnote>
  <w:footnote w:id="756">
    <w:p>
      <w:pPr>
        <w:pStyle w:val="Funote"/>
        <w:rPr/>
      </w:pPr>
      <w:r>
        <w:rPr>
          <w:rStyle w:val="Funotenzeichen"/>
        </w:rPr>
        <w:footnoteRef/>
      </w:r>
      <w:r>
        <w:rPr/>
        <w:tab/>
        <w:t>Das hier verwendete Stilmittel ist typisch Hebräisch: mit Unterdrückung wird unterdrückt. Freier: »auf welche Weise Ägypten/die Ägypter...«, »wie grausam (GNB)/schwer (LBBH) Ägypten/die Ägypter«</w:t>
      </w:r>
    </w:p>
  </w:footnote>
  <w:footnote w:id="757">
    <w:p>
      <w:pPr>
        <w:pStyle w:val="Funote"/>
        <w:rPr/>
      </w:pPr>
      <w:r>
        <w:rPr>
          <w:rStyle w:val="Funotenzeichen"/>
        </w:rPr>
        <w:footnoteRef/>
      </w:r>
      <w:r>
        <w:rPr/>
        <w:tab/>
        <w:t>Emphatischer Imperativ (LBBH).</w:t>
      </w:r>
    </w:p>
  </w:footnote>
  <w:footnote w:id="758">
    <w:p>
      <w:pPr>
        <w:pStyle w:val="Funote"/>
        <w:rPr/>
      </w:pPr>
      <w:r>
        <w:rPr>
          <w:rStyle w:val="Funotenzeichen"/>
        </w:rPr>
        <w:footnoteRef/>
      </w:r>
      <w:r>
        <w:rPr/>
        <w:tab/>
        <w:t xml:space="preserve">Oder: „und führe hinaus“ (Ipv.). Bei der Konstellation Ipv. + Waw + Ipv. gibt der letzte Ipv. in der Regel Ziel oder Zweck an. </w:t>
      </w:r>
    </w:p>
  </w:footnote>
  <w:footnote w:id="759">
    <w:p>
      <w:pPr>
        <w:pStyle w:val="Funote"/>
        <w:rPr/>
      </w:pPr>
      <w:r>
        <w:rPr>
          <w:rStyle w:val="Funotenzeichen"/>
        </w:rPr>
        <w:footnoteRef/>
      </w:r>
      <w:r>
        <w:rPr/>
        <w:tab/>
        <w:t>Beide Ipf.</w:t>
      </w:r>
    </w:p>
  </w:footnote>
  <w:footnote w:id="760">
    <w:p>
      <w:pPr>
        <w:pStyle w:val="Funote"/>
        <w:rPr/>
      </w:pPr>
      <w:r>
        <w:rPr>
          <w:rStyle w:val="Funotenzeichen"/>
        </w:rPr>
        <w:footnoteRef/>
      </w:r>
      <w:r>
        <w:rPr/>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761">
    <w:p>
      <w:pPr>
        <w:pStyle w:val="Funote"/>
        <w:rPr/>
      </w:pPr>
      <w:r>
        <w:rPr>
          <w:rStyle w:val="Funotenzeichen"/>
        </w:rPr>
        <w:footnoteRef/>
      </w:r>
      <w:r>
        <w:rPr/>
        <w:tab/>
        <w:t xml:space="preserve">Sowohl eine gegenwärtige als auch eine zukünftige Deutung sind möglich, weil das Verb statisch ist. </w:t>
      </w:r>
    </w:p>
  </w:footnote>
  <w:footnote w:id="762">
    <w:p>
      <w:pPr>
        <w:pStyle w:val="Funote"/>
        <w:rPr/>
      </w:pPr>
      <w:r>
        <w:rPr>
          <w:rStyle w:val="Funotenzeichen"/>
        </w:rPr>
        <w:footnoteRef/>
      </w:r>
      <w:r>
        <w:rPr/>
        <w:tab/>
        <w:t>Wörtlich „ für dich das“.</w:t>
      </w:r>
    </w:p>
  </w:footnote>
  <w:footnote w:id="763">
    <w:p>
      <w:pPr>
        <w:pStyle w:val="Funote"/>
        <w:rPr/>
      </w:pPr>
      <w:r>
        <w:rPr>
          <w:rStyle w:val="Funotenzeichen"/>
        </w:rPr>
        <w:footnoteRef/>
      </w:r>
      <w:r>
        <w:rPr/>
        <w:tab/>
        <w:t xml:space="preserve">Inf. cs. mit </w:t>
      </w:r>
      <w:r>
        <w:rPr>
          <w:rtl w:val="true"/>
          <w:lang w:bidi="he-IL"/>
        </w:rPr>
        <w:t>בְּ</w:t>
      </w:r>
      <w:r>
        <w:rPr/>
        <w:t>.</w:t>
      </w:r>
    </w:p>
  </w:footnote>
  <w:footnote w:id="764">
    <w:p>
      <w:pPr>
        <w:pStyle w:val="Funote"/>
        <w:rPr/>
      </w:pPr>
      <w:r>
        <w:rPr>
          <w:rStyle w:val="Funotenzeichen"/>
        </w:rPr>
        <w:footnoteRef/>
      </w:r>
      <w:r>
        <w:rPr/>
        <w:tab/>
        <w:t>Wörtlich: „Siehe, ich komme... und...“</w:t>
      </w:r>
    </w:p>
  </w:footnote>
  <w:footnote w:id="765">
    <w:p>
      <w:pPr>
        <w:pStyle w:val="Funote"/>
        <w:rPr/>
      </w:pPr>
      <w:r>
        <w:rPr>
          <w:rStyle w:val="Funotenzeichen"/>
        </w:rPr>
        <w:footnoteRef/>
      </w:r>
      <w:r>
        <w:rPr/>
        <w:tab/>
        <w:t>Ipf.</w:t>
      </w:r>
    </w:p>
  </w:footnote>
  <w:footnote w:id="766">
    <w:p>
      <w:pPr>
        <w:pStyle w:val="Funote"/>
        <w:rPr/>
      </w:pPr>
      <w:r>
        <w:rPr>
          <w:rStyle w:val="Funotenzeichen"/>
        </w:rPr>
        <w:footnoteRef/>
      </w:r>
      <w:r>
        <w:rPr/>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767">
    <w:p>
      <w:pPr>
        <w:pStyle w:val="Funote"/>
        <w:rPr/>
      </w:pPr>
      <w:r>
        <w:rPr>
          <w:rStyle w:val="Funotenzeichen"/>
        </w:rPr>
        <w:footnoteRef/>
      </w:r>
      <w:r>
        <w:rPr/>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768">
    <w:p>
      <w:pPr>
        <w:pStyle w:val="Funote"/>
        <w:rPr/>
      </w:pPr>
      <w:r>
        <w:rPr>
          <w:rStyle w:val="Funotenzeichen"/>
        </w:rPr>
        <w:footnoteRef/>
      </w:r>
      <w:r>
        <w:rPr/>
        <w:tab/>
        <w:t>Hier steht eine AKwaw-From. In der direkten Rede macht sie Aussagen über die sichere Zukunft. Nach einem Imperativ ist sie als bindender Direktiv zu verstehen. Dasselbe gilt beim nächsten Verb.</w:t>
      </w:r>
    </w:p>
  </w:footnote>
  <w:footnote w:id="769">
    <w:p>
      <w:pPr>
        <w:pStyle w:val="Funote"/>
        <w:rPr/>
      </w:pPr>
      <w:r>
        <w:rPr>
          <w:rStyle w:val="Funotenzeichen"/>
        </w:rPr>
        <w:footnoteRef/>
      </w:r>
      <w:r>
        <w:rPr/>
        <w:tab/>
        <w:t xml:space="preserve">Das Nifal von </w:t>
      </w:r>
      <w:r>
        <w:rPr>
          <w:rtl w:val="true"/>
          <w:lang w:bidi="he-IL"/>
        </w:rPr>
        <w:t>ראה</w:t>
      </w:r>
      <w:r>
        <w:rPr/>
        <w:t xml:space="preserve"> </w:t>
      </w:r>
      <w:r>
        <w:rPr/>
        <w:t>kann als Passiv übersetzt werden.</w:t>
      </w:r>
    </w:p>
  </w:footnote>
  <w:footnote w:id="770">
    <w:p>
      <w:pPr>
        <w:pStyle w:val="Funote"/>
        <w:rPr/>
      </w:pPr>
      <w:r>
        <w:rPr>
          <w:rStyle w:val="Funotenzeichen"/>
        </w:rPr>
        <w:footnoteRef/>
      </w:r>
      <w:r>
        <w:rPr/>
        <w:tab/>
        <w:t>Die LXX bezeugt »der Gott Abrahams, der Gott Isaaks und der Gott Abrahams«.</w:t>
      </w:r>
    </w:p>
  </w:footnote>
  <w:footnote w:id="771">
    <w:p>
      <w:pPr>
        <w:pStyle w:val="Funote"/>
        <w:rPr/>
      </w:pPr>
      <w:r>
        <w:rPr>
          <w:rStyle w:val="Funotenzeichen"/>
        </w:rPr>
        <w:footnoteRef/>
      </w:r>
      <w:r>
        <w:rPr/>
        <w:tab/>
        <w:t>„</w:t>
      </w:r>
      <w:r>
        <w:rPr/>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772">
    <w:p>
      <w:pPr>
        <w:pStyle w:val="Funote"/>
        <w:rPr/>
      </w:pPr>
      <w:r>
        <w:rPr>
          <w:rStyle w:val="Funotenzeichen"/>
        </w:rPr>
        <w:footnoteRef/>
      </w:r>
      <w:r>
        <w:rPr/>
        <w:tab/>
        <w:t xml:space="preserve">Das Wort </w:t>
      </w:r>
      <w:r>
        <w:rPr>
          <w:rtl w:val="true"/>
          <w:lang w:bidi="he-IL"/>
        </w:rPr>
        <w:t>פקד</w:t>
      </w:r>
      <w:r>
        <w:rPr/>
        <w:t xml:space="preserve"> </w:t>
      </w:r>
      <w:r>
        <w:rPr/>
        <w:t xml:space="preserve">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 </w:t>
      </w:r>
    </w:p>
  </w:footnote>
  <w:footnote w:id="773">
    <w:p>
      <w:pPr>
        <w:pStyle w:val="Funote"/>
        <w:rPr/>
      </w:pPr>
      <w:r>
        <w:rPr>
          <w:rStyle w:val="Funotenzeichen"/>
        </w:rPr>
        <w:footnoteRef/>
      </w:r>
      <w:r>
        <w:rPr/>
        <w:tab/>
        <w:t>Der textus graecus originalis bezeugt hier die 3.Sg: „Da dachte/sagte er“.</w:t>
      </w:r>
    </w:p>
  </w:footnote>
  <w:footnote w:id="774">
    <w:p>
      <w:pPr>
        <w:pStyle w:val="Funote"/>
        <w:rPr/>
      </w:pPr>
      <w:r>
        <w:rPr>
          <w:rStyle w:val="Funotenzeichen"/>
        </w:rPr>
        <w:footnoteRef/>
      </w:r>
      <w:r>
        <w:rPr/>
        <w:tab/>
        <w:t xml:space="preserve">Siehe Fußnoten V. 8. </w:t>
      </w:r>
    </w:p>
  </w:footnote>
  <w:footnote w:id="775">
    <w:p>
      <w:pPr>
        <w:pStyle w:val="Funote"/>
        <w:rPr/>
      </w:pPr>
      <w:r>
        <w:rPr>
          <w:rStyle w:val="Funotenzeichen"/>
        </w:rPr>
        <w:footnoteRef/>
      </w:r>
      <w:r>
        <w:rPr/>
        <w:tab/>
        <w:t>Die LXX bezeugt hier die 2.Sg. mas.</w:t>
      </w:r>
    </w:p>
  </w:footnote>
  <w:footnote w:id="776">
    <w:p>
      <w:pPr>
        <w:pStyle w:val="Funote"/>
        <w:rPr/>
      </w:pPr>
      <w:r>
        <w:rPr>
          <w:rStyle w:val="Funotenzeichen"/>
        </w:rPr>
        <w:footnoteRef/>
      </w:r>
      <w:r>
        <w:rPr/>
        <w:tab/>
        <w:t xml:space="preserve">Der Kohortativ lässt beide Möglichkeiten zu. </w:t>
      </w:r>
    </w:p>
  </w:footnote>
  <w:footnote w:id="777">
    <w:p>
      <w:pPr>
        <w:pStyle w:val="Funote"/>
        <w:rPr/>
      </w:pPr>
      <w:r>
        <w:rPr>
          <w:rStyle w:val="Funotenzeichen"/>
        </w:rPr>
        <w:footnoteRef/>
      </w:r>
      <w:r>
        <w:rPr/>
        <w:tab/>
        <w:t>Wörtlich: „eine Reise/Weg [von] drei Tagen“</w:t>
      </w:r>
    </w:p>
  </w:footnote>
  <w:footnote w:id="778">
    <w:p>
      <w:pPr>
        <w:pStyle w:val="Funote"/>
        <w:rPr/>
      </w:pPr>
      <w:r>
        <w:rPr>
          <w:rStyle w:val="Funotenzeichen"/>
        </w:rPr>
        <w:footnoteRef/>
      </w:r>
      <w:r>
        <w:rPr/>
        <w:tab/>
        <w:t>D.h. »wenn er nicht gezwungen wird« oder »auch nicht, wenn er gezwungen wird«. LXX: »außer«. Eine genauere Behandlung in NET Ex 3:19 Fußnote 65.</w:t>
      </w:r>
    </w:p>
  </w:footnote>
  <w:footnote w:id="779">
    <w:p>
      <w:pPr>
        <w:pStyle w:val="Funote"/>
        <w:rPr/>
      </w:pPr>
      <w:r>
        <w:rPr>
          <w:rStyle w:val="Funotenzeichen"/>
        </w:rPr>
        <w:footnoteRef/>
      </w:r>
      <w:r>
        <w:rPr/>
        <w:tab/>
        <w:t>D.h. „ich werde dafür sorgen, dass die Ägypter euch gesonnen sind“.</w:t>
      </w:r>
    </w:p>
  </w:footnote>
  <w:footnote w:id="780">
    <w:p>
      <w:pPr>
        <w:pStyle w:val="Funote"/>
        <w:rPr/>
      </w:pPr>
      <w:r>
        <w:rPr>
          <w:rStyle w:val="Funotenzeichen"/>
        </w:rPr>
        <w:footnoteRef/>
      </w:r>
      <w:r>
        <w:rPr/>
        <w:tab/>
        <w:t>Wörtlich „leer“.</w:t>
      </w:r>
    </w:p>
  </w:footnote>
  <w:footnote w:id="781">
    <w:p>
      <w:pPr>
        <w:pStyle w:val="Funote"/>
        <w:rPr/>
      </w:pPr>
      <w:r>
        <w:rPr>
          <w:rStyle w:val="Funotenzeichen"/>
        </w:rPr>
        <w:footnoteRef/>
      </w:r>
      <w:r>
        <w:rPr/>
        <w:tab/>
        <w:t>Ipf.</w:t>
      </w:r>
    </w:p>
  </w:footnote>
  <w:footnote w:id="782">
    <w:p>
      <w:pPr>
        <w:pStyle w:val="Funote"/>
        <w:rPr/>
      </w:pPr>
      <w:r>
        <w:rPr>
          <w:rStyle w:val="Funotenzeichen"/>
        </w:rPr>
        <w:footnoteRef/>
      </w:r>
      <w:r>
        <w:rPr/>
        <w:tab/>
        <w:t xml:space="preserve">Aus stilistischen Gründen wurde beide Male „packen“ übersetzt. Das Wort in Gottes Befehl heißt jedoch auch „nehmen, ergreifen“, während Moses Handlung auch ein stärkeres „Festhalten“ bedeuten kann. </w:t>
      </w:r>
    </w:p>
  </w:footnote>
  <w:footnote w:id="783">
    <w:p>
      <w:pPr>
        <w:pStyle w:val="Funote"/>
        <w:rPr/>
      </w:pPr>
      <w:r>
        <w:rPr>
          <w:rStyle w:val="Funotenzeichen"/>
        </w:rPr>
        <w:footnoteRef/>
      </w:r>
      <w:r>
        <w:rPr/>
        <w:tab/>
        <w:t xml:space="preserve">Fortsetzung von Gottes Befehl, die Schlange zu packen (V. 4). In der Lesefassung könnte hier mit einem Einschub und Gedankenstrichen gearbeitet werden. </w:t>
      </w:r>
    </w:p>
  </w:footnote>
  <w:footnote w:id="784">
    <w:p>
      <w:pPr>
        <w:pStyle w:val="Funote"/>
        <w:rPr/>
      </w:pPr>
      <w:r>
        <w:rPr>
          <w:rStyle w:val="Funotenzeichen"/>
        </w:rPr>
        <w:footnoteRef/>
      </w:r>
      <w:r>
        <w:rPr/>
        <w:tab/>
        <w:t>[Status: Ungeprüft]</w:t>
      </w:r>
    </w:p>
  </w:footnote>
  <w:footnote w:id="785">
    <w:p>
      <w:pPr>
        <w:pStyle w:val="Funote"/>
        <w:rPr/>
      </w:pPr>
      <w:r>
        <w:rPr>
          <w:rStyle w:val="Funotenzeichen"/>
        </w:rPr>
        <w:footnoteRef/>
      </w:r>
      <w:r>
        <w:rPr/>
        <w:tab/>
        <w:t xml:space="preserve">Das Wort </w:t>
      </w:r>
      <w:r>
        <w:rPr>
          <w:rtl w:val="true"/>
          <w:lang w:bidi="he-IL"/>
        </w:rPr>
        <w:t>לֵאמֹר</w:t>
      </w:r>
      <w:r>
        <w:rPr/>
        <w:t xml:space="preserve"> </w:t>
      </w:r>
      <w:r>
        <w:rPr/>
        <w:t xml:space="preserve">das im Grunde einen Doppelpunkt markiert, blieb hier unübersetzt. </w:t>
      </w:r>
    </w:p>
  </w:footnote>
  <w:footnote w:id="786">
    <w:p>
      <w:pPr>
        <w:pStyle w:val="Funote"/>
        <w:rPr/>
      </w:pPr>
      <w:r>
        <w:rPr>
          <w:rStyle w:val="Funotenzeichen"/>
        </w:rPr>
        <w:footnoteRef/>
      </w:r>
      <w:r>
        <w:rPr/>
        <w:tab/>
        <w:t>Alternativ: „Ich, JHWH, [bin] dein Gott“</w:t>
      </w:r>
    </w:p>
  </w:footnote>
  <w:footnote w:id="787">
    <w:p>
      <w:pPr>
        <w:pStyle w:val="Funote"/>
        <w:rPr/>
      </w:pPr>
      <w:r>
        <w:rPr>
          <w:rStyle w:val="Funotenzeichen"/>
        </w:rPr>
        <w:footnoteRef/>
      </w:r>
      <w:r>
        <w:rPr/>
        <w:tab/>
        <w:t xml:space="preserve">Eigentlich in der 1. Person. </w:t>
      </w:r>
    </w:p>
  </w:footnote>
  <w:footnote w:id="788">
    <w:p>
      <w:pPr>
        <w:pStyle w:val="Funote"/>
        <w:rPr/>
      </w:pPr>
      <w:r>
        <w:rPr>
          <w:rStyle w:val="Funotenzeichen"/>
        </w:rPr>
        <w:footnoteRef/>
      </w:r>
      <w:r>
        <w:rPr/>
        <w:tab/>
        <w:t>die genaue Formulierung ist umstritten. Es finden sich ebenfalls „Du wirst nicht..“ und das sehr finale „Ich bin JHWH..., deshalb machst du nicht,... Du stiehlst nicht. ...“</w:t>
      </w:r>
    </w:p>
  </w:footnote>
  <w:footnote w:id="789">
    <w:p>
      <w:pPr>
        <w:pStyle w:val="Funote"/>
        <w:rPr/>
      </w:pPr>
      <w:r>
        <w:rPr>
          <w:rStyle w:val="Funotenzeichen"/>
        </w:rPr>
        <w:footnoteRef/>
      </w:r>
      <w:r>
        <w:rPr/>
        <w:tab/>
        <w:t>Die Phrase ist nicht genau zu deuten, obwohl die Bedeutung klar ist: JHWH soll der einzige Gott sein. Die hebräische Wendung bedeutet vermutlich „vor“ oder „zusätzlich zu“, in der LXX steht „außer“.</w:t>
      </w:r>
    </w:p>
  </w:footnote>
  <w:footnote w:id="790">
    <w:p>
      <w:pPr>
        <w:pStyle w:val="Funote"/>
        <w:rPr/>
      </w:pPr>
      <w:r>
        <w:rPr>
          <w:rStyle w:val="Funotenzeichen"/>
        </w:rPr>
        <w:footnoteRef/>
      </w:r>
      <w:r>
        <w:rPr/>
        <w:tab/>
        <w:t>Aufgelöstes Ptz.</w:t>
      </w:r>
    </w:p>
  </w:footnote>
  <w:footnote w:id="791">
    <w:p>
      <w:pPr>
        <w:pStyle w:val="Funote"/>
        <w:rPr/>
      </w:pPr>
      <w:r>
        <w:rPr>
          <w:rStyle w:val="Funotenzeichen"/>
        </w:rPr>
        <w:footnoteRef/>
      </w:r>
      <w:r>
        <w:rPr/>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92">
    <w:p>
      <w:pPr>
        <w:pStyle w:val="Funote"/>
        <w:rPr/>
      </w:pPr>
      <w:r>
        <w:rPr>
          <w:rStyle w:val="Funotenzeichen"/>
        </w:rPr>
        <w:footnoteRef/>
      </w:r>
      <w:r>
        <w:rPr/>
        <w:tab/>
        <w:t xml:space="preserve">Wörtlich „aufheben“. In diesem Kontext aber dieser Übersetzung entsprechend zu verstehen. </w:t>
      </w:r>
    </w:p>
  </w:footnote>
  <w:footnote w:id="793">
    <w:p>
      <w:pPr>
        <w:pStyle w:val="Funote"/>
        <w:rPr/>
      </w:pPr>
      <w:r>
        <w:rPr>
          <w:rStyle w:val="Funotenzeichen"/>
        </w:rPr>
        <w:footnoteRef/>
      </w:r>
      <w:r>
        <w:rPr/>
        <w:tab/>
        <w:t xml:space="preserve">In dieser Variante evtl. noch zu ergänzen: „heilig“ bzw. „geweiht“. </w:t>
      </w:r>
    </w:p>
  </w:footnote>
  <w:footnote w:id="794">
    <w:p>
      <w:pPr>
        <w:pStyle w:val="Funote"/>
        <w:rPr/>
      </w:pPr>
      <w:r>
        <w:rPr>
          <w:rStyle w:val="Funotenzeichen"/>
        </w:rPr>
        <w:footnoteRef/>
      </w:r>
      <w:r>
        <w:rPr/>
        <w:tab/>
        <w:t xml:space="preserve">Oder: „[in] sechs Tagen“. Die bestehende Übersetzung wurde in Anlehnung an V. 9 gewählt. </w:t>
      </w:r>
    </w:p>
  </w:footnote>
  <w:footnote w:id="795">
    <w:p>
      <w:pPr>
        <w:pStyle w:val="Funote"/>
        <w:rPr/>
      </w:pPr>
      <w:r>
        <w:rPr>
          <w:rStyle w:val="Funotenzeichen"/>
        </w:rPr>
        <w:footnoteRef/>
      </w:r>
      <w:r>
        <w:rPr/>
        <w:tab/>
        <w:t xml:space="preserve">Ptz., das wegen des Kontexts als Futur übersetzt wurde. </w:t>
      </w:r>
    </w:p>
  </w:footnote>
  <w:footnote w:id="796">
    <w:p>
      <w:pPr>
        <w:pStyle w:val="Funote"/>
        <w:rPr/>
      </w:pPr>
      <w:r>
        <w:rPr>
          <w:rStyle w:val="Funotenzeichen"/>
        </w:rPr>
        <w:footnoteRef/>
      </w:r>
      <w:r>
        <w:rPr/>
        <w:tab/>
        <w:t xml:space="preserve">D.h. vor Gericht. Gemeint ist aber wohl in jedem Fall ein generelles Verbot der Lüge. </w:t>
      </w:r>
    </w:p>
  </w:footnote>
  <w:footnote w:id="797">
    <w:p>
      <w:pPr>
        <w:pStyle w:val="Funote"/>
        <w:rPr/>
      </w:pPr>
      <w:r>
        <w:rPr>
          <w:rStyle w:val="Funotenzeichen"/>
        </w:rPr>
        <w:footnoteRef/>
      </w:r>
      <w:r>
        <w:rPr/>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98">
    <w:p>
      <w:pPr>
        <w:pStyle w:val="Funote"/>
        <w:rPr/>
      </w:pPr>
      <w:r>
        <w:rPr>
          <w:rStyle w:val="Funotenzeichen"/>
        </w:rPr>
        <w:footnoteRef/>
      </w:r>
      <w:r>
        <w:rPr/>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99">
    <w:p>
      <w:pPr>
        <w:pStyle w:val="Funote"/>
        <w:rPr/>
      </w:pPr>
      <w:r>
        <w:rPr>
          <w:rStyle w:val="Funotenzeichen"/>
        </w:rPr>
        <w:footnoteRef/>
      </w:r>
      <w:r>
        <w:rPr/>
        <w:tab/>
        <w:t xml:space="preserve">hebr. Präposition </w:t>
      </w:r>
      <w:r>
        <w:rPr>
          <w:i/>
        </w:rPr>
        <w:t>b-</w:t>
      </w:r>
      <w:r>
        <w:rPr/>
        <w:t xml:space="preserve"> hier als Objektmarker</w:t>
      </w:r>
    </w:p>
  </w:footnote>
  <w:footnote w:id="800">
    <w:p>
      <w:pPr>
        <w:pStyle w:val="Funote"/>
        <w:rPr/>
      </w:pPr>
      <w:r>
        <w:rPr>
          <w:rStyle w:val="Funotenzeichen"/>
        </w:rPr>
        <w:footnoteRef/>
      </w:r>
      <w:r>
        <w:rPr/>
        <w:tab/>
        <w:t>wörtl. nicht wird mich sehen der Mensch</w:t>
      </w:r>
    </w:p>
  </w:footnote>
  <w:footnote w:id="801">
    <w:p>
      <w:pPr>
        <w:pStyle w:val="Funote"/>
        <w:rPr/>
      </w:pPr>
      <w:r>
        <w:rPr>
          <w:rStyle w:val="Funotenzeichen"/>
        </w:rPr>
        <w:footnoteRef/>
      </w:r>
      <w:r>
        <w:rPr/>
        <w:tab/>
        <w:t>wörtl. bis zu meinem Vorbeigehen</w:t>
      </w:r>
    </w:p>
  </w:footnote>
  <w:footnote w:id="802">
    <w:p>
      <w:pPr>
        <w:pStyle w:val="Funote"/>
        <w:rPr/>
      </w:pPr>
      <w:r>
        <w:rPr>
          <w:rStyle w:val="Funotenzeichen"/>
        </w:rPr>
        <w:footnoteRef/>
      </w:r>
      <w:r>
        <w:rPr/>
        <w:tab/>
        <w:t>wörtl. du wirst sehen meine Rückseite</w:t>
      </w:r>
    </w:p>
  </w:footnote>
  <w:footnote w:id="803">
    <w:p>
      <w:pPr>
        <w:pStyle w:val="Funote"/>
        <w:rPr/>
      </w:pPr>
      <w:r>
        <w:rPr>
          <w:rStyle w:val="Funotenzeichen"/>
        </w:rPr>
        <w:footnoteRef/>
      </w:r>
      <w:r>
        <w:rPr/>
        <w:tab/>
        <w:t>[Status: Zuverlässig]</w:t>
      </w:r>
    </w:p>
  </w:footnote>
  <w:footnote w:id="804">
    <w:p>
      <w:pPr>
        <w:pStyle w:val="Funote"/>
        <w:rPr/>
      </w:pPr>
      <w:r>
        <w:rPr>
          <w:rStyle w:val="Funotenzeichen"/>
        </w:rPr>
        <w:footnoteRef/>
      </w:r>
      <w:r>
        <w:rPr/>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805">
    <w:p>
      <w:pPr>
        <w:pStyle w:val="Funote"/>
        <w:rPr/>
      </w:pPr>
      <w:r>
        <w:rPr>
          <w:rStyle w:val="Funotenzeichen"/>
        </w:rPr>
        <w:footnoteRef/>
      </w:r>
      <w:r>
        <w:rPr/>
        <w:tab/>
        <w:t xml:space="preserve">Ägypten und Kanaan stehen hier metonym als </w:t>
      </w:r>
      <w:r>
        <w:rPr>
          <w:i/>
        </w:rPr>
        <w:t>toto pro pars</w:t>
      </w:r>
      <w:r>
        <w:rPr/>
        <w:t xml:space="preserve">; die gesamte Einheit (das ganze Land) wird also stellvertretend für einen Teil (die Bewohner) genannt. „[die Bewohner]“ wurde deshalb ergänzt. </w:t>
      </w:r>
    </w:p>
  </w:footnote>
  <w:footnote w:id="806">
    <w:p>
      <w:pPr>
        <w:pStyle w:val="Funote"/>
        <w:rPr/>
      </w:pPr>
      <w:r>
        <w:rPr>
          <w:rStyle w:val="Funotenzeichen"/>
        </w:rPr>
        <w:footnoteRef/>
      </w:r>
      <w:r>
        <w:rPr/>
        <w:tab/>
        <w:t xml:space="preserve">Partizip. Oder: „in das ich euch führen werde“, dann als Gegensatz zum vormaligen Leben in Ägypten gedeutet (vgl. NET). </w:t>
      </w:r>
    </w:p>
  </w:footnote>
  <w:footnote w:id="807">
    <w:p>
      <w:pPr>
        <w:pStyle w:val="Funote"/>
        <w:rPr/>
      </w:pPr>
      <w:r>
        <w:rPr>
          <w:rStyle w:val="Funotenzeichen"/>
        </w:rPr>
        <w:footnoteRef/>
      </w:r>
      <w:r>
        <w:rPr/>
        <w:tab/>
        <w:t>Wörtlich „gehen in“, sinngemäß jedoch eher „leben gemäß“; bezeichnet die Lebensführung (Sprinkle 2008, 24).</w:t>
      </w:r>
    </w:p>
  </w:footnote>
  <w:footnote w:id="808">
    <w:p>
      <w:pPr>
        <w:pStyle w:val="Funote"/>
        <w:rPr/>
      </w:pPr>
      <w:r>
        <w:rPr>
          <w:rStyle w:val="Funotenzeichen"/>
        </w:rPr>
        <w:footnoteRef/>
      </w:r>
      <w:r>
        <w:rPr>
          <w:b/>
          <w:i/>
        </w:rPr>
        <w:tab/>
        <w:t>Meine</w:t>
      </w:r>
      <w:r>
        <w:rPr>
          <w:i/>
        </w:rPr>
        <w:t xml:space="preserve"> Verordnungen</w:t>
      </w:r>
      <w:r>
        <w:rPr/>
        <w:t xml:space="preserve"> Die Hervorhebung ergibt sich aus der Wortstellung. Hier bildet nicht wie sonst das Prädikat den Satzanfang, sondern das Objekt (Milgrom 2000, 1521). </w:t>
      </w:r>
    </w:p>
  </w:footnote>
  <w:footnote w:id="809">
    <w:p>
      <w:pPr>
        <w:pStyle w:val="Funote"/>
        <w:rPr/>
      </w:pPr>
      <w:r>
        <w:rPr>
          <w:rStyle w:val="Funotenzeichen"/>
        </w:rPr>
        <w:footnoteRef/>
      </w:r>
      <w:r>
        <w:rPr>
          <w:i/>
        </w:rPr>
        <w:tab/>
        <w:t>tun (handeln)</w:t>
      </w:r>
      <w:r>
        <w:rPr/>
        <w:t xml:space="preserve"> Es handelt sich um dasselbe Wort, das in V. 3 mit „handeln“ übersetzt wurde. </w:t>
      </w:r>
    </w:p>
  </w:footnote>
  <w:footnote w:id="810">
    <w:p>
      <w:pPr>
        <w:pStyle w:val="Funote"/>
        <w:rPr/>
      </w:pPr>
      <w:r>
        <w:rPr>
          <w:rStyle w:val="Funotenzeichen"/>
        </w:rPr>
        <w:footnoteRef/>
      </w:r>
      <w:r>
        <w:rPr/>
        <w:tab/>
        <w:t xml:space="preserve">Es handelt sich um dasselbe Wort wie in V. 3 „Bräuche“, nur dass hier (im Paar mit „Gesetzen“) eine andere Konnotation vorhanden ist; es geht um Vorschriften und nicht nur Gepflogenheiten. </w:t>
      </w:r>
    </w:p>
  </w:footnote>
  <w:footnote w:id="811">
    <w:p>
      <w:pPr>
        <w:pStyle w:val="Funote"/>
        <w:rPr/>
      </w:pPr>
      <w:r>
        <w:rPr>
          <w:rStyle w:val="Funotenzeichen"/>
        </w:rPr>
        <w:footnoteRef/>
      </w:r>
      <w:r>
        <w:rPr/>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812">
    <w:p>
      <w:pPr>
        <w:pStyle w:val="Funote"/>
        <w:rPr/>
      </w:pPr>
      <w:r>
        <w:rPr>
          <w:rStyle w:val="Funotenzeichen"/>
        </w:rPr>
        <w:footnoteRef/>
      </w:r>
      <w:r>
        <w:rPr/>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 xml:space="preserve">denn“/„von denen gilt“ ist entweder Relativpronomen oder kausale Konjunktion, syntaktisch ist beides möglich. „und“ ist hier konsekutiv oder final; die Auflösung der Satzreihe zu Qualifikation→Folge entspricht also ebenfalls dem ursprünglichen Sinn. </w:t>
        <w:br/>
        <w:t xml:space="preserve">Der Wechsel in die dritte Person hat wohl den Grund, dass dieses Prinzip nicht nur für das angesprochene Israel gilt, sondern auch für im Land lebende Fremde, die sich ebenfalls an die im Folgenden gelisteten Gebote halten müssen (vgl. V. 26; Milgrom 2000, 1522). </w:t>
      </w:r>
    </w:p>
  </w:footnote>
  <w:footnote w:id="813">
    <w:p>
      <w:pPr>
        <w:pStyle w:val="Funote"/>
        <w:rPr/>
      </w:pPr>
      <w:r>
        <w:rPr>
          <w:rStyle w:val="Funotenzeichen"/>
        </w:rPr>
        <w:footnoteRef/>
      </w:r>
      <w:r>
        <w:rPr>
          <w:i/>
        </w:rPr>
        <w:tab/>
        <w:t>wird durch sie (nach/in ihnen) leben</w:t>
      </w:r>
      <w:r>
        <w:rPr/>
        <w:t xml:space="preserve"> Dieser Satz hat eine weit reichende Wirkungsgeschichte im AT, in der jüdischen Auslegung und im NT entfaltet. Was bedeutet „leben“? Geht es um diesseitiges oder jenseitiges Leben oder nur um die Lebensqualität? Und geht es um Leben </w:t>
      </w:r>
      <w:r>
        <w:rPr>
          <w:i/>
        </w:rPr>
        <w:t>durch</w:t>
      </w:r>
      <w:r>
        <w:rPr/>
        <w:t xml:space="preserve"> Einhaltung der Gebote, oder </w:t>
      </w:r>
      <w:r>
        <w:rPr>
          <w:i/>
        </w:rPr>
        <w:t>in</w:t>
      </w:r>
      <w:r>
        <w:rPr/>
        <w:t xml:space="preserve"> ihrem Schutz o.ä.? Unter dem Einfluss des Exils wurde er neu aufgegriffen (</w:t>
      </w:r>
      <w:r>
        <w:fldChar w:fldCharType="begin"/>
      </w:r>
      <w:r>
        <w:rPr>
          <w:rStyle w:val="Internetverknpfung"/>
        </w:rPr>
        <w:instrText> HYPERLINK "../../../../../../../../../wiki/Ezechiel_20" \l "s11"</w:instrText>
      </w:r>
      <w:r>
        <w:rPr>
          <w:rStyle w:val="Internetverknpfung"/>
        </w:rPr>
        <w:fldChar w:fldCharType="separate"/>
      </w:r>
      <w:r>
        <w:rPr>
          <w:rStyle w:val="Internetverknpfung"/>
        </w:rPr>
        <w:t>Ez 20,11</w:t>
      </w:r>
      <w:r>
        <w:rPr>
          <w:rStyle w:val="Internetverknpfung"/>
        </w:rPr>
        <w:fldChar w:fldCharType="end"/>
      </w:r>
      <w:r>
        <w:rPr/>
        <w:t xml:space="preserve">, </w:t>
      </w:r>
      <w:hyperlink r:id="rId25">
        <w:r>
          <w:rPr>
            <w:rStyle w:val="Internetverknpfung"/>
          </w:rPr>
          <w:t>Neh 9,29</w:t>
        </w:r>
      </w:hyperlink>
      <w:r>
        <w:rPr/>
        <w:t>) und als Beleg für Israels Versagen gegenüber ihrem Bundesversprechen. Viele Rabbinen benutzten den Vers als Beleg für die grundsätzlich lebensschützende Funktion der Tora, andere hingegen als Hinweis auf ewiges Leben. Besonders kompliziert ist Paulus' Verwendung von Lev 18,5 (</w:t>
      </w:r>
      <w:r>
        <w:fldChar w:fldCharType="begin"/>
      </w:r>
      <w:r>
        <w:rPr>
          <w:rStyle w:val="Internetverknpfung"/>
        </w:rPr>
        <w:instrText> HYPERLINK "../../../../../../../../../wiki/R%C3%B6mer_10" \l "s8"</w:instrText>
      </w:r>
      <w:r>
        <w:rPr>
          <w:rStyle w:val="Internetverknpfung"/>
        </w:rPr>
        <w:fldChar w:fldCharType="separate"/>
      </w:r>
      <w:r>
        <w:rPr>
          <w:rStyle w:val="Internetverknpfung"/>
        </w:rPr>
        <w:t>Röm 10,8</w:t>
      </w:r>
      <w:r>
        <w:rPr>
          <w:rStyle w:val="Internetverknpfung"/>
        </w:rPr>
        <w:fldChar w:fldCharType="end"/>
      </w:r>
      <w:r>
        <w:rPr/>
        <w:t xml:space="preserve">, </w:t>
      </w:r>
      <w:r>
        <w:fldChar w:fldCharType="begin"/>
      </w:r>
      <w:r>
        <w:rPr>
          <w:rStyle w:val="Internetverknpfung"/>
        </w:rPr>
        <w:instrText> HYPERLINK "../../../../../../../../../wiki/Galater_3" \l "s12"</w:instrText>
      </w:r>
      <w:r>
        <w:rPr>
          <w:rStyle w:val="Internetverknpfung"/>
        </w:rPr>
        <w:fldChar w:fldCharType="separate"/>
      </w:r>
      <w:r>
        <w:rPr>
          <w:rStyle w:val="Internetverknpfung"/>
        </w:rPr>
        <w:t>Gal 3,12</w:t>
      </w:r>
      <w:r>
        <w:rPr>
          <w:rStyle w:val="Internetverknpfung"/>
        </w:rPr>
        <w:fldChar w:fldCharType="end"/>
      </w:r>
      <w:r>
        <w:rPr/>
        <w:t xml:space="preserve">). Ab dem späten 20. Jh. spielte er in der Diskussion um die neue Paulusperspektive eine nicht unwichtige Rolle. </w:t>
        <w:br/>
        <w:t xml:space="preserve">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 xml:space="preserve">lokal; für sie geht es um ein gesegnetes Leben </w:t>
      </w:r>
      <w:r>
        <w:rPr>
          <w:i/>
        </w:rPr>
        <w:t>innerhalb</w:t>
      </w:r>
      <w:r>
        <w:rPr/>
        <w:t xml:space="preserve"> des Bundes. Die Mehrheit der Ausleger versteht die Stelle als gehorsamsbedingte Verheißung eines Lebens unter dem Bundessegen im verheißenen Land (Wenham, Sprinkle, Gathercole u.a.). </w:t>
      </w:r>
    </w:p>
  </w:footnote>
  <w:footnote w:id="814">
    <w:p>
      <w:pPr>
        <w:pStyle w:val="Funote"/>
        <w:rPr/>
      </w:pPr>
      <w:r>
        <w:rPr>
          <w:rStyle w:val="Funotenzeichen"/>
        </w:rPr>
        <w:footnoteRef/>
      </w:r>
      <w:r>
        <w:rPr/>
        <w:tab/>
        <w:t>[Status: Zuverlässig]</w:t>
      </w:r>
    </w:p>
  </w:footnote>
  <w:footnote w:id="815">
    <w:p>
      <w:pPr>
        <w:pStyle w:val="Funote"/>
        <w:rPr/>
      </w:pPr>
      <w:r>
        <w:rPr>
          <w:rStyle w:val="Funotenzeichen"/>
        </w:rPr>
        <w:footnoteRef/>
      </w:r>
      <w:r>
        <w:rPr/>
        <w:tab/>
        <w:t xml:space="preserve">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 </w:t>
      </w:r>
    </w:p>
  </w:footnote>
  <w:footnote w:id="816">
    <w:p>
      <w:pPr>
        <w:pStyle w:val="Funote"/>
        <w:rPr/>
      </w:pPr>
      <w:r>
        <w:rPr>
          <w:rStyle w:val="Funotenzeichen"/>
        </w:rPr>
        <w:footnoteRef/>
      </w:r>
      <w:r>
        <w:rPr/>
        <w:tab/>
        <w:t>Prädikatives Partizip.</w:t>
      </w:r>
    </w:p>
  </w:footnote>
  <w:footnote w:id="817">
    <w:p>
      <w:pPr>
        <w:pStyle w:val="Funote"/>
        <w:rPr/>
      </w:pPr>
      <w:r>
        <w:rPr>
          <w:rStyle w:val="Funotenzeichen"/>
        </w:rPr>
        <w:footnoteRef/>
      </w:r>
      <w:r>
        <w:rPr/>
        <w:tab/>
        <w:t xml:space="preserve">Mit einer konsekutiven Satzverknüpfung zeigt V. 25 an, dass die Unreinheit der Bewohner zur Unreinheit des Landes und zu Gottes Bestrafung führte. </w:t>
      </w:r>
    </w:p>
  </w:footnote>
  <w:footnote w:id="818">
    <w:p>
      <w:pPr>
        <w:pStyle w:val="Funote"/>
        <w:rPr/>
      </w:pPr>
      <w:r>
        <w:rPr>
          <w:rStyle w:val="Funotenzeichen"/>
        </w:rPr>
        <w:footnoteRef/>
      </w:r>
      <w:r>
        <w:rPr/>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819">
    <w:p>
      <w:pPr>
        <w:pStyle w:val="Funote"/>
        <w:rPr/>
      </w:pPr>
      <w:r>
        <w:rPr>
          <w:rStyle w:val="Funotenzeichen"/>
        </w:rPr>
        <w:footnoteRef/>
      </w:r>
      <w:r>
        <w:rPr/>
        <w:tab/>
        <w:t xml:space="preserve">Die Übersetzung „Seelen“ (Klammer) folgt Kiuchi 2007, 332, der sie in Verbindung mit „abschneiden“ für angemessener hält als „Personen“. </w:t>
      </w:r>
    </w:p>
  </w:footnote>
  <w:footnote w:id="820">
    <w:p>
      <w:pPr>
        <w:pStyle w:val="Funote"/>
        <w:rPr/>
      </w:pPr>
      <w:r>
        <w:rPr>
          <w:rStyle w:val="Funotenzeichen"/>
        </w:rPr>
        <w:footnoteRef/>
      </w:r>
      <w:r>
        <w:rPr/>
        <w:tab/>
        <w:t>übernehmen Wörtlich „tun/handeln“ (genauso das folgende Verb „nachgegangen sind“), doch Bräuche werden im Deutschen i.d.R. wahrgenommen. Denkbar sind auch „nachgehen“ oder „folgen“. übernehmen passt recht gut in den Kontext (vgl. NLB).</w:t>
      </w:r>
    </w:p>
  </w:footnote>
  <w:footnote w:id="821">
    <w:p>
      <w:pPr>
        <w:pStyle w:val="Funote"/>
        <w:rPr/>
      </w:pPr>
      <w:r>
        <w:rPr>
          <w:rStyle w:val="Funotenzeichen"/>
        </w:rPr>
        <w:footnoteRef/>
      </w:r>
      <w:r>
        <w:rPr/>
        <w:tab/>
        <w:t xml:space="preserve">Es ist nicht klar, ob „vor“ hier in räumlicher („vor euren Augen“) oder zeitlicher Hinsicht („vor eurer Ankunft“) gemeint ist. Nach Milgrom ist die räumliche Deutung wahrscheinlicher, weil die zeitliche das Verb „sein“ erforderlich machen würde (Milgrom 2000, 1583). Vgl. auch V. 5 &amp; 27. </w:t>
      </w:r>
    </w:p>
  </w:footnote>
  <w:footnote w:id="822">
    <w:p>
      <w:pPr>
        <w:pStyle w:val="Funote"/>
        <w:rPr/>
      </w:pPr>
      <w:r>
        <w:rPr>
          <w:rStyle w:val="Funotenzeichen"/>
        </w:rPr>
        <w:footnoteRef/>
      </w:r>
      <w:r>
        <w:rPr>
          <w:i/>
        </w:rPr>
        <w:tab/>
        <w:t>an ihnen (wie sie)</w:t>
      </w:r>
      <w:r>
        <w:rPr/>
        <w:t xml:space="preserve"> Hebr. </w:t>
      </w:r>
      <w:r>
        <w:rPr>
          <w:rtl w:val="true"/>
          <w:lang w:bidi="he-IL"/>
        </w:rPr>
        <w:t>בָּהֶם</w:t>
      </w:r>
      <w:r>
        <w:rPr/>
        <w:t xml:space="preserve"> </w:t>
      </w:r>
      <w:r>
        <w:rPr/>
        <w:t xml:space="preserve">bezieht sich hier wie „mit all diesen [Praktiken]“ in V. 24 instrumental auf das Mittel, mit dem die Verunreinigung entstand. Theoretisch möglich wäre jedoch auch die Übersetzung „wie sie“, also als Vergleich mit den Einheimischen. </w:t>
      </w:r>
    </w:p>
  </w:footnote>
  <w:footnote w:id="823">
    <w:p>
      <w:pPr>
        <w:pStyle w:val="Funote"/>
        <w:rPr/>
      </w:pPr>
      <w:r>
        <w:rPr>
          <w:rStyle w:val="Funotenzeichen"/>
        </w:rPr>
        <w:footnoteRef/>
      </w:r>
      <w:r>
        <w:rPr/>
        <w:tab/>
        <w:t>hier fehlen einige andere Möglichkeiten zur Begriffsklärung</w:t>
      </w:r>
    </w:p>
  </w:footnote>
  <w:footnote w:id="824">
    <w:p>
      <w:pPr>
        <w:pStyle w:val="Funote"/>
        <w:rPr/>
      </w:pPr>
      <w:r>
        <w:rPr>
          <w:rStyle w:val="Funotenzeichen"/>
        </w:rPr>
        <w:footnoteRef/>
      </w:r>
      <w:r>
        <w:rPr/>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825">
    <w:p>
      <w:pPr>
        <w:pStyle w:val="Funote"/>
        <w:rPr/>
      </w:pPr>
      <w:r>
        <w:rPr>
          <w:rStyle w:val="Funotenzeichen"/>
        </w:rPr>
        <w:footnoteRef/>
      </w:r>
      <w:r>
        <w:rPr/>
        <w:tab/>
        <w:t>Gleiche Wurzel wie Schalom.</w:t>
      </w:r>
    </w:p>
  </w:footnote>
  <w:footnote w:id="826">
    <w:p>
      <w:pPr>
        <w:pStyle w:val="Funote"/>
        <w:rPr/>
      </w:pPr>
      <w:r>
        <w:rPr>
          <w:rStyle w:val="Funotenzeichen"/>
        </w:rPr>
        <w:footnoteRef/>
      </w:r>
      <w:r>
        <w:rPr/>
        <w:tab/>
        <w:t>[Status: Ungeprüft]</w:t>
      </w:r>
    </w:p>
  </w:footnote>
  <w:footnote w:id="827">
    <w:p>
      <w:pPr>
        <w:pStyle w:val="Funote"/>
        <w:rPr/>
      </w:pPr>
      <w:r>
        <w:rPr>
          <w:rStyle w:val="Funotenzeichen"/>
        </w:rPr>
        <w:footnoteRef/>
      </w:r>
      <w:r>
        <w:rPr/>
        <w:tab/>
        <w:t>Gemeint ist vermutlich ein Seitenarm des Roten Meeres bzw. der Golf von Suez.</w:t>
      </w:r>
    </w:p>
  </w:footnote>
  <w:footnote w:id="828">
    <w:p>
      <w:pPr>
        <w:pStyle w:val="Funote"/>
        <w:rPr/>
      </w:pPr>
      <w:r>
        <w:rPr>
          <w:rStyle w:val="Funotenzeichen"/>
        </w:rPr>
        <w:footnoteRef/>
      </w:r>
      <w:r>
        <w:rPr/>
        <w:tab/>
        <w:t xml:space="preserve">Das Wort „Schlange“ wird zweimal mit verschiedenen Begriffen. Dabei kann </w:t>
      </w:r>
      <w:r>
        <w:rPr>
          <w:rtl w:val="true"/>
          <w:lang w:bidi="he-IL"/>
        </w:rPr>
        <w:t>שָׂרָף</w:t>
      </w:r>
      <w:r>
        <w:rPr/>
        <w:t xml:space="preserve"> </w:t>
      </w:r>
      <w:r>
        <w:rPr/>
        <w:t>auch „das Brennen“ bedeuten, wobei diese Variante nach Gesenius</w:t>
      </w:r>
      <w:r>
        <w:rPr>
          <w:position w:val="7"/>
          <w:sz w:val="16"/>
        </w:rPr>
        <w:t>17</w:t>
      </w:r>
      <w:r>
        <w:rPr/>
        <w:t>, S. 794 eigentlich nicht für Num 21,6 zutrifft. Eine weitere (freiere) Übersetzungsmöglichkeit wäre: „Schlangen [auf] Schlangen“.</w:t>
      </w:r>
    </w:p>
  </w:footnote>
  <w:footnote w:id="829">
    <w:p>
      <w:pPr>
        <w:pStyle w:val="Funote"/>
        <w:rPr/>
      </w:pPr>
      <w:r>
        <w:rPr>
          <w:rStyle w:val="Funotenzeichen"/>
        </w:rPr>
        <w:footnoteRef/>
      </w:r>
      <w:r>
        <w:rPr/>
        <w:tab/>
        <w:t xml:space="preserve">Kal Impf. Cons. von </w:t>
      </w:r>
      <w:r>
        <w:rPr>
          <w:rtl w:val="true"/>
          <w:lang w:bidi="he-IL"/>
        </w:rPr>
        <w:t>קום</w:t>
      </w:r>
      <w:r>
        <w:rPr/>
        <w:t>, letzte Silbe ist ein Qamez Chatuf.</w:t>
      </w:r>
    </w:p>
  </w:footnote>
  <w:footnote w:id="830">
    <w:p>
      <w:pPr>
        <w:pStyle w:val="Funote"/>
        <w:rPr/>
      </w:pPr>
      <w:r>
        <w:rPr>
          <w:rStyle w:val="Funotenzeichen"/>
        </w:rPr>
        <w:footnoteRef/>
      </w:r>
      <w:r>
        <w:rPr/>
        <w:tab/>
        <w:t xml:space="preserve">Kal Impf. Cons. von </w:t>
      </w:r>
      <w:r>
        <w:rPr>
          <w:rtl w:val="true"/>
          <w:lang w:bidi="he-IL"/>
        </w:rPr>
        <w:t>קדד</w:t>
      </w:r>
      <w:r>
        <w:rPr/>
        <w:t>.</w:t>
      </w:r>
    </w:p>
  </w:footnote>
  <w:footnote w:id="831">
    <w:p>
      <w:pPr>
        <w:pStyle w:val="Funote"/>
        <w:rPr/>
      </w:pPr>
      <w:r>
        <w:rPr>
          <w:rStyle w:val="Funotenzeichen"/>
        </w:rPr>
        <w:footnoteRef/>
      </w:r>
      <w:r>
        <w:rPr/>
        <w:tab/>
        <w:t>Im Samaritanischen Pentateuch ist an dieser Stelle „JHWH“ überliefert.</w:t>
      </w:r>
    </w:p>
  </w:footnote>
  <w:footnote w:id="832">
    <w:p>
      <w:pPr>
        <w:pStyle w:val="Funote"/>
        <w:rPr/>
      </w:pPr>
      <w:r>
        <w:rPr>
          <w:rStyle w:val="Funotenzeichen"/>
        </w:rPr>
        <w:footnoteRef/>
      </w:r>
      <w:r>
        <w:rPr/>
        <w:tab/>
        <w:t xml:space="preserve">Apokopierter Kal Impf. Cons. von </w:t>
      </w:r>
      <w:r>
        <w:rPr>
          <w:rtl w:val="true"/>
          <w:lang w:bidi="he-IL"/>
        </w:rPr>
        <w:t>נטה</w:t>
      </w:r>
      <w:r>
        <w:rPr/>
        <w:t>.</w:t>
      </w:r>
    </w:p>
  </w:footnote>
  <w:footnote w:id="833">
    <w:p>
      <w:pPr>
        <w:pStyle w:val="Funote"/>
        <w:rPr/>
      </w:pPr>
      <w:r>
        <w:rPr>
          <w:rStyle w:val="Funotenzeichen"/>
        </w:rPr>
        <w:footnoteRef/>
      </w:r>
      <w:r>
        <w:rPr/>
        <w:tab/>
        <w:t xml:space="preserve">Hitpa'el Impf. Cons. von </w:t>
      </w:r>
      <w:r>
        <w:rPr>
          <w:rtl w:val="true"/>
          <w:lang w:bidi="he-IL"/>
        </w:rPr>
        <w:t>יצב</w:t>
      </w:r>
      <w:r>
        <w:rPr/>
        <w:t>.</w:t>
      </w:r>
    </w:p>
  </w:footnote>
  <w:footnote w:id="834">
    <w:p>
      <w:pPr>
        <w:pStyle w:val="Funote"/>
        <w:rPr/>
      </w:pPr>
      <w:r>
        <w:rPr>
          <w:rStyle w:val="Funotenzeichen"/>
        </w:rPr>
        <w:footnoteRef/>
      </w:r>
      <w:r>
        <w:rPr/>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35">
    <w:p>
      <w:pPr>
        <w:pStyle w:val="Funote"/>
        <w:rPr/>
      </w:pPr>
      <w:r>
        <w:rPr>
          <w:rStyle w:val="Funotenzeichen"/>
        </w:rPr>
        <w:footnoteRef/>
      </w:r>
      <w:r>
        <w:rPr/>
        <w:tab/>
        <w:t>Das Wort für „Diener“ meint vor allem „junges männliches Kind“ oder „Knabe“, weshalb auch ergänzend „seine zwei [jungen] Diener“ übersetzt werden könnte. Eine andere Übersetzung der Satzkonstruktion lautet: „und zwei seiner Diener mit ihm.“</w:t>
      </w:r>
    </w:p>
  </w:footnote>
  <w:footnote w:id="836">
    <w:p>
      <w:pPr>
        <w:pStyle w:val="Funote"/>
        <w:rPr/>
      </w:pPr>
      <w:r>
        <w:rPr>
          <w:rStyle w:val="Funotenzeichen"/>
        </w:rPr>
        <w:footnoteRef/>
      </w:r>
      <w:r>
        <w:rPr/>
        <w:tab/>
        <w:t xml:space="preserve">Nif'al Part. Sg. von </w:t>
      </w:r>
      <w:r>
        <w:rPr>
          <w:rtl w:val="true"/>
          <w:lang w:bidi="he-IL"/>
        </w:rPr>
        <w:t>נצב</w:t>
      </w:r>
      <w:r>
        <w:rPr/>
        <w:t>.</w:t>
      </w:r>
    </w:p>
  </w:footnote>
  <w:footnote w:id="837">
    <w:p>
      <w:pPr>
        <w:pStyle w:val="Funote"/>
        <w:rPr/>
      </w:pPr>
      <w:r>
        <w:rPr>
          <w:rStyle w:val="Funotenzeichen"/>
        </w:rPr>
        <w:footnoteRef/>
      </w:r>
      <w:r>
        <w:rPr/>
        <w:tab/>
        <w:t xml:space="preserve">Kal Part. Sg. passiv fem. von </w:t>
      </w:r>
      <w:r>
        <w:rPr>
          <w:rtl w:val="true"/>
          <w:lang w:bidi="he-IL"/>
        </w:rPr>
        <w:t>שׁלף</w:t>
      </w:r>
      <w:r>
        <w:rPr/>
        <w:t>. Eine andere Übersetzungsmöglichkeit ist: „und sein gezücktes Schwert“.</w:t>
      </w:r>
    </w:p>
  </w:footnote>
  <w:footnote w:id="838">
    <w:p>
      <w:pPr>
        <w:pStyle w:val="Funote"/>
        <w:rPr/>
      </w:pPr>
      <w:r>
        <w:rPr>
          <w:rStyle w:val="Funotenzeichen"/>
        </w:rPr>
        <w:footnoteRef/>
      </w:r>
      <w:r>
        <w:rPr/>
        <w:tab/>
        <w:t xml:space="preserve">Apokopierter Kal Impf. Cons. von </w:t>
      </w:r>
      <w:r>
        <w:rPr>
          <w:rtl w:val="true"/>
          <w:lang w:bidi="he-IL"/>
        </w:rPr>
        <w:t>נטה</w:t>
      </w:r>
      <w:r>
        <w:rPr/>
        <w:t>.</w:t>
      </w:r>
    </w:p>
  </w:footnote>
  <w:footnote w:id="839">
    <w:p>
      <w:pPr>
        <w:pStyle w:val="Funote"/>
        <w:rPr/>
      </w:pPr>
      <w:r>
        <w:rPr>
          <w:rStyle w:val="Funotenzeichen"/>
        </w:rPr>
        <w:footnoteRef/>
      </w:r>
      <w:r>
        <w:rPr/>
        <w:tab/>
        <w:t xml:space="preserve">Hif'il Impf. Cons. von </w:t>
      </w:r>
      <w:r>
        <w:rPr>
          <w:rtl w:val="true"/>
          <w:lang w:bidi="he-IL"/>
        </w:rPr>
        <w:t>נכה</w:t>
      </w:r>
      <w:r>
        <w:rPr/>
        <w:t>.</w:t>
      </w:r>
    </w:p>
  </w:footnote>
  <w:footnote w:id="840">
    <w:p>
      <w:pPr>
        <w:pStyle w:val="Funote"/>
        <w:rPr/>
      </w:pPr>
      <w:r>
        <w:rPr>
          <w:rStyle w:val="Funotenzeichen"/>
        </w:rPr>
        <w:footnoteRef/>
      </w:r>
      <w:r>
        <w:rPr/>
        <w:tab/>
        <w:t xml:space="preserve">Hif'il Inf. Sg. mit Suff. von </w:t>
      </w:r>
      <w:r>
        <w:rPr>
          <w:rtl w:val="true"/>
          <w:lang w:bidi="he-IL"/>
        </w:rPr>
        <w:t>נטה</w:t>
      </w:r>
      <w:r>
        <w:rPr/>
        <w:t>.</w:t>
      </w:r>
    </w:p>
  </w:footnote>
  <w:footnote w:id="841">
    <w:p>
      <w:pPr>
        <w:pStyle w:val="Funote"/>
        <w:rPr/>
      </w:pPr>
      <w:r>
        <w:rPr>
          <w:rStyle w:val="Funotenzeichen"/>
        </w:rPr>
        <w:footnoteRef/>
      </w:r>
      <w:r>
        <w:rPr/>
        <w:tab/>
        <w:t xml:space="preserve">Die Richtungsangabe wird durch ein </w:t>
      </w:r>
      <w:r>
        <w:rPr>
          <w:rtl w:val="true"/>
          <w:lang w:bidi="he-IL"/>
        </w:rPr>
        <w:t>ה</w:t>
      </w:r>
      <w:r>
        <w:rPr/>
        <w:t>-</w:t>
      </w:r>
      <w:r>
        <w:rPr>
          <w:i/>
        </w:rPr>
        <w:t>locale</w:t>
      </w:r>
      <w:r>
        <w:rPr/>
        <w:t xml:space="preserve"> ausgedrückt.</w:t>
      </w:r>
    </w:p>
  </w:footnote>
  <w:footnote w:id="842">
    <w:p>
      <w:pPr>
        <w:pStyle w:val="Funote"/>
        <w:rPr/>
      </w:pPr>
      <w:r>
        <w:rPr>
          <w:rStyle w:val="Funotenzeichen"/>
        </w:rPr>
        <w:footnoteRef/>
      </w:r>
      <w:r>
        <w:rPr/>
        <w:tab/>
        <w:t xml:space="preserve">Pi'el Impf. Cons. von </w:t>
      </w:r>
      <w:r>
        <w:rPr>
          <w:rtl w:val="true"/>
          <w:lang w:bidi="he-IL"/>
        </w:rPr>
        <w:t>גלה</w:t>
      </w:r>
      <w:r>
        <w:rPr/>
        <w:t>.</w:t>
      </w:r>
    </w:p>
  </w:footnote>
  <w:footnote w:id="843">
    <w:p>
      <w:pPr>
        <w:pStyle w:val="Funote"/>
        <w:rPr/>
      </w:pPr>
      <w:r>
        <w:rPr>
          <w:rStyle w:val="Funotenzeichen"/>
        </w:rPr>
        <w:footnoteRef/>
      </w:r>
      <w:r>
        <w:rPr/>
        <w:tab/>
        <w:t xml:space="preserve">Nif'al Part. Sg. von </w:t>
      </w:r>
      <w:r>
        <w:rPr>
          <w:rtl w:val="true"/>
          <w:lang w:bidi="he-IL"/>
        </w:rPr>
        <w:t>נצב</w:t>
      </w:r>
      <w:r>
        <w:rPr/>
        <w:t>.</w:t>
      </w:r>
    </w:p>
  </w:footnote>
  <w:footnote w:id="844">
    <w:p>
      <w:pPr>
        <w:pStyle w:val="Funote"/>
        <w:rPr/>
      </w:pPr>
      <w:r>
        <w:rPr>
          <w:rStyle w:val="Funotenzeichen"/>
        </w:rPr>
        <w:footnoteRef/>
      </w:r>
      <w:r>
        <w:rPr/>
        <w:tab/>
        <w:t xml:space="preserve">Kal Part. Sg. passiv fem. von </w:t>
      </w:r>
      <w:r>
        <w:rPr>
          <w:rtl w:val="true"/>
          <w:lang w:bidi="he-IL"/>
        </w:rPr>
        <w:t>שׁלף</w:t>
      </w:r>
      <w:r>
        <w:rPr/>
        <w:t>. Eine andere Übersetzungsmöglichkeit ist: „und sein gezücktes Schwert“.</w:t>
      </w:r>
    </w:p>
  </w:footnote>
  <w:footnote w:id="845">
    <w:p>
      <w:pPr>
        <w:pStyle w:val="Funote"/>
        <w:rPr/>
      </w:pPr>
      <w:r>
        <w:rPr>
          <w:rStyle w:val="Funotenzeichen"/>
        </w:rPr>
        <w:footnoteRef/>
      </w:r>
      <w:r>
        <w:rPr/>
        <w:tab/>
        <w:t xml:space="preserve">Kal Impf. Cons. von </w:t>
      </w:r>
      <w:r>
        <w:rPr>
          <w:rtl w:val="true"/>
          <w:lang w:bidi="he-IL"/>
        </w:rPr>
        <w:t>קדד</w:t>
      </w:r>
      <w:r>
        <w:rPr/>
        <w:t>.</w:t>
      </w:r>
    </w:p>
  </w:footnote>
  <w:footnote w:id="846">
    <w:p>
      <w:pPr>
        <w:pStyle w:val="Funote"/>
        <w:rPr/>
      </w:pPr>
      <w:r>
        <w:rPr>
          <w:rStyle w:val="Funotenzeichen"/>
        </w:rPr>
        <w:footnoteRef/>
      </w:r>
      <w:r>
        <w:rPr/>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w:t>
      </w:r>
      <w:r>
        <w:rPr>
          <w:position w:val="7"/>
          <w:sz w:val="16"/>
        </w:rPr>
        <w:t>17</w:t>
      </w:r>
      <w:r>
        <w:rPr/>
        <w:t>, S. 817, handelt es sich nicht um eine Pluralform, sondern um den Singular; vgl. Grethler, Hebräische Grammatik, 1962</w:t>
      </w:r>
      <w:r>
        <w:rPr>
          <w:position w:val="7"/>
          <w:sz w:val="16"/>
        </w:rPr>
        <w:t>3</w:t>
      </w:r>
      <w:r>
        <w:rPr/>
        <w:t>, S. 145.</w:t>
      </w:r>
    </w:p>
  </w:footnote>
  <w:footnote w:id="847">
    <w:p>
      <w:pPr>
        <w:pStyle w:val="Funote"/>
        <w:rPr/>
      </w:pPr>
      <w:r>
        <w:rPr>
          <w:rStyle w:val="Funotenzeichen"/>
        </w:rPr>
        <w:footnoteRef/>
      </w:r>
      <w:r>
        <w:rPr/>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48">
    <w:p>
      <w:pPr>
        <w:pStyle w:val="Funote"/>
        <w:rPr/>
      </w:pPr>
      <w:r>
        <w:rPr>
          <w:rStyle w:val="Funotenzeichen"/>
        </w:rPr>
        <w:footnoteRef/>
      </w:r>
      <w:r>
        <w:rPr/>
        <w:tab/>
        <w:t xml:space="preserve">Hif'il Pf. von </w:t>
      </w:r>
      <w:r>
        <w:rPr>
          <w:rtl w:val="true"/>
          <w:lang w:bidi="he-IL"/>
        </w:rPr>
        <w:t>חיה</w:t>
      </w:r>
      <w:r>
        <w:rPr/>
        <w:t>.</w:t>
      </w:r>
    </w:p>
  </w:footnote>
  <w:footnote w:id="849">
    <w:p>
      <w:pPr>
        <w:pStyle w:val="Funote"/>
        <w:rPr/>
      </w:pPr>
      <w:r>
        <w:rPr>
          <w:rStyle w:val="Funotenzeichen"/>
        </w:rPr>
        <w:footnoteRef/>
      </w:r>
      <w:r>
        <w:rPr/>
        <w:tab/>
        <w:t xml:space="preserve">Das Demonstrativpronom </w:t>
      </w:r>
      <w:r>
        <w:rPr>
          <w:rtl w:val="true"/>
          <w:lang w:bidi="he-IL"/>
        </w:rPr>
        <w:t>זהֶ</w:t>
      </w:r>
      <w:r>
        <w:rPr/>
        <w:t xml:space="preserve"> </w:t>
      </w:r>
      <w:r>
        <w:rPr/>
        <w:t>wird besonders vor Numeralen als temporales Adverb übersetzt; vgl. Gesenius</w:t>
      </w:r>
      <w:r>
        <w:rPr>
          <w:position w:val="7"/>
          <w:sz w:val="16"/>
        </w:rPr>
        <w:t>17</w:t>
      </w:r>
      <w:r>
        <w:rPr/>
        <w:t>, S. 193.</w:t>
      </w:r>
    </w:p>
  </w:footnote>
  <w:footnote w:id="850">
    <w:p>
      <w:pPr>
        <w:pStyle w:val="Funote"/>
        <w:rPr/>
      </w:pPr>
      <w:r>
        <w:rPr>
          <w:rStyle w:val="Funotenzeichen"/>
        </w:rPr>
        <w:footnoteRef/>
      </w:r>
      <w:r>
        <w:rPr/>
        <w:tab/>
        <w:t xml:space="preserve">Kal Pf. von </w:t>
      </w:r>
      <w:r>
        <w:rPr>
          <w:rtl w:val="true"/>
          <w:lang w:bidi="he-IL"/>
        </w:rPr>
        <w:t>ירט</w:t>
      </w:r>
      <w:r>
        <w:rPr/>
        <w:t>.</w:t>
      </w:r>
    </w:p>
  </w:footnote>
  <w:footnote w:id="851">
    <w:p>
      <w:pPr>
        <w:pStyle w:val="Funote"/>
        <w:rPr/>
      </w:pPr>
      <w:r>
        <w:rPr>
          <w:rStyle w:val="Funotenzeichen"/>
        </w:rPr>
        <w:footnoteRef/>
      </w:r>
      <w:r>
        <w:rPr/>
        <w:tab/>
        <w:t>Vgl. Vers 22.</w:t>
      </w:r>
    </w:p>
  </w:footnote>
  <w:footnote w:id="852">
    <w:p>
      <w:pPr>
        <w:pStyle w:val="Funote"/>
        <w:rPr/>
      </w:pPr>
      <w:r>
        <w:rPr>
          <w:rStyle w:val="Funotenzeichen"/>
        </w:rPr>
        <w:footnoteRef/>
      </w:r>
      <w:r>
        <w:rPr/>
        <w:tab/>
        <w:t xml:space="preserve">Kal Pf. von </w:t>
      </w:r>
      <w:r>
        <w:rPr>
          <w:rtl w:val="true"/>
          <w:lang w:bidi="he-IL"/>
        </w:rPr>
        <w:t>ירט</w:t>
      </w:r>
      <w:r>
        <w:rPr/>
        <w:t>.</w:t>
      </w:r>
    </w:p>
  </w:footnote>
  <w:footnote w:id="853">
    <w:p>
      <w:pPr>
        <w:pStyle w:val="Funote"/>
        <w:rPr/>
      </w:pPr>
      <w:r>
        <w:rPr>
          <w:rStyle w:val="Funotenzeichen"/>
        </w:rPr>
        <w:footnoteRef/>
      </w:r>
      <w:r>
        <w:rPr/>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54">
    <w:p>
      <w:pPr>
        <w:pStyle w:val="Funote"/>
        <w:rPr/>
      </w:pPr>
      <w:r>
        <w:rPr>
          <w:rStyle w:val="Funotenzeichen"/>
        </w:rPr>
        <w:footnoteRef/>
      </w:r>
      <w:r>
        <w:rPr/>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w:t>
      </w:r>
      <w:r>
        <w:rPr>
          <w:position w:val="7"/>
          <w:sz w:val="16"/>
        </w:rPr>
        <w:t>17</w:t>
      </w:r>
      <w:r>
        <w:rPr/>
        <w:t>, S. 16.</w:t>
      </w:r>
    </w:p>
  </w:footnote>
  <w:footnote w:id="855">
    <w:p>
      <w:pPr>
        <w:pStyle w:val="Funote"/>
        <w:rPr/>
      </w:pPr>
      <w:r>
        <w:rPr>
          <w:rStyle w:val="Funotenzeichen"/>
        </w:rPr>
        <w:footnoteRef/>
      </w:r>
      <w:r>
        <w:rPr>
          <w:i/>
        </w:rPr>
        <w:tab/>
        <w:t>Nota accusativa</w:t>
      </w:r>
      <w:r>
        <w:rPr/>
        <w:t xml:space="preserve"> mit Suff.</w:t>
      </w:r>
    </w:p>
  </w:footnote>
  <w:footnote w:id="856">
    <w:p>
      <w:pPr>
        <w:pStyle w:val="Funote"/>
        <w:rPr/>
      </w:pPr>
      <w:r>
        <w:rPr>
          <w:rStyle w:val="Funotenzeichen"/>
        </w:rPr>
        <w:footnoteRef/>
      </w:r>
      <w:r>
        <w:rPr/>
        <w:tab/>
        <w:t xml:space="preserve">Hif'il Pf. von </w:t>
      </w:r>
      <w:r>
        <w:rPr>
          <w:rtl w:val="true"/>
          <w:lang w:bidi="he-IL"/>
        </w:rPr>
        <w:t>חיה</w:t>
      </w:r>
      <w:r>
        <w:rPr/>
        <w:t>.</w:t>
      </w:r>
    </w:p>
  </w:footnote>
  <w:footnote w:id="857">
    <w:p>
      <w:pPr>
        <w:pStyle w:val="Funote"/>
        <w:rPr/>
      </w:pPr>
      <w:r>
        <w:rPr>
          <w:rStyle w:val="Funotenzeichen"/>
        </w:rPr>
        <w:footnoteRef/>
      </w:r>
      <w:r>
        <w:rPr/>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58">
    <w:p>
      <w:pPr>
        <w:pStyle w:val="Funote"/>
        <w:rPr/>
      </w:pPr>
      <w:r>
        <w:rPr>
          <w:rStyle w:val="Funotenzeichen"/>
        </w:rPr>
        <w:footnoteRef/>
      </w:r>
      <w:r>
        <w:rPr/>
        <w:tab/>
        <w:t>JHWH</w:t>
      </w:r>
    </w:p>
  </w:footnote>
  <w:footnote w:id="859">
    <w:p>
      <w:pPr>
        <w:pStyle w:val="Funote"/>
        <w:rPr/>
      </w:pPr>
      <w:r>
        <w:rPr>
          <w:rStyle w:val="Funotenzeichen"/>
        </w:rPr>
        <w:footnoteRef/>
      </w:r>
      <w:r>
        <w:rPr/>
        <w:tab/>
        <w:t>Part. Qal.</w:t>
      </w:r>
    </w:p>
  </w:footnote>
  <w:footnote w:id="860">
    <w:p>
      <w:pPr>
        <w:pStyle w:val="Funote"/>
        <w:rPr/>
      </w:pPr>
      <w:r>
        <w:rPr>
          <w:rStyle w:val="Funotenzeichen"/>
        </w:rPr>
        <w:footnoteRef/>
      </w:r>
      <w:r>
        <w:rPr/>
        <w:tab/>
        <w:t>Perf. cons./Waw-Consecutivum.</w:t>
      </w:r>
    </w:p>
  </w:footnote>
  <w:footnote w:id="861">
    <w:p>
      <w:pPr>
        <w:pStyle w:val="Funote"/>
        <w:rPr/>
      </w:pPr>
      <w:r>
        <w:rPr>
          <w:rStyle w:val="Funotenzeichen"/>
        </w:rPr>
        <w:footnoteRef/>
      </w:r>
      <w:r>
        <w:rPr/>
        <w:tab/>
        <w:t>Hier beginnt die wörtliche Rede, die in V4 eingeleitet wurde.</w:t>
      </w:r>
    </w:p>
  </w:footnote>
  <w:footnote w:id="862">
    <w:p>
      <w:pPr>
        <w:pStyle w:val="Funote"/>
        <w:rPr/>
      </w:pPr>
      <w:r>
        <w:rPr>
          <w:rStyle w:val="Funotenzeichen"/>
        </w:rPr>
        <w:footnoteRef/>
      </w:r>
      <w:r>
        <w:rPr/>
        <w:tab/>
        <w:t>Wörtlich: „Zu meinem Angesicht (Person) hinzu“.</w:t>
      </w:r>
    </w:p>
  </w:footnote>
  <w:footnote w:id="863">
    <w:p>
      <w:pPr>
        <w:pStyle w:val="Funote"/>
        <w:rPr/>
      </w:pPr>
      <w:r>
        <w:rPr>
          <w:rStyle w:val="Funotenzeichen"/>
        </w:rPr>
        <w:footnoteRef/>
      </w:r>
      <w:r>
        <w:rPr/>
        <w:tab/>
        <w:t>Wörtlich: „für dich“.</w:t>
      </w:r>
    </w:p>
  </w:footnote>
  <w:footnote w:id="864">
    <w:p>
      <w:pPr>
        <w:pStyle w:val="Funote"/>
        <w:rPr/>
      </w:pPr>
      <w:r>
        <w:rPr>
          <w:rStyle w:val="Funotenzeichen"/>
        </w:rPr>
        <w:footnoteRef/>
      </w:r>
      <w:r>
        <w:rPr/>
        <w:tab/>
        <w:t>Oder: „auf … hin“.</w:t>
      </w:r>
    </w:p>
  </w:footnote>
  <w:footnote w:id="865">
    <w:p>
      <w:pPr>
        <w:pStyle w:val="Funote"/>
        <w:rPr/>
      </w:pPr>
      <w:r>
        <w:rPr>
          <w:rStyle w:val="Funotenzeichen"/>
        </w:rPr>
        <w:footnoteRef/>
      </w:r>
      <w:r>
        <w:rPr/>
        <w:tab/>
        <w:t>Inf. abs. Qal.</w:t>
      </w:r>
    </w:p>
  </w:footnote>
  <w:footnote w:id="866">
    <w:p>
      <w:pPr>
        <w:pStyle w:val="Funote"/>
        <w:rPr/>
      </w:pPr>
      <w:r>
        <w:rPr>
          <w:rStyle w:val="Funotenzeichen"/>
        </w:rPr>
        <w:footnoteRef/>
      </w:r>
      <w:r>
        <w:rPr/>
        <w:tab/>
        <w:t xml:space="preserve">Wörtlich: „…, </w:t>
      </w:r>
      <w:r>
        <w:rPr>
          <w:i/>
        </w:rPr>
        <w:t>um</w:t>
      </w:r>
      <w:r>
        <w:rPr/>
        <w:t xml:space="preserve"> ruhen dein Sklave und deine Sklavin wie du </w:t>
      </w:r>
      <w:r>
        <w:rPr>
          <w:i/>
        </w:rPr>
        <w:t>willen</w:t>
      </w:r>
      <w:r>
        <w:rPr/>
        <w:t>.“</w:t>
      </w:r>
    </w:p>
  </w:footnote>
  <w:footnote w:id="867">
    <w:p>
      <w:pPr>
        <w:pStyle w:val="Funote"/>
        <w:rPr/>
      </w:pPr>
      <w:r>
        <w:rPr>
          <w:rStyle w:val="Funotenzeichen"/>
        </w:rPr>
        <w:footnoteRef/>
      </w:r>
      <w:r>
        <w:rPr/>
        <w:tab/>
        <w:t>Nota bene: dies ist der erste Imperativ (Piel-Form) in den „Zehn Geboten“.</w:t>
      </w:r>
    </w:p>
  </w:footnote>
  <w:footnote w:id="868">
    <w:p>
      <w:pPr>
        <w:pStyle w:val="Funote"/>
        <w:rPr/>
      </w:pPr>
      <w:r>
        <w:rPr>
          <w:rStyle w:val="Funotenzeichen"/>
        </w:rPr>
        <w:footnoteRef/>
      </w:r>
      <w:r>
        <w:rPr/>
        <w:tab/>
        <w:t>Wörtlich: „Nicht antwortest du deinem Nächsten falsches (lügenhaftes) Zeugnis.“</w:t>
      </w:r>
    </w:p>
  </w:footnote>
  <w:footnote w:id="869">
    <w:p>
      <w:pPr>
        <w:pStyle w:val="Funote"/>
        <w:rPr/>
      </w:pPr>
      <w:r>
        <w:rPr>
          <w:rStyle w:val="Funotenzeichen"/>
        </w:rPr>
        <w:footnoteRef/>
      </w:r>
      <w:r>
        <w:rPr/>
        <w:tab/>
        <w:t>Hier steht im Hebräischen ein anderes Verb als am Satzanfang.</w:t>
      </w:r>
    </w:p>
  </w:footnote>
  <w:footnote w:id="870">
    <w:p>
      <w:pPr>
        <w:pStyle w:val="Funote"/>
        <w:rPr/>
      </w:pPr>
      <w:r>
        <w:rPr>
          <w:rStyle w:val="Funotenzeichen"/>
        </w:rPr>
        <w:footnoteRef/>
      </w:r>
      <w:r>
        <w:rPr/>
        <w:tab/>
        <w:t>Ipf.</w:t>
      </w:r>
    </w:p>
  </w:footnote>
  <w:footnote w:id="871">
    <w:p>
      <w:pPr>
        <w:pStyle w:val="Funote"/>
        <w:rPr/>
      </w:pPr>
      <w:r>
        <w:rPr>
          <w:rStyle w:val="Funotenzeichen"/>
        </w:rPr>
        <w:footnoteRef/>
      </w:r>
      <w:r>
        <w:rPr/>
        <w:tab/>
        <w:t xml:space="preserve">Modales </w:t>
      </w:r>
      <w:r>
        <w:rPr>
          <w:rtl w:val="true"/>
          <w:lang w:bidi="he-IL"/>
        </w:rPr>
        <w:t>לְ</w:t>
      </w:r>
      <w:r>
        <w:rPr/>
        <w:t xml:space="preserve"> </w:t>
      </w:r>
      <w:r>
        <w:rPr/>
        <w:t>(LBBH, s. EU, ESV).</w:t>
      </w:r>
    </w:p>
  </w:footnote>
  <w:footnote w:id="872">
    <w:p>
      <w:pPr>
        <w:pStyle w:val="Funote"/>
        <w:rPr/>
      </w:pPr>
      <w:r>
        <w:rPr>
          <w:rStyle w:val="Funotenzeichen"/>
        </w:rPr>
        <w:footnoteRef/>
      </w:r>
      <w:r>
        <w:rPr/>
        <w:tab/>
        <w:t xml:space="preserve">Zur Verdeutlichung der Unmittelbarkeit ergänzt, die durch das Partizip ausgedrückt wird (vgl. V. 6). </w:t>
      </w:r>
    </w:p>
  </w:footnote>
  <w:footnote w:id="873">
    <w:p>
      <w:pPr>
        <w:pStyle w:val="Funote"/>
        <w:rPr/>
      </w:pPr>
      <w:r>
        <w:rPr>
          <w:rStyle w:val="Funotenzeichen"/>
        </w:rPr>
        <w:footnoteRef/>
      </w:r>
      <w:r>
        <w:rPr/>
        <w:tab/>
        <w:t xml:space="preserve">Wie am Versanfang hier Anschluss an V. 1: Das Volk soll Gottes Gebote befolgen, damit die Versprechen in V. 2 eintreffen können. </w:t>
      </w:r>
    </w:p>
  </w:footnote>
  <w:footnote w:id="874">
    <w:p>
      <w:pPr>
        <w:pStyle w:val="Funote"/>
        <w:rPr/>
      </w:pPr>
      <w:r>
        <w:rPr>
          <w:rStyle w:val="Funotenzeichen"/>
        </w:rPr>
        <w:footnoteRef/>
      </w:r>
      <w:r>
        <w:rPr/>
        <w:tab/>
        <w:t>Ipf.</w:t>
      </w:r>
    </w:p>
  </w:footnote>
  <w:footnote w:id="875">
    <w:p>
      <w:pPr>
        <w:pStyle w:val="Funote"/>
        <w:rPr/>
      </w:pPr>
      <w:r>
        <w:rPr>
          <w:rStyle w:val="Funotenzeichen"/>
        </w:rPr>
        <w:footnoteRef/>
      </w:r>
      <w:r>
        <w:rPr/>
        <w:tab/>
        <w:t>Jeweils modales Pf. cons. Oder: „Nun/deshalb sollst du hören und darauf achten...“</w:t>
      </w:r>
    </w:p>
  </w:footnote>
  <w:footnote w:id="876">
    <w:p>
      <w:pPr>
        <w:pStyle w:val="Funote"/>
        <w:rPr/>
      </w:pPr>
      <w:r>
        <w:rPr>
          <w:rStyle w:val="Funotenzeichen"/>
        </w:rPr>
        <w:footnoteRef/>
      </w:r>
      <w:r>
        <w:rPr/>
        <w:tab/>
        <w:t>Ipf.</w:t>
      </w:r>
    </w:p>
  </w:footnote>
  <w:footnote w:id="877">
    <w:p>
      <w:pPr>
        <w:pStyle w:val="Funote"/>
        <w:rPr/>
      </w:pPr>
      <w:r>
        <w:rPr>
          <w:rStyle w:val="Funotenzeichen"/>
        </w:rPr>
        <w:footnoteRef/>
      </w:r>
      <w:r>
        <w:rPr/>
        <w:tab/>
        <w:t>Oder: „denn JHWH … hat dir ein Land versprochen...“ (so etwa HCSB).</w:t>
      </w:r>
    </w:p>
  </w:footnote>
  <w:footnote w:id="878">
    <w:p>
      <w:pPr>
        <w:pStyle w:val="Funote"/>
        <w:rPr/>
      </w:pPr>
      <w:r>
        <w:rPr>
          <w:rStyle w:val="Funotenzeichen"/>
        </w:rPr>
        <w:footnoteRef/>
      </w:r>
      <w:r>
        <w:rPr/>
        <w:tab/>
        <w:t>Oder, etwas freier: „in dem Milch und Honig fließen.“</w:t>
      </w:r>
    </w:p>
  </w:footnote>
  <w:footnote w:id="879">
    <w:p>
      <w:pPr>
        <w:pStyle w:val="Funote"/>
        <w:rPr/>
      </w:pPr>
      <w:r>
        <w:rPr>
          <w:rStyle w:val="Funotenzeichen"/>
        </w:rPr>
        <w:footnoteRef/>
      </w:r>
      <w:r>
        <w:rPr/>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80">
    <w:p>
      <w:pPr>
        <w:pStyle w:val="Funote"/>
        <w:rPr/>
      </w:pPr>
      <w:r>
        <w:rPr>
          <w:rStyle w:val="Funotenzeichen"/>
        </w:rPr>
        <w:footnoteRef/>
      </w:r>
      <w:r>
        <w:rPr/>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81">
    <w:p>
      <w:pPr>
        <w:pStyle w:val="Funote"/>
        <w:rPr/>
      </w:pPr>
      <w:r>
        <w:rPr>
          <w:rStyle w:val="Funotenzeichen"/>
        </w:rPr>
        <w:footnoteRef/>
      </w:r>
      <w:r>
        <w:rPr/>
        <w:tab/>
        <w:t>Perf. cons.</w:t>
      </w:r>
    </w:p>
  </w:footnote>
  <w:footnote w:id="882">
    <w:p>
      <w:pPr>
        <w:pStyle w:val="Funote"/>
        <w:rPr/>
      </w:pPr>
      <w:r>
        <w:rPr>
          <w:rStyle w:val="Funotenzeichen"/>
        </w:rPr>
        <w:footnoteRef/>
      </w:r>
      <w:r>
        <w:rPr/>
        <w:tab/>
        <w:t>Modales Pf. cons.</w:t>
      </w:r>
    </w:p>
  </w:footnote>
  <w:footnote w:id="883">
    <w:p>
      <w:pPr>
        <w:pStyle w:val="Funote"/>
        <w:rPr/>
      </w:pPr>
      <w:r>
        <w:rPr>
          <w:rStyle w:val="Funotenzeichen"/>
        </w:rPr>
        <w:footnoteRef/>
      </w:r>
      <w:r>
        <w:rPr/>
        <w:tab/>
        <w:t>Modales Pf. cons.</w:t>
      </w:r>
    </w:p>
  </w:footnote>
  <w:footnote w:id="884">
    <w:p>
      <w:pPr>
        <w:pStyle w:val="Funote"/>
        <w:rPr/>
      </w:pPr>
      <w:r>
        <w:rPr>
          <w:rStyle w:val="Funotenzeichen"/>
        </w:rPr>
        <w:footnoteRef/>
      </w:r>
      <w:r>
        <w:rPr/>
        <w:tab/>
        <w:t xml:space="preserve">Vielleicht als „Erinnerungsbänder“, „Merkbänder“ oder „Symbolbänder“ zu verstehen. </w:t>
      </w:r>
    </w:p>
  </w:footnote>
  <w:footnote w:id="885">
    <w:p>
      <w:pPr>
        <w:pStyle w:val="Funote"/>
        <w:rPr/>
      </w:pPr>
      <w:r>
        <w:rPr>
          <w:rStyle w:val="Funotenzeichen"/>
        </w:rPr>
        <w:footnoteRef/>
      </w:r>
      <w:r>
        <w:rPr/>
        <w:tab/>
        <w:t>D.h. „auf der Stirn“.</w:t>
      </w:r>
    </w:p>
  </w:footnote>
  <w:footnote w:id="886">
    <w:p>
      <w:pPr>
        <w:pStyle w:val="Funote"/>
        <w:rPr/>
      </w:pPr>
      <w:r>
        <w:rPr>
          <w:rStyle w:val="Funotenzeichen"/>
        </w:rPr>
        <w:footnoteRef/>
      </w:r>
      <w:r>
        <w:rPr/>
        <w:tab/>
        <w:t>Modales Pf. cons.</w:t>
      </w:r>
    </w:p>
  </w:footnote>
  <w:footnote w:id="887">
    <w:p>
      <w:pPr>
        <w:pStyle w:val="Funote"/>
        <w:rPr/>
      </w:pPr>
      <w:r>
        <w:rPr>
          <w:rStyle w:val="Funotenzeichen"/>
        </w:rPr>
        <w:footnoteRef/>
      </w:r>
      <w:r>
        <w:rPr/>
        <w:tab/>
        <w:t>[Status: Ungeprüft]</w:t>
      </w:r>
    </w:p>
  </w:footnote>
  <w:footnote w:id="888">
    <w:p>
      <w:pPr>
        <w:pStyle w:val="Funote"/>
        <w:rPr/>
      </w:pPr>
      <w:r>
        <w:rPr>
          <w:rStyle w:val="Funotenzeichen"/>
        </w:rPr>
        <w:footnoteRef/>
      </w:r>
      <w:r>
        <w:rPr/>
        <w:tab/>
        <w:t>Kann auch wörtlich übersetzt werden: „ob ihr Liebende in Bezug auf JHWH, euren Gott, in eurem ganzen Herzen und in eurer ganzen Seele seid.“</w:t>
      </w:r>
    </w:p>
  </w:footnote>
  <w:footnote w:id="889">
    <w:p>
      <w:pPr>
        <w:pStyle w:val="Funote"/>
        <w:rPr/>
      </w:pPr>
      <w:r>
        <w:rPr>
          <w:rStyle w:val="Funotenzeichen"/>
        </w:rPr>
        <w:footnoteRef/>
      </w:r>
      <w:r>
        <w:rPr/>
        <w:tab/>
        <w:t>Im Orignial Imperfekt/Jussiv mit Inf. abs. (figura ethymologica). Die ist sinngemäß eine starke Aufforderung, die man mit „Du musst/sollst unbedingt …“ oder einem Imperativ wiedergeben kann.</w:t>
      </w:r>
    </w:p>
  </w:footnote>
  <w:footnote w:id="890">
    <w:p>
      <w:pPr>
        <w:pStyle w:val="Funote"/>
        <w:rPr/>
      </w:pPr>
      <w:r>
        <w:rPr>
          <w:rStyle w:val="Funotenzeichen"/>
        </w:rPr>
        <w:footnoteRef/>
      </w:r>
      <w:r>
        <w:rPr/>
        <w:tab/>
        <w:t>Perfect consecutivum. Schließt an die starke Aufforderung in V. 22 an, hat also ebenfalls starken Aufforderungscharakter.</w:t>
      </w:r>
    </w:p>
  </w:footnote>
  <w:footnote w:id="891">
    <w:p>
      <w:pPr>
        <w:pStyle w:val="Funote"/>
        <w:rPr/>
      </w:pPr>
      <w:r>
        <w:rPr>
          <w:rStyle w:val="Funotenzeichen"/>
        </w:rPr>
        <w:footnoteRef/>
      </w:r>
      <w:r>
        <w:rPr/>
        <w:tab/>
        <w:t>Hier vielleicht auch: „weil“ oder „dass“.</w:t>
      </w:r>
    </w:p>
  </w:footnote>
  <w:footnote w:id="892">
    <w:p>
      <w:pPr>
        <w:pStyle w:val="Funote"/>
        <w:rPr/>
      </w:pPr>
      <w:r>
        <w:rPr>
          <w:rStyle w:val="Funotenzeichen"/>
        </w:rPr>
        <w:footnoteRef/>
      </w:r>
      <w:r>
        <w:rPr/>
        <w:tab/>
        <w:t>Gemeint ist der Zehnte.</w:t>
      </w:r>
    </w:p>
  </w:footnote>
  <w:footnote w:id="893">
    <w:p>
      <w:pPr>
        <w:pStyle w:val="Funote"/>
        <w:rPr/>
      </w:pPr>
      <w:r>
        <w:rPr>
          <w:rStyle w:val="Funotenzeichen"/>
        </w:rPr>
        <w:footnoteRef/>
      </w:r>
      <w:r>
        <w:rPr/>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94">
    <w:p>
      <w:pPr>
        <w:pStyle w:val="Funote"/>
        <w:rPr/>
      </w:pPr>
      <w:r>
        <w:rPr>
          <w:rStyle w:val="Funotenzeichen"/>
        </w:rPr>
        <w:footnoteRef/>
      </w:r>
      <w:r>
        <w:rPr/>
        <w:tab/>
        <w:t>D.h. Schafe und Ziegen.</w:t>
      </w:r>
    </w:p>
  </w:footnote>
  <w:footnote w:id="895">
    <w:p>
      <w:pPr>
        <w:pStyle w:val="Funote"/>
        <w:rPr/>
      </w:pPr>
      <w:r>
        <w:rPr>
          <w:rStyle w:val="Funotenzeichen"/>
        </w:rPr>
        <w:footnoteRef/>
      </w:r>
      <w:r>
        <w:rPr/>
        <w:tab/>
        <w:t>Es ist interessant und zu berücksichtigen, dass das Verb für „zerschmettern“ das einzige in diesem Satz ist, das im Perfekt steht.</w:t>
      </w:r>
    </w:p>
  </w:footnote>
  <w:footnote w:id="896">
    <w:p>
      <w:pPr>
        <w:pStyle w:val="Funote"/>
        <w:rPr/>
      </w:pPr>
      <w:r>
        <w:rPr>
          <w:rStyle w:val="Funotenzeichen"/>
        </w:rPr>
        <w:footnoteRef/>
      </w:r>
      <w:r>
        <w:rPr/>
        <w:tab/>
        <w:t>'äbd' ist hier ein Ehrentitel für den „Knecht JHWHs“. Für Josua, den Diener des Mose wird in diesem Vers ein anderes Wort benutzt.</w:t>
      </w:r>
    </w:p>
  </w:footnote>
  <w:footnote w:id="897">
    <w:p>
      <w:pPr>
        <w:pStyle w:val="Funote"/>
        <w:rPr/>
      </w:pPr>
      <w:r>
        <w:rPr>
          <w:rStyle w:val="Funotenzeichen"/>
        </w:rPr>
        <w:footnoteRef/>
      </w:r>
      <w:r>
        <w:rPr/>
        <w:tab/>
        <w:t>Hier steht das Partizip „Dienender“.</w:t>
      </w:r>
    </w:p>
  </w:footnote>
  <w:footnote w:id="898">
    <w:p>
      <w:pPr>
        <w:pStyle w:val="Funote"/>
        <w:rPr/>
      </w:pPr>
      <w:r>
        <w:rPr>
          <w:rStyle w:val="Funotenzeichen"/>
        </w:rPr>
        <w:footnoteRef/>
      </w:r>
      <w:r>
        <w:rPr/>
        <w:tab/>
        <w:t>Hier steht das Partizip, wörtl.: „ich [erg. Hilfsverb, z.B.: war] ein Gebender“</w:t>
      </w:r>
    </w:p>
  </w:footnote>
  <w:footnote w:id="899">
    <w:p>
      <w:pPr>
        <w:pStyle w:val="Funote"/>
        <w:rPr/>
      </w:pPr>
      <w:r>
        <w:rPr>
          <w:rStyle w:val="Funotenzeichen"/>
        </w:rPr>
        <w:footnoteRef/>
      </w:r>
      <w:r>
        <w:rPr/>
        <w:tab/>
        <w:t>'im' ist Präposition „mit, bei“, nicht Konjunktion „ich gehe mit“.</w:t>
      </w:r>
    </w:p>
  </w:footnote>
  <w:footnote w:id="900">
    <w:p>
      <w:pPr>
        <w:pStyle w:val="Funote"/>
        <w:rPr/>
      </w:pPr>
      <w:r>
        <w:rPr>
          <w:rStyle w:val="Funotenzeichen"/>
        </w:rPr>
        <w:footnoteRef/>
      </w:r>
      <w:r>
        <w:rPr/>
        <w:tab/>
        <w:t>Ich konnte im Gesenius und in Fohrer, HAW, keinen Bedeutungsunterschied der Verben, 'rph' (hif.) und 'izb' (q.) finden; sie stehen hier referenzidentisch - vielleicht fällt jemandem ein schönes synonymes Begriffspaar ein?</w:t>
      </w:r>
    </w:p>
  </w:footnote>
  <w:footnote w:id="901">
    <w:p>
      <w:pPr>
        <w:pStyle w:val="Funote"/>
        <w:rPr/>
      </w:pPr>
      <w:r>
        <w:rPr>
          <w:rStyle w:val="Funotenzeichen"/>
        </w:rPr>
        <w:footnoteRef/>
      </w:r>
      <w:r>
        <w:rPr/>
        <w:tab/>
        <w:t>'mimänu' (3.Pers. Pl.) bezieht sich auf die Weisung (Sg.) (es geht bereits um das Torah-Buch, vgl. Vers 8), wahrscheinlich, weil jetzt „die Gebote“ gemeint sind.</w:t>
      </w:r>
    </w:p>
  </w:footnote>
  <w:footnote w:id="902">
    <w:p>
      <w:pPr>
        <w:pStyle w:val="Funote"/>
        <w:rPr/>
      </w:pPr>
      <w:r>
        <w:rPr>
          <w:rStyle w:val="Funotenzeichen"/>
        </w:rPr>
        <w:footnoteRef/>
      </w:r>
      <w:r>
        <w:rPr/>
        <w:tab/>
        <w:t>D.h. „auf allen [Wegen], auf denen du gehen wirst“ = „auf allen deinen Wegen“.</w:t>
      </w:r>
    </w:p>
  </w:footnote>
  <w:footnote w:id="903">
    <w:p>
      <w:pPr>
        <w:pStyle w:val="Funote"/>
        <w:rPr/>
      </w:pPr>
      <w:r>
        <w:rPr>
          <w:rStyle w:val="Funotenzeichen"/>
        </w:rPr>
        <w:footnoteRef/>
      </w:r>
      <w:r>
        <w:rPr/>
        <w:tab/>
        <w:t>D.h. „auf allen [Wegen], auf denen du gehen wirst“ = „auf allen deinen Wegen“.</w:t>
      </w:r>
    </w:p>
  </w:footnote>
  <w:footnote w:id="904">
    <w:p>
      <w:pPr>
        <w:pStyle w:val="Funote"/>
        <w:rPr/>
      </w:pPr>
      <w:r>
        <w:rPr>
          <w:rStyle w:val="Funotenzeichen"/>
        </w:rPr>
        <w:footnoteRef/>
      </w:r>
      <w:r>
        <w:rPr/>
        <w:tab/>
        <w:t>[Status: Zuverlässig]</w:t>
      </w:r>
    </w:p>
  </w:footnote>
  <w:footnote w:id="905">
    <w:p>
      <w:pPr>
        <w:pStyle w:val="Funote"/>
        <w:rPr/>
      </w:pPr>
      <w:r>
        <w:rPr>
          <w:rStyle w:val="Funotenzeichen"/>
        </w:rPr>
        <w:footnoteRef/>
      </w:r>
      <w:r>
        <w:rPr/>
        <w:tab/>
        <w:t xml:space="preserve">Die Bedeutung des Wortes ist nicht ganz sicher, wird aber als wahrscheinlich angegeben. </w:t>
      </w:r>
    </w:p>
  </w:footnote>
  <w:footnote w:id="906">
    <w:p>
      <w:pPr>
        <w:pStyle w:val="Funote"/>
        <w:rPr/>
      </w:pPr>
      <w:r>
        <w:rPr>
          <w:rStyle w:val="Funotenzeichen"/>
        </w:rPr>
        <w:footnoteRef/>
      </w:r>
      <w:r>
        <w:rPr/>
        <w:tab/>
        <w:t xml:space="preserve">Die Partikel „Siehe“ bleibt am besten unübersetzt. Sie drückt hier die Aufregung der Boten aus; der Satz wurde ansatzweise in eine entsprechende Form gebracht, um dies wiederzugeben. </w:t>
      </w:r>
    </w:p>
  </w:footnote>
  <w:footnote w:id="907">
    <w:p>
      <w:pPr>
        <w:pStyle w:val="Funote"/>
        <w:rPr/>
      </w:pPr>
      <w:r>
        <w:rPr>
          <w:rStyle w:val="Funotenzeichen"/>
        </w:rPr>
        <w:footnoteRef/>
      </w:r>
      <w:r>
        <w:rPr/>
        <w:tab/>
        <w:t xml:space="preserve">Möglich auch: „Befehl“, „Nachricht“, „Boten“, „Wachleute“, etc. Die Abgesandten waren aber wohl Polizisten oder Soldaten, wie aus den folgenden Versen klar wird. </w:t>
      </w:r>
    </w:p>
  </w:footnote>
  <w:footnote w:id="908">
    <w:p>
      <w:pPr>
        <w:pStyle w:val="Funote"/>
        <w:rPr/>
      </w:pPr>
      <w:r>
        <w:rPr>
          <w:rStyle w:val="Funotenzeichen"/>
        </w:rPr>
        <w:footnoteRef/>
      </w:r>
      <w:r>
        <w:rPr/>
        <w:tab/>
        <w:t>Im Hebräischen gibt es kein Plusquamperfekt. Der Kontext legt hier jedoch dringend nahe, dass das Geschilderte vorher geschah und entsprechend zu übersetzen ist.</w:t>
      </w:r>
    </w:p>
  </w:footnote>
  <w:footnote w:id="909">
    <w:p>
      <w:pPr>
        <w:pStyle w:val="Funote"/>
        <w:rPr/>
      </w:pPr>
      <w:r>
        <w:rPr>
          <w:rStyle w:val="Funotenzeichen"/>
        </w:rPr>
        <w:footnoteRef/>
      </w:r>
      <w:r>
        <w:rPr/>
        <w:tab/>
        <w:t>S. Erklärung zum Plusquamperfekt V. 4.</w:t>
      </w:r>
    </w:p>
  </w:footnote>
  <w:footnote w:id="910">
    <w:p>
      <w:pPr>
        <w:pStyle w:val="Funote"/>
        <w:rPr/>
      </w:pPr>
      <w:r>
        <w:rPr>
          <w:rStyle w:val="Funotenzeichen"/>
        </w:rPr>
        <w:footnoteRef/>
      </w:r>
      <w:r>
        <w:rPr/>
        <w:tab/>
        <w:t>Wörtlich: „Flachs (pl.) des Holzes“.</w:t>
      </w:r>
    </w:p>
  </w:footnote>
  <w:footnote w:id="911">
    <w:p>
      <w:pPr>
        <w:pStyle w:val="Funote"/>
        <w:rPr/>
      </w:pPr>
      <w:r>
        <w:rPr>
          <w:rStyle w:val="Funotenzeichen"/>
        </w:rPr>
        <w:footnoteRef/>
      </w:r>
      <w:r>
        <w:rPr/>
        <w:tab/>
        <w:t>Gesenius meint, es handele sich um Baumwolle – bitte in entsprechenden Werken nachschlagen</w:t>
      </w:r>
    </w:p>
  </w:footnote>
  <w:footnote w:id="912">
    <w:p>
      <w:pPr>
        <w:pStyle w:val="Funote"/>
        <w:rPr/>
      </w:pPr>
      <w:r>
        <w:rPr>
          <w:rStyle w:val="Funotenzeichen"/>
        </w:rPr>
        <w:footnoteRef/>
      </w:r>
      <w:r>
        <w:rPr/>
        <w:tab/>
        <w:t>Aufgelöstes Ptz.</w:t>
      </w:r>
    </w:p>
  </w:footnote>
  <w:footnote w:id="913">
    <w:p>
      <w:pPr>
        <w:pStyle w:val="Funote"/>
        <w:rPr/>
      </w:pPr>
      <w:r>
        <w:rPr>
          <w:rStyle w:val="Funotenzeichen"/>
        </w:rPr>
        <w:footnoteRef/>
      </w:r>
      <w:r>
        <w:rPr/>
        <w:tab/>
        <w:t xml:space="preserve">Offenbar zum Trocknen. V. 6 müsste vielleicht anhand von historischen Erkenntnissen zur Flachsverarbeitung korrigiert werden. Meine Kenntnisse stammen von </w:t>
      </w:r>
      <w:r>
        <w:fldChar w:fldCharType="begin"/>
      </w:r>
      <w:r>
        <w:rPr>
          <w:rStyle w:val="Internetverknpfung"/>
        </w:rPr>
        <w:instrText> HYPERLINK "http://de.wikipedia.org/wiki/Flachsfaser" \l "Gewinnung_der_Fasern"</w:instrText>
      </w:r>
      <w:r>
        <w:rPr>
          <w:rStyle w:val="Internetverknpfung"/>
        </w:rPr>
        <w:fldChar w:fldCharType="separate"/>
      </w:r>
      <w:r>
        <w:rPr>
          <w:rStyle w:val="Internetverknpfung"/>
        </w:rPr>
        <w:t>Wikipedia</w:t>
      </w:r>
      <w:r>
        <w:rPr>
          <w:rStyle w:val="Internetverknpfung"/>
        </w:rPr>
        <w:fldChar w:fldCharType="end"/>
      </w:r>
      <w:r>
        <w:rPr/>
        <w:t xml:space="preserve">, was weder sehr aussagekräftig noch zitierbar ist. </w:t>
      </w:r>
    </w:p>
  </w:footnote>
  <w:footnote w:id="914">
    <w:p>
      <w:pPr>
        <w:pStyle w:val="Funote"/>
        <w:rPr/>
      </w:pPr>
      <w:r>
        <w:rPr>
          <w:rStyle w:val="Funotenzeichen"/>
        </w:rPr>
        <w:footnoteRef/>
      </w:r>
      <w:r>
        <w:rPr/>
        <w:tab/>
        <w:t xml:space="preserve">Satzfolgeunterbrechender Waw-Satz, der hier einen erklärenden Einschub markiert. </w:t>
      </w:r>
    </w:p>
  </w:footnote>
  <w:footnote w:id="915">
    <w:p>
      <w:pPr>
        <w:pStyle w:val="Funote"/>
        <w:rPr/>
      </w:pPr>
      <w:r>
        <w:rPr>
          <w:rStyle w:val="Funotenzeichen"/>
        </w:rPr>
        <w:footnoteRef/>
      </w:r>
      <w:r>
        <w:rPr/>
        <w:tab/>
        <w:t>Kann auch so verstanden werden: „Während sie sie aufs Dach brachte (V. 6), suchten die Männer sie auf der Straße (V. 7)“. Rahab brachte die Männer danach also nachträglich in ein besseres Versteck (vgl. NET Jos 2:7 Fußnote 14).</w:t>
      </w:r>
    </w:p>
  </w:footnote>
  <w:footnote w:id="916">
    <w:p>
      <w:pPr>
        <w:pStyle w:val="Funote"/>
        <w:rPr/>
      </w:pPr>
      <w:r>
        <w:rPr>
          <w:rStyle w:val="Funotenzeichen"/>
        </w:rPr>
        <w:footnoteRef/>
      </w:r>
      <w:r>
        <w:rPr/>
        <w:tab/>
        <w:t xml:space="preserve">Aus der Perspektive der Verfolger geschildert (vgl. NET Jos 2:7 Fußnote 16). </w:t>
      </w:r>
    </w:p>
  </w:footnote>
  <w:footnote w:id="917">
    <w:p>
      <w:pPr>
        <w:pStyle w:val="Funote"/>
        <w:rPr/>
      </w:pPr>
      <w:r>
        <w:rPr>
          <w:rStyle w:val="Funotenzeichen"/>
        </w:rPr>
        <w:footnoteRef/>
      </w:r>
      <w:r>
        <w:rPr/>
        <w:tab/>
        <w:t xml:space="preserve">Beigeordnetes Partizip: Sie verließen die Stadt, „um sie zu verfolgen“ oder „bei der Verfolgung“, oder „diejenigen, die sie verfolgten“. </w:t>
      </w:r>
    </w:p>
  </w:footnote>
  <w:footnote w:id="918">
    <w:p>
      <w:pPr>
        <w:pStyle w:val="Funote"/>
        <w:rPr/>
      </w:pPr>
      <w:r>
        <w:rPr>
          <w:rStyle w:val="Funotenzeichen"/>
        </w:rPr>
        <w:footnoteRef/>
      </w:r>
      <w:r>
        <w:rPr/>
        <w:tab/>
        <w:t xml:space="preserve">Satzfolgeunterbrechender Waw-Satz, der hier einen erklärenden Einschub markiert. </w:t>
      </w:r>
    </w:p>
  </w:footnote>
  <w:footnote w:id="919">
    <w:p>
      <w:pPr>
        <w:pStyle w:val="Funote"/>
        <w:rPr/>
      </w:pPr>
      <w:r>
        <w:rPr>
          <w:rStyle w:val="Funotenzeichen"/>
        </w:rPr>
        <w:footnoteRef/>
      </w:r>
      <w:r>
        <w:rPr/>
        <w:tab/>
        <w:t>Wörtlich: „auf uns gefallen ist“</w:t>
      </w:r>
    </w:p>
  </w:footnote>
  <w:footnote w:id="920">
    <w:p>
      <w:pPr>
        <w:pStyle w:val="Funote"/>
        <w:rPr/>
      </w:pPr>
      <w:r>
        <w:rPr>
          <w:rStyle w:val="Funotenzeichen"/>
        </w:rPr>
        <w:footnoteRef/>
      </w:r>
      <w:r>
        <w:rPr/>
        <w:tab/>
        <w:t xml:space="preserve">Das Wort „schmelzen“ könnte auch „(er)zittern“/„beben“ bedeuten und drückt hier panische Angst aus. Es wurde versucht, eine passende deutsche Übersetzung zu finden. Vgl. TWOT, 1156 </w:t>
      </w:r>
      <w:r>
        <w:rPr>
          <w:rtl w:val="true"/>
          <w:lang w:bidi="he-IL"/>
        </w:rPr>
        <w:t>מוּג</w:t>
      </w:r>
      <w:r>
        <w:rPr/>
        <w:t xml:space="preserve">. </w:t>
      </w:r>
    </w:p>
  </w:footnote>
  <w:footnote w:id="921">
    <w:p>
      <w:pPr>
        <w:pStyle w:val="Funote"/>
        <w:rPr/>
      </w:pPr>
      <w:r>
        <w:rPr>
          <w:rStyle w:val="Funotenzeichen"/>
        </w:rPr>
        <w:footnoteRef/>
      </w:r>
      <w:r>
        <w:rPr/>
        <w:tab/>
        <w:t>Platzhalter für eine fachkundige Erklärung des Bannes.</w:t>
      </w:r>
    </w:p>
  </w:footnote>
  <w:footnote w:id="922">
    <w:p>
      <w:pPr>
        <w:pStyle w:val="Funote"/>
        <w:rPr/>
      </w:pPr>
      <w:r>
        <w:rPr>
          <w:rStyle w:val="Funotenzeichen"/>
        </w:rPr>
        <w:footnoteRef/>
      </w:r>
      <w:r>
        <w:rPr/>
        <w:tab/>
        <w:t>Wörtlich: „einem Mann“</w:t>
      </w:r>
    </w:p>
  </w:footnote>
  <w:footnote w:id="923">
    <w:p>
      <w:pPr>
        <w:pStyle w:val="Funote"/>
        <w:rPr/>
      </w:pPr>
      <w:r>
        <w:rPr>
          <w:rStyle w:val="Funotenzeichen"/>
        </w:rPr>
        <w:footnoteRef/>
      </w:r>
      <w:r>
        <w:rPr/>
        <w:tab/>
        <w:t xml:space="preserve">Alternativ „[selbst wenn wir dafür] sterben“ o.ä. Wörtlich „zu sterben“ – dies kann sich entweder auf die Kundschafter, oder auf Rahab beziehen. </w:t>
      </w:r>
    </w:p>
  </w:footnote>
  <w:footnote w:id="924">
    <w:p>
      <w:pPr>
        <w:pStyle w:val="Funote"/>
        <w:rPr/>
      </w:pPr>
      <w:r>
        <w:rPr>
          <w:rStyle w:val="Funotenzeichen"/>
        </w:rPr>
        <w:footnoteRef/>
      </w:r>
      <w:r>
        <w:rPr/>
        <w:tab/>
        <w:t xml:space="preserve">Alternativ lässt sich der „wenn“-Satz mit dem vorhergehenden Gelübde der Kundschafter verbinden: „Unser Leben für euch..., wenn ihr … nicht meldet“. </w:t>
      </w:r>
    </w:p>
  </w:footnote>
  <w:footnote w:id="925">
    <w:p>
      <w:pPr>
        <w:pStyle w:val="Funote"/>
        <w:rPr/>
      </w:pPr>
      <w:r>
        <w:rPr>
          <w:rStyle w:val="Funotenzeichen"/>
        </w:rPr>
        <w:footnoteRef/>
      </w:r>
      <w:r>
        <w:rPr/>
        <w:tab/>
        <w:t xml:space="preserve">Temporal aufzufassen. Deshalb wurde zur Verdeutlichung „sobald“ gewählt. </w:t>
      </w:r>
    </w:p>
  </w:footnote>
  <w:footnote w:id="926">
    <w:p>
      <w:pPr>
        <w:pStyle w:val="Funote"/>
        <w:rPr/>
      </w:pPr>
      <w:r>
        <w:rPr>
          <w:rStyle w:val="Funotenzeichen"/>
        </w:rPr>
        <w:footnoteRef/>
      </w:r>
      <w:r>
        <w:rPr/>
        <w:tab/>
        <w:t>Gedanklich zu ergänzen: „wenn du nicht folgende Bedingung erfüllst:“ (s. V. 18).</w:t>
      </w:r>
    </w:p>
  </w:footnote>
  <w:footnote w:id="927">
    <w:p>
      <w:pPr>
        <w:pStyle w:val="Funote"/>
        <w:rPr/>
      </w:pPr>
      <w:r>
        <w:rPr>
          <w:rStyle w:val="Funotenzeichen"/>
        </w:rPr>
        <w:footnoteRef/>
      </w:r>
      <w:r>
        <w:rPr/>
        <w:tab/>
        <w:t>„</w:t>
      </w:r>
      <w:r>
        <w:rPr/>
        <w:t>Siehe“ + Ptz. + satzfolgeunterbrechender Satz drückt ein als abgeschlossen betrachtetes Geschehen aus. Alle wichtigen Übersetzungen übersetzen hier „wenn“. Menge übersetzt „Siehe“ als „Wisse wohl:“.</w:t>
      </w:r>
    </w:p>
  </w:footnote>
  <w:footnote w:id="928">
    <w:p>
      <w:pPr>
        <w:pStyle w:val="Funote"/>
        <w:rPr/>
      </w:pPr>
      <w:r>
        <w:rPr>
          <w:rStyle w:val="Funotenzeichen"/>
        </w:rPr>
        <w:footnoteRef/>
      </w:r>
      <w:r>
        <w:rPr/>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29">
    <w:p>
      <w:pPr>
        <w:pStyle w:val="Funote"/>
        <w:rPr/>
      </w:pPr>
      <w:r>
        <w:rPr>
          <w:rStyle w:val="Funotenzeichen"/>
        </w:rPr>
        <w:footnoteRef/>
      </w:r>
      <w:r>
        <w:rPr/>
        <w:tab/>
        <w:t xml:space="preserve">D.h. er wird die Verantwortung dafür tragen. </w:t>
      </w:r>
    </w:p>
  </w:footnote>
  <w:footnote w:id="930">
    <w:p>
      <w:pPr>
        <w:pStyle w:val="Funote"/>
        <w:rPr/>
      </w:pPr>
      <w:r>
        <w:rPr>
          <w:rStyle w:val="Funotenzeichen"/>
        </w:rPr>
        <w:footnoteRef/>
      </w:r>
      <w:r>
        <w:rPr/>
        <w:tab/>
        <w:t>Wörtlich: „...an ihn sein wird“</w:t>
      </w:r>
    </w:p>
  </w:footnote>
  <w:footnote w:id="931">
    <w:p>
      <w:pPr>
        <w:pStyle w:val="Funote"/>
        <w:rPr/>
      </w:pPr>
      <w:r>
        <w:rPr>
          <w:rStyle w:val="Funotenzeichen"/>
        </w:rPr>
        <w:footnoteRef/>
      </w:r>
      <w:r>
        <w:rPr/>
        <w:tab/>
        <w:t>Aufgelöstes bestimmtes Ptz. akt. f. pl.</w:t>
      </w:r>
    </w:p>
  </w:footnote>
  <w:footnote w:id="932">
    <w:p>
      <w:pPr>
        <w:pStyle w:val="Funote"/>
        <w:rPr/>
      </w:pPr>
      <w:r>
        <w:rPr>
          <w:rStyle w:val="Funotenzeichen"/>
        </w:rPr>
        <w:footnoteRef/>
      </w:r>
      <w:r>
        <w:rPr/>
        <w:tab/>
        <w:t xml:space="preserve">S. Erklärung V. 9. </w:t>
      </w:r>
    </w:p>
  </w:footnote>
  <w:footnote w:id="933">
    <w:p>
      <w:pPr>
        <w:pStyle w:val="Funote"/>
        <w:rPr/>
      </w:pPr>
      <w:r>
        <w:rPr>
          <w:rStyle w:val="Funotenzeichen"/>
        </w:rPr>
        <w:footnoteRef/>
      </w:r>
      <w:r>
        <w:rPr/>
        <w:tab/>
        <w:t>[Status: Zuverlässig]</w:t>
      </w:r>
    </w:p>
  </w:footnote>
  <w:footnote w:id="934">
    <w:p>
      <w:pPr>
        <w:pStyle w:val="Funote"/>
        <w:rPr/>
      </w:pPr>
      <w:r>
        <w:rPr>
          <w:rStyle w:val="Funotenzeichen"/>
        </w:rPr>
        <w:footnoteRef/>
      </w:r>
      <w:r>
        <w:rPr/>
        <w:tab/>
        <w:t xml:space="preserve">Eigentlich Singular. </w:t>
      </w:r>
    </w:p>
  </w:footnote>
  <w:footnote w:id="935">
    <w:p>
      <w:pPr>
        <w:pStyle w:val="Funote"/>
        <w:rPr/>
      </w:pPr>
      <w:r>
        <w:rPr>
          <w:rStyle w:val="Funotenzeichen"/>
        </w:rPr>
        <w:footnoteRef/>
      </w:r>
      <w:r>
        <w:rPr/>
        <w:tab/>
        <w:t xml:space="preserve">Durch einen die Satzfolge unterbrechenden Teilsatz markierter, erklärender Einschub – daher die Übersetzung. </w:t>
      </w:r>
    </w:p>
  </w:footnote>
  <w:footnote w:id="936">
    <w:p>
      <w:pPr>
        <w:pStyle w:val="Funote"/>
        <w:rPr/>
      </w:pPr>
      <w:r>
        <w:rPr>
          <w:rStyle w:val="Funotenzeichen"/>
        </w:rPr>
        <w:footnoteRef/>
      </w:r>
      <w:r>
        <w:rPr/>
        <w:tab/>
        <w:t xml:space="preserve">Durch einen die Satzfolge unterbrechenden Teilsatz markierter, erklärender Einschub – daher die Übersetzung. </w:t>
      </w:r>
    </w:p>
  </w:footnote>
  <w:footnote w:id="937">
    <w:p>
      <w:pPr>
        <w:pStyle w:val="Funote"/>
        <w:rPr/>
      </w:pPr>
      <w:r>
        <w:rPr>
          <w:rStyle w:val="Funotenzeichen"/>
        </w:rPr>
        <w:footnoteRef/>
      </w:r>
      <w:r>
        <w:rPr/>
        <w:tab/>
        <w:t>Eigentlich Singular. Alternativ könnte man folgendermaßen übersetzen: „kam Simson mit seinem Vater ...“</w:t>
      </w:r>
    </w:p>
  </w:footnote>
  <w:footnote w:id="938">
    <w:p>
      <w:pPr>
        <w:pStyle w:val="Funote"/>
        <w:rPr/>
      </w:pPr>
      <w:r>
        <w:rPr>
          <w:rStyle w:val="Funotenzeichen"/>
        </w:rPr>
        <w:footnoteRef/>
      </w:r>
      <w:r>
        <w:rPr/>
        <w:tab/>
        <w:t>Wörtlich „Siehe“.</w:t>
      </w:r>
    </w:p>
  </w:footnote>
  <w:footnote w:id="939">
    <w:p>
      <w:pPr>
        <w:pStyle w:val="Funote"/>
        <w:rPr/>
      </w:pPr>
      <w:r>
        <w:rPr>
          <w:rStyle w:val="Funotenzeichen"/>
        </w:rPr>
        <w:footnoteRef/>
      </w:r>
      <w:r>
        <w:rPr/>
        <w:tab/>
        <w:t xml:space="preserve">Offenbar eine typisch hebräische Gattungsbezeichnung. Das erste Wort bezeichnet möglicherweise nicht nur junge Löwen. </w:t>
      </w:r>
    </w:p>
  </w:footnote>
  <w:footnote w:id="940">
    <w:p>
      <w:pPr>
        <w:pStyle w:val="Funote"/>
        <w:rPr/>
      </w:pPr>
      <w:r>
        <w:rPr>
          <w:rStyle w:val="Funotenzeichen"/>
        </w:rPr>
        <w:footnoteRef/>
      </w:r>
      <w:r>
        <w:rPr/>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41">
    <w:p>
      <w:pPr>
        <w:pStyle w:val="Funote"/>
        <w:rPr/>
      </w:pPr>
      <w:r>
        <w:rPr>
          <w:rStyle w:val="Funotenzeichen"/>
        </w:rPr>
        <w:footnoteRef/>
      </w:r>
      <w:r>
        <w:rPr/>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42">
    <w:p>
      <w:pPr>
        <w:pStyle w:val="Funote"/>
        <w:rPr/>
      </w:pPr>
      <w:r>
        <w:rPr>
          <w:rStyle w:val="Funotenzeichen"/>
        </w:rPr>
        <w:footnoteRef/>
      </w:r>
      <w:r>
        <w:rPr/>
        <w:tab/>
        <w:t xml:space="preserve">D.h. Simson den Löwen. </w:t>
      </w:r>
    </w:p>
  </w:footnote>
  <w:footnote w:id="943">
    <w:p>
      <w:pPr>
        <w:pStyle w:val="Funote"/>
        <w:rPr/>
      </w:pPr>
      <w:r>
        <w:rPr>
          <w:rStyle w:val="Funotenzeichen"/>
        </w:rPr>
        <w:footnoteRef/>
      </w:r>
      <w:r>
        <w:rPr/>
        <w:tab/>
        <w:t xml:space="preserve">Wörtlich: „wie zu zerreißen ein Böckchen“. Alternativ „wie [beim] Zerreißen eines Böckchens“ (LBBH). </w:t>
      </w:r>
    </w:p>
  </w:footnote>
  <w:footnote w:id="944">
    <w:p>
      <w:pPr>
        <w:pStyle w:val="Funote"/>
        <w:rPr/>
      </w:pPr>
      <w:r>
        <w:rPr>
          <w:rStyle w:val="Funotenzeichen"/>
        </w:rPr>
        <w:footnoteRef/>
      </w:r>
      <w:r>
        <w:rPr/>
        <w:tab/>
        <w:t xml:space="preserve">Durch einen die Satzfolge unterbrechenden Teilsatz markierter, erklärender Einschub – daher die Übersetzung. </w:t>
      </w:r>
    </w:p>
  </w:footnote>
  <w:footnote w:id="945">
    <w:p>
      <w:pPr>
        <w:pStyle w:val="Funote"/>
        <w:rPr/>
      </w:pPr>
      <w:r>
        <w:rPr>
          <w:rStyle w:val="Funotenzeichen"/>
        </w:rPr>
        <w:footnoteRef/>
      </w:r>
      <w:r>
        <w:rPr/>
        <w:tab/>
        <w:t xml:space="preserve">Wörtlich: „Und siehe“. Diese Wendung wird im Hebräischen häufig verwendet, um direkt Gesehenes oder Geschehendes einzuführen. </w:t>
      </w:r>
    </w:p>
  </w:footnote>
  <w:footnote w:id="946">
    <w:p>
      <w:pPr>
        <w:pStyle w:val="Funote"/>
        <w:rPr/>
      </w:pPr>
      <w:r>
        <w:rPr>
          <w:rStyle w:val="Funotenzeichen"/>
        </w:rPr>
        <w:footnoteRef/>
      </w:r>
      <w:r>
        <w:rPr/>
        <w:tab/>
        <w:t>Wörtlich: „Schwarm/Volk/Gruppe Bienen“</w:t>
      </w:r>
    </w:p>
  </w:footnote>
  <w:footnote w:id="947">
    <w:p>
      <w:pPr>
        <w:pStyle w:val="Funote"/>
        <w:rPr/>
      </w:pPr>
      <w:r>
        <w:rPr>
          <w:rStyle w:val="Funotenzeichen"/>
        </w:rPr>
        <w:footnoteRef/>
      </w:r>
      <w:r>
        <w:rPr/>
        <w:tab/>
        <w:t xml:space="preserve">Idiomatische Phrase. Wörtlich: „Er ging, gehen und essen (beide Inf. abs.)“. Dies drückt typischerweise aus, dass beide zur gleichen Zeit geschehen und kann wie die gewählte Übersetzung verstanden werden. </w:t>
      </w:r>
    </w:p>
  </w:footnote>
  <w:footnote w:id="948">
    <w:p>
      <w:pPr>
        <w:pStyle w:val="Funote"/>
        <w:rPr/>
      </w:pPr>
      <w:r>
        <w:rPr>
          <w:rStyle w:val="Funotenzeichen"/>
        </w:rPr>
        <w:footnoteRef/>
      </w:r>
      <w:r>
        <w:rPr/>
        <w:tab/>
        <w:t xml:space="preserve">Das berühren von Totem verletzte Simsons Gelübde als Nasiräer. S. Ri 13,5; Num 6,6; vgl. NET Ri 14,9 Fußnote 20. Offenbar sah die Familie den Honig als gutes Zeichen, vielleicht betrachtete ihn Simson als Aphrodisiakum (vgl. NET Ri 14,9 Fußnote 19). </w:t>
      </w:r>
    </w:p>
  </w:footnote>
  <w:footnote w:id="949">
    <w:p>
      <w:pPr>
        <w:pStyle w:val="Funote"/>
        <w:rPr/>
      </w:pPr>
      <w:r>
        <w:rPr>
          <w:rStyle w:val="Funotenzeichen"/>
        </w:rPr>
        <w:footnoteRef/>
      </w:r>
      <w:r>
        <w:rPr/>
        <w:tab/>
        <w:t xml:space="preserve">Duratives Imperfekt. Alternativ zur Verdeutlichung „zu machen pflegten“/ „immer so machten“, etc. </w:t>
      </w:r>
    </w:p>
  </w:footnote>
  <w:footnote w:id="950">
    <w:p>
      <w:pPr>
        <w:pStyle w:val="Funote"/>
        <w:rPr/>
      </w:pPr>
      <w:r>
        <w:rPr>
          <w:rStyle w:val="Funotenzeichen"/>
        </w:rPr>
        <w:footnoteRef/>
      </w:r>
      <w:r>
        <w:rPr/>
        <w:tab/>
        <w:t xml:space="preserve">Unpersönlicher Gebrauch (LBBH). </w:t>
      </w:r>
    </w:p>
  </w:footnote>
  <w:footnote w:id="951">
    <w:p>
      <w:pPr>
        <w:pStyle w:val="Funote"/>
        <w:rPr/>
      </w:pPr>
      <w:r>
        <w:rPr>
          <w:rStyle w:val="Funotenzeichen"/>
        </w:rPr>
        <w:footnoteRef/>
      </w:r>
      <w:r>
        <w:rPr/>
        <w:tab/>
        <w:t xml:space="preserve">Der Satz bezieht sich wohl auf die Philister. Der letzte Teilsatz kann sich theoretisch auch auf die erste Gruppe beziehen, semantisch sinnvoller ist allerdings die Gruppe der „Gefährten“. </w:t>
      </w:r>
    </w:p>
  </w:footnote>
  <w:footnote w:id="952">
    <w:p>
      <w:pPr>
        <w:pStyle w:val="Funote"/>
        <w:rPr/>
      </w:pPr>
      <w:r>
        <w:rPr>
          <w:rStyle w:val="Funotenzeichen"/>
        </w:rPr>
        <w:footnoteRef/>
      </w:r>
      <w:r>
        <w:rPr/>
        <w:tab/>
        <w:t>Kohortativ.</w:t>
      </w:r>
    </w:p>
  </w:footnote>
  <w:footnote w:id="953">
    <w:p>
      <w:pPr>
        <w:pStyle w:val="Funote"/>
        <w:rPr/>
      </w:pPr>
      <w:r>
        <w:rPr>
          <w:rStyle w:val="Funotenzeichen"/>
        </w:rPr>
        <w:footnoteRef/>
      </w:r>
      <w:r>
        <w:rPr/>
        <w:tab/>
        <w:t>Wörtlich „sie“, womit das Rätsel gemeint ist.</w:t>
      </w:r>
    </w:p>
  </w:footnote>
  <w:footnote w:id="954">
    <w:p>
      <w:pPr>
        <w:pStyle w:val="Funote"/>
        <w:rPr/>
      </w:pPr>
      <w:r>
        <w:rPr>
          <w:rStyle w:val="Funotenzeichen"/>
        </w:rPr>
        <w:footnoteRef/>
      </w:r>
      <w:r>
        <w:rPr/>
        <w:tab/>
        <w:t>Eingefügt, um die idiomatische Konstruktion mit Inf. Abs. + Ipf.</w:t>
      </w:r>
    </w:p>
  </w:footnote>
  <w:footnote w:id="955">
    <w:p>
      <w:pPr>
        <w:pStyle w:val="Funote"/>
        <w:rPr/>
      </w:pPr>
      <w:r>
        <w:rPr>
          <w:rStyle w:val="Funotenzeichen"/>
        </w:rPr>
        <w:footnoteRef/>
      </w:r>
      <w:r>
        <w:rPr/>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56">
    <w:p>
      <w:pPr>
        <w:pStyle w:val="Funote"/>
        <w:rPr/>
      </w:pPr>
      <w:r>
        <w:rPr>
          <w:rStyle w:val="Funotenzeichen"/>
        </w:rPr>
        <w:footnoteRef/>
      </w:r>
      <w:r>
        <w:rPr/>
        <w:tab/>
        <w:t xml:space="preserve">Ein Kleidungsstück aus Leinen, das offenbar als Untergewand diente und ständig getragen wurde. Vgl. DBL Hebrew 6041 </w:t>
      </w:r>
      <w:r>
        <w:rPr>
          <w:rtl w:val="true"/>
          <w:lang w:bidi="he-IL"/>
        </w:rPr>
        <w:t>סָדִין</w:t>
      </w:r>
      <w:r>
        <w:rPr/>
        <w:t>.</w:t>
      </w:r>
    </w:p>
  </w:footnote>
  <w:footnote w:id="957">
    <w:p>
      <w:pPr>
        <w:pStyle w:val="Funote"/>
        <w:rPr/>
      </w:pPr>
      <w:r>
        <w:rPr>
          <w:rStyle w:val="Funotenzeichen"/>
        </w:rPr>
        <w:footnoteRef/>
      </w:r>
      <w:r>
        <w:rPr/>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58">
    <w:p>
      <w:pPr>
        <w:pStyle w:val="Funote"/>
        <w:rPr/>
      </w:pPr>
      <w:r>
        <w:rPr>
          <w:rStyle w:val="Funotenzeichen"/>
        </w:rPr>
        <w:footnoteRef/>
      </w:r>
      <w:r>
        <w:rPr/>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59">
    <w:p>
      <w:pPr>
        <w:pStyle w:val="Funote"/>
        <w:rPr/>
      </w:pPr>
      <w:r>
        <w:rPr>
          <w:rStyle w:val="Funotenzeichen"/>
        </w:rPr>
        <w:footnoteRef/>
      </w:r>
      <w:r>
        <w:rPr/>
        <w:tab/>
        <w:t>Für Näheres über die Kleider s. V. 12.</w:t>
      </w:r>
    </w:p>
  </w:footnote>
  <w:footnote w:id="960">
    <w:p>
      <w:pPr>
        <w:pStyle w:val="Funote"/>
        <w:rPr/>
      </w:pPr>
      <w:r>
        <w:rPr>
          <w:rStyle w:val="Funotenzeichen"/>
        </w:rPr>
        <w:footnoteRef/>
      </w:r>
      <w:r>
        <w:rPr/>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61">
    <w:p>
      <w:pPr>
        <w:pStyle w:val="Funote"/>
        <w:rPr/>
      </w:pPr>
      <w:r>
        <w:rPr>
          <w:rStyle w:val="Funotenzeichen"/>
        </w:rPr>
        <w:footnoteRef/>
      </w:r>
      <w:r>
        <w:rPr/>
        <w:tab/>
        <w:t>Im MT steht hier „siebten“, in der LXX und anderen Manuskripten „vierten“. Das passt besser zum vorhergehenden Vers und in den Gesamtkontext.</w:t>
      </w:r>
    </w:p>
  </w:footnote>
  <w:footnote w:id="962">
    <w:p>
      <w:pPr>
        <w:pStyle w:val="Funote"/>
        <w:rPr/>
      </w:pPr>
      <w:r>
        <w:rPr>
          <w:rStyle w:val="Funotenzeichen"/>
        </w:rPr>
        <w:footnoteRef/>
      </w:r>
      <w:r>
        <w:rPr/>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63">
    <w:p>
      <w:pPr>
        <w:pStyle w:val="Funote"/>
        <w:rPr/>
      </w:pPr>
      <w:r>
        <w:rPr>
          <w:rStyle w:val="Funotenzeichen"/>
        </w:rPr>
        <w:footnoteRef/>
      </w:r>
      <w:r>
        <w:rPr/>
        <w:tab/>
        <w:t>Ipf.</w:t>
      </w:r>
    </w:p>
  </w:footnote>
  <w:footnote w:id="964">
    <w:p>
      <w:pPr>
        <w:pStyle w:val="Funote"/>
        <w:rPr/>
      </w:pPr>
      <w:r>
        <w:rPr>
          <w:rStyle w:val="Funotenzeichen"/>
        </w:rPr>
        <w:footnoteRef/>
      </w:r>
      <w:r>
        <w:rPr/>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65">
    <w:p>
      <w:pPr>
        <w:pStyle w:val="Funote"/>
        <w:rPr/>
      </w:pPr>
      <w:r>
        <w:rPr>
          <w:rStyle w:val="Funotenzeichen"/>
        </w:rPr>
        <w:footnoteRef/>
      </w:r>
      <w:r>
        <w:rPr/>
        <w:tab/>
        <w:t xml:space="preserve">Das kann so verstanden werden, dass sie sich auf ihn warf oder an seiner Schulter weinte. </w:t>
      </w:r>
    </w:p>
  </w:footnote>
  <w:footnote w:id="966">
    <w:p>
      <w:pPr>
        <w:pStyle w:val="Funote"/>
        <w:rPr/>
      </w:pPr>
      <w:r>
        <w:rPr>
          <w:rStyle w:val="Funotenzeichen"/>
        </w:rPr>
        <w:footnoteRef/>
      </w:r>
      <w:r>
        <w:rPr/>
        <w:tab/>
        <w:t>Das Wort kann auch weniger krass verstanden werden: »Du bist meiner überdrüssig« (LUT), »Du hast eine Abneigung gegen mich« (EU).</w:t>
      </w:r>
    </w:p>
  </w:footnote>
  <w:footnote w:id="967">
    <w:p>
      <w:pPr>
        <w:pStyle w:val="Funote"/>
        <w:rPr/>
      </w:pPr>
      <w:r>
        <w:rPr>
          <w:rStyle w:val="Funotenzeichen"/>
        </w:rPr>
        <w:footnoteRef/>
      </w:r>
      <w:r>
        <w:rPr/>
        <w:tab/>
        <w:t xml:space="preserve">Durch die etwas abgesetzte Fortsetzung wurde versucht, die (einen Gegensatz ausdrückende) Satzfolgeunterbrechung zu berücksichtigen. </w:t>
      </w:r>
    </w:p>
  </w:footnote>
  <w:footnote w:id="968">
    <w:p>
      <w:pPr>
        <w:pStyle w:val="Funote"/>
        <w:rPr/>
      </w:pPr>
      <w:r>
        <w:rPr>
          <w:rStyle w:val="Funotenzeichen"/>
        </w:rPr>
        <w:footnoteRef/>
      </w:r>
      <w:r>
        <w:rPr/>
        <w:tab/>
        <w:t xml:space="preserve">In Wirklichkeit bezieht sich das Verb direkt zurück auf das Rätsel. </w:t>
      </w:r>
    </w:p>
  </w:footnote>
  <w:footnote w:id="969">
    <w:p>
      <w:pPr>
        <w:pStyle w:val="Funote"/>
        <w:rPr/>
      </w:pPr>
      <w:r>
        <w:rPr>
          <w:rStyle w:val="Funotenzeichen"/>
        </w:rPr>
        <w:footnoteRef/>
      </w:r>
      <w:r>
        <w:rPr/>
        <w:tab/>
        <w:t xml:space="preserve">Idiomatische Wiedergabe von „Siehe“. </w:t>
      </w:r>
    </w:p>
  </w:footnote>
  <w:footnote w:id="970">
    <w:p>
      <w:pPr>
        <w:pStyle w:val="Funote"/>
        <w:rPr/>
      </w:pPr>
      <w:r>
        <w:rPr>
          <w:rStyle w:val="Funotenzeichen"/>
        </w:rPr>
        <w:footnoteRef/>
      </w:r>
      <w:r>
        <w:rPr/>
        <w:tab/>
        <w:t xml:space="preserve">Das kann so verstanden werden, dass sie sich auf ihn warf oder an seiner Schulter weinte. </w:t>
      </w:r>
    </w:p>
  </w:footnote>
  <w:footnote w:id="971">
    <w:p>
      <w:pPr>
        <w:pStyle w:val="Funote"/>
        <w:rPr/>
      </w:pPr>
      <w:r>
        <w:rPr>
          <w:rStyle w:val="Funotenzeichen"/>
        </w:rPr>
        <w:footnoteRef/>
      </w:r>
      <w:r>
        <w:rPr/>
        <w:tab/>
        <w:t xml:space="preserve">Wörtlich „[in] denen“ (bezogen auf die Tage). </w:t>
      </w:r>
    </w:p>
  </w:footnote>
  <w:footnote w:id="972">
    <w:p>
      <w:pPr>
        <w:pStyle w:val="Funote"/>
        <w:rPr/>
      </w:pPr>
      <w:r>
        <w:rPr>
          <w:rStyle w:val="Funotenzeichen"/>
        </w:rPr>
        <w:footnoteRef/>
      </w:r>
      <w:r>
        <w:rPr/>
        <w:tab/>
        <w:t xml:space="preserve">Wörtlich: „das Rätsel“. </w:t>
      </w:r>
    </w:p>
  </w:footnote>
  <w:footnote w:id="973">
    <w:p>
      <w:pPr>
        <w:pStyle w:val="Funote"/>
        <w:rPr/>
      </w:pPr>
      <w:r>
        <w:rPr>
          <w:rStyle w:val="Funotenzeichen"/>
        </w:rPr>
        <w:footnoteRef/>
      </w:r>
      <w:r>
        <w:rPr/>
        <w:tab/>
        <w:t xml:space="preserve">Eigentlich Imperfekt, das aber mit dem vorhergehenden Wort Vergangenheitsbedeutung hat. </w:t>
      </w:r>
    </w:p>
  </w:footnote>
  <w:footnote w:id="974">
    <w:p>
      <w:pPr>
        <w:pStyle w:val="Funote"/>
        <w:rPr/>
      </w:pPr>
      <w:r>
        <w:rPr>
          <w:rStyle w:val="Funotenzeichen"/>
        </w:rPr>
        <w:footnoteRef/>
      </w:r>
      <w:r>
        <w:rPr/>
        <w:tab/>
        <w:t xml:space="preserve">Idiom. Im Hebräischen „kommt die Sonne“, wenn sie untergeht (DBL Hebrew 995 </w:t>
      </w:r>
      <w:r>
        <w:rPr>
          <w:rtl w:val="true"/>
          <w:lang w:bidi="he-IL"/>
        </w:rPr>
        <w:t>בֹּוא</w:t>
      </w:r>
      <w:r>
        <w:rPr>
          <w:rtl w:val="true"/>
        </w:rPr>
        <w:t xml:space="preserve">, </w:t>
      </w:r>
      <w:r>
        <w:rPr/>
        <w:t>13</w:t>
      </w:r>
      <w:r>
        <w:rPr/>
        <w:t>.).</w:t>
      </w:r>
    </w:p>
  </w:footnote>
  <w:footnote w:id="975">
    <w:p>
      <w:pPr>
        <w:pStyle w:val="Funote"/>
        <w:rPr/>
      </w:pPr>
      <w:r>
        <w:rPr>
          <w:rStyle w:val="Funotenzeichen"/>
        </w:rPr>
        <w:footnoteRef/>
      </w:r>
      <w:r>
        <w:rPr/>
        <w:tab/>
        <w:t xml:space="preserve">Der Begriff bezeichnet ein weibliches Kalb. </w:t>
      </w:r>
    </w:p>
  </w:footnote>
  <w:footnote w:id="976">
    <w:p>
      <w:pPr>
        <w:pStyle w:val="Funote"/>
        <w:rPr/>
      </w:pPr>
      <w:r>
        <w:rPr>
          <w:rStyle w:val="Funotenzeichen"/>
        </w:rPr>
        <w:footnoteRef/>
      </w:r>
      <w:r>
        <w:rPr/>
        <w:tab/>
        <w:t xml:space="preserve">Wörtlich: „das Rätsel“. </w:t>
      </w:r>
    </w:p>
  </w:footnote>
  <w:footnote w:id="977">
    <w:p>
      <w:pPr>
        <w:pStyle w:val="Funote"/>
        <w:rPr/>
      </w:pPr>
      <w:r>
        <w:rPr>
          <w:rStyle w:val="Funotenzeichen"/>
        </w:rPr>
        <w:footnoteRef/>
      </w:r>
      <w:r>
        <w:rPr/>
        <w:tab/>
        <w:t xml:space="preserve">Die irreale Form des Konditionalsatzes wird durch die Konjunktion vorgegeben (vgl. Davidson, Hebrew Syntax, §130). </w:t>
      </w:r>
    </w:p>
  </w:footnote>
  <w:footnote w:id="978">
    <w:p>
      <w:pPr>
        <w:pStyle w:val="Funote"/>
        <w:rPr/>
      </w:pPr>
      <w:r>
        <w:rPr>
          <w:rStyle w:val="Funotenzeichen"/>
        </w:rPr>
        <w:footnoteRef/>
      </w:r>
      <w:r>
        <w:rPr/>
        <w:tab/>
        <w:t xml:space="preserve">S. V. 6. </w:t>
      </w:r>
    </w:p>
  </w:footnote>
  <w:footnote w:id="979">
    <w:p>
      <w:pPr>
        <w:pStyle w:val="Funote"/>
        <w:rPr/>
      </w:pPr>
      <w:r>
        <w:rPr>
          <w:rStyle w:val="Funotenzeichen"/>
        </w:rPr>
        <w:footnoteRef/>
      </w:r>
      <w:r>
        <w:rPr/>
        <w:tab/>
        <w:t xml:space="preserve">Bezieht sich auf die Stadtbewohner. </w:t>
      </w:r>
    </w:p>
  </w:footnote>
  <w:footnote w:id="980">
    <w:p>
      <w:pPr>
        <w:pStyle w:val="Funote"/>
        <w:rPr/>
      </w:pPr>
      <w:r>
        <w:rPr>
          <w:rStyle w:val="Funotenzeichen"/>
        </w:rPr>
        <w:footnoteRef/>
      </w:r>
      <w:r>
        <w:rPr/>
        <w:tab/>
        <w:t>Hier steht im Hebräischen tatsächlich ein kollektiver Singular.</w:t>
      </w:r>
    </w:p>
  </w:footnote>
  <w:footnote w:id="981">
    <w:p>
      <w:pPr>
        <w:pStyle w:val="Funote"/>
        <w:rPr/>
      </w:pPr>
      <w:r>
        <w:rPr>
          <w:rStyle w:val="Funotenzeichen"/>
        </w:rPr>
        <w:footnoteRef/>
      </w:r>
      <w:r>
        <w:rPr/>
        <w:tab/>
        <w:t xml:space="preserve">Hier im Plural. Gemeint sind die Gegenstände, die ein getöteter Feind bei sich trägt – also etwa seine „Habseligkeiten“(DBL Hebrew, 2723 </w:t>
      </w:r>
      <w:r>
        <w:rPr>
          <w:rtl w:val="true"/>
          <w:lang w:bidi="he-IL"/>
        </w:rPr>
        <w:t>חֲלִיצָה</w:t>
      </w:r>
      <w:r>
        <w:rPr/>
        <w:t xml:space="preserve">). Viele verstehen das in diesem Kontext als die „Kleider“, die Simson den Siegern im Rätselwettbewerb geben schuldete. </w:t>
      </w:r>
    </w:p>
  </w:footnote>
  <w:footnote w:id="982">
    <w:p>
      <w:pPr>
        <w:pStyle w:val="Funote"/>
        <w:rPr/>
      </w:pPr>
      <w:r>
        <w:rPr>
          <w:rStyle w:val="Funotenzeichen"/>
        </w:rPr>
        <w:footnoteRef/>
      </w:r>
      <w:r>
        <w:rPr/>
        <w:tab/>
        <w:t xml:space="preserve">Oder „Kleidungssätze“, wörtlich „Ersatze“. Details s. Fußnote V. 12. </w:t>
      </w:r>
    </w:p>
  </w:footnote>
  <w:footnote w:id="983">
    <w:p>
      <w:pPr>
        <w:pStyle w:val="Funote"/>
        <w:rPr/>
      </w:pPr>
      <w:r>
        <w:rPr>
          <w:rStyle w:val="Funotenzeichen"/>
        </w:rPr>
        <w:footnoteRef/>
      </w:r>
      <w:r>
        <w:rPr/>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84">
    <w:p>
      <w:pPr>
        <w:pStyle w:val="Funote"/>
        <w:rPr/>
      </w:pPr>
      <w:r>
        <w:rPr>
          <w:rStyle w:val="Funotenzeichen"/>
        </w:rPr>
        <w:footnoteRef/>
      </w:r>
      <w:r>
        <w:rPr/>
        <w:tab/>
        <w:t xml:space="preserve">Auflösung eines substantivierten Partizips. </w:t>
      </w:r>
    </w:p>
  </w:footnote>
  <w:footnote w:id="985">
    <w:p>
      <w:pPr>
        <w:pStyle w:val="Funote"/>
        <w:rPr/>
      </w:pPr>
      <w:r>
        <w:rPr>
          <w:rStyle w:val="Funotenzeichen"/>
        </w:rPr>
        <w:footnoteRef/>
      </w:r>
      <w:r>
        <w:rPr/>
        <w:tab/>
        <w:t xml:space="preserve">Idiom für „Er war zornig“. </w:t>
      </w:r>
    </w:p>
  </w:footnote>
  <w:footnote w:id="986">
    <w:p>
      <w:pPr>
        <w:pStyle w:val="Funote"/>
        <w:rPr/>
      </w:pPr>
      <w:r>
        <w:rPr>
          <w:rStyle w:val="Funotenzeichen"/>
        </w:rPr>
        <w:footnoteRef/>
      </w:r>
      <w:r>
        <w:rPr/>
        <w:tab/>
        <w:t>[Die Töchter sind hier keine Ausnahme, denn auch diesen wird der Erbbesitz entzogen, sobald sie außerhalb ihrer Familie heiraten; s. Num 36]</w:t>
      </w:r>
    </w:p>
  </w:footnote>
  <w:footnote w:id="987">
    <w:p>
      <w:pPr>
        <w:pStyle w:val="Funote"/>
        <w:rPr/>
      </w:pPr>
      <w:r>
        <w:rPr>
          <w:rStyle w:val="Funotenzeichen"/>
        </w:rPr>
        <w:footnoteRef/>
      </w:r>
      <w:r>
        <w:rPr/>
        <w:tab/>
        <w:t>[S. V. 24 der Erzählung in Gen 38: Tamar, die Frau des verstorbenen Er und „Schwiegertochter Judas“ ist „schwanger durch Hurerei“ - d.h. hier: Ehebruch - und soll dafür verbrannt werden.]</w:t>
      </w:r>
    </w:p>
  </w:footnote>
  <w:footnote w:id="988">
    <w:p>
      <w:pPr>
        <w:pStyle w:val="Funote"/>
        <w:rPr/>
      </w:pPr>
      <w:r>
        <w:rPr>
          <w:rStyle w:val="Funotenzeichen"/>
        </w:rPr>
        <w:footnoteRef/>
      </w:r>
      <w:r>
        <w:rPr/>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989">
    <w:p>
      <w:pPr>
        <w:pStyle w:val="Funote"/>
        <w:rPr/>
      </w:pPr>
      <w:r>
        <w:rPr>
          <w:rStyle w:val="Funotenzeichen"/>
        </w:rPr>
        <w:footnoteRef/>
      </w:r>
      <w:r>
        <w:rPr/>
        <w:tab/>
        <w:t>JHWH</w:t>
      </w:r>
    </w:p>
  </w:footnote>
  <w:footnote w:id="990">
    <w:p>
      <w:pPr>
        <w:pStyle w:val="Funote"/>
        <w:rPr/>
      </w:pPr>
      <w:r>
        <w:rPr>
          <w:rStyle w:val="Funotenzeichen"/>
        </w:rPr>
        <w:footnoteRef/>
      </w:r>
      <w:r>
        <w:rPr/>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991">
    <w:p>
      <w:pPr>
        <w:pStyle w:val="Funote"/>
        <w:rPr/>
      </w:pPr>
      <w:r>
        <w:rPr>
          <w:rStyle w:val="Funotenzeichen"/>
        </w:rPr>
        <w:footnoteRef/>
      </w:r>
      <w:r>
        <w:rPr/>
        <w:tab/>
        <w:t>[Status: Zuverlässig]</w:t>
      </w:r>
    </w:p>
  </w:footnote>
  <w:footnote w:id="992">
    <w:p>
      <w:pPr>
        <w:pStyle w:val="Funote"/>
        <w:rPr/>
      </w:pPr>
      <w:r>
        <w:rPr>
          <w:rStyle w:val="Funotenzeichen"/>
        </w:rPr>
        <w:footnoteRef/>
      </w:r>
      <w:r>
        <w:rPr/>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993">
    <w:p>
      <w:pPr>
        <w:pStyle w:val="Funote"/>
        <w:rPr/>
      </w:pPr>
      <w:r>
        <w:rPr>
          <w:rStyle w:val="Funotenzeichen"/>
        </w:rPr>
        <w:footnoteRef/>
      </w:r>
      <w:r>
        <w:rPr/>
        <w:tab/>
        <w:t>im Land - d.h. in Israel. Übersetze daher vielleicht besser: „...herrschte ein Hungersnot in Israel“ (de Waard/Nida 1992, S. 6).</w:t>
      </w:r>
    </w:p>
  </w:footnote>
  <w:footnote w:id="994">
    <w:p>
      <w:pPr>
        <w:pStyle w:val="Funote"/>
        <w:rPr/>
      </w:pPr>
      <w:r>
        <w:rPr>
          <w:rStyle w:val="Funotenzeichen"/>
        </w:rPr>
        <w:footnoteRef/>
      </w:r>
      <w:r>
        <w:rPr/>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995">
    <w:p>
      <w:pPr>
        <w:pStyle w:val="Funote"/>
        <w:rPr/>
      </w:pPr>
      <w:r>
        <w:rPr>
          <w:rStyle w:val="Funotenzeichen"/>
        </w:rPr>
        <w:footnoteRef/>
      </w:r>
      <w:r>
        <w:rPr>
          <w:i/>
        </w:rPr>
        <w:tab/>
        <w:t>verließ ein Mann Betlehem in Juda (machte sich ein aus Betlehem in Juda [stammender] Mann auf)</w:t>
      </w:r>
      <w:r>
        <w:rPr/>
        <w:t xml:space="preserve">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996">
    <w:p>
      <w:pPr>
        <w:pStyle w:val="Funote"/>
        <w:rPr/>
      </w:pPr>
      <w:r>
        <w:rPr>
          <w:rStyle w:val="Funotenzeichen"/>
        </w:rPr>
        <w:footnoteRef/>
      </w:r>
      <w:r>
        <w:rPr/>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997">
    <w:p>
      <w:pPr>
        <w:pStyle w:val="Funote"/>
        <w:rPr/>
      </w:pPr>
      <w:r>
        <w:rPr>
          <w:rStyle w:val="Funotenzeichen"/>
        </w:rPr>
        <w:footnoteRef/>
      </w:r>
      <w:r>
        <w:rPr>
          <w:i/>
        </w:rPr>
        <w:tab/>
        <w:t>Moab</w:t>
      </w:r>
      <w:r>
        <w:rPr/>
        <w:t xml:space="preserve"> - östlicher Nachbarstaat Israels (für näheres s. </w:t>
      </w:r>
      <w:hyperlink r:id="rId26">
        <w:r>
          <w:rPr>
            <w:rStyle w:val="Internetverknpfung"/>
          </w:rPr>
          <w:t>Moab / Moabiter (WiBiLex)</w:t>
        </w:r>
      </w:hyperlink>
      <w:r>
        <w:rPr/>
        <w:t xml:space="preserve">). Wegen verschiedener kriegerischer Konflikte ist Moab im AT meist negativ belegt; auch im Richterbuch (s. </w:t>
      </w:r>
      <w:hyperlink r:id="rId27">
        <w:r>
          <w:rPr>
            <w:rStyle w:val="Internetverknpfung"/>
          </w:rPr>
          <w:t>Ri 3,12-30</w:t>
        </w:r>
      </w:hyperlink>
      <w:r>
        <w:rPr/>
        <w:t xml:space="preserve">).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w:t>
      </w:r>
      <w:r>
        <w:rPr>
          <w:i/>
        </w:rPr>
        <w:t>zehn Jahren</w:t>
      </w:r>
      <w:r>
        <w:rPr/>
        <w:t xml:space="preserve"> verursachen.</w:t>
        <w:br/>
        <w:t>Hinter der der Entscheidung des Erzählers für Moab stehen daher sicher andere Gründe; s. das Ende der Anmerkungen.</w:t>
      </w:r>
    </w:p>
  </w:footnote>
  <w:footnote w:id="998">
    <w:p>
      <w:pPr>
        <w:pStyle w:val="Funote"/>
        <w:rPr/>
      </w:pPr>
      <w:r>
        <w:rPr>
          <w:rStyle w:val="Funotenzeichen"/>
        </w:rPr>
        <w:footnoteRef/>
      </w:r>
      <w:r>
        <w:rPr/>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999">
    <w:p>
      <w:pPr>
        <w:pStyle w:val="Funote"/>
        <w:rPr/>
      </w:pPr>
      <w:r>
        <w:rPr>
          <w:rStyle w:val="Funotenzeichen"/>
        </w:rPr>
        <w:footnoteRef/>
      </w:r>
      <w:r>
        <w:rPr/>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00">
    <w:p>
      <w:pPr>
        <w:pStyle w:val="Funote"/>
        <w:rPr/>
      </w:pPr>
      <w:r>
        <w:rPr>
          <w:rStyle w:val="Funotenzeichen"/>
        </w:rPr>
        <w:footnoteRef/>
      </w:r>
      <w:r>
        <w:rPr/>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01">
    <w:p>
      <w:pPr>
        <w:pStyle w:val="Funote"/>
        <w:rPr/>
      </w:pPr>
      <w:r>
        <w:rPr>
          <w:rStyle w:val="Funotenzeichen"/>
        </w:rPr>
        <w:footnoteRef/>
      </w:r>
      <w:r>
        <w:rPr/>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02">
    <w:p>
      <w:pPr>
        <w:pStyle w:val="Funote"/>
        <w:rPr/>
      </w:pPr>
      <w:r>
        <w:rPr>
          <w:rStyle w:val="Funotenzeichen"/>
        </w:rPr>
        <w:footnoteRef/>
      </w:r>
      <w:r>
        <w:rPr/>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03">
    <w:p>
      <w:pPr>
        <w:pStyle w:val="Funote"/>
        <w:rPr/>
      </w:pPr>
      <w:r>
        <w:rPr>
          <w:rStyle w:val="Funotenzeichen"/>
        </w:rPr>
        <w:footnoteRef/>
      </w:r>
      <w:r>
        <w:rPr/>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04">
    <w:p>
      <w:pPr>
        <w:pStyle w:val="Funote"/>
        <w:rPr/>
      </w:pPr>
      <w:r>
        <w:rPr>
          <w:rStyle w:val="Funotenzeichen"/>
        </w:rPr>
        <w:footnoteRef/>
      </w:r>
      <w:r>
        <w:rPr/>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05">
    <w:p>
      <w:pPr>
        <w:pStyle w:val="Funote"/>
        <w:rPr/>
      </w:pPr>
      <w:r>
        <w:rPr>
          <w:rStyle w:val="Funotenzeichen"/>
        </w:rPr>
        <w:footnoteRef/>
      </w:r>
      <w:r>
        <w:rPr/>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06">
    <w:p>
      <w:pPr>
        <w:pStyle w:val="Funote"/>
        <w:rPr/>
      </w:pPr>
      <w:r>
        <w:rPr>
          <w:rStyle w:val="Funotenzeichen"/>
        </w:rPr>
        <w:footnoteRef/>
      </w:r>
      <w:r>
        <w:rPr/>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07">
    <w:p>
      <w:pPr>
        <w:pStyle w:val="Funote"/>
        <w:rPr/>
      </w:pPr>
      <w:r>
        <w:rPr>
          <w:rStyle w:val="Funotenzeichen"/>
        </w:rPr>
        <w:footnoteRef/>
      </w:r>
      <w:r>
        <w:rPr/>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08">
    <w:p>
      <w:pPr>
        <w:pStyle w:val="Funote"/>
        <w:rPr/>
      </w:pPr>
      <w:r>
        <w:rPr>
          <w:rStyle w:val="Funotenzeichen"/>
        </w:rPr>
        <w:footnoteRef/>
      </w:r>
      <w:r>
        <w:rPr>
          <w:i/>
        </w:rPr>
        <w:tab/>
        <w:t>sie und ihre Schwiegertöchter</w:t>
      </w:r>
      <w:r>
        <w:rPr/>
        <w:t xml:space="preserve"> - die selbe Konstruktion wie in </w:t>
      </w:r>
      <w:r>
        <w:fldChar w:fldCharType="begin"/>
      </w:r>
      <w:r>
        <w:rPr>
          <w:rStyle w:val="Internetverknpfung"/>
        </w:rPr>
        <w:instrText> HYPERLINK "http://www.offene-bibel.de/wiki/index.php5?title=Rut_1" \l "note_h"</w:instrText>
      </w:r>
      <w:r>
        <w:rPr>
          <w:rStyle w:val="Internetverknpfung"/>
        </w:rPr>
        <w:fldChar w:fldCharType="separate"/>
      </w:r>
      <w:r>
        <w:rPr>
          <w:rStyle w:val="Internetverknpfung"/>
        </w:rPr>
        <w:t>FN h</w:t>
      </w:r>
      <w:r>
        <w:rPr>
          <w:rStyle w:val="Internetverknpfung"/>
        </w:rPr>
        <w:fldChar w:fldCharType="end"/>
      </w:r>
      <w:r>
        <w:rPr/>
        <w:t xml:space="preserve">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w:t>
      </w:r>
      <w:r>
        <w:rPr>
          <w:i/>
        </w:rPr>
        <w:t>Noomi</w:t>
      </w:r>
      <w:r>
        <w:rPr/>
        <w:t xml:space="preserve"> + </w:t>
      </w:r>
      <w:r>
        <w:rPr>
          <w:i/>
        </w:rPr>
        <w:t>Rut und Orpa</w:t>
      </w:r>
      <w:r>
        <w:rPr/>
        <w:t>; beinahe wie ein „Neue Runde, neues Glück!“: Ihre ersten drei Begleiter hat Noomi verloren - was wird mit den beiden neuen Begleiterinnen geschehen?</w:t>
      </w:r>
    </w:p>
  </w:footnote>
  <w:footnote w:id="1009">
    <w:p>
      <w:pPr>
        <w:pStyle w:val="Funote"/>
        <w:rPr/>
      </w:pPr>
      <w:r>
        <w:rPr>
          <w:rStyle w:val="Funotenzeichen"/>
        </w:rPr>
        <w:footnoteRef/>
      </w:r>
      <w:r>
        <w:rPr/>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10">
    <w:p>
      <w:pPr>
        <w:pStyle w:val="Funote"/>
        <w:rPr/>
      </w:pPr>
      <w:r>
        <w:rPr>
          <w:rStyle w:val="Funotenzeichen"/>
        </w:rPr>
        <w:footnoteRef/>
      </w:r>
      <w:r>
        <w:rPr/>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11">
    <w:p>
      <w:pPr>
        <w:pStyle w:val="Funote"/>
        <w:rPr/>
      </w:pPr>
      <w:r>
        <w:rPr>
          <w:rStyle w:val="Funotenzeichen"/>
        </w:rPr>
        <w:footnoteRef/>
      </w:r>
      <w:r>
        <w:rPr/>
        <w:tab/>
        <w:t>ihm Brot - Klangspiel: lahem lachem. „Brot“ steht im Heb. fast stets pars pro toto für Nahrung im Allgemeinen (vgl. z.B. de Waard/Nida 1992, S. 9; Zakovitch 1999, S. 83); übersetze daher besser „Nahrung“.</w:t>
      </w:r>
    </w:p>
  </w:footnote>
  <w:footnote w:id="1012">
    <w:p>
      <w:pPr>
        <w:pStyle w:val="Funote"/>
        <w:rPr/>
      </w:pPr>
      <w:r>
        <w:rPr>
          <w:rStyle w:val="Funotenzeichen"/>
        </w:rPr>
        <w:footnoteRef/>
      </w:r>
      <w:r>
        <w:rPr/>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13">
    <w:p>
      <w:pPr>
        <w:pStyle w:val="Funote"/>
        <w:rPr/>
      </w:pPr>
      <w:r>
        <w:rPr>
          <w:rStyle w:val="Funotenzeichen"/>
        </w:rPr>
        <w:footnoteRef/>
      </w:r>
      <w:r>
        <w:rPr/>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14">
    <w:p>
      <w:pPr>
        <w:pStyle w:val="Funote"/>
        <w:rPr/>
      </w:pPr>
      <w:r>
        <w:rPr>
          <w:rStyle w:val="Funotenzeichen"/>
        </w:rPr>
        <w:footnoteRef/>
      </w:r>
      <w:r>
        <w:rPr/>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15">
    <w:p>
      <w:pPr>
        <w:pStyle w:val="Funote"/>
        <w:rPr/>
      </w:pPr>
      <w:r>
        <w:rPr>
          <w:rStyle w:val="Funotenzeichen"/>
        </w:rPr>
        <w:footnoteRef/>
      </w:r>
      <w:r>
        <w:rPr/>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16">
    <w:p>
      <w:pPr>
        <w:pStyle w:val="Funote"/>
        <w:rPr/>
      </w:pPr>
      <w:r>
        <w:rPr>
          <w:rStyle w:val="Funotenzeichen"/>
        </w:rPr>
        <w:footnoteRef/>
      </w:r>
      <w:r>
        <w:rPr/>
        <w:tab/>
        <w:t>Wahrscheinlich durfte Noomi ihre Schwiegertöchter rechtlich gesehen gar nicht zurückschicken; s. die Anmerkungen.</w:t>
      </w:r>
    </w:p>
  </w:footnote>
  <w:footnote w:id="1017">
    <w:p>
      <w:pPr>
        <w:pStyle w:val="Funote"/>
        <w:rPr/>
      </w:pPr>
      <w:r>
        <w:rPr>
          <w:rStyle w:val="Funotenzeichen"/>
        </w:rPr>
        <w:footnoteRef/>
      </w:r>
      <w:r>
        <w:rPr/>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18">
    <w:p>
      <w:pPr>
        <w:pStyle w:val="Funote"/>
        <w:rPr/>
      </w:pPr>
      <w:r>
        <w:rPr>
          <w:rStyle w:val="Funotenzeichen"/>
        </w:rPr>
        <w:footnoteRef/>
      </w:r>
      <w:r>
        <w:rPr>
          <w:i/>
        </w:rPr>
        <w:tab/>
        <w:t>Ruhe</w:t>
      </w:r>
      <w:r>
        <w:rPr/>
        <w:t xml:space="preserve"> - schönes Wort: Heb. </w:t>
      </w:r>
      <w:r>
        <w:rPr>
          <w:i/>
        </w:rPr>
        <w:t>mänuchah</w:t>
      </w:r>
      <w:r>
        <w:rPr/>
        <w:t xml:space="preserve"> ist (1) „Ruhe, Erholung“, (2) der Ort, wo man sich zur Erhohlung niederlassen kann, wo „Wohlsein“ ist, und dann (3) allgemein die „Heimstatt“. Hier drückt es also gleichzeitig etwa das selbe wie das folgende </w:t>
      </w:r>
      <w:r>
        <w:rPr>
          <w:i/>
        </w:rPr>
        <w:t>im Haus ihres Mannes</w:t>
      </w:r>
      <w:r>
        <w:rPr/>
        <w:t xml:space="preserve"> aus („Jede von euch soll eine Heimstatt im Haus ihres Mannes finden“) als auch einen Gegensatz zur aktuellen leidvollen Situation des verwitwet-Seins und wandern-Müssens: Noomi segnet ihre Schwiegertöchter mit dem Wunsch eines angenehmen Ehelebens.</w:t>
      </w:r>
    </w:p>
  </w:footnote>
  <w:footnote w:id="1019">
    <w:p>
      <w:pPr>
        <w:pStyle w:val="Funote"/>
        <w:rPr/>
      </w:pPr>
      <w:r>
        <w:rPr>
          <w:rStyle w:val="Funotenzeichen"/>
        </w:rPr>
        <w:footnoteRef/>
      </w:r>
      <w:r>
        <w:rPr/>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20">
    <w:p>
      <w:pPr>
        <w:pStyle w:val="Funote"/>
        <w:rPr/>
      </w:pPr>
      <w:r>
        <w:rPr>
          <w:rStyle w:val="Funotenzeichen"/>
        </w:rPr>
        <w:footnoteRef/>
      </w:r>
      <w:r>
        <w:rPr>
          <w:i/>
        </w:rPr>
        <w:tab/>
        <w:t>Haus ihres Mannes</w:t>
      </w:r>
      <w:r>
        <w:rPr/>
        <w:t xml:space="preserve"> - Klangspiel: </w:t>
      </w:r>
      <w:r>
        <w:rPr>
          <w:i/>
        </w:rPr>
        <w:t>´ischah beth ´ischah</w:t>
      </w:r>
      <w:r>
        <w:rPr/>
        <w:t xml:space="preserve">. Gemeint ist auch hier nicht das Gebäude, sondern die neue Familie, in die die beiden eingegliedert werden sollen (s. </w:t>
      </w:r>
      <w:r>
        <w:fldChar w:fldCharType="begin"/>
      </w:r>
      <w:r>
        <w:rPr>
          <w:rStyle w:val="Internetverknpfung"/>
        </w:rPr>
        <w:instrText> HYPERLINK "http://www.offene-bibel.de/wiki/index.php5?title=Rut_1" \l "note_x"</w:instrText>
      </w:r>
      <w:r>
        <w:rPr>
          <w:rStyle w:val="Internetverknpfung"/>
        </w:rPr>
        <w:fldChar w:fldCharType="separate"/>
      </w:r>
      <w:r>
        <w:rPr>
          <w:rStyle w:val="Internetverknpfung"/>
        </w:rPr>
        <w:t>FN x</w:t>
      </w:r>
      <w:r>
        <w:rPr>
          <w:rStyle w:val="Internetverknpfung"/>
        </w:rPr>
        <w:fldChar w:fldCharType="end"/>
      </w:r>
      <w:r>
        <w:rPr/>
        <w:t>).</w:t>
      </w:r>
    </w:p>
  </w:footnote>
  <w:footnote w:id="1021">
    <w:p>
      <w:pPr>
        <w:pStyle w:val="Funote"/>
        <w:rPr/>
      </w:pPr>
      <w:r>
        <w:rPr>
          <w:rStyle w:val="Funotenzeichen"/>
        </w:rPr>
        <w:footnoteRef/>
      </w:r>
      <w:r>
        <w:rPr>
          <w:i/>
        </w:rPr>
        <w:tab/>
        <w:t>Da erhoben sie ihre Stimmen, weinten</w:t>
      </w:r>
      <w:r>
        <w:rPr/>
        <w:t xml:space="preserve"> - =„Da begannen sie zu weinen“.</w:t>
      </w:r>
    </w:p>
  </w:footnote>
  <w:footnote w:id="1022">
    <w:p>
      <w:pPr>
        <w:pStyle w:val="Funote"/>
        <w:rPr/>
      </w:pPr>
      <w:r>
        <w:rPr>
          <w:rStyle w:val="Funotenzeichen"/>
        </w:rPr>
        <w:footnoteRef/>
      </w:r>
      <w:r>
        <w:rPr/>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23">
    <w:p>
      <w:pPr>
        <w:pStyle w:val="Funote"/>
        <w:rPr/>
      </w:pPr>
      <w:r>
        <w:rPr>
          <w:rStyle w:val="Funotenzeichen"/>
        </w:rPr>
        <w:footnoteRef/>
      </w:r>
      <w:r>
        <w:rPr>
          <w:i/>
        </w:rPr>
        <w:tab/>
        <w:t>[die Frau] eines Mannes</w:t>
      </w:r>
      <w:r>
        <w:rPr/>
        <w:t xml:space="preserve"> - W. „um einem Mann zu sein“; Idiom für die Ehe.</w:t>
      </w:r>
    </w:p>
  </w:footnote>
  <w:footnote w:id="1024">
    <w:p>
      <w:pPr>
        <w:pStyle w:val="Funote"/>
        <w:rPr/>
      </w:pPr>
      <w:r>
        <w:rPr>
          <w:rStyle w:val="Funotenzeichen"/>
        </w:rPr>
        <w:footnoteRef/>
      </w:r>
      <w:r>
        <w:rPr/>
        <w:tab/>
        <w:t>tFN: ja + ja...sogar - potenzierendes gam (vgl. schon Jacob 1912, S. 279; Labuschagne 1966).</w:t>
      </w:r>
    </w:p>
  </w:footnote>
  <w:footnote w:id="1025">
    <w:p>
      <w:pPr>
        <w:pStyle w:val="Funote"/>
        <w:rPr/>
      </w:pPr>
      <w:r>
        <w:rPr>
          <w:rStyle w:val="Funotenzeichen"/>
        </w:rPr>
        <w:footnoteRef/>
      </w:r>
      <w:r>
        <w:rPr/>
        <w:tab/>
        <w:t>[selbst, wenn] - Brachylogie aus dem letzten Satz.</w:t>
      </w:r>
    </w:p>
  </w:footnote>
  <w:footnote w:id="1026">
    <w:p>
      <w:pPr>
        <w:pStyle w:val="Funote"/>
        <w:rPr/>
      </w:pPr>
      <w:r>
        <w:rPr>
          <w:rStyle w:val="Funotenzeichen"/>
        </w:rPr>
        <w:footnoteRef/>
      </w:r>
      <w:r>
        <w:rPr/>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27">
    <w:p>
      <w:pPr>
        <w:pStyle w:val="Funote"/>
        <w:rPr/>
      </w:pPr>
      <w:r>
        <w:rPr>
          <w:rStyle w:val="Funotenzeichen"/>
        </w:rPr>
        <w:footnoteRef/>
      </w:r>
      <w:r>
        <w:rPr/>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28">
    <w:p>
      <w:pPr>
        <w:pStyle w:val="Funote"/>
        <w:rPr/>
      </w:pPr>
      <w:r>
        <w:rPr>
          <w:rStyle w:val="Funotenzeichen"/>
        </w:rPr>
        <w:footnoteRef/>
      </w:r>
      <w:r>
        <w:rPr/>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29">
    <w:p>
      <w:pPr>
        <w:pStyle w:val="Funote"/>
        <w:rPr/>
      </w:pPr>
      <w:r>
        <w:rPr>
          <w:rStyle w:val="Funotenzeichen"/>
        </w:rPr>
        <w:footnoteRef/>
      </w:r>
      <w:r>
        <w:rPr/>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30">
    <w:p>
      <w:pPr>
        <w:pStyle w:val="Funote"/>
        <w:rPr/>
      </w:pPr>
      <w:r>
        <w:rPr>
          <w:rStyle w:val="Funotenzeichen"/>
        </w:rPr>
        <w:footnoteRef/>
      </w:r>
      <w:r>
        <w:rPr/>
        <w:tab/>
        <w:t>dass die Hand JHWHs gegen mich ging - Zum Ausdruck s. ähnlich Ex 9,3; Dtn 2,15; Ri 2,15; 1Sam 5,6.9; 7,13; 12,15; (Jes 19,16; 25,10); der Sinn ist dann wohl etwa: »dass mich JHWH gestraft hat« (vgl. bes. Huntley 2013, S. 9-11).</w:t>
      </w:r>
    </w:p>
  </w:footnote>
  <w:footnote w:id="1031">
    <w:p>
      <w:pPr>
        <w:pStyle w:val="Funote"/>
        <w:rPr/>
      </w:pPr>
      <w:r>
        <w:rPr>
          <w:rStyle w:val="Funotenzeichen"/>
        </w:rPr>
        <w:footnoteRef/>
      </w:r>
      <w:r>
        <w:rPr>
          <w:i/>
        </w:rPr>
        <w:tab/>
        <w:t>Und noch einmal erhoben sie ihre Stimme und weinten</w:t>
      </w:r>
      <w:r>
        <w:rPr/>
        <w:t xml:space="preserve"> - =„Und noch einmal begannen sie, zu weinen“.</w:t>
      </w:r>
    </w:p>
  </w:footnote>
  <w:footnote w:id="1032">
    <w:p>
      <w:pPr>
        <w:pStyle w:val="Funote"/>
        <w:rPr/>
      </w:pPr>
      <w:r>
        <w:rPr>
          <w:rStyle w:val="Funotenzeichen"/>
        </w:rPr>
        <w:footnoteRef/>
      </w:r>
      <w:r>
        <w:rPr/>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33">
    <w:p>
      <w:pPr>
        <w:pStyle w:val="Funote"/>
        <w:rPr/>
      </w:pPr>
      <w:r>
        <w:rPr>
          <w:rStyle w:val="Funotenzeichen"/>
        </w:rPr>
        <w:footnoteRef/>
      </w:r>
      <w:r>
        <w:rPr/>
        <w:tab/>
        <w:t>tFN: {Siehe} + [also] - W. »Siehe«, doch das heb. hinneh signalisiert nur, dass die folgende Aussage direkt relevant ist für die aktuelle Situation oder eine folgende Äußerung. Treffender daher eine Übersetzung mit »also« o.Ä.</w:t>
      </w:r>
    </w:p>
  </w:footnote>
  <w:footnote w:id="1034">
    <w:p>
      <w:pPr>
        <w:pStyle w:val="Funote"/>
        <w:rPr/>
      </w:pPr>
      <w:r>
        <w:rPr>
          <w:rStyle w:val="Funotenzeichen"/>
        </w:rPr>
        <w:footnoteRef/>
      </w:r>
      <w:r>
        <w:rPr/>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35">
    <w:p>
      <w:pPr>
        <w:pStyle w:val="Funote"/>
        <w:rPr/>
      </w:pPr>
      <w:r>
        <w:rPr>
          <w:rStyle w:val="Funotenzeichen"/>
        </w:rPr>
        <w:footnoteRef/>
      </w:r>
      <w:r>
        <w:rPr>
          <w:i/>
        </w:rPr>
        <w:tab/>
        <w:t>vom mit-dir-[Sein]</w:t>
      </w:r>
      <w:r>
        <w:rPr/>
        <w:t xml:space="preserve"> - die selbe Präposition wie in V. 15. Noomi fordert Rut auf zum „mit-Orpa-Sein“ und zum Zurückkehren zu deren Volk und deren Gott. Rut stellt dem das „mit-Noomi-Sein“ entgegen und entscheidet sich ineins damit auch für </w:t>
      </w:r>
      <w:r>
        <w:rPr>
          <w:i/>
        </w:rPr>
        <w:t>deren</w:t>
      </w:r>
      <w:r>
        <w:rPr/>
        <w:t xml:space="preserve"> Volk und Gott.</w:t>
      </w:r>
    </w:p>
  </w:footnote>
  <w:footnote w:id="1036">
    <w:p>
      <w:pPr>
        <w:pStyle w:val="Funote"/>
        <w:rPr/>
      </w:pPr>
      <w:r>
        <w:rPr>
          <w:rStyle w:val="Funotenzeichen"/>
        </w:rPr>
        <w:footnoteRef/>
      </w:r>
      <w:r>
        <w:rPr/>
        <w:tab/>
        <w:t>[einzig] - Fokuspartikel wie »nur«, »selbst« etc. werden im Heb. häufig nicht gesetzt, wo das Dt. sie setzen würde; im Dt. muss man sie sich daher dazudenken (ad loc. vgl. z.B. Ehrlich 1914, S. 22).</w:t>
      </w:r>
    </w:p>
  </w:footnote>
  <w:footnote w:id="1037">
    <w:p>
      <w:pPr>
        <w:pStyle w:val="Funote"/>
        <w:rPr/>
      </w:pPr>
      <w:r>
        <w:rPr>
          <w:rStyle w:val="Funotenzeichen"/>
        </w:rPr>
        <w:footnoteRef/>
      </w:r>
      <w:r>
        <w:rPr/>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38">
    <w:p>
      <w:pPr>
        <w:pStyle w:val="Funote"/>
        <w:rPr/>
      </w:pPr>
      <w:r>
        <w:rPr>
          <w:rStyle w:val="Funotenzeichen"/>
        </w:rPr>
        <w:footnoteRef/>
      </w:r>
      <w:r>
        <w:rPr/>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39">
    <w:p>
      <w:pPr>
        <w:pStyle w:val="Funote"/>
        <w:rPr/>
      </w:pPr>
      <w:r>
        <w:rPr>
          <w:rStyle w:val="Funotenzeichen"/>
        </w:rPr>
        <w:footnoteRef/>
      </w:r>
      <w:r>
        <w:rPr>
          <w:i/>
        </w:rPr>
        <w:tab/>
        <w:t>die beiden [gemeinsam]</w:t>
      </w:r>
      <w:r>
        <w:rPr/>
        <w:t xml:space="preserve"> - Das Dual-pronomen ist auch hier wieder bewusst gewählt (s. Anmerkungen). Im Dt. sollte man das besser durch die Einfügung eines „gemeinsam“ o.Ä. ausdrücklich machen.</w:t>
      </w:r>
    </w:p>
  </w:footnote>
  <w:footnote w:id="1040">
    <w:p>
      <w:pPr>
        <w:pStyle w:val="Funote"/>
        <w:rPr/>
      </w:pPr>
      <w:r>
        <w:rPr>
          <w:rStyle w:val="Funotenzeichen"/>
        </w:rPr>
        <w:footnoteRef/>
      </w:r>
      <w:r>
        <w:rPr>
          <w:i/>
        </w:rPr>
        <w:tab/>
        <w:t>sie</w:t>
      </w:r>
      <w:r>
        <w:rPr/>
        <w:t xml:space="preserve"> - ungewöhnlicherweise Femininum; nur die Frauen Betlehems scheinen hier gemeint zu sein.</w:t>
      </w:r>
    </w:p>
  </w:footnote>
  <w:footnote w:id="1041">
    <w:p>
      <w:pPr>
        <w:pStyle w:val="Funote"/>
        <w:rPr/>
      </w:pPr>
      <w:r>
        <w:rPr>
          <w:rStyle w:val="Funotenzeichen"/>
        </w:rPr>
        <w:footnoteRef/>
      </w:r>
      <w:r>
        <w:rPr/>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42">
    <w:p>
      <w:pPr>
        <w:pStyle w:val="Funote"/>
        <w:rPr/>
      </w:pPr>
      <w:r>
        <w:rPr>
          <w:rStyle w:val="Funotenzeichen"/>
        </w:rPr>
        <w:footnoteRef/>
      </w:r>
      <w:r>
        <w:rPr/>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43">
    <w:p>
      <w:pPr>
        <w:pStyle w:val="Funote"/>
        <w:rPr/>
      </w:pPr>
      <w:r>
        <w:rPr>
          <w:rStyle w:val="Funotenzeichen"/>
        </w:rPr>
        <w:footnoteRef/>
      </w:r>
      <w:r>
        <w:rPr/>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44">
    <w:p>
      <w:pPr>
        <w:pStyle w:val="Funote"/>
        <w:rPr/>
      </w:pPr>
      <w:r>
        <w:rPr>
          <w:rStyle w:val="Funotenzeichen"/>
        </w:rPr>
        <w:footnoteRef/>
      </w:r>
      <w:r>
        <w:rPr/>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45">
    <w:p>
      <w:pPr>
        <w:pStyle w:val="Funote"/>
        <w:rPr/>
      </w:pPr>
      <w:r>
        <w:rPr>
          <w:rStyle w:val="Funotenzeichen"/>
        </w:rPr>
        <w:footnoteRef/>
      </w:r>
      <w:r>
        <w:rPr/>
        <w:tab/>
        <w:t>tFN: So also - W. »Und sie kehrte zurück«; einer der seltenen Fälle, in denen die Verbform Wayyiqtol als zusammenfassender Abschluss einer Erzählung verwendet wird (»summierendes Wayyiqtol«; vgl. JM §117i).</w:t>
      </w:r>
    </w:p>
  </w:footnote>
  <w:footnote w:id="1046">
    <w:p>
      <w:pPr>
        <w:pStyle w:val="Funote"/>
        <w:rPr/>
      </w:pPr>
      <w:r>
        <w:rPr>
          <w:rStyle w:val="Funotenzeichen"/>
        </w:rPr>
        <w:footnoteRef/>
      </w:r>
      <w:r>
        <w:rPr/>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47">
    <w:p>
      <w:pPr>
        <w:pStyle w:val="Funote"/>
        <w:rPr/>
      </w:pPr>
      <w:r>
        <w:rPr>
          <w:rStyle w:val="Funotenzeichen"/>
        </w:rPr>
        <w:footnoteRef/>
      </w:r>
      <w:r>
        <w:rPr/>
        <w:tab/>
        <w:t>[„Mischna“: eine alte Sammlung jüdischer Rechtstexte]</w:t>
      </w:r>
    </w:p>
  </w:footnote>
  <w:footnote w:id="1048">
    <w:p>
      <w:pPr>
        <w:pStyle w:val="Funote"/>
        <w:rPr/>
      </w:pPr>
      <w:r>
        <w:rPr>
          <w:rStyle w:val="Funotenzeichen"/>
        </w:rPr>
        <w:footnoteRef/>
      </w:r>
      <w:r>
        <w:rPr/>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49">
    <w:p>
      <w:pPr>
        <w:pStyle w:val="Funote"/>
        <w:rPr/>
      </w:pPr>
      <w:r>
        <w:rPr>
          <w:rStyle w:val="Funotenzeichen"/>
        </w:rPr>
        <w:footnoteRef/>
      </w:r>
      <w:r>
        <w:rPr/>
        <w:tab/>
        <w:t>[Status: Zuverlässig]</w:t>
      </w:r>
    </w:p>
  </w:footnote>
  <w:footnote w:id="1050">
    <w:p>
      <w:pPr>
        <w:pStyle w:val="Funote"/>
        <w:rPr/>
      </w:pPr>
      <w:r>
        <w:rPr>
          <w:rStyle w:val="Funotenzeichen"/>
        </w:rPr>
        <w:footnoteRef/>
      </w:r>
      <w:r>
        <w:rPr/>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51">
    <w:p>
      <w:pPr>
        <w:pStyle w:val="Funote"/>
        <w:rPr/>
      </w:pPr>
      <w:r>
        <w:rPr>
          <w:rStyle w:val="Funotenzeichen"/>
        </w:rPr>
        <w:footnoteRef/>
      </w:r>
      <w:r>
        <w:rPr/>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52">
    <w:p>
      <w:pPr>
        <w:pStyle w:val="Funote"/>
        <w:rPr/>
      </w:pPr>
      <w:r>
        <w:rPr>
          <w:rStyle w:val="Funotenzeichen"/>
        </w:rPr>
        <w:footnoteRef/>
      </w:r>
      <w:r>
        <w:rPr/>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53">
    <w:p>
      <w:pPr>
        <w:pStyle w:val="Funote"/>
        <w:rPr/>
      </w:pPr>
      <w:r>
        <w:rPr>
          <w:rStyle w:val="Funotenzeichen"/>
        </w:rPr>
        <w:footnoteRef/>
      </w:r>
      <w:r>
        <w:rPr/>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54">
    <w:p>
      <w:pPr>
        <w:pStyle w:val="Funote"/>
        <w:rPr/>
      </w:pPr>
      <w:r>
        <w:rPr>
          <w:rStyle w:val="Funotenzeichen"/>
        </w:rPr>
        <w:footnoteRef/>
      </w:r>
      <w:r>
        <w:rPr/>
        <w:tab/>
        <w:t>Feld (V. 2), Feldstück (V. 3) - »Feld«: Das gesamte Ackerland um Betlehem herum, im Unterschied zum »Feldstück«, das nur den Anteil des Boas an diesem gesamten Ackerland bezeichnet (vgl. z.B. Köhlmoos 2010, S. 31).</w:t>
      </w:r>
    </w:p>
  </w:footnote>
  <w:footnote w:id="1055">
    <w:p>
      <w:pPr>
        <w:pStyle w:val="Funote"/>
        <w:rPr/>
      </w:pPr>
      <w:r>
        <w:rPr>
          <w:rStyle w:val="Funotenzeichen"/>
        </w:rPr>
        <w:footnoteRef/>
      </w:r>
      <w:r>
        <w:rPr/>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56">
    <w:p>
      <w:pPr>
        <w:pStyle w:val="Funote"/>
        <w:rPr/>
      </w:pPr>
      <w:r>
        <w:rPr>
          <w:rStyle w:val="Funotenzeichen"/>
        </w:rPr>
        <w:footnoteRef/>
      </w:r>
      <w:r>
        <w:rPr/>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57">
    <w:p>
      <w:pPr>
        <w:pStyle w:val="Funote"/>
        <w:rPr/>
      </w:pPr>
      <w:r>
        <w:rPr>
          <w:rStyle w:val="Funotenzeichen"/>
        </w:rPr>
        <w:footnoteRef/>
      </w:r>
      <w:r>
        <w:rPr/>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58">
    <w:p>
      <w:pPr>
        <w:pStyle w:val="Funote"/>
        <w:rPr/>
      </w:pPr>
      <w:r>
        <w:rPr>
          <w:rStyle w:val="Funotenzeichen"/>
        </w:rPr>
        <w:footnoteRef/>
      </w:r>
      <w:r>
        <w:rPr/>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59">
    <w:p>
      <w:pPr>
        <w:pStyle w:val="Funote"/>
        <w:rPr/>
      </w:pPr>
      <w:r>
        <w:rPr>
          <w:rStyle w:val="Funotenzeichen"/>
        </w:rPr>
        <w:footnoteRef/>
      </w:r>
      <w:r>
        <w:rPr/>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60">
    <w:p>
      <w:pPr>
        <w:pStyle w:val="Funote"/>
        <w:rPr/>
      </w:pPr>
      <w:r>
        <w:rPr>
          <w:rStyle w:val="Funotenzeichen"/>
        </w:rPr>
        <w:footnoteRef/>
      </w:r>
      <w:r>
        <w:rPr/>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61">
    <w:p>
      <w:pPr>
        <w:pStyle w:val="Funote"/>
        <w:rPr/>
      </w:pPr>
      <w:r>
        <w:rPr>
          <w:rStyle w:val="Funotenzeichen"/>
        </w:rPr>
        <w:footnoteRef/>
      </w:r>
      <w:r>
        <w:rPr>
          <w:i/>
        </w:rPr>
        <w:tab/>
        <w:t>Zufällig geriet sie</w:t>
      </w:r>
      <w:r>
        <w:rPr/>
        <w:t xml:space="preserv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62">
    <w:p>
      <w:pPr>
        <w:pStyle w:val="Funote"/>
        <w:rPr/>
      </w:pPr>
      <w:r>
        <w:rPr>
          <w:rStyle w:val="Funotenzeichen"/>
        </w:rPr>
        <w:footnoteRef/>
      </w:r>
      <w:r>
        <w:rPr/>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63">
    <w:p>
      <w:pPr>
        <w:pStyle w:val="Funote"/>
        <w:rPr/>
      </w:pPr>
      <w:r>
        <w:rPr>
          <w:rStyle w:val="Funotenzeichen"/>
        </w:rPr>
        <w:footnoteRef/>
      </w:r>
      <w:r>
        <w:rPr/>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64">
    <w:p>
      <w:pPr>
        <w:pStyle w:val="Funote"/>
        <w:rPr/>
      </w:pPr>
      <w:r>
        <w:rPr>
          <w:rStyle w:val="Funotenzeichen"/>
        </w:rPr>
        <w:footnoteRef/>
      </w:r>
      <w:r>
        <w:rPr>
          <w:i/>
        </w:rPr>
        <w:tab/>
        <w:t>Junge (Angestelltem)</w:t>
      </w:r>
      <w:r>
        <w:rPr/>
        <w:t xml:space="preserve"> - W. „Junge“, doch bezeichnet das Wort hier wie oft recht sicher das Dienstverhältnis (für angestellte Feldarbeiter auch in </w:t>
      </w:r>
      <w:r>
        <w:fldChar w:fldCharType="begin"/>
      </w:r>
      <w:r>
        <w:rPr>
          <w:rStyle w:val="Internetverknpfung"/>
        </w:rPr>
        <w:instrText> HYPERLINK "../../../../../../../../../wiki/Ijob_1" \l "s5"</w:instrText>
      </w:r>
      <w:r>
        <w:rPr>
          <w:rStyle w:val="Internetverknpfung"/>
        </w:rPr>
        <w:fldChar w:fldCharType="separate"/>
      </w:r>
      <w:r>
        <w:rPr>
          <w:rStyle w:val="Internetverknpfung"/>
        </w:rPr>
        <w:t>Ijob 1,5</w:t>
      </w:r>
      <w:r>
        <w:rPr>
          <w:rStyle w:val="Internetverknpfung"/>
        </w:rPr>
        <w:fldChar w:fldCharType="end"/>
      </w:r>
      <w:r>
        <w:rPr/>
        <w:t xml:space="preserve">).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w:t>
      </w:r>
      <w:hyperlink r:id="rId28">
        <w:r>
          <w:rPr>
            <w:rStyle w:val="Internetverknpfung"/>
          </w:rPr>
          <w:t>Mt 20,8</w:t>
        </w:r>
      </w:hyperlink>
      <w:r>
        <w:rPr/>
        <w:t xml:space="preserve">; </w:t>
      </w:r>
      <w:hyperlink r:id="rId29">
        <w:r>
          <w:rPr>
            <w:rStyle w:val="Internetverknpfung"/>
          </w:rPr>
          <w:t>Lk 12,42</w:t>
        </w:r>
      </w:hyperlink>
      <w:r>
        <w:rPr/>
        <w:t xml:space="preserve"> handelt und dass dieser in Abwesenheit seines Herrn weitere „Jungen“ und „Mädchen“ - nämlich Lohnarbeiter - einstellen konnte, die Boas daher auch nicht kennen musste.</w:t>
      </w:r>
    </w:p>
  </w:footnote>
  <w:footnote w:id="1065">
    <w:p>
      <w:pPr>
        <w:pStyle w:val="Funote"/>
        <w:rPr/>
      </w:pPr>
      <w:r>
        <w:rPr>
          <w:rStyle w:val="Funotenzeichen"/>
        </w:rPr>
        <w:footnoteRef/>
      </w:r>
      <w:r>
        <w:rPr/>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66">
    <w:p>
      <w:pPr>
        <w:pStyle w:val="Funote"/>
        <w:rPr/>
      </w:pPr>
      <w:r>
        <w:rPr>
          <w:rStyle w:val="Funotenzeichen"/>
        </w:rPr>
        <w:footnoteRef/>
      </w:r>
      <w:r>
        <w:rPr/>
        <w:tab/>
        <w:t xml:space="preserve">Zu </w:t>
      </w:r>
      <w:r>
        <w:rPr>
          <w:i/>
        </w:rPr>
        <w:t>aus {</w:t>
      </w:r>
      <w:r>
        <w:rPr>
          <w:i/>
          <w:strike/>
        </w:rPr>
        <w:t>dem Gebiet</w:t>
      </w:r>
      <w:r>
        <w:rPr>
          <w:i/>
        </w:rPr>
        <w:t>} (von den Feldern von) Moab</w:t>
      </w:r>
      <w:r>
        <w:rPr/>
        <w:t xml:space="preserve"> s. </w:t>
      </w:r>
      <w:r>
        <w:fldChar w:fldCharType="begin"/>
      </w:r>
      <w:r>
        <w:rPr>
          <w:rStyle w:val="Internetverknpfung"/>
        </w:rPr>
        <w:instrText> HYPERLINK "http://www.offene-bibel.de/wiki/index.php5?title=Rut_1" \l "note_e"</w:instrText>
      </w:r>
      <w:r>
        <w:rPr>
          <w:rStyle w:val="Internetverknpfung"/>
        </w:rPr>
        <w:fldChar w:fldCharType="separate"/>
      </w:r>
      <w:r>
        <w:rPr>
          <w:rStyle w:val="Internetverknpfung"/>
        </w:rPr>
        <w:t>FN e</w:t>
      </w:r>
      <w:r>
        <w:rPr>
          <w:rStyle w:val="Internetverknpfung"/>
        </w:rPr>
        <w:fldChar w:fldCharType="end"/>
      </w:r>
      <w:r>
        <w:rPr/>
        <w:t xml:space="preserve"> zu </w:t>
      </w:r>
      <w:r>
        <w:fldChar w:fldCharType="begin"/>
      </w:r>
      <w:r>
        <w:rPr>
          <w:rStyle w:val="Internetverknpfung"/>
        </w:rPr>
        <w:instrText> HYPERLINK "../../../../../../../../../wiki/Rut_1" \l "s1"</w:instrText>
      </w:r>
      <w:r>
        <w:rPr>
          <w:rStyle w:val="Internetverknpfung"/>
        </w:rPr>
        <w:fldChar w:fldCharType="separate"/>
      </w:r>
      <w:r>
        <w:rPr>
          <w:rStyle w:val="Internetverknpfung"/>
        </w:rPr>
        <w:t>Rut 1,1.6.22</w:t>
      </w:r>
      <w:r>
        <w:rPr>
          <w:rStyle w:val="Internetverknpfung"/>
        </w:rPr>
        <w:fldChar w:fldCharType="end"/>
      </w:r>
      <w:r>
        <w:rPr/>
        <w:t>.</w:t>
      </w:r>
    </w:p>
  </w:footnote>
  <w:footnote w:id="1067">
    <w:p>
      <w:pPr>
        <w:pStyle w:val="Funote"/>
        <w:rPr/>
      </w:pPr>
      <w:r>
        <w:rPr>
          <w:rStyle w:val="Funotenzeichen"/>
        </w:rPr>
        <w:footnoteRef/>
      </w:r>
      <w:r>
        <w:rPr/>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68">
    <w:p>
      <w:pPr>
        <w:pStyle w:val="Funote"/>
        <w:rPr/>
      </w:pPr>
      <w:r>
        <w:rPr>
          <w:rStyle w:val="Funotenzeichen"/>
        </w:rPr>
        <w:footnoteRef/>
      </w:r>
      <w:r>
        <w:rPr/>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69">
    <w:p>
      <w:pPr>
        <w:pStyle w:val="Funote"/>
        <w:rPr/>
      </w:pPr>
      <w:r>
        <w:rPr>
          <w:rStyle w:val="Funotenzeichen"/>
        </w:rPr>
        <w:footnoteRef/>
      </w:r>
      <w:r>
        <w:rPr/>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70">
    <w:p>
      <w:pPr>
        <w:pStyle w:val="Funote"/>
        <w:rPr/>
      </w:pPr>
      <w:r>
        <w:rPr>
          <w:rStyle w:val="Funotenzeichen"/>
        </w:rPr>
        <w:footnoteRef/>
      </w:r>
      <w:r>
        <w:rPr/>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71">
    <w:p>
      <w:pPr>
        <w:pStyle w:val="Funote"/>
        <w:rPr/>
      </w:pPr>
      <w:r>
        <w:rPr>
          <w:rStyle w:val="Funotenzeichen"/>
        </w:rPr>
        <w:footnoteRef/>
      </w:r>
      <w:r>
        <w:rPr/>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72">
    <w:p>
      <w:pPr>
        <w:pStyle w:val="Funote"/>
        <w:rPr/>
      </w:pPr>
      <w:r>
        <w:rPr>
          <w:rStyle w:val="Funotenzeichen"/>
        </w:rPr>
        <w:footnoteRef/>
      </w:r>
      <w:r>
        <w:rPr>
          <w:i/>
        </w:rPr>
        <w:tab/>
        <w:t>das sie abernten</w:t>
      </w:r>
      <w:r>
        <w:rPr/>
        <w:t xml:space="preserve"> - „sie“: maskulin, also die männlichen Erntearbeiter.</w:t>
      </w:r>
    </w:p>
  </w:footnote>
  <w:footnote w:id="1073">
    <w:p>
      <w:pPr>
        <w:pStyle w:val="Funote"/>
        <w:rPr/>
      </w:pPr>
      <w:r>
        <w:rPr>
          <w:rStyle w:val="Funotenzeichen"/>
        </w:rPr>
        <w:footnoteRef/>
      </w:r>
      <w:r>
        <w:rPr>
          <w:i/>
        </w:rPr>
        <w:tab/>
        <w:t>ihnen</w:t>
      </w:r>
      <w:r>
        <w:rPr/>
        <w:t xml:space="preserve">: feminin. Entweder also die weiblichen Garbenbinderinnen, dann „folge ihnen“, oder die anderen Frauen, die Nachlese halten; dann „gehe an ihrer Seite“ (zu </w:t>
      </w:r>
      <w:r>
        <w:rPr>
          <w:i/>
        </w:rPr>
        <w:t>´achar</w:t>
      </w:r>
      <w:r>
        <w:rPr/>
        <w:t xml:space="preserve"> als „(zusammen) mit“ s. </w:t>
      </w:r>
      <w:r>
        <w:fldChar w:fldCharType="begin"/>
      </w:r>
      <w:r>
        <w:rPr>
          <w:rStyle w:val="Internetverknpfung"/>
        </w:rPr>
        <w:instrText> HYPERLINK "http://www.offene-bibel.de/wiki/?title=Special%3ABibelstelle_aufschlagen&amp;abk=Rut+1" \l "note_aq"</w:instrText>
      </w:r>
      <w:r>
        <w:rPr>
          <w:rStyle w:val="Internetverknpfung"/>
        </w:rPr>
        <w:fldChar w:fldCharType="separate"/>
      </w:r>
      <w:r>
        <w:rPr>
          <w:rStyle w:val="Internetverknpfung"/>
        </w:rPr>
        <w:t>FN aq</w:t>
      </w:r>
      <w:r>
        <w:rPr>
          <w:rStyle w:val="Internetverknpfung"/>
        </w:rPr>
        <w:fldChar w:fldCharType="end"/>
      </w:r>
      <w:r>
        <w:rPr/>
        <w:t xml:space="preserve"> zu </w:t>
      </w:r>
      <w:r>
        <w:fldChar w:fldCharType="begin"/>
      </w:r>
      <w:r>
        <w:rPr>
          <w:rStyle w:val="Internetverknpfung"/>
        </w:rPr>
        <w:instrText> HYPERLINK "../../../../../../../../../wiki/Rut_1" \l "s15"</w:instrText>
      </w:r>
      <w:r>
        <w:rPr>
          <w:rStyle w:val="Internetverknpfung"/>
        </w:rPr>
        <w:fldChar w:fldCharType="separate"/>
      </w:r>
      <w:r>
        <w:rPr>
          <w:rStyle w:val="Internetverknpfung"/>
        </w:rPr>
        <w:t>Rut 1,15</w:t>
      </w:r>
      <w:r>
        <w:rPr>
          <w:rStyle w:val="Internetverknpfung"/>
        </w:rPr>
        <w:fldChar w:fldCharType="end"/>
      </w:r>
      <w:r>
        <w:rPr/>
        <w:t>). Aber der letzte weibliche Referent sind „meine Mädchen“, daher ist die erste Option doch sehr viel wahrscheinlicher.</w:t>
      </w:r>
    </w:p>
  </w:footnote>
  <w:footnote w:id="1074">
    <w:p>
      <w:pPr>
        <w:pStyle w:val="Funote"/>
        <w:rPr/>
      </w:pPr>
      <w:r>
        <w:rPr>
          <w:rStyle w:val="Funotenzeichen"/>
        </w:rPr>
        <w:footnoteRef/>
      </w:r>
      <w:r>
        <w:rPr/>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75">
    <w:p>
      <w:pPr>
        <w:pStyle w:val="Funote"/>
        <w:rPr/>
      </w:pPr>
      <w:r>
        <w:rPr>
          <w:rStyle w:val="Funotenzeichen"/>
        </w:rPr>
        <w:footnoteRef/>
      </w:r>
      <w:r>
        <w:rPr>
          <w:i/>
        </w:rPr>
        <w:tab/>
        <w:t>Gefallen in deinen Augen gefunden</w:t>
      </w:r>
      <w:r>
        <w:rPr/>
        <w:t xml:space="preserve">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w:t>
      </w:r>
      <w:r>
        <w:rPr>
          <w:i/>
        </w:rPr>
        <w:t>lähakireni</w:t>
      </w:r>
      <w:r>
        <w:rPr/>
        <w:t xml:space="preserve">, von </w:t>
      </w:r>
      <w:r>
        <w:rPr>
          <w:i/>
        </w:rPr>
        <w:t>nakar</w:t>
      </w:r>
      <w:r>
        <w:rPr/>
        <w:t xml:space="preserve"> „beachten“), obwohl ich doch Ausländerin (</w:t>
      </w:r>
      <w:r>
        <w:rPr>
          <w:i/>
        </w:rPr>
        <w:t>nokrijah</w:t>
      </w:r>
      <w:r>
        <w:rPr/>
        <w:t>) bin?“</w:t>
      </w:r>
    </w:p>
  </w:footnote>
  <w:footnote w:id="1076">
    <w:p>
      <w:pPr>
        <w:pStyle w:val="Funote"/>
        <w:rPr/>
      </w:pPr>
      <w:r>
        <w:rPr>
          <w:rStyle w:val="Funotenzeichen"/>
        </w:rPr>
        <w:footnoteRef/>
      </w:r>
      <w:r>
        <w:rPr>
          <w:i/>
        </w:rPr>
        <w:tab/>
        <w:t>{</w:t>
      </w:r>
      <w:r>
        <w:rPr>
          <w:i/>
          <w:strike/>
        </w:rPr>
        <w:t>und sagte zu</w:t>
      </w:r>
      <w:r>
        <w:rPr>
          <w:i/>
        </w:rPr>
        <w:t>}</w:t>
      </w:r>
      <w:r>
        <w:rPr/>
        <w:t xml:space="preserve"> (V. 11) + </w:t>
      </w:r>
      <w:r>
        <w:rPr>
          <w:i/>
        </w:rPr>
        <w:t>{</w:t>
      </w:r>
      <w:r>
        <w:rPr>
          <w:i/>
          <w:strike/>
        </w:rPr>
        <w:t>indem er sagte</w:t>
      </w:r>
      <w:r>
        <w:rPr>
          <w:i/>
        </w:rPr>
        <w:t>}</w:t>
      </w:r>
      <w:r>
        <w:rPr/>
        <w:t xml:space="preserve"> (V. 15) - Doppelte Redeeinleitung finden sich sehr häufig im Hebräischen und sind dort ganz gewöhnlich. Im Deutschen können sie ohne Bedeutungsverlust gestrichen werden.</w:t>
      </w:r>
    </w:p>
  </w:footnote>
  <w:footnote w:id="1077">
    <w:p>
      <w:pPr>
        <w:pStyle w:val="Funote"/>
        <w:rPr/>
      </w:pPr>
      <w:r>
        <w:rPr>
          <w:rStyle w:val="Funotenzeichen"/>
        </w:rPr>
        <w:footnoteRef/>
      </w:r>
      <w:r>
        <w:rPr/>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78">
    <w:p>
      <w:pPr>
        <w:pStyle w:val="Funote"/>
        <w:rPr/>
      </w:pPr>
      <w:r>
        <w:rPr>
          <w:rStyle w:val="Funotenzeichen"/>
        </w:rPr>
        <w:footnoteRef/>
      </w:r>
      <w:r>
        <w:rPr>
          <w:i/>
        </w:rPr>
        <w:tab/>
        <w:t>was du für deine Schwiegermutter nach dem Tod deines Mannes getan hast</w:t>
      </w:r>
      <w:r>
        <w:rPr/>
        <w:t xml:space="preserve"> - Ein „Segens-Update“: Noomi wünscht ihren Töchtern den Segen Gottes für alles, </w:t>
      </w:r>
      <w:r>
        <w:rPr>
          <w:i/>
        </w:rPr>
        <w:t>was sie ihr und ihren Ehemännern</w:t>
      </w:r>
      <w:r>
        <w:rPr/>
        <w:t xml:space="preserve"> getan haben (</w:t>
      </w:r>
      <w:r>
        <w:fldChar w:fldCharType="begin"/>
      </w:r>
      <w:r>
        <w:rPr>
          <w:rStyle w:val="Internetverknpfung"/>
        </w:rPr>
        <w:instrText> HYPERLINK "../../../../../../../../../wiki/Rut_1" \l "s8"</w:instrText>
      </w:r>
      <w:r>
        <w:rPr>
          <w:rStyle w:val="Internetverknpfung"/>
        </w:rPr>
        <w:fldChar w:fldCharType="separate"/>
      </w:r>
      <w:r>
        <w:rPr>
          <w:rStyle w:val="Internetverknpfung"/>
        </w:rPr>
        <w:t>Rut 1,8</w:t>
      </w:r>
      <w:r>
        <w:rPr>
          <w:rStyle w:val="Internetverknpfung"/>
        </w:rPr>
        <w:fldChar w:fldCharType="end"/>
      </w:r>
      <w:r>
        <w:rPr/>
        <w:t xml:space="preserve">); Boas nun wünscht Rut Gottes Segen für alles, was sie in der Zwischenzeit, nämlich </w:t>
      </w:r>
      <w:r>
        <w:rPr>
          <w:i/>
        </w:rPr>
        <w:t>nach dem Tod ihres Mannes für ihre Schwiegermutter</w:t>
      </w:r>
      <w:r>
        <w:rPr/>
        <w:t xml:space="preserve"> getan hat.</w:t>
      </w:r>
    </w:p>
  </w:footnote>
  <w:footnote w:id="1079">
    <w:p>
      <w:pPr>
        <w:pStyle w:val="Funote"/>
        <w:rPr/>
      </w:pPr>
      <w:r>
        <w:rPr>
          <w:rStyle w:val="Funotenzeichen"/>
        </w:rPr>
        <w:footnoteRef/>
      </w:r>
      <w:r>
        <w:rPr>
          <w:i/>
        </w:rPr>
        <w:tab/>
        <w:t>vorher (gestern vorgestern)</w:t>
      </w:r>
      <w:r>
        <w:rPr/>
        <w:t xml:space="preserve"> - W. „gestern vorgestern“; ein Idiom für „vorher, früher“.</w:t>
      </w:r>
    </w:p>
  </w:footnote>
  <w:footnote w:id="1080">
    <w:p>
      <w:pPr>
        <w:pStyle w:val="Funote"/>
        <w:rPr/>
      </w:pPr>
      <w:r>
        <w:rPr>
          <w:rStyle w:val="Funotenzeichen"/>
        </w:rPr>
        <w:footnoteRef/>
      </w:r>
      <w:r>
        <w:rPr/>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81">
    <w:p>
      <w:pPr>
        <w:pStyle w:val="Funote"/>
        <w:rPr/>
      </w:pPr>
      <w:r>
        <w:rPr>
          <w:rStyle w:val="Funotenzeichen"/>
        </w:rPr>
        <w:footnoteRef/>
      </w:r>
      <w:r>
        <w:rPr/>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82">
    <w:p>
      <w:pPr>
        <w:pStyle w:val="Funote"/>
        <w:rPr/>
      </w:pPr>
      <w:r>
        <w:rPr>
          <w:rStyle w:val="Funotenzeichen"/>
        </w:rPr>
        <w:footnoteRef/>
      </w:r>
      <w:r>
        <w:rPr/>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83">
    <w:p>
      <w:pPr>
        <w:pStyle w:val="Funote"/>
        <w:rPr/>
      </w:pPr>
      <w:r>
        <w:rPr>
          <w:rStyle w:val="Funotenzeichen"/>
        </w:rPr>
        <w:footnoteRef/>
      </w:r>
      <w:r>
        <w:rPr/>
        <w:tab/>
        <w:t>zum Herzen deiner Magd gesprochen hast - Idiom sowohl für »trösten« (s. noch Gen 50,21; Jes 40,2) als auch für »Mut zusprechen« (s. noch 2 Sam 19,8; 2 Chr 30,22; 32,6). Wahrscheinlich ist hier beides im Blick (so auch Campbell 1975, S. 100).</w:t>
      </w:r>
    </w:p>
  </w:footnote>
  <w:footnote w:id="1084">
    <w:p>
      <w:pPr>
        <w:pStyle w:val="Funote"/>
        <w:rPr/>
      </w:pPr>
      <w:r>
        <w:rPr>
          <w:rStyle w:val="Funotenzeichen"/>
        </w:rPr>
        <w:footnoteRef/>
      </w:r>
      <w:r>
        <w:rPr/>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85">
    <w:p>
      <w:pPr>
        <w:pStyle w:val="Funote"/>
        <w:rPr/>
      </w:pPr>
      <w:r>
        <w:rPr>
          <w:rStyle w:val="Funotenzeichen"/>
        </w:rPr>
        <w:footnoteRef/>
      </w:r>
      <w:r>
        <w:rPr/>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86">
    <w:p>
      <w:pPr>
        <w:pStyle w:val="Funote"/>
        <w:rPr/>
      </w:pPr>
      <w:r>
        <w:rPr>
          <w:rStyle w:val="Funotenzeichen"/>
        </w:rPr>
        <w:footnoteRef/>
      </w:r>
      <w:r>
        <w:rPr/>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87">
    <w:p>
      <w:pPr>
        <w:pStyle w:val="Funote"/>
        <w:rPr/>
      </w:pPr>
      <w:r>
        <w:rPr>
          <w:rStyle w:val="Funotenzeichen"/>
        </w:rPr>
        <w:footnoteRef/>
      </w:r>
      <w:r>
        <w:rPr/>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088">
    <w:p>
      <w:pPr>
        <w:pStyle w:val="Funote"/>
        <w:rPr/>
      </w:pPr>
      <w:r>
        <w:rPr>
          <w:rStyle w:val="Funotenzeichen"/>
        </w:rPr>
        <w:footnoteRef/>
      </w:r>
      <w:r>
        <w:rPr>
          <w:i/>
        </w:rPr>
        <w:tab/>
        <w:t>Röstkorn</w:t>
      </w:r>
      <w:r>
        <w:rPr/>
        <w:t xml:space="preserve"> - Über dem Feuer geröstete Getreidekörner; ein im Alten Orient (und noch heute) verbreiteter Snack.</w:t>
      </w:r>
    </w:p>
  </w:footnote>
  <w:footnote w:id="1089">
    <w:p>
      <w:pPr>
        <w:pStyle w:val="Funote"/>
        <w:rPr/>
      </w:pPr>
      <w:r>
        <w:rPr>
          <w:rStyle w:val="Funotenzeichen"/>
        </w:rPr>
        <w:footnoteRef/>
      </w:r>
      <w:r>
        <w:rPr/>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090">
    <w:p>
      <w:pPr>
        <w:pStyle w:val="Funote"/>
        <w:rPr/>
      </w:pPr>
      <w:r>
        <w:rPr>
          <w:rStyle w:val="Funotenzeichen"/>
        </w:rPr>
        <w:footnoteRef/>
      </w:r>
      <w:r>
        <w:rPr/>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091">
    <w:p>
      <w:pPr>
        <w:pStyle w:val="Funote"/>
        <w:rPr/>
      </w:pPr>
      <w:r>
        <w:rPr>
          <w:rStyle w:val="Funotenzeichen"/>
        </w:rPr>
        <w:footnoteRef/>
      </w:r>
      <w:r>
        <w:rPr/>
        <w:tab/>
        <w:t>Handbündel - Die beim Ernten in der linken Hand gehaltenen Ährenbündel; s. die Anmerkungen und vgl. z.B. Dalman 1933, S. 42; Humbert 1950, S. 206f.; Vogelstein 1894, S. 62.</w:t>
      </w:r>
    </w:p>
  </w:footnote>
  <w:footnote w:id="1092">
    <w:p>
      <w:pPr>
        <w:pStyle w:val="Funote"/>
        <w:rPr/>
      </w:pPr>
      <w:r>
        <w:rPr>
          <w:rStyle w:val="Funotenzeichen"/>
        </w:rPr>
        <w:footnoteRef/>
      </w:r>
      <w:r>
        <w:rPr>
          <w:i/>
        </w:rPr>
        <w:tab/>
        <w:t>klopfte aus</w:t>
      </w:r>
      <w:r>
        <w:rPr/>
        <w:t xml:space="preserve"> - dazu s. die Anmerkungen</w:t>
      </w:r>
    </w:p>
  </w:footnote>
  <w:footnote w:id="1093">
    <w:p>
      <w:pPr>
        <w:pStyle w:val="Funote"/>
        <w:rPr/>
      </w:pPr>
      <w:r>
        <w:rPr>
          <w:rStyle w:val="Funotenzeichen"/>
        </w:rPr>
        <w:footnoteRef/>
      </w:r>
      <w:r>
        <w:rPr/>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094">
    <w:p>
      <w:pPr>
        <w:pStyle w:val="Funote"/>
        <w:rPr/>
      </w:pPr>
      <w:r>
        <w:rPr>
          <w:rStyle w:val="Funotenzeichen"/>
        </w:rPr>
        <w:footnoteRef/>
      </w:r>
      <w:r>
        <w:rPr>
          <w:i/>
        </w:rPr>
        <w:tab/>
        <w:t>hob es auf (wuchtete es hoch)</w:t>
      </w:r>
      <w:r>
        <w:rPr/>
        <w:t xml:space="preserve"> - W. „hob es auf“; vermutlich expliziert, um das Gewicht ihres Ertrags zu betonen; daher besser „wuchtete es hoch“ o.Ä.</w:t>
      </w:r>
    </w:p>
  </w:footnote>
  <w:footnote w:id="1095">
    <w:p>
      <w:pPr>
        <w:pStyle w:val="Funote"/>
        <w:rPr/>
      </w:pPr>
      <w:r>
        <w:rPr>
          <w:rStyle w:val="Funotenzeichen"/>
        </w:rPr>
        <w:footnoteRef/>
      </w:r>
      <w:r>
        <w:rPr/>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096">
    <w:p>
      <w:pPr>
        <w:pStyle w:val="Funote"/>
        <w:rPr/>
      </w:pPr>
      <w:r>
        <w:rPr>
          <w:rStyle w:val="Funotenzeichen"/>
        </w:rPr>
        <w:footnoteRef/>
      </w:r>
      <w:r>
        <w:rPr/>
        <w:tab/>
        <w:t>Wo - Das Heb. verwendet in dieser Frage zwei verschiedene Wörter für »wo« - vermutlich deshalb, weil das erste (´ephoh) ähnlich klingt wie »Efa« (´epha; so gut Zakovitch 1999, S. 126) - Ruts großer Ertrag ist es, der Noomis Frage provoziert.</w:t>
      </w:r>
    </w:p>
  </w:footnote>
  <w:footnote w:id="1097">
    <w:p>
      <w:pPr>
        <w:pStyle w:val="Funote"/>
        <w:rPr/>
      </w:pPr>
      <w:r>
        <w:rPr>
          <w:rStyle w:val="Funotenzeichen"/>
        </w:rPr>
        <w:footnoteRef/>
      </w:r>
      <w:r>
        <w:rPr>
          <w:i/>
        </w:rPr>
        <w:tab/>
        <w:t>der dich [wohlwollend] angesehen [hat]</w:t>
      </w:r>
      <w:r>
        <w:rPr/>
        <w:t xml:space="preserve"> - d.h., „dein Wohltäter“. Das selbe Verb wie in </w:t>
      </w:r>
      <w:r>
        <w:fldChar w:fldCharType="begin"/>
      </w:r>
      <w:r>
        <w:rPr>
          <w:rStyle w:val="Internetverknpfung"/>
        </w:rPr>
        <w:instrText> HYPERLINK "../../../../../../../../../wiki/Rut_2" \l "s10"</w:instrText>
      </w:r>
      <w:r>
        <w:rPr>
          <w:rStyle w:val="Internetverknpfung"/>
        </w:rPr>
        <w:fldChar w:fldCharType="separate"/>
      </w:r>
      <w:r>
        <w:rPr>
          <w:rStyle w:val="Internetverknpfung"/>
        </w:rPr>
        <w:t>V. 10</w:t>
      </w:r>
      <w:r>
        <w:rPr>
          <w:rStyle w:val="Internetverknpfung"/>
        </w:rPr>
        <w:fldChar w:fldCharType="end"/>
      </w:r>
      <w:r>
        <w:rPr/>
        <w:t>.</w:t>
      </w:r>
    </w:p>
  </w:footnote>
  <w:footnote w:id="1098">
    <w:p>
      <w:pPr>
        <w:pStyle w:val="Funote"/>
        <w:rPr/>
      </w:pPr>
      <w:r>
        <w:rPr>
          <w:rStyle w:val="Funotenzeichen"/>
        </w:rPr>
        <w:footnoteRef/>
      </w:r>
      <w:r>
        <w:rPr/>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099">
    <w:p>
      <w:pPr>
        <w:pStyle w:val="Funote"/>
        <w:rPr/>
      </w:pPr>
      <w:r>
        <w:rPr>
          <w:rStyle w:val="Funotenzeichen"/>
        </w:rPr>
        <w:footnoteRef/>
      </w:r>
      <w:r>
        <w:rPr/>
        <w:tab/>
        <w:t>der nicht von seiner Treue zu den Lebenden und den Toten abgelassen hat könnte sich sowohl auf jenen, d.h. Boas, oder auf JHWH beziehen. Wohl bewusst; s. die Anmerkungen zu Kapitel 3.</w:t>
      </w:r>
    </w:p>
  </w:footnote>
  <w:footnote w:id="1100">
    <w:p>
      <w:pPr>
        <w:pStyle w:val="Funote"/>
        <w:rPr/>
      </w:pPr>
      <w:r>
        <w:rPr>
          <w:rStyle w:val="Funotenzeichen"/>
        </w:rPr>
        <w:footnoteRef/>
      </w:r>
      <w:r>
        <w:rPr/>
        <w:tab/>
        <w:t>Und dann sagte - W. „Und sie sagte“, die redundante Redeeinleitung soll hier den Höhepunkt des Dialogs von Noomi und Rut markieren (vgl. Runge 2007, S. 169, FN 226).</w:t>
      </w:r>
    </w:p>
  </w:footnote>
  <w:footnote w:id="1101">
    <w:p>
      <w:pPr>
        <w:pStyle w:val="Funote"/>
        <w:rPr/>
      </w:pPr>
      <w:r>
        <w:rPr>
          <w:rStyle w:val="Funotenzeichen"/>
        </w:rPr>
        <w:footnoteRef/>
      </w:r>
      <w:r>
        <w:rPr/>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02">
    <w:p>
      <w:pPr>
        <w:pStyle w:val="Funote"/>
        <w:rPr/>
      </w:pPr>
      <w:r>
        <w:rPr>
          <w:rStyle w:val="Funotenzeichen"/>
        </w:rPr>
        <w:footnoteRef/>
      </w:r>
      <w:r>
        <w:rPr/>
        <w:tab/>
        <w:t>Dazu [kommt], dass - W. »Zusätzlich [ist (=gilt), dass]«. Gut Bertholet 1898, S. 62: »[... Dies] gibt die lebhafte Rede wieder: auch das noch muss ich beifügen, dass....«</w:t>
      </w:r>
    </w:p>
  </w:footnote>
  <w:footnote w:id="1103">
    <w:p>
      <w:pPr>
        <w:pStyle w:val="Funote"/>
        <w:rPr/>
      </w:pPr>
      <w:r>
        <w:rPr>
          <w:rStyle w:val="Funotenzeichen"/>
        </w:rPr>
        <w:footnoteRef/>
      </w:r>
      <w:r>
        <w:rPr/>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04">
    <w:p>
      <w:pPr>
        <w:pStyle w:val="Funote"/>
        <w:rPr/>
      </w:pPr>
      <w:r>
        <w:rPr>
          <w:rStyle w:val="Funotenzeichen"/>
        </w:rPr>
        <w:footnoteRef/>
      </w:r>
      <w:r>
        <w:rPr/>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05">
    <w:p>
      <w:pPr>
        <w:pStyle w:val="Funote"/>
        <w:rPr/>
      </w:pPr>
      <w:r>
        <w:rPr>
          <w:rStyle w:val="Funotenzeichen"/>
        </w:rPr>
        <w:footnoteRef/>
      </w:r>
      <w:r>
        <w:rPr/>
        <w:tab/>
        <w:t>JHWH</w:t>
      </w:r>
    </w:p>
  </w:footnote>
  <w:footnote w:id="1106">
    <w:p>
      <w:pPr>
        <w:pStyle w:val="Funote"/>
        <w:rPr/>
      </w:pPr>
      <w:r>
        <w:rPr>
          <w:rStyle w:val="Funotenzeichen"/>
        </w:rPr>
        <w:footnoteRef/>
      </w:r>
      <w:r>
        <w:rPr/>
        <w:tab/>
        <w:t>[Zu dieser vgl. v.a. Novick 2011.]</w:t>
      </w:r>
    </w:p>
  </w:footnote>
  <w:footnote w:id="1107">
    <w:p>
      <w:pPr>
        <w:pStyle w:val="Funote"/>
        <w:rPr/>
      </w:pPr>
      <w:r>
        <w:rPr>
          <w:rStyle w:val="Funotenzeichen"/>
        </w:rPr>
        <w:footnoteRef/>
      </w:r>
      <w:r>
        <w:rPr/>
        <w:tab/>
        <w:t>JHWH</w:t>
      </w:r>
    </w:p>
  </w:footnote>
  <w:footnote w:id="1108">
    <w:p>
      <w:pPr>
        <w:pStyle w:val="Funote"/>
        <w:rPr/>
      </w:pPr>
      <w:r>
        <w:rPr>
          <w:rStyle w:val="Funotenzeichen"/>
        </w:rPr>
        <w:footnoteRef/>
      </w:r>
      <w:r>
        <w:rPr/>
        <w:tab/>
        <w:t>JHWH</w:t>
      </w:r>
    </w:p>
  </w:footnote>
  <w:footnote w:id="1109">
    <w:p>
      <w:pPr>
        <w:pStyle w:val="Funote"/>
        <w:rPr/>
      </w:pPr>
      <w:r>
        <w:rPr>
          <w:rStyle w:val="Funotenzeichen"/>
        </w:rPr>
        <w:footnoteRef/>
      </w:r>
      <w:r>
        <w:rPr/>
        <w:tab/>
        <w:t>[Vgl. Frevel 1992, S. 79]</w:t>
      </w:r>
    </w:p>
  </w:footnote>
  <w:footnote w:id="1110">
    <w:p>
      <w:pPr>
        <w:pStyle w:val="Funote"/>
        <w:rPr/>
      </w:pPr>
      <w:r>
        <w:rPr>
          <w:rStyle w:val="Funotenzeichen"/>
        </w:rPr>
        <w:footnoteRef/>
      </w:r>
      <w:r>
        <w:rPr/>
        <w:tab/>
        <w:t>JHWH</w:t>
      </w:r>
    </w:p>
  </w:footnote>
  <w:footnote w:id="1111">
    <w:p>
      <w:pPr>
        <w:pStyle w:val="Funote"/>
        <w:rPr/>
      </w:pPr>
      <w:r>
        <w:rPr>
          <w:rStyle w:val="Funotenzeichen"/>
        </w:rPr>
        <w:footnoteRef/>
      </w:r>
      <w:r>
        <w:rPr/>
        <w:tab/>
        <w:t>[Vgl. Collins 1993, S. 100; Halton 2012, S. 37; Thompson 1993, S. 210]</w:t>
      </w:r>
    </w:p>
  </w:footnote>
  <w:footnote w:id="1112">
    <w:p>
      <w:pPr>
        <w:pStyle w:val="Funote"/>
        <w:rPr/>
      </w:pPr>
      <w:r>
        <w:rPr>
          <w:rStyle w:val="Funotenzeichen"/>
        </w:rPr>
        <w:footnoteRef/>
      </w:r>
      <w:r>
        <w:rPr/>
        <w:tab/>
        <w:t>JHWH</w:t>
      </w:r>
    </w:p>
  </w:footnote>
  <w:footnote w:id="1113">
    <w:p>
      <w:pPr>
        <w:pStyle w:val="Funote"/>
        <w:rPr/>
      </w:pPr>
      <w:r>
        <w:rPr>
          <w:rStyle w:val="Funotenzeichen"/>
        </w:rPr>
        <w:footnoteRef/>
      </w:r>
      <w:r>
        <w:rPr/>
        <w:tab/>
        <w:t>[Vgl. Gordis 1974, S. 241]</w:t>
      </w:r>
    </w:p>
  </w:footnote>
  <w:footnote w:id="1114">
    <w:p>
      <w:pPr>
        <w:pStyle w:val="Funote"/>
        <w:rPr/>
      </w:pPr>
      <w:r>
        <w:rPr>
          <w:rStyle w:val="Funotenzeichen"/>
        </w:rPr>
        <w:footnoteRef/>
      </w:r>
      <w:r>
        <w:rPr/>
        <w:tab/>
        <w:t>JHWH</w:t>
      </w:r>
    </w:p>
  </w:footnote>
  <w:footnote w:id="1115">
    <w:p>
      <w:pPr>
        <w:pStyle w:val="Funote"/>
        <w:rPr/>
      </w:pPr>
      <w:r>
        <w:rPr>
          <w:rStyle w:val="Funotenzeichen"/>
        </w:rPr>
        <w:footnoteRef/>
      </w:r>
      <w:r>
        <w:rPr/>
        <w:tab/>
        <w:t>[Vgl. z.B. Landy 1994, S. 297]</w:t>
      </w:r>
    </w:p>
  </w:footnote>
  <w:footnote w:id="1116">
    <w:p>
      <w:pPr>
        <w:pStyle w:val="Funote"/>
        <w:rPr/>
      </w:pPr>
      <w:r>
        <w:rPr>
          <w:rStyle w:val="Funotenzeichen"/>
        </w:rPr>
        <w:footnoteRef/>
      </w:r>
      <w:r>
        <w:rPr/>
        <w:tab/>
        <w:t>JHWH</w:t>
      </w:r>
    </w:p>
  </w:footnote>
  <w:footnote w:id="1117">
    <w:p>
      <w:pPr>
        <w:pStyle w:val="Funote"/>
        <w:rPr/>
      </w:pPr>
      <w:r>
        <w:rPr>
          <w:rStyle w:val="Funotenzeichen"/>
        </w:rPr>
        <w:footnoteRef/>
      </w:r>
      <w:r>
        <w:rPr/>
        <w:tab/>
        <w:t>[Vgl. Köhlmoos 2010, S. 63]</w:t>
      </w:r>
    </w:p>
  </w:footnote>
  <w:footnote w:id="1118">
    <w:p>
      <w:pPr>
        <w:pStyle w:val="Funote"/>
        <w:rPr/>
      </w:pPr>
      <w:r>
        <w:rPr>
          <w:rStyle w:val="Funotenzeichen"/>
        </w:rPr>
        <w:footnoteRef/>
      </w:r>
      <w:r>
        <w:rPr/>
        <w:tab/>
        <w:t>JHWH</w:t>
      </w:r>
    </w:p>
  </w:footnote>
  <w:footnote w:id="1119">
    <w:p>
      <w:pPr>
        <w:pStyle w:val="Funote"/>
        <w:rPr/>
      </w:pPr>
      <w:r>
        <w:rPr>
          <w:rStyle w:val="Funotenzeichen"/>
        </w:rPr>
        <w:footnoteRef/>
      </w:r>
      <w:r>
        <w:rPr/>
        <w:tab/>
        <w:t>JHWH</w:t>
      </w:r>
    </w:p>
  </w:footnote>
  <w:footnote w:id="1120">
    <w:p>
      <w:pPr>
        <w:pStyle w:val="Funote"/>
        <w:rPr/>
      </w:pPr>
      <w:r>
        <w:rPr>
          <w:rStyle w:val="Funotenzeichen"/>
        </w:rPr>
        <w:footnoteRef/>
      </w:r>
      <w:r>
        <w:rPr/>
        <w:tab/>
        <w:t>JHWH</w:t>
      </w:r>
    </w:p>
  </w:footnote>
  <w:footnote w:id="1121">
    <w:p>
      <w:pPr>
        <w:pStyle w:val="Funote"/>
        <w:rPr/>
      </w:pPr>
      <w:r>
        <w:rPr>
          <w:rStyle w:val="Funotenzeichen"/>
        </w:rPr>
        <w:footnoteRef/>
      </w:r>
      <w:r>
        <w:rPr/>
        <w:tab/>
        <w:t>JHWH</w:t>
      </w:r>
    </w:p>
  </w:footnote>
  <w:footnote w:id="1122">
    <w:p>
      <w:pPr>
        <w:pStyle w:val="Funote"/>
        <w:rPr/>
      </w:pPr>
      <w:r>
        <w:rPr>
          <w:rStyle w:val="Funotenzeichen"/>
        </w:rPr>
        <w:footnoteRef/>
      </w:r>
      <w:r>
        <w:rPr/>
        <w:tab/>
        <w:t>JHWH</w:t>
      </w:r>
    </w:p>
  </w:footnote>
  <w:footnote w:id="1123">
    <w:p>
      <w:pPr>
        <w:pStyle w:val="Funote"/>
        <w:rPr/>
      </w:pPr>
      <w:r>
        <w:rPr>
          <w:rStyle w:val="Funotenzeichen"/>
        </w:rPr>
        <w:footnoteRef/>
      </w:r>
      <w:r>
        <w:rPr/>
        <w:tab/>
        <w:t>JHWH</w:t>
      </w:r>
    </w:p>
  </w:footnote>
  <w:footnote w:id="1124">
    <w:p>
      <w:pPr>
        <w:pStyle w:val="Funote"/>
        <w:rPr/>
      </w:pPr>
      <w:r>
        <w:rPr>
          <w:rStyle w:val="Funotenzeichen"/>
        </w:rPr>
        <w:footnoteRef/>
      </w:r>
      <w:r>
        <w:rPr/>
        <w:tab/>
        <w:t>JHWH</w:t>
      </w:r>
    </w:p>
  </w:footnote>
  <w:footnote w:id="1125">
    <w:p>
      <w:pPr>
        <w:pStyle w:val="Funote"/>
        <w:rPr/>
      </w:pPr>
      <w:r>
        <w:rPr>
          <w:rStyle w:val="Funotenzeichen"/>
        </w:rPr>
        <w:footnoteRef/>
      </w:r>
      <w:r>
        <w:rPr/>
        <w:tab/>
        <w:t>[Status: Zuverlässig]</w:t>
      </w:r>
    </w:p>
  </w:footnote>
  <w:footnote w:id="1126">
    <w:p>
      <w:pPr>
        <w:pStyle w:val="Funote"/>
        <w:rPr/>
      </w:pPr>
      <w:r>
        <w:rPr>
          <w:rStyle w:val="Funotenzeichen"/>
        </w:rPr>
        <w:footnoteRef/>
      </w:r>
      <w:r>
        <w:rPr/>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27">
    <w:p>
      <w:pPr>
        <w:pStyle w:val="Funote"/>
        <w:rPr/>
      </w:pPr>
      <w:r>
        <w:rPr>
          <w:rStyle w:val="Funotenzeichen"/>
        </w:rPr>
        <w:footnoteRef/>
      </w:r>
      <w:r>
        <w:rPr>
          <w:i/>
        </w:rPr>
        <w:tab/>
        <w:t>Ruhe (eine Heimstatt)</w:t>
      </w:r>
      <w:r>
        <w:rPr/>
        <w:t xml:space="preserve"> - Heb. </w:t>
      </w:r>
      <w:r>
        <w:rPr>
          <w:i/>
        </w:rPr>
        <w:t>manoach</w:t>
      </w:r>
      <w:r>
        <w:rPr/>
        <w:t xml:space="preserve">, ein Synonym von </w:t>
      </w:r>
      <w:r>
        <w:rPr>
          <w:i/>
        </w:rPr>
        <w:t>menuchah</w:t>
      </w:r>
      <w:r>
        <w:rPr/>
        <w:t xml:space="preserve"> in </w:t>
      </w:r>
      <w:r>
        <w:fldChar w:fldCharType="begin"/>
      </w:r>
      <w:r>
        <w:rPr>
          <w:rStyle w:val="Internetverknpfung"/>
        </w:rPr>
        <w:instrText> HYPERLINK "../../../../../../../../../wiki/Rut_1" \l "s9"</w:instrText>
      </w:r>
      <w:r>
        <w:rPr>
          <w:rStyle w:val="Internetverknpfung"/>
        </w:rPr>
        <w:fldChar w:fldCharType="separate"/>
      </w:r>
      <w:r>
        <w:rPr>
          <w:rStyle w:val="Internetverknpfung"/>
        </w:rPr>
        <w:t>Rut 1,9</w:t>
      </w:r>
      <w:r>
        <w:rPr>
          <w:rStyle w:val="Internetverknpfung"/>
        </w:rPr>
        <w:fldChar w:fldCharType="end"/>
      </w:r>
      <w:r>
        <w:rPr/>
        <w:t xml:space="preserve"> (s. dazu </w:t>
      </w:r>
      <w:r>
        <w:fldChar w:fldCharType="begin"/>
      </w:r>
      <w:r>
        <w:rPr>
          <w:rStyle w:val="Internetverknpfung"/>
        </w:rPr>
        <w:instrText> HYPERLINK "http://www.offene-bibel.de/wiki/?title=Special%3ABibelstelle_aufschlagen&amp;abk=Rut+1" \l "note_aa"</w:instrText>
      </w:r>
      <w:r>
        <w:rPr>
          <w:rStyle w:val="Internetverknpfung"/>
        </w:rPr>
        <w:fldChar w:fldCharType="separate"/>
      </w:r>
      <w:r>
        <w:rPr>
          <w:rStyle w:val="Internetverknpfung"/>
        </w:rPr>
        <w:t>FN aa</w:t>
      </w:r>
      <w:r>
        <w:rPr>
          <w:rStyle w:val="Internetverknpfung"/>
        </w:rPr>
        <w:fldChar w:fldCharType="end"/>
      </w:r>
      <w:r>
        <w:rPr/>
        <w:t>): Noomi will Rut ein Heim verschaffen; d.h. hier: sie will sie „unter die Haube bringen“.</w:t>
      </w:r>
    </w:p>
  </w:footnote>
  <w:footnote w:id="1128">
    <w:p>
      <w:pPr>
        <w:pStyle w:val="Funote"/>
        <w:rPr/>
      </w:pPr>
      <w:r>
        <w:rPr>
          <w:rStyle w:val="Funotenzeichen"/>
        </w:rPr>
        <w:footnoteRef/>
      </w:r>
      <w:r>
        <w:rPr>
          <w:i/>
        </w:rPr>
        <w:tab/>
        <w:t>damit es dir gut geht</w:t>
      </w:r>
      <w:r>
        <w:rPr/>
        <w:t xml:space="preserve"> - häufige Formulierung in der Bibel, die bes. häufig mit dem Halten von JHWHs Geboten zusammenhängt: Hält man sie, „geht es einem gut“ (s. z.B. </w:t>
      </w:r>
      <w:hyperlink r:id="rId30">
        <w:r>
          <w:rPr>
            <w:rStyle w:val="Internetverknpfung"/>
          </w:rPr>
          <w:t>Dtn 4,40</w:t>
        </w:r>
      </w:hyperlink>
      <w:r>
        <w:rPr/>
        <w:t xml:space="preserve">; </w:t>
      </w:r>
      <w:r>
        <w:fldChar w:fldCharType="begin"/>
      </w:r>
      <w:r>
        <w:rPr>
          <w:rStyle w:val="Internetverknpfung"/>
        </w:rPr>
        <w:instrText> HYPERLINK "../../../../../../../../../wiki/Deuteronomium_12" \l "s28"</w:instrText>
      </w:r>
      <w:r>
        <w:rPr>
          <w:rStyle w:val="Internetverknpfung"/>
        </w:rPr>
        <w:fldChar w:fldCharType="separate"/>
      </w:r>
      <w:r>
        <w:rPr>
          <w:rStyle w:val="Internetverknpfung"/>
        </w:rPr>
        <w:t>Dtn 12,28</w:t>
      </w:r>
      <w:r>
        <w:rPr>
          <w:rStyle w:val="Internetverknpfung"/>
        </w:rPr>
        <w:fldChar w:fldCharType="end"/>
      </w:r>
      <w:r>
        <w:rPr/>
        <w:t xml:space="preserve">; </w:t>
      </w:r>
      <w:r>
        <w:fldChar w:fldCharType="begin"/>
      </w:r>
      <w:r>
        <w:rPr>
          <w:rStyle w:val="Internetverknpfung"/>
        </w:rPr>
        <w:instrText> HYPERLINK "../../../../../../../../../wiki/Jeremia_7" \l "s23"</w:instrText>
      </w:r>
      <w:r>
        <w:rPr>
          <w:rStyle w:val="Internetverknpfung"/>
        </w:rPr>
        <w:fldChar w:fldCharType="separate"/>
      </w:r>
      <w:r>
        <w:rPr>
          <w:rStyle w:val="Internetverknpfung"/>
        </w:rPr>
        <w:t>Jer 7,23</w:t>
      </w:r>
      <w:r>
        <w:rPr>
          <w:rStyle w:val="Internetverknpfung"/>
        </w:rPr>
        <w:fldChar w:fldCharType="end"/>
      </w:r>
      <w:r>
        <w:rPr/>
        <w:t xml:space="preserve">; </w:t>
      </w:r>
      <w:hyperlink r:id="rId31">
        <w:r>
          <w:rPr>
            <w:rStyle w:val="Internetverknpfung"/>
          </w:rPr>
          <w:t>Jer 38,20</w:t>
        </w:r>
      </w:hyperlink>
      <w:r>
        <w:rPr/>
        <w:t xml:space="preserve">; </w:t>
      </w:r>
      <w:hyperlink r:id="rId32">
        <w:r>
          <w:rPr>
            <w:rStyle w:val="Internetverknpfung"/>
          </w:rPr>
          <w:t>Jer 42,6</w:t>
        </w:r>
      </w:hyperlink>
      <w:r>
        <w:rPr/>
        <w:t xml:space="preserve"> u.ö.). Für sich genommen wäre das nicht besonders auffällig, aber vgl. noch </w:t>
      </w:r>
      <w:r>
        <w:fldChar w:fldCharType="begin"/>
      </w:r>
      <w:r>
        <w:rPr>
          <w:rStyle w:val="Internetverknpfung"/>
        </w:rPr>
        <w:instrText> HYPERLINK "http://www.offene-bibel.de/wiki/index.php5?title=Rut_3" \l "note_o"</w:instrText>
      </w:r>
      <w:r>
        <w:rPr>
          <w:rStyle w:val="Internetverknpfung"/>
        </w:rPr>
        <w:fldChar w:fldCharType="separate"/>
      </w:r>
      <w:r>
        <w:rPr>
          <w:rStyle w:val="Internetverknpfung"/>
        </w:rPr>
        <w:t>FN o</w:t>
      </w:r>
      <w:r>
        <w:rPr>
          <w:rStyle w:val="Internetverknpfung"/>
        </w:rPr>
        <w:fldChar w:fldCharType="end"/>
      </w:r>
      <w:r>
        <w:rPr/>
        <w:t xml:space="preserve"> zu Vers 6: Noomi erlässt hier </w:t>
      </w:r>
      <w:r>
        <w:rPr>
          <w:i/>
        </w:rPr>
        <w:t>Gebote</w:t>
      </w:r>
      <w:r>
        <w:rPr/>
        <w:t xml:space="preserve"> (s. die Anmerkungen)</w:t>
      </w:r>
    </w:p>
  </w:footnote>
  <w:footnote w:id="1129">
    <w:p>
      <w:pPr>
        <w:pStyle w:val="Funote"/>
        <w:rPr/>
      </w:pPr>
      <w:r>
        <w:rPr>
          <w:rStyle w:val="Funotenzeichen"/>
        </w:rPr>
        <w:footnoteRef/>
      </w:r>
      <w:r>
        <w:rPr/>
        <w:tab/>
        <w:t>Und weiter - W.: »und nun«; doch wä`attah dient hier wohl nur zur »Markierung eines neuen Gedankens« (Ges18, S. 1030); treffender ist daher obiger Übersetzungsvorschlag.</w:t>
      </w:r>
    </w:p>
  </w:footnote>
  <w:footnote w:id="1130">
    <w:p>
      <w:pPr>
        <w:pStyle w:val="Funote"/>
        <w:rPr/>
      </w:pPr>
      <w:r>
        <w:rPr>
          <w:rStyle w:val="Funotenzeichen"/>
        </w:rPr>
        <w:footnoteRef/>
      </w:r>
      <w:r>
        <w:rPr/>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31">
    <w:p>
      <w:pPr>
        <w:pStyle w:val="Funote"/>
        <w:rPr/>
      </w:pPr>
      <w:r>
        <w:rPr>
          <w:rStyle w:val="Funotenzeichen"/>
        </w:rPr>
        <w:footnoteRef/>
      </w:r>
      <w:r>
        <w:rPr/>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32">
    <w:p>
      <w:pPr>
        <w:pStyle w:val="Funote"/>
        <w:rPr/>
      </w:pPr>
      <w:r>
        <w:rPr>
          <w:rStyle w:val="Funotenzeichen"/>
        </w:rPr>
        <w:footnoteRef/>
      </w:r>
      <w:r>
        <w:rPr>
          <w:i/>
        </w:rPr>
        <w:tab/>
        <w:t>[Daher]</w:t>
      </w:r>
      <w:r>
        <w:rPr/>
        <w:t xml:space="preserve"> - Dass die Aufforderung in Vv. 3f aus Vv. 1f </w:t>
      </w:r>
      <w:r>
        <w:rPr>
          <w:i/>
        </w:rPr>
        <w:t>abgeleitet</w:t>
      </w:r>
      <w:r>
        <w:rPr/>
        <w:t xml:space="preserve"> wird, wird im Heb. nur durch die Wortform (Weqatal) markiert (eben daher auch Einsatz durch Weqatal statt Yiqtol).</w:t>
      </w:r>
    </w:p>
  </w:footnote>
  <w:footnote w:id="1133">
    <w:p>
      <w:pPr>
        <w:pStyle w:val="Funote"/>
        <w:rPr/>
      </w:pPr>
      <w:r>
        <w:rPr>
          <w:rStyle w:val="Funotenzeichen"/>
        </w:rPr>
        <w:footnoteRef/>
      </w:r>
      <w:r>
        <w:rPr/>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34">
    <w:p>
      <w:pPr>
        <w:pStyle w:val="Funote"/>
        <w:rPr/>
      </w:pPr>
      <w:r>
        <w:rPr>
          <w:rStyle w:val="Funotenzeichen"/>
        </w:rPr>
        <w:footnoteRef/>
      </w:r>
      <w:r>
        <w:rPr/>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35">
    <w:p>
      <w:pPr>
        <w:pStyle w:val="Funote"/>
        <w:rPr/>
      </w:pPr>
      <w:r>
        <w:rPr>
          <w:rStyle w:val="Funotenzeichen"/>
        </w:rPr>
        <w:footnoteRef/>
      </w:r>
      <w:r>
        <w:rPr/>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36">
    <w:p>
      <w:pPr>
        <w:pStyle w:val="Funote"/>
        <w:rPr/>
      </w:pPr>
      <w:r>
        <w:rPr>
          <w:rStyle w:val="Funotenzeichen"/>
        </w:rPr>
        <w:footnoteRef/>
      </w:r>
      <w:r>
        <w:rPr/>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37">
    <w:p>
      <w:pPr>
        <w:pStyle w:val="Funote"/>
        <w:rPr/>
      </w:pPr>
      <w:r>
        <w:rPr>
          <w:rStyle w:val="Funotenzeichen"/>
        </w:rPr>
        <w:footnoteRef/>
      </w:r>
      <w:r>
        <w:rPr/>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38">
    <w:p>
      <w:pPr>
        <w:pStyle w:val="Funote"/>
        <w:rPr/>
      </w:pPr>
      <w:r>
        <w:rPr>
          <w:rStyle w:val="Funotenzeichen"/>
        </w:rPr>
        <w:footnoteRef/>
      </w:r>
      <w:r>
        <w:rPr/>
        <w:tab/>
        <w:t>Textkritik: ([mir]) - Die Überlieferung des heb. Textes bietet beide Versionen; Ketiv und viele LXX- und VUL-Mss haben ohne »mir«; Qere, einige LXX- und VUL-Mss, Tg und Syr mit. Eine Entscheidung ist hier nicht möglich.</w:t>
      </w:r>
    </w:p>
  </w:footnote>
  <w:footnote w:id="1139">
    <w:p>
      <w:pPr>
        <w:pStyle w:val="Funote"/>
        <w:rPr/>
      </w:pPr>
      <w:r>
        <w:rPr>
          <w:rStyle w:val="Funotenzeichen"/>
        </w:rPr>
        <w:footnoteRef/>
      </w:r>
      <w:r>
        <w:rPr>
          <w:i/>
        </w:rPr>
        <w:tab/>
        <w:t>sagst (je sagen wirst)</w:t>
      </w:r>
      <w:r>
        <w:rPr/>
        <w:t xml:space="preserve"> - das Verb steht im Yiqtol; d.h.: Rut bezieht sich damit nicht (nur) auf Noomis Aufforderungen in Vv. 3f, sondern auf alles, was diese ihr je sagen wird.</w:t>
      </w:r>
    </w:p>
  </w:footnote>
  <w:footnote w:id="1140">
    <w:p>
      <w:pPr>
        <w:pStyle w:val="Funote"/>
        <w:rPr/>
      </w:pPr>
      <w:r>
        <w:rPr>
          <w:rStyle w:val="Funotenzeichen"/>
        </w:rPr>
        <w:footnoteRef/>
      </w:r>
      <w:r>
        <w:rPr/>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41">
    <w:p>
      <w:pPr>
        <w:pStyle w:val="Funote"/>
        <w:rPr/>
      </w:pPr>
      <w:r>
        <w:rPr>
          <w:rStyle w:val="Funotenzeichen"/>
        </w:rPr>
        <w:footnoteRef/>
      </w:r>
      <w:r>
        <w:rPr>
          <w:i/>
        </w:rPr>
        <w:tab/>
        <w:t>sein Herz wurde fröhlich</w:t>
      </w:r>
      <w:r>
        <w:rPr/>
        <w:t xml:space="preserve"> - heb. Idiom, dass sowohl bedeuten kann, dass Boas (vom Weingenuß) „betrunken wurde“ (s. z.B. </w:t>
      </w:r>
      <w:hyperlink r:id="rId33">
        <w:r>
          <w:rPr>
            <w:rStyle w:val="Internetverknpfung"/>
          </w:rPr>
          <w:t>1 Sam 25,36</w:t>
        </w:r>
      </w:hyperlink>
      <w:r>
        <w:rPr/>
        <w:t xml:space="preserve">) als auch nur, dass er „gut gelaunt“ war (s. z.B. </w:t>
      </w:r>
      <w:hyperlink r:id="rId34">
        <w:r>
          <w:rPr>
            <w:rStyle w:val="Internetverknpfung"/>
          </w:rPr>
          <w:t>1 Kön 8,66</w:t>
        </w:r>
      </w:hyperlink>
      <w:r>
        <w:rPr/>
        <w:t xml:space="preserve">). Da es hier als direkte Folge des Essens </w:t>
      </w:r>
      <w:r>
        <w:rPr>
          <w:i/>
        </w:rPr>
        <w:t>und Trinkens</w:t>
      </w:r>
      <w:r>
        <w:rPr/>
        <w:t xml:space="preserve"> genannt wird und wegen der Bezüge des Kapitels zu </w:t>
      </w:r>
      <w:r>
        <w:fldChar w:fldCharType="begin"/>
      </w:r>
      <w:r>
        <w:rPr>
          <w:rStyle w:val="Internetverknpfung"/>
        </w:rPr>
        <w:instrText> HYPERLINK "../../../../../../../../../wiki/Genesis_19" \l "s30"</w:instrText>
      </w:r>
      <w:r>
        <w:rPr>
          <w:rStyle w:val="Internetverknpfung"/>
        </w:rPr>
        <w:fldChar w:fldCharType="separate"/>
      </w:r>
      <w:r>
        <w:rPr>
          <w:rStyle w:val="Internetverknpfung"/>
        </w:rPr>
        <w:t>Gen 19,30-38</w:t>
      </w:r>
      <w:r>
        <w:rPr>
          <w:rStyle w:val="Internetverknpfung"/>
        </w:rPr>
        <w:fldChar w:fldCharType="end"/>
      </w:r>
      <w:r>
        <w:rPr/>
        <w:t xml:space="preserve">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42">
    <w:p>
      <w:pPr>
        <w:pStyle w:val="Funote"/>
        <w:rPr/>
      </w:pPr>
      <w:r>
        <w:rPr>
          <w:rStyle w:val="Funotenzeichen"/>
        </w:rPr>
        <w:footnoteRef/>
      </w:r>
      <w:r>
        <w:rPr/>
        <w:tab/>
        <w:t xml:space="preserve">zu </w:t>
      </w:r>
      <w:r>
        <w:rPr>
          <w:i/>
        </w:rPr>
        <w:t>entblößte seine Beine</w:t>
      </w:r>
      <w:r>
        <w:rPr/>
        <w:t xml:space="preserve"> s. </w:t>
      </w:r>
      <w:r>
        <w:fldChar w:fldCharType="begin"/>
      </w:r>
      <w:r>
        <w:rPr>
          <w:rStyle w:val="Internetverknpfung"/>
        </w:rPr>
        <w:instrText> HYPERLINK "http://www.offene-bibel.de/wiki/index.php5?title=Rut_3" \l "note_l"</w:instrText>
      </w:r>
      <w:r>
        <w:rPr>
          <w:rStyle w:val="Internetverknpfung"/>
        </w:rPr>
        <w:fldChar w:fldCharType="separate"/>
      </w:r>
      <w:r>
        <w:rPr>
          <w:rStyle w:val="Internetverknpfung"/>
        </w:rPr>
        <w:t>FN l</w:t>
      </w:r>
      <w:r>
        <w:rPr>
          <w:rStyle w:val="Internetverknpfung"/>
        </w:rPr>
        <w:fldChar w:fldCharType="end"/>
      </w:r>
      <w:r>
        <w:rPr/>
        <w:t xml:space="preserve"> zu V. 4.</w:t>
      </w:r>
    </w:p>
  </w:footnote>
  <w:footnote w:id="1143">
    <w:p>
      <w:pPr>
        <w:pStyle w:val="Funote"/>
        <w:rPr/>
      </w:pPr>
      <w:r>
        <w:rPr>
          <w:rStyle w:val="Funotenzeichen"/>
        </w:rPr>
        <w:footnoteRef/>
      </w:r>
      <w:r>
        <w:rPr/>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44">
    <w:p>
      <w:pPr>
        <w:pStyle w:val="Funote"/>
        <w:rPr/>
      </w:pPr>
      <w:r>
        <w:rPr>
          <w:rStyle w:val="Funotenzeichen"/>
        </w:rPr>
        <w:footnoteRef/>
      </w:r>
      <w:r>
        <w:rPr/>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45">
    <w:p>
      <w:pPr>
        <w:pStyle w:val="Funote"/>
        <w:rPr/>
      </w:pPr>
      <w:r>
        <w:rPr>
          <w:rStyle w:val="Funotenzeichen"/>
        </w:rPr>
        <w:footnoteRef/>
      </w:r>
      <w:r>
        <w:rPr/>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46">
    <w:p>
      <w:pPr>
        <w:pStyle w:val="Funote"/>
        <w:rPr/>
      </w:pPr>
      <w:r>
        <w:rPr>
          <w:rStyle w:val="Funotenzeichen"/>
        </w:rPr>
        <w:footnoteRef/>
      </w:r>
      <w:r>
        <w:rPr/>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47">
    <w:p>
      <w:pPr>
        <w:pStyle w:val="Funote"/>
        <w:rPr/>
      </w:pPr>
      <w:r>
        <w:rPr>
          <w:rStyle w:val="Funotenzeichen"/>
        </w:rPr>
        <w:footnoteRef/>
      </w:r>
      <w:r>
        <w:rPr/>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48">
    <w:p>
      <w:pPr>
        <w:pStyle w:val="Funote"/>
        <w:rPr/>
      </w:pPr>
      <w:r>
        <w:rPr>
          <w:rStyle w:val="Funotenzeichen"/>
        </w:rPr>
        <w:footnoteRef/>
      </w:r>
      <w:r>
        <w:rPr/>
        <w:tab/>
        <w:t>Zu gesegnet [seist] du von JHWH vgl. FN aw zu Rut 2,20.</w:t>
      </w:r>
    </w:p>
  </w:footnote>
  <w:footnote w:id="1149">
    <w:p>
      <w:pPr>
        <w:pStyle w:val="Funote"/>
        <w:rPr/>
      </w:pPr>
      <w:r>
        <w:rPr>
          <w:rStyle w:val="Funotenzeichen"/>
        </w:rPr>
        <w:footnoteRef/>
      </w:r>
      <w:r>
        <w:rPr/>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50">
    <w:p>
      <w:pPr>
        <w:pStyle w:val="Funote"/>
        <w:rPr/>
      </w:pPr>
      <w:r>
        <w:rPr>
          <w:rStyle w:val="Funotenzeichen"/>
        </w:rPr>
        <w:footnoteRef/>
      </w:r>
      <w:r>
        <w:rPr/>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51">
    <w:p>
      <w:pPr>
        <w:pStyle w:val="Funote"/>
        <w:rPr/>
      </w:pPr>
      <w:r>
        <w:rPr>
          <w:rStyle w:val="Funotenzeichen"/>
        </w:rPr>
        <w:footnoteRef/>
      </w:r>
      <w:r>
        <w:rPr/>
        <w:tab/>
        <w:t>Zum Tor als Ausdruck für »Volk«, »öffentliche Ansicht« vgl. bes. Speiser 1956, S. 21). So auch die LXX, VL, Syr (»mein Stamm«); VUL (»das ganze Volk...«). Viele Üss. daher gut: »Jeder in der Stadt«.</w:t>
      </w:r>
    </w:p>
  </w:footnote>
  <w:footnote w:id="1152">
    <w:p>
      <w:pPr>
        <w:pStyle w:val="Funote"/>
        <w:rPr/>
      </w:pPr>
      <w:r>
        <w:rPr>
          <w:rStyle w:val="Funotenzeichen"/>
        </w:rPr>
        <w:footnoteRef/>
      </w:r>
      <w:r>
        <w:rPr/>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53">
    <w:p>
      <w:pPr>
        <w:pStyle w:val="Funote"/>
        <w:rPr/>
      </w:pPr>
      <w:r>
        <w:rPr>
          <w:rStyle w:val="Funotenzeichen"/>
        </w:rPr>
        <w:footnoteRef/>
      </w:r>
      <w:r>
        <w:rPr/>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54">
    <w:p>
      <w:pPr>
        <w:pStyle w:val="Funote"/>
        <w:rPr/>
      </w:pPr>
      <w:r>
        <w:rPr>
          <w:rStyle w:val="Funotenzeichen"/>
        </w:rPr>
        <w:footnoteRef/>
      </w:r>
      <w:r>
        <w:rPr/>
        <w:tab/>
        <w:t xml:space="preserve">Zu den Gründen gegen </w:t>
      </w:r>
      <w:r>
        <w:rPr>
          <w:i/>
        </w:rPr>
        <w:t>es gibt einen näheren Löser als mich</w:t>
      </w:r>
      <w:r>
        <w:rPr/>
        <w:t xml:space="preserve"> s. die vorige FN.</w:t>
      </w:r>
    </w:p>
  </w:footnote>
  <w:footnote w:id="1155">
    <w:p>
      <w:pPr>
        <w:pStyle w:val="Funote"/>
        <w:rPr/>
      </w:pPr>
      <w:r>
        <w:rPr>
          <w:rStyle w:val="Funotenzeichen"/>
        </w:rPr>
        <w:footnoteRef/>
      </w:r>
      <w:r>
        <w:rPr>
          <w:i/>
        </w:rPr>
        <w:tab/>
        <w:t>wenn er dich am Morgen lösen wird</w:t>
      </w:r>
      <w:r>
        <w:rPr/>
        <w:t xml:space="preserve"> - W.: „Und es wird sein am Morgen: Wenn er dich lösen wird...“: </w:t>
      </w:r>
      <w:r>
        <w:rPr>
          <w:i/>
        </w:rPr>
        <w:t>wähajah</w:t>
      </w:r>
      <w:r>
        <w:rPr/>
        <w:t xml:space="preserve"> („und es wird sein“) hier wie oft nur zur Markierung einer Zeitangabe.</w:t>
      </w:r>
    </w:p>
  </w:footnote>
  <w:footnote w:id="1156">
    <w:p>
      <w:pPr>
        <w:pStyle w:val="Funote"/>
        <w:rPr/>
      </w:pPr>
      <w:r>
        <w:rPr>
          <w:rStyle w:val="Funotenzeichen"/>
        </w:rPr>
        <w:footnoteRef/>
      </w:r>
      <w:r>
        <w:rPr/>
        <w:tab/>
        <w:t>[so wahr] JHWH lebt - Häufige Schwurformel. Entspr. im Dt. eher »das schwöre ich bei Gott«.</w:t>
      </w:r>
    </w:p>
  </w:footnote>
  <w:footnote w:id="1157">
    <w:p>
      <w:pPr>
        <w:pStyle w:val="Funote"/>
        <w:rPr/>
      </w:pPr>
      <w:r>
        <w:rPr>
          <w:rStyle w:val="Funotenzeichen"/>
        </w:rPr>
        <w:footnoteRef/>
      </w:r>
      <w:r>
        <w:rPr/>
        <w:tab/>
        <w:t>Textkritik: [an] seinem Bein - so Ketiv, doch das macht keinen Sinn und ist sicher ein Schreibfehler.</w:t>
      </w:r>
    </w:p>
  </w:footnote>
  <w:footnote w:id="1158">
    <w:p>
      <w:pPr>
        <w:pStyle w:val="Funote"/>
        <w:rPr/>
      </w:pPr>
      <w:r>
        <w:rPr>
          <w:rStyle w:val="Funotenzeichen"/>
        </w:rPr>
        <w:footnoteRef/>
      </w:r>
      <w:r>
        <w:rPr/>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59">
    <w:p>
      <w:pPr>
        <w:pStyle w:val="Funote"/>
        <w:rPr/>
      </w:pPr>
      <w:r>
        <w:rPr>
          <w:rStyle w:val="Funotenzeichen"/>
        </w:rPr>
        <w:footnoteRef/>
      </w:r>
      <w:r>
        <w:rPr/>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60">
    <w:p>
      <w:pPr>
        <w:pStyle w:val="Funote"/>
        <w:rPr/>
      </w:pPr>
      <w:r>
        <w:rPr>
          <w:rStyle w:val="Funotenzeichen"/>
        </w:rPr>
        <w:footnoteRef/>
      </w:r>
      <w:r>
        <w:rPr/>
        <w:tab/>
        <w:t>halte ihn [gut fest] + sie hielt ihn [fest] + er lud ihn ihr auf soll wohl v.a. ausdrücklich machen, wie schwer der Mantel nach seiner Befüllung mit Gerste ist. Sehr gut daher Campbell 1975, S. 116: »Get a good hold on it!« + »She held it firmly.«</w:t>
      </w:r>
    </w:p>
  </w:footnote>
  <w:footnote w:id="1161">
    <w:p>
      <w:pPr>
        <w:pStyle w:val="Funote"/>
        <w:rPr/>
      </w:pPr>
      <w:r>
        <w:rPr>
          <w:rStyle w:val="Funotenzeichen"/>
        </w:rPr>
        <w:footnoteRef/>
      </w:r>
      <w:r>
        <w:rPr/>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62">
    <w:p>
      <w:pPr>
        <w:pStyle w:val="Funote"/>
        <w:rPr/>
      </w:pPr>
      <w:r>
        <w:rPr>
          <w:rStyle w:val="Funotenzeichen"/>
        </w:rPr>
        <w:footnoteRef/>
      </w:r>
      <w:r>
        <w:rPr/>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63">
    <w:p>
      <w:pPr>
        <w:pStyle w:val="Funote"/>
        <w:rPr/>
      </w:pPr>
      <w:r>
        <w:rPr>
          <w:rStyle w:val="Funotenzeichen"/>
        </w:rPr>
        <w:footnoteRef/>
      </w:r>
      <w:r>
        <w:rPr/>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64">
    <w:p>
      <w:pPr>
        <w:pStyle w:val="Funote"/>
        <w:rPr/>
      </w:pPr>
      <w:r>
        <w:rPr>
          <w:rStyle w:val="Funotenzeichen"/>
        </w:rPr>
        <w:footnoteRef/>
      </w:r>
      <w:r>
        <w:rPr/>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65">
    <w:p>
      <w:pPr>
        <w:pStyle w:val="Funote"/>
        <w:rPr/>
      </w:pPr>
      <w:r>
        <w:rPr>
          <w:rStyle w:val="Funotenzeichen"/>
        </w:rPr>
        <w:footnoteRef/>
      </w:r>
      <w:r>
        <w:rPr/>
        <w:tab/>
        <w:t>[Wie etwa im hethitischen Recht, wo die die Abfolge der Schwagerehen-berechtigten ist: Bruder =&gt; Vater =&gt; Onkel (s. Hethitisches Gesetz §193).]</w:t>
      </w:r>
    </w:p>
  </w:footnote>
  <w:footnote w:id="1166">
    <w:p>
      <w:pPr>
        <w:pStyle w:val="Funote"/>
        <w:rPr/>
      </w:pPr>
      <w:r>
        <w:rPr>
          <w:rStyle w:val="Funotenzeichen"/>
        </w:rPr>
        <w:footnoteRef/>
      </w:r>
      <w:r>
        <w:rPr/>
        <w:tab/>
        <w:t>[Status: Zuverlässig]</w:t>
      </w:r>
    </w:p>
  </w:footnote>
  <w:footnote w:id="1167">
    <w:p>
      <w:pPr>
        <w:pStyle w:val="Funote"/>
        <w:rPr/>
      </w:pPr>
      <w:r>
        <w:rPr>
          <w:rStyle w:val="Funotenzeichen"/>
        </w:rPr>
        <w:footnoteRef/>
      </w:r>
      <w:r>
        <w:rPr>
          <w:i/>
        </w:rPr>
        <w:tab/>
        <w:t>ins Tor</w:t>
      </w:r>
      <w:r>
        <w:rPr/>
        <w:t xml:space="preserve">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w:t>
      </w:r>
      <w:hyperlink r:id="rId35">
        <w:r>
          <w:rPr>
            <w:rStyle w:val="Internetverknpfung"/>
          </w:rPr>
          <w:t>Dtn 25,7</w:t>
        </w:r>
      </w:hyperlink>
      <w:r>
        <w:rPr/>
        <w:t>.</w:t>
      </w:r>
    </w:p>
  </w:footnote>
  <w:footnote w:id="1168">
    <w:p>
      <w:pPr>
        <w:pStyle w:val="Funote"/>
        <w:rPr/>
      </w:pPr>
      <w:r>
        <w:rPr>
          <w:rStyle w:val="Funotenzeichen"/>
        </w:rPr>
        <w:footnoteRef/>
      </w:r>
      <w:r>
        <w:rPr/>
        <w:tab/>
        <w:t>siehe da! - Wie in Rut 2,4 (s. FN m) drückt auch hier das „siehe da!“ aus, dass überraschenderweise genau das richtige passiert. Gut daher OEB: „Just then the [Löser] came along“; „Und zufällig kam just in diesem Moment auch der Löser vorbei...“</w:t>
      </w:r>
    </w:p>
  </w:footnote>
  <w:footnote w:id="1169">
    <w:p>
      <w:pPr>
        <w:pStyle w:val="Funote"/>
        <w:rPr/>
      </w:pPr>
      <w:r>
        <w:rPr>
          <w:rStyle w:val="Funotenzeichen"/>
        </w:rPr>
        <w:footnoteRef/>
      </w:r>
      <w:r>
        <w:rPr>
          <w:i/>
        </w:rPr>
        <w:tab/>
        <w:t>Löser</w:t>
      </w:r>
      <w:r>
        <w:rPr/>
        <w:t xml:space="preserve"> - Zum „Löser“ s. die Anmerkungen.</w:t>
      </w:r>
    </w:p>
  </w:footnote>
  <w:footnote w:id="1170">
    <w:p>
      <w:pPr>
        <w:pStyle w:val="Funote"/>
        <w:rPr/>
      </w:pPr>
      <w:r>
        <w:rPr>
          <w:rStyle w:val="Funotenzeichen"/>
        </w:rPr>
        <w:footnoteRef/>
      </w:r>
      <w:r>
        <w:rPr/>
        <w:tab/>
        <w:t>Bieg ab - nämlich auf die Seite zu den auf dem Torplatz stehenden Bänken. Die meisten Üss. übersetzen sinnvoll: »Komm her!«; am besten EÜ, HfA, NL: »Komm herüber!«</w:t>
      </w:r>
    </w:p>
  </w:footnote>
  <w:footnote w:id="1171">
    <w:p>
      <w:pPr>
        <w:pStyle w:val="Funote"/>
        <w:rPr/>
      </w:pPr>
      <w:r>
        <w:rPr>
          <w:rStyle w:val="Funotenzeichen"/>
        </w:rPr>
        <w:footnoteRef/>
      </w:r>
      <w:r>
        <w:rPr/>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72">
    <w:p>
      <w:pPr>
        <w:pStyle w:val="Funote"/>
        <w:rPr/>
      </w:pPr>
      <w:r>
        <w:rPr>
          <w:rStyle w:val="Funotenzeichen"/>
        </w:rPr>
        <w:footnoteRef/>
      </w:r>
      <w:r>
        <w:rPr/>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73">
    <w:p>
      <w:pPr>
        <w:pStyle w:val="Funote"/>
        <w:rPr/>
      </w:pPr>
      <w:r>
        <w:rPr>
          <w:rStyle w:val="Funotenzeichen"/>
        </w:rPr>
        <w:footnoteRef/>
      </w:r>
      <w:r>
        <w:rPr>
          <w:i/>
        </w:rPr>
        <w:tab/>
        <w:t>Feldstück</w:t>
      </w:r>
      <w:r>
        <w:rPr/>
        <w:t xml:space="preserve"> - s. zum Begriff </w:t>
      </w:r>
      <w:r>
        <w:fldChar w:fldCharType="begin"/>
      </w:r>
      <w:r>
        <w:rPr>
          <w:rStyle w:val="Internetverknpfung"/>
        </w:rPr>
        <w:instrText> HYPERLINK "http://offene-bibel.de/mediawiki/index.php?title=Rut_2" \l "note_e"</w:instrText>
      </w:r>
      <w:r>
        <w:rPr>
          <w:rStyle w:val="Internetverknpfung"/>
        </w:rPr>
        <w:fldChar w:fldCharType="separate"/>
      </w:r>
      <w:r>
        <w:rPr>
          <w:rStyle w:val="Internetverknpfung"/>
        </w:rPr>
        <w:t>FN e</w:t>
      </w:r>
      <w:r>
        <w:rPr>
          <w:rStyle w:val="Internetverknpfung"/>
        </w:rPr>
        <w:fldChar w:fldCharType="end"/>
      </w:r>
      <w:r>
        <w:rPr/>
        <w:t xml:space="preserve"> zu </w:t>
      </w:r>
      <w:r>
        <w:fldChar w:fldCharType="begin"/>
      </w:r>
      <w:r>
        <w:rPr>
          <w:rStyle w:val="Internetverknpfung"/>
        </w:rPr>
        <w:instrText> HYPERLINK "../../../../../../../../../wiki/Rut_2" \l "s2"</w:instrText>
      </w:r>
      <w:r>
        <w:rPr>
          <w:rStyle w:val="Internetverknpfung"/>
        </w:rPr>
        <w:fldChar w:fldCharType="separate"/>
      </w:r>
      <w:r>
        <w:rPr>
          <w:rStyle w:val="Internetverknpfung"/>
        </w:rPr>
        <w:t>Rut 2,2</w:t>
      </w:r>
      <w:r>
        <w:rPr>
          <w:rStyle w:val="Internetverknpfung"/>
        </w:rPr>
        <w:fldChar w:fldCharType="end"/>
      </w:r>
      <w:r>
        <w:rPr/>
        <w:t>.</w:t>
      </w:r>
    </w:p>
  </w:footnote>
  <w:footnote w:id="1174">
    <w:p>
      <w:pPr>
        <w:pStyle w:val="Funote"/>
        <w:rPr/>
      </w:pPr>
      <w:r>
        <w:rPr>
          <w:rStyle w:val="Funotenzeichen"/>
        </w:rPr>
        <w:footnoteRef/>
      </w:r>
      <w:r>
        <w:rPr/>
        <w:tab/>
        <w:t>Bruder - Hier im Sinne von »Verwandter«; dass gerade »Bruder« verwendet wird, ist wahrscheinlich eine Anspielung auf Dtn 25,5 (vgl. z.B. Fischer 2001, S. 158; Zakovitch 1999 S. 154).</w:t>
      </w:r>
    </w:p>
  </w:footnote>
  <w:footnote w:id="1175">
    <w:p>
      <w:pPr>
        <w:pStyle w:val="Funote"/>
        <w:rPr/>
      </w:pPr>
      <w:r>
        <w:rPr>
          <w:rStyle w:val="Funotenzeichen"/>
        </w:rPr>
        <w:footnoteRef/>
      </w:r>
      <w:r>
        <w:rPr/>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76">
    <w:p>
      <w:pPr>
        <w:pStyle w:val="Funote"/>
        <w:rPr/>
      </w:pPr>
      <w:r>
        <w:rPr>
          <w:rStyle w:val="Funotenzeichen"/>
        </w:rPr>
        <w:footnoteRef/>
      </w:r>
      <w:r>
        <w:rPr>
          <w:i/>
        </w:rPr>
        <w:tab/>
        <w:t>{</w:t>
      </w:r>
      <w:r>
        <w:rPr>
          <w:i/>
          <w:strike/>
        </w:rPr>
        <w:t>dem Gebiet von</w:t>
      </w:r>
      <w:r>
        <w:rPr>
          <w:i/>
        </w:rPr>
        <w:t>} (dem Feld von)</w:t>
      </w:r>
      <w:r>
        <w:rPr/>
        <w:t xml:space="preserve"> - Zum Ausdruck s. </w:t>
      </w:r>
      <w:r>
        <w:fldChar w:fldCharType="begin"/>
      </w:r>
      <w:r>
        <w:rPr>
          <w:rStyle w:val="Internetverknpfung"/>
        </w:rPr>
        <w:instrText> HYPERLINK "http://offene-bibel.de/wiki/Rut_1" \l "note_e"</w:instrText>
      </w:r>
      <w:r>
        <w:rPr>
          <w:rStyle w:val="Internetverknpfung"/>
        </w:rPr>
        <w:fldChar w:fldCharType="separate"/>
      </w:r>
      <w:r>
        <w:rPr>
          <w:rStyle w:val="Internetverknpfung"/>
        </w:rPr>
        <w:t>FN e</w:t>
      </w:r>
      <w:r>
        <w:rPr>
          <w:rStyle w:val="Internetverknpfung"/>
        </w:rPr>
        <w:fldChar w:fldCharType="end"/>
      </w:r>
      <w:r>
        <w:rPr/>
        <w:t xml:space="preserve"> zu </w:t>
      </w:r>
      <w:r>
        <w:fldChar w:fldCharType="begin"/>
      </w:r>
      <w:r>
        <w:rPr>
          <w:rStyle w:val="Internetverknpfung"/>
        </w:rPr>
        <w:instrText> HYPERLINK "../../../../../../../../../wiki/Rut_1" \l "s1"</w:instrText>
      </w:r>
      <w:r>
        <w:rPr>
          <w:rStyle w:val="Internetverknpfung"/>
        </w:rPr>
        <w:fldChar w:fldCharType="separate"/>
      </w:r>
      <w:r>
        <w:rPr>
          <w:rStyle w:val="Internetverknpfung"/>
        </w:rPr>
        <w:t>Rut 1,1</w:t>
      </w:r>
      <w:r>
        <w:rPr>
          <w:rStyle w:val="Internetverknpfung"/>
        </w:rPr>
        <w:fldChar w:fldCharType="end"/>
      </w:r>
      <w:r>
        <w:rPr/>
        <w:t>.</w:t>
      </w:r>
    </w:p>
  </w:footnote>
  <w:footnote w:id="1177">
    <w:p>
      <w:pPr>
        <w:pStyle w:val="Funote"/>
        <w:rPr/>
      </w:pPr>
      <w:r>
        <w:rPr>
          <w:rStyle w:val="Funotenzeichen"/>
        </w:rPr>
        <w:footnoteRef/>
      </w:r>
      <w:r>
        <w:rPr>
          <w:i/>
        </w:rPr>
        <w:tab/>
        <w:t>gesagt ([mir] gedacht)</w:t>
      </w:r>
      <w:r>
        <w:rPr/>
        <w:t xml:space="preserve">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78">
    <w:p>
      <w:pPr>
        <w:pStyle w:val="Funote"/>
        <w:rPr/>
      </w:pPr>
      <w:r>
        <w:rPr>
          <w:rStyle w:val="Funotenzeichen"/>
        </w:rPr>
        <w:footnoteRef/>
      </w:r>
      <w:r>
        <w:rPr>
          <w:i/>
        </w:rPr>
        <w:tab/>
        <w:t>zu Gehör bringen</w:t>
      </w:r>
      <w:r>
        <w:rPr/>
        <w:t xml:space="preserve"> - Heb. Idiom, s. z.B. </w:t>
      </w:r>
      <w:hyperlink r:id="rId36">
        <w:r>
          <w:rPr>
            <w:rStyle w:val="Internetverknpfung"/>
          </w:rPr>
          <w:t>1 Sam 20,2</w:t>
        </w:r>
      </w:hyperlink>
      <w:r>
        <w:rPr/>
        <w:t>.</w:t>
      </w:r>
      <w:hyperlink r:id="rId37">
        <w:r>
          <w:rPr>
            <w:rStyle w:val="Internetverknpfung"/>
          </w:rPr>
          <w:t>12f</w:t>
        </w:r>
      </w:hyperlink>
      <w:r>
        <w:rPr/>
        <w:t xml:space="preserve">. Außer in </w:t>
      </w:r>
      <w:hyperlink r:id="rId38">
        <w:r>
          <w:rPr>
            <w:rStyle w:val="Internetverknpfung"/>
          </w:rPr>
          <w:t>Ijob 36,10</w:t>
        </w:r>
      </w:hyperlink>
      <w:r>
        <w:rPr/>
        <w:t>.</w:t>
      </w:r>
      <w:hyperlink r:id="rId39">
        <w:r>
          <w:rPr>
            <w:rStyle w:val="Internetverknpfung"/>
          </w:rPr>
          <w:t>15</w:t>
        </w:r>
      </w:hyperlink>
      <w:r>
        <w:rPr/>
        <w:t xml:space="preserve"> steht es stets für </w:t>
      </w:r>
      <w:r>
        <w:rPr>
          <w:i/>
        </w:rPr>
        <w:t>Privat</w:t>
      </w:r>
      <w:r>
        <w:rPr/>
        <w:t>mitteilungen: Was Boas hier verkünden will, ist speziell für die Ohren des Löser bestimmt, da eben dieser und kein anderer der Löser ist (s. Anmerkungen).</w:t>
      </w:r>
    </w:p>
  </w:footnote>
  <w:footnote w:id="1179">
    <w:p>
      <w:pPr>
        <w:pStyle w:val="Funote"/>
        <w:rPr/>
      </w:pPr>
      <w:r>
        <w:rPr>
          <w:rStyle w:val="Funotenzeichen"/>
        </w:rPr>
        <w:footnoteRef/>
      </w:r>
      <w:r>
        <w:rPr/>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80">
    <w:p>
      <w:pPr>
        <w:pStyle w:val="Funote"/>
        <w:rPr/>
      </w:pPr>
      <w:r>
        <w:rPr>
          <w:rStyle w:val="Funotenzeichen"/>
        </w:rPr>
        <w:footnoteRef/>
      </w:r>
      <w:r>
        <w:rPr/>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81">
    <w:p>
      <w:pPr>
        <w:pStyle w:val="Funote"/>
        <w:rPr/>
      </w:pPr>
      <w:r>
        <w:rPr>
          <w:rStyle w:val="Funotenzeichen"/>
        </w:rPr>
        <w:footnoteRef/>
      </w:r>
      <w:r>
        <w:rPr/>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82">
    <w:p>
      <w:pPr>
        <w:pStyle w:val="Funote"/>
        <w:rPr/>
      </w:pPr>
      <w:r>
        <w:rPr>
          <w:rStyle w:val="Funotenzeichen"/>
        </w:rPr>
        <w:footnoteRef/>
      </w:r>
      <w:r>
        <w:rPr/>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83">
    <w:p>
      <w:pPr>
        <w:pStyle w:val="Funote"/>
        <w:rPr/>
      </w:pPr>
      <w:r>
        <w:rPr>
          <w:rStyle w:val="Funotenzeichen"/>
        </w:rPr>
        <w:footnoteRef/>
      </w:r>
      <w:r>
        <w:rPr/>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84">
    <w:p>
      <w:pPr>
        <w:pStyle w:val="Funote"/>
        <w:rPr/>
      </w:pPr>
      <w:r>
        <w:rPr>
          <w:rStyle w:val="Funotenzeichen"/>
        </w:rPr>
        <w:footnoteRef/>
      </w:r>
      <w:r>
        <w:rPr/>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85">
    <w:p>
      <w:pPr>
        <w:pStyle w:val="Funote"/>
        <w:rPr/>
      </w:pPr>
      <w:r>
        <w:rPr>
          <w:rStyle w:val="Funotenzeichen"/>
        </w:rPr>
        <w:footnoteRef/>
      </w:r>
      <w:r>
        <w:rPr/>
        <w:tab/>
        <w:t>tFN: {für mich} + {für dich} - Sog. Dativi ethici; in einer dt. Üs. zu ignorieren.</w:t>
      </w:r>
    </w:p>
  </w:footnote>
  <w:footnote w:id="1186">
    <w:p>
      <w:pPr>
        <w:pStyle w:val="Funote"/>
        <w:rPr/>
      </w:pPr>
      <w:r>
        <w:rPr>
          <w:rStyle w:val="Funotenzeichen"/>
        </w:rPr>
        <w:footnoteRef/>
      </w:r>
      <w:r>
        <w:rPr/>
        <w:tab/>
        <w:t>Lösung und Tauschgeschäft - Oder zu verstehen als Hendiadyoin: „bezüglich des Tauschs von Löserechten“ (so Berlin 2010, S. 11; Brichto 1973, S. 18; Bush 1996, S. 234).</w:t>
      </w:r>
    </w:p>
  </w:footnote>
  <w:footnote w:id="1187">
    <w:p>
      <w:pPr>
        <w:pStyle w:val="Funote"/>
        <w:rPr/>
      </w:pPr>
      <w:r>
        <w:rPr>
          <w:rStyle w:val="Funotenzeichen"/>
        </w:rPr>
        <w:footnoteRef/>
      </w:r>
      <w:r>
        <w:rPr>
          <w:i/>
        </w:rPr>
        <w:tab/>
        <w:t>irgendetwas</w:t>
      </w:r>
      <w:r>
        <w:rPr/>
        <w:t xml:space="preserve"> - W. „jede Sache“.</w:t>
      </w:r>
    </w:p>
  </w:footnote>
  <w:footnote w:id="1188">
    <w:p>
      <w:pPr>
        <w:pStyle w:val="Funote"/>
        <w:rPr/>
      </w:pPr>
      <w:r>
        <w:rPr>
          <w:rStyle w:val="Funotenzeichen"/>
        </w:rPr>
        <w:footnoteRef/>
      </w:r>
      <w:r>
        <w:rPr/>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189">
    <w:p>
      <w:pPr>
        <w:pStyle w:val="Funote"/>
        <w:rPr/>
      </w:pPr>
      <w:r>
        <w:rPr>
          <w:rStyle w:val="Funotenzeichen"/>
        </w:rPr>
        <w:footnoteRef/>
      </w:r>
      <w:r>
        <w:rPr/>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190">
    <w:p>
      <w:pPr>
        <w:pStyle w:val="Funote"/>
        <w:rPr/>
      </w:pPr>
      <w:r>
        <w:rPr>
          <w:rStyle w:val="Funotenzeichen"/>
        </w:rPr>
        <w:footnoteRef/>
      </w:r>
      <w:r>
        <w:rPr>
          <w:i/>
        </w:rPr>
        <w:tab/>
        <w:t>gekauft</w:t>
      </w:r>
      <w:r>
        <w:rPr/>
        <w:t xml:space="preserve"> - Zu „kaufen“ s. </w:t>
      </w:r>
      <w:r>
        <w:fldChar w:fldCharType="begin"/>
      </w:r>
      <w:r>
        <w:rPr>
          <w:rStyle w:val="Internetverknpfung"/>
        </w:rPr>
        <w:instrText> HYPERLINK "http://offene-bibel.de/mediawiki/index.php?title=Rut_4" \l "note_o"</w:instrText>
      </w:r>
      <w:r>
        <w:rPr>
          <w:rStyle w:val="Internetverknpfung"/>
        </w:rPr>
        <w:fldChar w:fldCharType="separate"/>
      </w:r>
      <w:r>
        <w:rPr>
          <w:rStyle w:val="Internetverknpfung"/>
        </w:rPr>
        <w:t>FN o</w:t>
      </w:r>
      <w:r>
        <w:rPr>
          <w:rStyle w:val="Internetverknpfung"/>
        </w:rPr>
        <w:fldChar w:fldCharType="end"/>
      </w:r>
      <w:r>
        <w:rPr/>
        <w:t>.</w:t>
      </w:r>
    </w:p>
  </w:footnote>
  <w:footnote w:id="1191">
    <w:p>
      <w:pPr>
        <w:pStyle w:val="Funote"/>
        <w:rPr/>
      </w:pPr>
      <w:r>
        <w:rPr>
          <w:rStyle w:val="Funotenzeichen"/>
        </w:rPr>
        <w:footnoteRef/>
      </w:r>
      <w:r>
        <w:rPr/>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192">
    <w:p>
      <w:pPr>
        <w:pStyle w:val="Funote"/>
        <w:rPr/>
      </w:pPr>
      <w:r>
        <w:rPr>
          <w:rStyle w:val="Funotenzeichen"/>
        </w:rPr>
        <w:footnoteRef/>
      </w:r>
      <w:r>
        <w:rPr/>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193">
    <w:p>
      <w:pPr>
        <w:pStyle w:val="Funote"/>
        <w:rPr/>
      </w:pPr>
      <w:r>
        <w:rPr>
          <w:rStyle w:val="Funotenzeichen"/>
        </w:rPr>
        <w:footnoteRef/>
      </w:r>
      <w:r>
        <w:rPr>
          <w:i/>
        </w:rPr>
        <w:tab/>
        <w:t>das ganze Volk, das im Tor [war], antwortete, und die Ältesten</w:t>
      </w:r>
      <w:r>
        <w:rPr/>
        <w:t xml:space="preserve"> - eine sog. „gespaltene Koordination“; sinngemäß wäre die Üs. „Das ganze Volk, das im Tor war, und die Ältesten antworteten:...“ Der Erzähler greift deshalb hier zu dieser Konstruktion, um zu betonen, dass tatsächlich das </w:t>
      </w:r>
      <w:r>
        <w:rPr>
          <w:i/>
        </w:rPr>
        <w:t>ganze</w:t>
      </w:r>
      <w:r>
        <w:rPr/>
        <w:t xml:space="preserve"> Volk, das sich dort aufhielt, die vorigen Vorgänge für rechtmäßig erklärten.</w:t>
      </w:r>
    </w:p>
  </w:footnote>
  <w:footnote w:id="1194">
    <w:p>
      <w:pPr>
        <w:pStyle w:val="Funote"/>
        <w:rPr/>
      </w:pPr>
      <w:r>
        <w:rPr>
          <w:rStyle w:val="Funotenzeichen"/>
        </w:rPr>
        <w:footnoteRef/>
      </w:r>
      <w:r>
        <w:rPr>
          <w:i/>
        </w:rPr>
        <w:tab/>
        <w:t>Rahel</w:t>
      </w:r>
      <w:r>
        <w:rPr/>
        <w:t xml:space="preserve">, </w:t>
      </w:r>
      <w:r>
        <w:rPr>
          <w:i/>
        </w:rPr>
        <w:t>Lea</w:t>
      </w:r>
      <w:r>
        <w:rPr/>
        <w:t xml:space="preserve"> und </w:t>
      </w:r>
      <w:r>
        <w:rPr>
          <w:i/>
        </w:rPr>
        <w:t>Tamar</w:t>
      </w:r>
      <w:r>
        <w:rPr/>
        <w:t xml:space="preserve">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195">
    <w:p>
      <w:pPr>
        <w:pStyle w:val="Funote"/>
        <w:rPr/>
      </w:pPr>
      <w:r>
        <w:rPr>
          <w:rStyle w:val="Funotenzeichen"/>
        </w:rPr>
        <w:footnoteRef/>
      </w:r>
      <w:r>
        <w:rPr/>
        <w:tab/>
        <w:t>tFN: beide - Eine seltene Dualform, wie sie sich häufiger auch im 1. Kapitel fand (s. dort FN w).</w:t>
      </w:r>
    </w:p>
  </w:footnote>
  <w:footnote w:id="1196">
    <w:p>
      <w:pPr>
        <w:pStyle w:val="Funote"/>
        <w:rPr/>
      </w:pPr>
      <w:r>
        <w:rPr>
          <w:rStyle w:val="Funotenzeichen"/>
        </w:rPr>
        <w:footnoteRef/>
      </w:r>
      <w:r>
        <w:rPr/>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197">
    <w:p>
      <w:pPr>
        <w:pStyle w:val="Funote"/>
        <w:rPr/>
      </w:pPr>
      <w:r>
        <w:rPr>
          <w:rStyle w:val="Funotenzeichen"/>
        </w:rPr>
        <w:footnoteRef/>
      </w:r>
      <w:r>
        <w:rPr/>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198">
    <w:p>
      <w:pPr>
        <w:pStyle w:val="Funote"/>
        <w:rPr/>
      </w:pPr>
      <w:r>
        <w:rPr>
          <w:rStyle w:val="Funotenzeichen"/>
        </w:rPr>
        <w:footnoteRef/>
      </w:r>
      <w:r>
        <w:rPr/>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199">
    <w:p>
      <w:pPr>
        <w:pStyle w:val="Funote"/>
        <w:rPr/>
      </w:pPr>
      <w:r>
        <w:rPr>
          <w:rStyle w:val="Funotenzeichen"/>
        </w:rPr>
        <w:footnoteRef/>
      </w:r>
      <w:r>
        <w:rPr/>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00">
    <w:p>
      <w:pPr>
        <w:pStyle w:val="Funote"/>
        <w:rPr/>
      </w:pPr>
      <w:r>
        <w:rPr>
          <w:rStyle w:val="Funotenzeichen"/>
        </w:rPr>
        <w:footnoteRef/>
      </w:r>
      <w:r>
        <w:rPr/>
        <w:tab/>
        <w:t>Den JHWH dir gebe - Eine sog. »Inclusio«; der Segensspruch wird eröffnet und geschlossen durch die selbe Formulierung: »JHWH gebe« - ein schöner Kontrapunkt zu Rut 1,21, wo Noomi JHWH beschuldigt hatte, dass er sie ihrer Kinder beraubt habe.</w:t>
      </w:r>
    </w:p>
  </w:footnote>
  <w:footnote w:id="1201">
    <w:p>
      <w:pPr>
        <w:pStyle w:val="Funote"/>
        <w:rPr/>
      </w:pPr>
      <w:r>
        <w:rPr>
          <w:rStyle w:val="Funotenzeichen"/>
        </w:rPr>
        <w:footnoteRef/>
      </w:r>
      <w:r>
        <w:rPr>
          <w:i/>
        </w:rPr>
        <w:tab/>
        <w:t>Boas nahm Rut</w:t>
      </w:r>
      <w:r>
        <w:rPr/>
        <w:t xml:space="preserve"> - d.h., er heiratete sie.</w:t>
      </w:r>
    </w:p>
  </w:footnote>
  <w:footnote w:id="1202">
    <w:p>
      <w:pPr>
        <w:pStyle w:val="Funote"/>
        <w:rPr/>
      </w:pPr>
      <w:r>
        <w:rPr>
          <w:rStyle w:val="Funotenzeichen"/>
        </w:rPr>
        <w:footnoteRef/>
      </w:r>
      <w:r>
        <w:rPr/>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03">
    <w:p>
      <w:pPr>
        <w:pStyle w:val="Funote"/>
        <w:rPr/>
      </w:pPr>
      <w:r>
        <w:rPr>
          <w:rStyle w:val="Funotenzeichen"/>
        </w:rPr>
        <w:footnoteRef/>
      </w:r>
      <w:r>
        <w:rPr/>
        <w:tab/>
        <w:t>ging zu ihr - heb. Idiom für Geschlechtsverkehr, vgl. z.B. Schorch 2000, S. 96.</w:t>
      </w:r>
    </w:p>
  </w:footnote>
  <w:footnote w:id="1204">
    <w:p>
      <w:pPr>
        <w:pStyle w:val="Funote"/>
        <w:rPr/>
      </w:pPr>
      <w:r>
        <w:rPr>
          <w:rStyle w:val="Funotenzeichen"/>
        </w:rPr>
        <w:footnoteRef/>
      </w:r>
      <w:r>
        <w:rPr/>
        <w:tab/>
        <w:t>Gepriesen sei JHWH, der ist eine Formel für »Gott sei dafür gedankt, dass...« (vgl. Lande 1949, S. 106f.).</w:t>
      </w:r>
    </w:p>
  </w:footnote>
  <w:footnote w:id="1205">
    <w:p>
      <w:pPr>
        <w:pStyle w:val="Funote"/>
        <w:rPr/>
      </w:pPr>
      <w:r>
        <w:rPr>
          <w:rStyle w:val="Funotenzeichen"/>
        </w:rPr>
        <w:footnoteRef/>
      </w:r>
      <w:r>
        <w:rPr>
          <w:i/>
        </w:rPr>
        <w:tab/>
        <w:t>Sein Name werde gerufen</w:t>
      </w:r>
      <w:r>
        <w:rPr/>
        <w:t xml:space="preserve"> - D.h. „er werde verehrt“: „Name“ ist hier wie oft (bes. wenn von Gott „im Menschenmund“ die Rede ist) Wechselbegriff für den Namensträger selbst.</w:t>
      </w:r>
    </w:p>
  </w:footnote>
  <w:footnote w:id="1206">
    <w:p>
      <w:pPr>
        <w:pStyle w:val="Funote"/>
        <w:rPr/>
      </w:pPr>
      <w:r>
        <w:rPr>
          <w:rStyle w:val="Funotenzeichen"/>
        </w:rPr>
        <w:footnoteRef/>
      </w:r>
      <w:r>
        <w:rPr/>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07">
    <w:p>
      <w:pPr>
        <w:pStyle w:val="Funote"/>
        <w:rPr/>
      </w:pPr>
      <w:r>
        <w:rPr>
          <w:rStyle w:val="Funotenzeichen"/>
        </w:rPr>
        <w:footnoteRef/>
      </w:r>
      <w:r>
        <w:rPr/>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08">
    <w:p>
      <w:pPr>
        <w:pStyle w:val="Funote"/>
        <w:rPr/>
      </w:pPr>
      <w:r>
        <w:rPr>
          <w:rStyle w:val="Funotenzeichen"/>
        </w:rPr>
        <w:footnoteRef/>
      </w:r>
      <w:r>
        <w:rPr/>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09">
    <w:p>
      <w:pPr>
        <w:pStyle w:val="Funote"/>
        <w:rPr/>
      </w:pPr>
      <w:r>
        <w:rPr>
          <w:rStyle w:val="Funotenzeichen"/>
        </w:rPr>
        <w:footnoteRef/>
      </w:r>
      <w:r>
        <w:rPr/>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10">
    <w:p>
      <w:pPr>
        <w:pStyle w:val="Funote"/>
        <w:rPr/>
      </w:pPr>
      <w:r>
        <w:rPr>
          <w:rStyle w:val="Funotenzeichen"/>
        </w:rPr>
        <w:footnoteRef/>
      </w:r>
      <w:r>
        <w:rPr/>
        <w:tab/>
        <w:t>dies sind die Zeugungen von Perez - Übliche Einleitung für einen Stammbaum; gut z.B. GN, T4T: „Dies ist die Liste der Nachkommen von Perez“.</w:t>
      </w:r>
    </w:p>
  </w:footnote>
  <w:footnote w:id="1211">
    <w:p>
      <w:pPr>
        <w:pStyle w:val="Funote"/>
        <w:rPr/>
      </w:pPr>
      <w:r>
        <w:rPr>
          <w:rStyle w:val="Funotenzeichen"/>
        </w:rPr>
        <w:footnoteRef/>
      </w:r>
      <w:r>
        <w:rPr/>
        <w:tab/>
        <w:t>De Waard/Nida 1992, S. 78 haben einen sehr guten Vorschlag für eine zeitgemäße Übersetzung gemacht: „Dies [also] ist die Abstammungslinie von Perez bis zu David: Perez, Hezron, Ram, Amminadab, Nachschon, Salmon, Boaz, Obed, Jesse, David.“</w:t>
      </w:r>
    </w:p>
  </w:footnote>
  <w:footnote w:id="1212">
    <w:p>
      <w:pPr>
        <w:pStyle w:val="Funote"/>
        <w:rPr/>
      </w:pPr>
      <w:r>
        <w:rPr>
          <w:rStyle w:val="Funotenzeichen"/>
        </w:rPr>
        <w:footnoteRef/>
      </w:r>
      <w:r>
        <w:rPr/>
        <w:tab/>
        <w:t>Das Horn ist ein Symbol der Kraft, des Wohlseins. Das dte. "den Kopf hoch tragen", "erhobenen Hauptes" gibt das gemeinte wieder.</w:t>
      </w:r>
    </w:p>
  </w:footnote>
  <w:footnote w:id="1213">
    <w:p>
      <w:pPr>
        <w:pStyle w:val="Funote"/>
        <w:rPr/>
      </w:pPr>
      <w:r>
        <w:rPr>
          <w:rStyle w:val="Funotenzeichen"/>
        </w:rPr>
        <w:footnoteRef/>
      </w:r>
      <w:r>
        <w:rPr/>
        <w:tab/>
        <w:t>Der Fels ist Zufluchtstätte.</w:t>
      </w:r>
    </w:p>
  </w:footnote>
  <w:footnote w:id="1214">
    <w:p>
      <w:pPr>
        <w:pStyle w:val="Funote"/>
        <w:rPr/>
      </w:pPr>
      <w:r>
        <w:rPr>
          <w:rStyle w:val="Funotenzeichen"/>
        </w:rPr>
        <w:footnoteRef/>
      </w:r>
      <w:r>
        <w:rPr/>
        <w:tab/>
        <w:t>Das Totenreich, die Unterwelt, tief unter der Erdscheibe gelegen.</w:t>
      </w:r>
    </w:p>
  </w:footnote>
  <w:footnote w:id="1215">
    <w:p>
      <w:pPr>
        <w:pStyle w:val="Funote"/>
        <w:rPr/>
      </w:pPr>
      <w:r>
        <w:rPr>
          <w:rStyle w:val="Funotenzeichen"/>
        </w:rPr>
        <w:footnoteRef/>
      </w:r>
      <w:r>
        <w:rPr>
          <w:rtl w:val="true"/>
          <w:lang w:bidi="he-IL"/>
        </w:rPr>
        <w:tab/>
        <w:t>אף</w:t>
      </w:r>
      <w:r>
        <w:rPr/>
        <w:t xml:space="preserve"> </w:t>
      </w:r>
      <w:r>
        <w:rPr/>
        <w:t>dient zu Betonung des Gesagten, wird oft mit „und“ wiedergegeben, Gesenius S. 86.</w:t>
      </w:r>
    </w:p>
  </w:footnote>
  <w:footnote w:id="1216">
    <w:p>
      <w:pPr>
        <w:pStyle w:val="Funote"/>
        <w:rPr/>
      </w:pPr>
      <w:r>
        <w:rPr>
          <w:rStyle w:val="Funotenzeichen"/>
        </w:rPr>
        <w:footnoteRef/>
      </w:r>
      <w:r>
        <w:rPr/>
        <w:tab/>
        <w:t>An anderen Stellen (z.B. Ps. 50,5) ist mit den „Frommen JHWHs“ vermutlich ganz Israel gemeint.</w:t>
      </w:r>
    </w:p>
  </w:footnote>
  <w:footnote w:id="1217">
    <w:p>
      <w:pPr>
        <w:pStyle w:val="Funote"/>
        <w:rPr/>
      </w:pPr>
      <w:r>
        <w:rPr>
          <w:rStyle w:val="Funotenzeichen"/>
        </w:rPr>
        <w:footnoteRef/>
      </w:r>
      <w:r>
        <w:rPr/>
        <w:tab/>
        <w:t>[Status: Ungeprüft]</w:t>
      </w:r>
    </w:p>
  </w:footnote>
  <w:footnote w:id="1218">
    <w:p>
      <w:pPr>
        <w:pStyle w:val="Funote"/>
        <w:rPr/>
      </w:pPr>
      <w:r>
        <w:rPr>
          <w:rStyle w:val="Funotenzeichen"/>
        </w:rPr>
        <w:footnoteRef/>
      </w:r>
      <w:r>
        <w:rPr/>
        <w:tab/>
        <w:t xml:space="preserve">Die beiden Sätze dieses Verses sind Ergänzungen (markiert durch Satzfolgeunterbrechung), die die Situation zwischen den beiden Erzählungen erklären. </w:t>
      </w:r>
    </w:p>
  </w:footnote>
  <w:footnote w:id="1219">
    <w:p>
      <w:pPr>
        <w:pStyle w:val="Funote"/>
        <w:rPr/>
      </w:pPr>
      <w:r>
        <w:rPr>
          <w:rStyle w:val="Funotenzeichen"/>
        </w:rPr>
        <w:footnoteRef/>
      </w:r>
      <w:r>
        <w:rPr/>
        <w:tab/>
        <w:t>Eigentlich ein Sg.</w:t>
      </w:r>
    </w:p>
  </w:footnote>
  <w:footnote w:id="1220">
    <w:p>
      <w:pPr>
        <w:pStyle w:val="Funote"/>
        <w:rPr/>
      </w:pPr>
      <w:r>
        <w:rPr>
          <w:rStyle w:val="Funotenzeichen"/>
        </w:rPr>
        <w:footnoteRef/>
      </w:r>
      <w:r>
        <w:rPr/>
        <w:tab/>
        <w:t>Oder: „Und an jenem Tag geschah [folgendes]:“. S. V. 4.</w:t>
      </w:r>
    </w:p>
  </w:footnote>
  <w:footnote w:id="1221">
    <w:p>
      <w:pPr>
        <w:pStyle w:val="Funote"/>
        <w:rPr/>
      </w:pPr>
      <w:r>
        <w:rPr>
          <w:rStyle w:val="Funotenzeichen"/>
        </w:rPr>
        <w:footnoteRef/>
      </w:r>
      <w:r>
        <w:rPr/>
        <w:tab/>
        <w:t xml:space="preserve">Durch Satzfolgeunterbrechung markierte, eingeschobene Erklärung (bis V. 4). </w:t>
      </w:r>
    </w:p>
  </w:footnote>
  <w:footnote w:id="1222">
    <w:p>
      <w:pPr>
        <w:pStyle w:val="Funote"/>
        <w:rPr/>
      </w:pPr>
      <w:r>
        <w:rPr>
          <w:rStyle w:val="Funotenzeichen"/>
        </w:rPr>
        <w:footnoteRef/>
      </w:r>
      <w:r>
        <w:rPr/>
        <w:tab/>
        <w:t>„</w:t>
      </w:r>
      <w:r>
        <w:rPr/>
        <w:t xml:space="preserve">bevor“ steht im Hebräischen mit Ipf. </w:t>
      </w:r>
    </w:p>
  </w:footnote>
  <w:footnote w:id="1223">
    <w:p>
      <w:pPr>
        <w:pStyle w:val="Funote"/>
        <w:rPr/>
      </w:pPr>
      <w:r>
        <w:rPr>
          <w:rStyle w:val="Funotenzeichen"/>
        </w:rPr>
        <w:footnoteRef/>
      </w:r>
      <w:r>
        <w:rPr/>
        <w:tab/>
        <w:t xml:space="preserve">Oder: „{und} Bevor die Lampe Gottes ausging/gelöscht wurde“. Die gewählte Variante bietet sich aber wegen der Satzfolgeunterbrechung an. </w:t>
      </w:r>
    </w:p>
  </w:footnote>
  <w:footnote w:id="1224">
    <w:p>
      <w:pPr>
        <w:pStyle w:val="Funote"/>
        <w:rPr/>
      </w:pPr>
      <w:r>
        <w:rPr>
          <w:rStyle w:val="Funotenzeichen"/>
        </w:rPr>
        <w:footnoteRef/>
      </w:r>
      <w:r>
        <w:rPr/>
        <w:tab/>
        <w:t xml:space="preserve">Gemeint ist hier die „Stiftshütte“. </w:t>
      </w:r>
    </w:p>
  </w:footnote>
  <w:footnote w:id="1225">
    <w:p>
      <w:pPr>
        <w:pStyle w:val="Funote"/>
        <w:rPr/>
      </w:pPr>
      <w:r>
        <w:rPr>
          <w:rStyle w:val="Funotenzeichen"/>
        </w:rPr>
        <w:footnoteRef/>
      </w:r>
      <w:r>
        <w:rPr/>
        <w:tab/>
        <w:t>Dies ist semantisch gesehen die Fortsetzung des Anfangs von V. 2: „Und an jenem Tag … rief JHWH Samuel“. Die dazwischen liegenden Teile sind Anmerkungen, die den Hintergrund der Erzählung wiedergeben.</w:t>
      </w:r>
    </w:p>
  </w:footnote>
  <w:footnote w:id="1226">
    <w:p>
      <w:pPr>
        <w:pStyle w:val="Funote"/>
        <w:rPr/>
      </w:pPr>
      <w:r>
        <w:rPr>
          <w:rStyle w:val="Funotenzeichen"/>
        </w:rPr>
        <w:footnoteRef/>
      </w:r>
      <w:r>
        <w:rPr/>
        <w:tab/>
        <w:t xml:space="preserve">Der verbale Hendiadyoin hier drückt das Moment des „erneut“, „wieder“, „weiterhin“ durch ein Verb aus. </w:t>
      </w:r>
    </w:p>
  </w:footnote>
  <w:footnote w:id="1227">
    <w:p>
      <w:pPr>
        <w:pStyle w:val="Funote"/>
        <w:rPr/>
      </w:pPr>
      <w:r>
        <w:rPr>
          <w:rStyle w:val="Funotenzeichen"/>
        </w:rPr>
        <w:footnoteRef/>
      </w:r>
      <w:r>
        <w:rPr/>
        <w:tab/>
        <w:t xml:space="preserve">Ergänzende Anmerkung mit Satzfolgeunterbrechung. </w:t>
      </w:r>
    </w:p>
  </w:footnote>
  <w:footnote w:id="1228">
    <w:p>
      <w:pPr>
        <w:pStyle w:val="Funote"/>
        <w:rPr/>
      </w:pPr>
      <w:r>
        <w:rPr>
          <w:rStyle w:val="Funotenzeichen"/>
        </w:rPr>
        <w:footnoteRef/>
      </w:r>
      <w:r>
        <w:rPr/>
        <w:tab/>
        <w:t>S. Anm. V. 6.</w:t>
      </w:r>
    </w:p>
  </w:footnote>
  <w:footnote w:id="1229">
    <w:p>
      <w:pPr>
        <w:pStyle w:val="Funote"/>
        <w:rPr/>
      </w:pPr>
      <w:r>
        <w:rPr>
          <w:rStyle w:val="Funotenzeichen"/>
        </w:rPr>
        <w:footnoteRef/>
      </w:r>
      <w:r>
        <w:rPr/>
        <w:tab/>
        <w:t>Idiom. Wörtlich etwa „wie mal in mal“.</w:t>
      </w:r>
    </w:p>
  </w:footnote>
  <w:footnote w:id="1230">
    <w:p>
      <w:pPr>
        <w:pStyle w:val="Funote"/>
        <w:rPr/>
      </w:pPr>
      <w:r>
        <w:rPr>
          <w:rStyle w:val="Funotenzeichen"/>
        </w:rPr>
        <w:footnoteRef/>
      </w:r>
      <w:r>
        <w:rPr/>
        <w:tab/>
        <w:t>Partizip, das auch progressiv (?) wiedergegeben werden könnte: „Ich bin dabei...“</w:t>
      </w:r>
    </w:p>
  </w:footnote>
  <w:footnote w:id="1231">
    <w:p>
      <w:pPr>
        <w:pStyle w:val="Funote"/>
        <w:rPr/>
      </w:pPr>
      <w:r>
        <w:rPr>
          <w:rStyle w:val="Funotenzeichen"/>
        </w:rPr>
        <w:footnoteRef/>
      </w:r>
      <w:r>
        <w:rPr/>
        <w:tab/>
        <w:t>Aufgelöstes substantiviertes Partizip.</w:t>
      </w:r>
    </w:p>
  </w:footnote>
  <w:footnote w:id="1232">
    <w:p>
      <w:pPr>
        <w:pStyle w:val="Funote"/>
        <w:rPr/>
      </w:pPr>
      <w:r>
        <w:rPr>
          <w:rStyle w:val="Funotenzeichen"/>
        </w:rPr>
        <w:footnoteRef/>
      </w:r>
      <w:r>
        <w:rPr/>
        <w:tab/>
        <w:t xml:space="preserve">Eigentlich zwei Inf. abs. Wörtlich „anfangen und beenden“. </w:t>
      </w:r>
    </w:p>
  </w:footnote>
  <w:footnote w:id="1233">
    <w:p>
      <w:pPr>
        <w:pStyle w:val="Funote"/>
        <w:rPr/>
      </w:pPr>
      <w:r>
        <w:rPr>
          <w:rStyle w:val="Funotenzeichen"/>
        </w:rPr>
        <w:footnoteRef/>
      </w:r>
      <w:r>
        <w:rPr/>
        <w:tab/>
        <w:t>Ein konsekutives Perfekt, das hier vermutlich nicht futurisch, sondern durativ verwendet wird (LBBH).</w:t>
      </w:r>
    </w:p>
  </w:footnote>
  <w:footnote w:id="1234">
    <w:p>
      <w:pPr>
        <w:pStyle w:val="Funote"/>
        <w:rPr/>
      </w:pPr>
      <w:r>
        <w:rPr>
          <w:rStyle w:val="Funotenzeichen"/>
        </w:rPr>
        <w:footnoteRef/>
      </w:r>
      <w:r>
        <w:rPr/>
        <w:tab/>
        <w:t xml:space="preserve">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 </w:t>
      </w:r>
    </w:p>
  </w:footnote>
  <w:footnote w:id="1235">
    <w:p>
      <w:pPr>
        <w:pStyle w:val="Funote"/>
        <w:rPr/>
      </w:pPr>
      <w:r>
        <w:rPr>
          <w:rStyle w:val="Funotenzeichen"/>
        </w:rPr>
        <w:footnoteRef/>
      </w:r>
      <w:r>
        <w:rPr/>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36">
    <w:p>
      <w:pPr>
        <w:pStyle w:val="Funote"/>
        <w:rPr/>
      </w:pPr>
      <w:r>
        <w:rPr>
          <w:rStyle w:val="Funotenzeichen"/>
        </w:rPr>
        <w:footnoteRef/>
      </w:r>
      <w:r>
        <w:rPr/>
        <w:tab/>
        <w:t>„</w:t>
      </w:r>
      <w:r>
        <w:rPr/>
        <w:t xml:space="preserve">weiter“ wird durch das Verb </w:t>
      </w:r>
      <w:r>
        <w:rPr>
          <w:rtl w:val="true"/>
          <w:lang w:bidi="he-IL"/>
        </w:rPr>
        <w:t>הוֹסִיף</w:t>
      </w:r>
      <w:r>
        <w:rPr/>
        <w:t xml:space="preserve"> </w:t>
      </w:r>
      <w:r>
        <w:rPr/>
        <w:t xml:space="preserve">(„erneut tun“) ausgedrückt (verbaler Hendiadyoin). </w:t>
      </w:r>
    </w:p>
  </w:footnote>
  <w:footnote w:id="1237">
    <w:p>
      <w:pPr>
        <w:pStyle w:val="Funote"/>
        <w:rPr/>
      </w:pPr>
      <w:r>
        <w:rPr>
          <w:rStyle w:val="Funotenzeichen"/>
        </w:rPr>
        <w:footnoteRef/>
      </w:r>
      <w:r>
        <w:rPr/>
        <w:tab/>
        <w:t>Hebräische Schwurformel.</w:t>
      </w:r>
    </w:p>
  </w:footnote>
  <w:footnote w:id="1238">
    <w:p>
      <w:pPr>
        <w:pStyle w:val="Funote"/>
        <w:rPr/>
      </w:pPr>
      <w:r>
        <w:rPr>
          <w:rStyle w:val="Funotenzeichen"/>
        </w:rPr>
        <w:footnoteRef/>
      </w:r>
      <w:r>
        <w:rPr/>
        <w:tab/>
        <w:t>[Status: Ungeprüft]</w:t>
      </w:r>
    </w:p>
  </w:footnote>
  <w:footnote w:id="1239">
    <w:p>
      <w:pPr>
        <w:pStyle w:val="Funote"/>
        <w:rPr/>
      </w:pPr>
      <w:r>
        <w:rPr>
          <w:rStyle w:val="Funotenzeichen"/>
        </w:rPr>
        <w:footnoteRef/>
      </w:r>
      <w:r>
        <w:rPr/>
        <w:tab/>
        <w:t>[Status: Ungeprüft]</w:t>
      </w:r>
    </w:p>
  </w:footnote>
  <w:footnote w:id="1240">
    <w:p>
      <w:pPr>
        <w:pStyle w:val="Funote"/>
        <w:rPr/>
      </w:pPr>
      <w:r>
        <w:rPr>
          <w:rStyle w:val="Funotenzeichen"/>
        </w:rPr>
        <w:footnoteRef/>
      </w:r>
      <w:r>
        <w:rPr/>
        <w:tab/>
        <w:t>[Status: Ungeprüft]</w:t>
      </w:r>
    </w:p>
  </w:footnote>
  <w:footnote w:id="1241">
    <w:p>
      <w:pPr>
        <w:pStyle w:val="Funote"/>
        <w:rPr/>
      </w:pPr>
      <w:r>
        <w:rPr>
          <w:rStyle w:val="Funotenzeichen"/>
        </w:rPr>
        <w:footnoteRef/>
      </w:r>
      <w:r>
        <w:rPr/>
        <w:tab/>
        <w:t>Es wird bei dieser Lesart Codex L (Petropolitanus) gefolgt.</w:t>
      </w:r>
    </w:p>
  </w:footnote>
  <w:footnote w:id="1242">
    <w:p>
      <w:pPr>
        <w:pStyle w:val="Funote"/>
        <w:rPr/>
      </w:pPr>
      <w:r>
        <w:rPr>
          <w:rStyle w:val="Funotenzeichen"/>
        </w:rPr>
        <w:footnoteRef/>
      </w:r>
      <w:r>
        <w:rPr/>
        <w:tab/>
        <w:t>Vetus Latina fügt hier weitere Textteile ein.</w:t>
      </w:r>
    </w:p>
  </w:footnote>
  <w:footnote w:id="1243">
    <w:p>
      <w:pPr>
        <w:pStyle w:val="Funote"/>
        <w:rPr/>
      </w:pPr>
      <w:r>
        <w:rPr>
          <w:rStyle w:val="Funotenzeichen"/>
        </w:rPr>
        <w:footnoteRef/>
      </w:r>
      <w:r>
        <w:rPr>
          <w:i/>
        </w:rPr>
        <w:tab/>
        <w:t>Vorkämpfer</w:t>
      </w:r>
      <w:r>
        <w:rPr/>
        <w:t>,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44">
    <w:p>
      <w:pPr>
        <w:pStyle w:val="Funote"/>
        <w:rPr/>
      </w:pPr>
      <w:r>
        <w:rPr>
          <w:rStyle w:val="Funotenzeichen"/>
        </w:rPr>
        <w:footnoteRef/>
      </w:r>
      <w:r>
        <w:rPr/>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45">
    <w:p>
      <w:pPr>
        <w:pStyle w:val="Funote"/>
        <w:rPr/>
      </w:pPr>
      <w:r>
        <w:rPr>
          <w:rStyle w:val="Funotenzeichen"/>
        </w:rPr>
        <w:footnoteRef/>
      </w:r>
      <w:r>
        <w:rPr/>
        <w:tab/>
        <w:t>[Status: Ungeprüft]</w:t>
      </w:r>
    </w:p>
  </w:footnote>
  <w:footnote w:id="1246">
    <w:p>
      <w:pPr>
        <w:pStyle w:val="Funote"/>
        <w:rPr/>
      </w:pPr>
      <w:r>
        <w:rPr>
          <w:rStyle w:val="Funotenzeichen"/>
        </w:rPr>
        <w:footnoteRef/>
      </w:r>
      <w:r>
        <w:rPr/>
        <w:tab/>
        <w:t xml:space="preserve">Im MT heißt es </w:t>
      </w:r>
      <w:r>
        <w:rPr>
          <w:rtl w:val="true"/>
          <w:lang w:bidi="he-IL"/>
        </w:rPr>
        <w:t>חָלִילָה</w:t>
      </w:r>
      <w:r>
        <w:rPr/>
        <w:t>.</w:t>
      </w:r>
    </w:p>
  </w:footnote>
  <w:footnote w:id="1247">
    <w:p>
      <w:pPr>
        <w:pStyle w:val="Funote"/>
        <w:rPr/>
      </w:pPr>
      <w:r>
        <w:rPr>
          <w:rStyle w:val="Funotenzeichen"/>
        </w:rPr>
        <w:footnoteRef/>
      </w:r>
      <w:r>
        <w:rPr/>
        <w:tab/>
        <w:t>[Status: Zuverlässig]</w:t>
      </w:r>
    </w:p>
  </w:footnote>
  <w:footnote w:id="1248">
    <w:p>
      <w:pPr>
        <w:pStyle w:val="Funote"/>
        <w:rPr/>
      </w:pPr>
      <w:r>
        <w:rPr>
          <w:rStyle w:val="Funotenzeichen"/>
        </w:rPr>
        <w:footnoteRef/>
      </w:r>
      <w:r>
        <w:rPr/>
        <w:tab/>
        <w:t>Textkritik: Der Text von 2 Sam 22 findet sich in etwas anderer Form noch mal in Psalm 18. Die Textkritik beider Texte ist daher sehr komplex und wurde daher ausgelagert auf die Seite 2 Sam 22, Ps 18 und die Textkritik des Alten Testaments.</w:t>
      </w:r>
    </w:p>
  </w:footnote>
  <w:footnote w:id="1249">
    <w:p>
      <w:pPr>
        <w:pStyle w:val="Funote"/>
        <w:rPr/>
      </w:pPr>
      <w:r>
        <w:rPr>
          <w:rStyle w:val="Funotenzeichen"/>
        </w:rPr>
        <w:footnoteRef/>
      </w:r>
      <w:r>
        <w:rPr/>
        <w:tab/>
        <w:t>werden mich erschrecken - d.h. „erschreckten mich“, ein bedeutungsloser T-Shift.</w:t>
      </w:r>
    </w:p>
  </w:footnote>
  <w:footnote w:id="1250">
    <w:p>
      <w:pPr>
        <w:pStyle w:val="Funote"/>
        <w:rPr/>
      </w:pPr>
      <w:r>
        <w:rPr>
          <w:rStyle w:val="Funotenzeichen"/>
        </w:rPr>
        <w:footnoteRef/>
      </w:r>
      <w:r>
        <w:rPr>
          <w:i/>
        </w:rPr>
        <w:tab/>
        <w:t>Scheol</w:t>
      </w:r>
      <w:r>
        <w:rPr/>
        <w:t xml:space="preserve"> - Heb. Bezeichnung der Unterwelt; nicht identisch mit der christlichen „Hölle“. Die Metapher, dass der Scheol fast personal vorzustellen ist und jemanden gefangen nimmt, findet sich häufiger in der Bibel (z.B. </w:t>
      </w:r>
      <w:r>
        <w:fldChar w:fldCharType="begin"/>
      </w:r>
      <w:r>
        <w:rPr>
          <w:rStyle w:val="Internetverknpfung"/>
        </w:rPr>
        <w:instrText> HYPERLINK "../../../../../../../../../wiki/Numeri_16" \l "s33"</w:instrText>
      </w:r>
      <w:r>
        <w:rPr>
          <w:rStyle w:val="Internetverknpfung"/>
        </w:rPr>
        <w:fldChar w:fldCharType="separate"/>
      </w:r>
      <w:r>
        <w:rPr>
          <w:rStyle w:val="Internetverknpfung"/>
        </w:rPr>
        <w:t>Num 16,33f.</w:t>
      </w:r>
      <w:r>
        <w:rPr>
          <w:rStyle w:val="Internetverknpfung"/>
        </w:rPr>
        <w:fldChar w:fldCharType="end"/>
      </w:r>
      <w:r>
        <w:rPr/>
        <w:t xml:space="preserve">; </w:t>
      </w:r>
      <w:hyperlink r:id="rId40">
        <w:r>
          <w:rPr>
            <w:rStyle w:val="Internetverknpfung"/>
          </w:rPr>
          <w:t>Ps 69,16</w:t>
        </w:r>
      </w:hyperlink>
      <w:r>
        <w:rPr/>
        <w:t>).</w:t>
      </w:r>
    </w:p>
  </w:footnote>
  <w:footnote w:id="1251">
    <w:p>
      <w:pPr>
        <w:pStyle w:val="Funote"/>
        <w:rPr/>
      </w:pPr>
      <w:r>
        <w:rPr>
          <w:rStyle w:val="Funotenzeichen"/>
        </w:rPr>
        <w:footnoteRef/>
      </w:r>
      <w:r>
        <w:rPr>
          <w:i/>
        </w:rPr>
        <w:tab/>
        <w:t>Pfeiler des Himmels</w:t>
      </w:r>
      <w:r>
        <w:rPr/>
        <w:t xml:space="preserve"> - d.h. die Berge, auf denen nach altorientalischer Vorstellung der Himmel ruhte.</w:t>
      </w:r>
    </w:p>
  </w:footnote>
  <w:footnote w:id="1252">
    <w:p>
      <w:pPr>
        <w:pStyle w:val="Funote"/>
        <w:rPr/>
      </w:pPr>
      <w:r>
        <w:rPr>
          <w:rStyle w:val="Funotenzeichen"/>
        </w:rPr>
        <w:footnoteRef/>
      </w:r>
      <w:r>
        <w:rPr>
          <w:i/>
        </w:rPr>
        <w:tab/>
        <w:t>öffnete den Himmel</w:t>
      </w:r>
      <w:r>
        <w:rPr/>
        <w:t xml:space="preserve"> - Der Himmel wird hier wie noch öfter vorgestellt als festes Gebilde, das sich öffnen lässt (z.B., um durch die Öffnung die Sintflut auf die Erde zu schicken, </w:t>
      </w:r>
      <w:r>
        <w:fldChar w:fldCharType="begin"/>
      </w:r>
      <w:r>
        <w:rPr>
          <w:rStyle w:val="Internetverknpfung"/>
        </w:rPr>
        <w:instrText> HYPERLINK "../../../../../../../../../wiki/Genesis_7" \l "s11"</w:instrText>
      </w:r>
      <w:r>
        <w:rPr>
          <w:rStyle w:val="Internetverknpfung"/>
        </w:rPr>
        <w:fldChar w:fldCharType="separate"/>
      </w:r>
      <w:r>
        <w:rPr>
          <w:rStyle w:val="Internetverknpfung"/>
        </w:rPr>
        <w:t>Gen 7,11</w:t>
      </w:r>
      <w:r>
        <w:rPr>
          <w:rStyle w:val="Internetverknpfung"/>
        </w:rPr>
        <w:fldChar w:fldCharType="end"/>
      </w:r>
      <w:r>
        <w:rPr/>
        <w:t>).</w:t>
      </w:r>
    </w:p>
  </w:footnote>
  <w:footnote w:id="1253">
    <w:p>
      <w:pPr>
        <w:pStyle w:val="Funote"/>
        <w:rPr/>
      </w:pPr>
      <w:r>
        <w:rPr>
          <w:rStyle w:val="Funotenzeichen"/>
        </w:rPr>
        <w:footnoteRef/>
      </w:r>
      <w:r>
        <w:rPr>
          <w:i/>
        </w:rPr>
        <w:tab/>
        <w:t>Kerub</w:t>
      </w:r>
      <w:r>
        <w:rPr/>
        <w:t xml:space="preserve"> - altorientalisches Fabelwesen; meist dargestellt als geflügelter Löwe. S. näher </w:t>
      </w:r>
      <w:hyperlink r:id="rId41">
        <w:r>
          <w:rPr>
            <w:rStyle w:val="Internetverknpfung"/>
          </w:rPr>
          <w:t>Keruben / Kerubenthroner (WiBiLex)</w:t>
        </w:r>
      </w:hyperlink>
      <w:r>
        <w:rPr/>
        <w:t xml:space="preserve">. Im Alten Orient wurden die vier Winde (die den vier Himmelsrichtungen entsprechen) häufiger identifiziert mit oder personifiziert als geflügelte Wesen (s. zu </w:t>
      </w:r>
      <w:r>
        <w:fldChar w:fldCharType="begin"/>
      </w:r>
      <w:r>
        <w:rPr>
          <w:rStyle w:val="Internetverknpfung"/>
        </w:rPr>
        <w:instrText> HYPERLINK "../../../../../../../../../wiki/Markus_13" \l "s27"</w:instrText>
      </w:r>
      <w:r>
        <w:rPr>
          <w:rStyle w:val="Internetverknpfung"/>
        </w:rPr>
        <w:fldChar w:fldCharType="separate"/>
      </w:r>
      <w:r>
        <w:rPr>
          <w:rStyle w:val="Internetverknpfung"/>
        </w:rPr>
        <w:t>Mk 13,27</w:t>
      </w:r>
      <w:r>
        <w:rPr>
          <w:rStyle w:val="Internetverknpfung"/>
        </w:rPr>
        <w:fldChar w:fldCharType="end"/>
      </w:r>
      <w:r>
        <w:rPr/>
        <w:t>). Das scheint auch hier der Fall zu sein; s. die folgende Zeile.</w:t>
      </w:r>
    </w:p>
  </w:footnote>
  <w:footnote w:id="1254">
    <w:p>
      <w:pPr>
        <w:pStyle w:val="Funote"/>
        <w:rPr/>
      </w:pPr>
      <w:r>
        <w:rPr>
          <w:rStyle w:val="Funotenzeichen"/>
        </w:rPr>
        <w:footnoteRef/>
      </w:r>
      <w:r>
        <w:rPr/>
        <w:tab/>
        <w:t>tFN: wird geben - d.h. „gab“, ein bedeutungsloser T-Shift</w:t>
      </w:r>
    </w:p>
  </w:footnote>
  <w:footnote w:id="1255">
    <w:p>
      <w:pPr>
        <w:pStyle w:val="Funote"/>
        <w:rPr/>
      </w:pPr>
      <w:r>
        <w:rPr>
          <w:rStyle w:val="Funotenzeichen"/>
        </w:rPr>
        <w:footnoteRef/>
      </w:r>
      <w:r>
        <w:rPr>
          <w:i/>
        </w:rPr>
        <w:tab/>
        <w:t>Einen Blitz verwirrte er</w:t>
      </w:r>
      <w:r>
        <w:rPr/>
        <w:t xml:space="preserve"> - d.h. wahrscheinlich: Er gab ihm das wilde Zickzack, das für Blitze so charakteristisch ist.</w:t>
      </w:r>
    </w:p>
  </w:footnote>
  <w:footnote w:id="1256">
    <w:p>
      <w:pPr>
        <w:pStyle w:val="Funote"/>
        <w:rPr/>
      </w:pPr>
      <w:r>
        <w:rPr>
          <w:rStyle w:val="Funotenzeichen"/>
        </w:rPr>
        <w:footnoteRef/>
      </w:r>
      <w:r>
        <w:rPr/>
        <w:tab/>
        <w:t>tFN: werden bloßgelegt werden - d.h. „es wurden bloßgelegt“, ein bedeutungsloser T-Shift.</w:t>
      </w:r>
    </w:p>
  </w:footnote>
  <w:footnote w:id="1257">
    <w:p>
      <w:pPr>
        <w:pStyle w:val="Funote"/>
        <w:rPr/>
      </w:pPr>
      <w:r>
        <w:rPr>
          <w:rStyle w:val="Funotenzeichen"/>
        </w:rPr>
        <w:footnoteRef/>
      </w:r>
      <w:r>
        <w:rPr>
          <w:i/>
        </w:rPr>
        <w:tab/>
        <w:t>Fundamente der Erde</w:t>
      </w:r>
      <w:r>
        <w:rPr/>
        <w:t xml:space="preserve"> - die Pfeiler, auf denen nach dem altorientalischen Weltbild die Erde über dem Mehr ruhte.</w:t>
      </w:r>
    </w:p>
  </w:footnote>
  <w:footnote w:id="1258">
    <w:p>
      <w:pPr>
        <w:pStyle w:val="Funote"/>
        <w:rPr/>
      </w:pPr>
      <w:r>
        <w:rPr>
          <w:rStyle w:val="Funotenzeichen"/>
        </w:rPr>
        <w:footnoteRef/>
      </w:r>
      <w:r>
        <w:rPr>
          <w:i/>
        </w:rPr>
        <w:tab/>
        <w:t>Er möge senden aus der Höhe</w:t>
      </w:r>
      <w:r>
        <w:rPr/>
        <w:t xml:space="preserve"> - nämlich seine Hand, die er helfend herunterreichen möge. Das Objekt wird hier wie in </w:t>
      </w:r>
      <w:hyperlink r:id="rId42">
        <w:r>
          <w:rPr>
            <w:rStyle w:val="Internetverknpfung"/>
          </w:rPr>
          <w:t>2 Sam 6,6</w:t>
        </w:r>
      </w:hyperlink>
      <w:r>
        <w:rPr/>
        <w:t xml:space="preserve"> ausgespart.</w:t>
      </w:r>
    </w:p>
  </w:footnote>
  <w:footnote w:id="1259">
    <w:p>
      <w:pPr>
        <w:pStyle w:val="Funote"/>
        <w:rPr/>
      </w:pPr>
      <w:r>
        <w:rPr>
          <w:rStyle w:val="Funotenzeichen"/>
        </w:rPr>
        <w:footnoteRef/>
      </w:r>
      <w:r>
        <w:rPr>
          <w:i/>
        </w:rPr>
        <w:tab/>
        <w:t>Wassern</w:t>
      </w:r>
      <w:r>
        <w:rPr/>
        <w:t xml:space="preserve"> - Wie häufig wird hier die Not metaphorisch dargestellt als Wasserflut, in der der Beter zu ertrinken droht.</w:t>
      </w:r>
    </w:p>
  </w:footnote>
  <w:footnote w:id="1260">
    <w:p>
      <w:pPr>
        <w:pStyle w:val="Funote"/>
        <w:rPr/>
      </w:pPr>
      <w:r>
        <w:rPr>
          <w:rStyle w:val="Funotenzeichen"/>
        </w:rPr>
        <w:footnoteRef/>
      </w:r>
      <w:r>
        <w:rPr/>
        <w:tab/>
        <w:t>böse handeln von - das »von« ist im Heb. ebenso merkwürdig wie im Dt. Offenbar heißt das Verb hier ausnahmsweise nicht »böse handeln«, sondern speziell »durch böse Handlungen abfallen«, daher z.B. MÜN: »Ich bin nicht frevelhaft von meinem Gott gewichen«.</w:t>
      </w:r>
    </w:p>
  </w:footnote>
  <w:footnote w:id="1261">
    <w:p>
      <w:pPr>
        <w:pStyle w:val="Funote"/>
        <w:rPr/>
      </w:pPr>
      <w:r>
        <w:rPr>
          <w:rStyle w:val="Funotenzeichen"/>
        </w:rPr>
        <w:footnoteRef/>
      </w:r>
      <w:r>
        <w:rPr>
          <w:i/>
        </w:rPr>
        <w:tab/>
        <w:t>waren vor mir</w:t>
      </w:r>
      <w:r>
        <w:rPr/>
        <w:t xml:space="preserve"> - d.h., ich hielt sie mir beständig vor Augen und wich daher nicht von ihnen ab.</w:t>
      </w:r>
    </w:p>
  </w:footnote>
  <w:footnote w:id="1262">
    <w:p>
      <w:pPr>
        <w:pStyle w:val="Funote"/>
        <w:rPr/>
      </w:pPr>
      <w:r>
        <w:rPr>
          <w:rStyle w:val="Funotenzeichen"/>
        </w:rPr>
        <w:footnoteRef/>
      </w:r>
      <w:r>
        <w:rPr/>
        <w:tab/>
        <w:t>tFN: stärken - wenichat wurde hier nach Good 1985; Görg 1986 in Orientierung am äg. nḫt („stark sein, jmdn stärken“, vgl. Erman/Grapow II 314f.) und einem evtl. ug. Kognat nḥt („stark sein, jmdn stärken“, vgl. del Olmo Lete/Sanmartín 628) abgeleitet von nachat II („stark sein, jmdn stärken“; vgl. DCH V 671; Ges18 808). So übersetzen bereits Tg und Syr; vgl. auch beide Vrs. zu Jes 30,30. Zur in diesem V. schwierigen Textkritik s. 2 Sam 22, Ps 18 und die Textkritik des Alten Testaments.</w:t>
      </w:r>
    </w:p>
  </w:footnote>
  <w:footnote w:id="1263">
    <w:p>
      <w:pPr>
        <w:pStyle w:val="Funote"/>
        <w:rPr/>
      </w:pPr>
      <w:r>
        <w:rPr>
          <w:rStyle w:val="Funotenzeichen"/>
        </w:rPr>
        <w:footnoteRef/>
      </w:r>
      <w:r>
        <w:rPr>
          <w:i/>
        </w:rPr>
        <w:tab/>
        <w:t>du gabst mir ihren Rücken</w:t>
      </w:r>
      <w:r>
        <w:rPr/>
        <w:t xml:space="preserve"> - d.h., du machtest, dass sie vor mir flohen.</w:t>
      </w:r>
    </w:p>
  </w:footnote>
  <w:footnote w:id="1264">
    <w:p>
      <w:pPr>
        <w:pStyle w:val="Funote"/>
        <w:rPr/>
      </w:pPr>
      <w:r>
        <w:rPr>
          <w:rStyle w:val="Funotenzeichen"/>
        </w:rPr>
        <w:footnoteRef/>
      </w:r>
      <w:r>
        <w:rPr/>
        <w:tab/>
        <w:t>Sie werden schreien ... / Zu JHWH - Zwei Stilmittel in einer Doppelzeile: Hyperbaton (Umstellung der gewöhnlichen Wortfolge) + Break up (Aufteilung eines häufigen Ausdrucks wie „Sie werden zu JHWH schreien“) auf zwei Zeilen. Hier auch noch gepaart mit dem T-Shift beim folgenden Verb; schon in der Formulierung des Verses kommt das Chaos zum Ausdruck, in das die Macht des Sprechers und die Hilfeverweigerung JHWHs die Feinde stürzt.</w:t>
      </w:r>
    </w:p>
  </w:footnote>
  <w:footnote w:id="1265">
    <w:p>
      <w:pPr>
        <w:pStyle w:val="Funote"/>
        <w:rPr/>
      </w:pPr>
      <w:r>
        <w:rPr>
          <w:rStyle w:val="Funotenzeichen"/>
        </w:rPr>
        <w:footnoteRef/>
      </w:r>
      <w:r>
        <w:rPr/>
        <w:tab/>
        <w:t>tFN: er antwortete ihnen nicht - d.h. „er wird ihnen nicht antworten“, ein bedeutungsloser T-Shift.</w:t>
      </w:r>
    </w:p>
  </w:footnote>
  <w:footnote w:id="1266">
    <w:p>
      <w:pPr>
        <w:pStyle w:val="Funote"/>
        <w:rPr/>
      </w:pPr>
      <w:r>
        <w:rPr>
          <w:rStyle w:val="Funotenzeichen"/>
        </w:rPr>
        <w:footnoteRef/>
      </w:r>
      <w:r>
        <w:rPr/>
        <w:tab/>
        <w:t>Textkritik: Die beiden Zeilen von V. 45 stehen in 2 Sam eigentlich in umgekehrter Reihenfolge; die hierige Zeilenfolge, die der von Ps 18 entspricht, wird aber gestützt von LXXL und 4QSama. S. näher dazu 2 Sam 22, Ps 18 und die Textkritik des Alten Testaments.</w:t>
      </w:r>
    </w:p>
  </w:footnote>
  <w:footnote w:id="1267">
    <w:p>
      <w:pPr>
        <w:pStyle w:val="Funote"/>
        <w:rPr/>
      </w:pPr>
      <w:r>
        <w:rPr>
          <w:rStyle w:val="Funotenzeichen"/>
        </w:rPr>
        <w:footnoteRef/>
      </w:r>
      <w:r>
        <w:rPr>
          <w:i/>
        </w:rPr>
        <w:tab/>
        <w:t>herausholt</w:t>
      </w:r>
      <w:r>
        <w:rPr/>
        <w:t xml:space="preserve"> - d.h. „rettet“; über das Verb werden die Feinde metaphorisch dargestellt wie eine Grube, in die der Beter gefallen ist.</w:t>
      </w:r>
    </w:p>
  </w:footnote>
  <w:footnote w:id="1268">
    <w:p>
      <w:pPr>
        <w:pStyle w:val="Funote"/>
        <w:rPr/>
      </w:pPr>
      <w:r>
        <w:rPr>
          <w:rStyle w:val="Funotenzeichen"/>
        </w:rPr>
        <w:footnoteRef/>
      </w:r>
      <w:r>
        <w:rPr/>
        <w:tab/>
        <w:t>Textkritik: Der Text ist in 2 Sam gleichzeitig in zwei unterschiedlichen Varianten überliefert, die sich nur in den Vokalen unterscheiden: Als magdil („der groß macht“) in den Konsonanten, als migdol („der ein Turm [ist]“) in den jüngeren Vokalen. Ursprünglich angezielt war sicher magdil wie in Ps 18. Im Judentum haben diese beiden Vokalisierungstraditionen aber eine faszinierende Nachwirkung gehabt: V. 51 gehört zum Danksagungsgebet nach dem Essen, und um beiden Traditionen gerecht zu werden, betet man an Wochentagen magdil, am Sabbat und zu anderen Festzeiten aber migdol.</w:t>
      </w:r>
    </w:p>
  </w:footnote>
  <w:footnote w:id="1269">
    <w:p>
      <w:pPr>
        <w:pStyle w:val="Funote"/>
        <w:rPr/>
      </w:pPr>
      <w:r>
        <w:rPr>
          <w:rStyle w:val="Funotenzeichen"/>
        </w:rPr>
        <w:footnoteRef/>
      </w:r>
      <w:r>
        <w:rPr/>
        <w:tab/>
        <w:t>Alternativ: „um mich wütend zu machen mit ihren Sünden“</w:t>
      </w:r>
    </w:p>
  </w:footnote>
  <w:footnote w:id="1270">
    <w:p>
      <w:pPr>
        <w:pStyle w:val="Funote"/>
        <w:rPr/>
      </w:pPr>
      <w:r>
        <w:rPr>
          <w:rStyle w:val="Funotenzeichen"/>
        </w:rPr>
        <w:footnoteRef/>
      </w:r>
      <w:r>
        <w:rPr/>
        <w:tab/>
        <w:t>Wörtlich: „im Buch der Begebenheiten der Tage der Könige Israels“.</w:t>
      </w:r>
    </w:p>
  </w:footnote>
  <w:footnote w:id="1271">
    <w:p>
      <w:pPr>
        <w:pStyle w:val="Funote"/>
        <w:rPr/>
      </w:pPr>
      <w:r>
        <w:rPr>
          <w:rStyle w:val="Funotenzeichen"/>
        </w:rPr>
        <w:footnoteRef/>
      </w:r>
      <w:r>
        <w:rPr/>
        <w:tab/>
        <w:t>D.h. er tötete alle Männer</w:t>
      </w:r>
    </w:p>
  </w:footnote>
  <w:footnote w:id="1272">
    <w:p>
      <w:pPr>
        <w:pStyle w:val="Funote"/>
        <w:rPr/>
      </w:pPr>
      <w:r>
        <w:rPr>
          <w:rStyle w:val="Funotenzeichen"/>
        </w:rPr>
        <w:footnoteRef/>
      </w:r>
      <w:r>
        <w:rPr/>
        <w:tab/>
        <w:t>Wörtlich: „Rächer“. Simri tötete alle Verwandten Elas, die ihn später rächen könnten.</w:t>
      </w:r>
    </w:p>
  </w:footnote>
  <w:footnote w:id="1273">
    <w:p>
      <w:pPr>
        <w:pStyle w:val="Funote"/>
        <w:rPr/>
      </w:pPr>
      <w:r>
        <w:rPr>
          <w:rStyle w:val="Funotenzeichen"/>
        </w:rPr>
        <w:footnoteRef/>
      </w:r>
      <w:r>
        <w:rPr/>
        <w:tab/>
        <w:t>Die Bedeutung des Namens Isebel ist ungewiss. Die Vorschläge reichen von „Wo ist der Fürst?“ bis hin zu „ohne Beiwohnung“ (d.h. unberührt, keusch).</w:t>
      </w:r>
    </w:p>
  </w:footnote>
  <w:footnote w:id="1274">
    <w:p>
      <w:pPr>
        <w:pStyle w:val="Funote"/>
        <w:rPr/>
      </w:pPr>
      <w:r>
        <w:rPr>
          <w:rStyle w:val="Funotenzeichen"/>
        </w:rPr>
        <w:footnoteRef/>
      </w:r>
      <w:r>
        <w:rPr/>
        <w:tab/>
        <w:t>Der Name Etbaal bedeutet „mit Baal [lebend]“.</w:t>
      </w:r>
    </w:p>
  </w:footnote>
  <w:footnote w:id="1275">
    <w:p>
      <w:pPr>
        <w:pStyle w:val="Funote"/>
        <w:rPr/>
      </w:pPr>
      <w:r>
        <w:rPr>
          <w:rStyle w:val="Funotenzeichen"/>
        </w:rPr>
        <w:footnoteRef/>
      </w:r>
      <w:r>
        <w:rPr/>
        <w:tab/>
        <w:t>Siehe Jos 6:26.</w:t>
      </w:r>
    </w:p>
  </w:footnote>
  <w:footnote w:id="1276">
    <w:p>
      <w:pPr>
        <w:pStyle w:val="Funote"/>
        <w:rPr/>
      </w:pPr>
      <w:r>
        <w:rPr>
          <w:rStyle w:val="Funotenzeichen"/>
        </w:rPr>
        <w:footnoteRef/>
      </w:r>
      <w:r>
        <w:rPr/>
        <w:tab/>
        <w:t>[Status: Ungeprüft]</w:t>
      </w:r>
    </w:p>
  </w:footnote>
  <w:footnote w:id="1277">
    <w:p>
      <w:pPr>
        <w:pStyle w:val="Funote"/>
        <w:rPr/>
      </w:pPr>
      <w:r>
        <w:rPr>
          <w:rStyle w:val="Funotenzeichen"/>
        </w:rPr>
        <w:footnoteRef/>
      </w:r>
      <w:r>
        <w:rPr/>
        <w:tab/>
        <w:t xml:space="preserve">Nach Gesenius 18, </w:t>
      </w:r>
      <w:r>
        <w:rPr>
          <w:rtl w:val="true"/>
          <w:lang w:bidi="he-IL"/>
        </w:rPr>
        <w:t>מות</w:t>
      </w:r>
    </w:p>
  </w:footnote>
  <w:footnote w:id="1278">
    <w:p>
      <w:pPr>
        <w:pStyle w:val="Funote"/>
        <w:rPr/>
      </w:pPr>
      <w:r>
        <w:rPr>
          <w:rStyle w:val="Funotenzeichen"/>
        </w:rPr>
        <w:footnoteRef/>
      </w:r>
      <w:r>
        <w:rPr/>
        <w:tab/>
        <w:t xml:space="preserve">Nach Gesenius 18, </w:t>
      </w:r>
      <w:r>
        <w:rPr>
          <w:rtl w:val="true"/>
          <w:lang w:bidi="he-IL"/>
        </w:rPr>
        <w:t>מות</w:t>
      </w:r>
    </w:p>
  </w:footnote>
  <w:footnote w:id="1279">
    <w:p>
      <w:pPr>
        <w:pStyle w:val="Funote"/>
        <w:rPr/>
      </w:pPr>
      <w:r>
        <w:rPr>
          <w:rStyle w:val="Funotenzeichen"/>
        </w:rPr>
        <w:footnoteRef/>
      </w:r>
      <w:r>
        <w:rPr/>
        <w:tab/>
        <w:t>Bei modaler Tempusfunktion.</w:t>
      </w:r>
    </w:p>
  </w:footnote>
  <w:footnote w:id="1280">
    <w:p>
      <w:pPr>
        <w:pStyle w:val="Funote"/>
        <w:rPr/>
      </w:pPr>
      <w:r>
        <w:rPr>
          <w:rStyle w:val="Funotenzeichen"/>
        </w:rPr>
        <w:footnoteRef/>
      </w:r>
      <w:r>
        <w:rPr/>
        <w:tab/>
        <w:t xml:space="preserve">Als Reaktion auf das vorausgehende </w:t>
      </w:r>
      <w:r>
        <w:rPr>
          <w:rtl w:val="true"/>
          <w:lang w:bidi="he-IL"/>
        </w:rPr>
        <w:t>זה</w:t>
      </w:r>
      <w:r>
        <w:rPr/>
        <w:t xml:space="preserve"> </w:t>
      </w:r>
      <w:r>
        <w:rPr/>
        <w:t>in V.7.</w:t>
      </w:r>
    </w:p>
  </w:footnote>
  <w:footnote w:id="1281">
    <w:p>
      <w:pPr>
        <w:pStyle w:val="Funote"/>
        <w:rPr/>
      </w:pPr>
      <w:r>
        <w:rPr>
          <w:rStyle w:val="Funotenzeichen"/>
        </w:rPr>
        <w:footnoteRef/>
      </w:r>
      <w:r>
        <w:rPr/>
        <w:tab/>
        <w:t xml:space="preserve">Nach Gesenius 18, </w:t>
      </w:r>
      <w:r>
        <w:rPr>
          <w:rtl w:val="true"/>
          <w:lang w:bidi="he-IL"/>
        </w:rPr>
        <w:t>מות</w:t>
      </w:r>
    </w:p>
  </w:footnote>
  <w:footnote w:id="1282">
    <w:p>
      <w:pPr>
        <w:pStyle w:val="Funote"/>
        <w:rPr/>
      </w:pPr>
      <w:r>
        <w:rPr>
          <w:rStyle w:val="Funotenzeichen"/>
        </w:rPr>
        <w:footnoteRef/>
      </w:r>
      <w:r>
        <w:rPr/>
        <w:tab/>
        <w:t xml:space="preserve">Als Reaktion auf das vorausgehende </w:t>
      </w:r>
      <w:r>
        <w:rPr>
          <w:rtl w:val="true"/>
          <w:lang w:bidi="he-IL"/>
        </w:rPr>
        <w:t>זה</w:t>
      </w:r>
      <w:r>
        <w:rPr/>
        <w:t xml:space="preserve"> </w:t>
      </w:r>
      <w:r>
        <w:rPr/>
        <w:t>in V.17.</w:t>
      </w:r>
    </w:p>
  </w:footnote>
  <w:footnote w:id="1283">
    <w:p>
      <w:pPr>
        <w:pStyle w:val="Funote"/>
        <w:rPr/>
      </w:pPr>
      <w:r>
        <w:rPr>
          <w:rStyle w:val="Funotenzeichen"/>
        </w:rPr>
        <w:footnoteRef/>
      </w:r>
      <w:r>
        <w:rPr/>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 xml:space="preserve">erwarten würde. </w:t>
      </w:r>
    </w:p>
  </w:footnote>
  <w:footnote w:id="1284">
    <w:p>
      <w:pPr>
        <w:pStyle w:val="Funote"/>
        <w:rPr/>
      </w:pPr>
      <w:r>
        <w:rPr>
          <w:rStyle w:val="Funotenzeichen"/>
        </w:rPr>
        <w:footnoteRef/>
      </w:r>
      <w:r>
        <w:rPr/>
        <w:tab/>
        <w:t>mglw. Anspielung auf Vers 26.</w:t>
      </w:r>
    </w:p>
  </w:footnote>
  <w:footnote w:id="1285">
    <w:p>
      <w:pPr>
        <w:pStyle w:val="Funote"/>
        <w:rPr/>
      </w:pPr>
      <w:r>
        <w:rPr>
          <w:rStyle w:val="Funotenzeichen"/>
        </w:rPr>
        <w:footnoteRef/>
      </w:r>
      <w:r>
        <w:rPr/>
        <w:tab/>
        <w:t>Übersetzung hier nach LXX, da das hebräische Wort etwas unklar ist. Lt. Gesenius wäre es mit „Teilungen“, „Seiten“ oder „Krücken“ zu übersetzen.</w:t>
      </w:r>
    </w:p>
  </w:footnote>
  <w:footnote w:id="1286">
    <w:p>
      <w:pPr>
        <w:pStyle w:val="Funote"/>
        <w:rPr/>
      </w:pPr>
      <w:r>
        <w:rPr>
          <w:rStyle w:val="Funotenzeichen"/>
        </w:rPr>
        <w:footnoteRef/>
      </w:r>
      <w:r>
        <w:rPr/>
        <w:tab/>
        <w:t>Bis wann wollt ihr schwanken zwischen zwei Seiten?</w:t>
      </w:r>
    </w:p>
  </w:footnote>
  <w:footnote w:id="1287">
    <w:p>
      <w:pPr>
        <w:pStyle w:val="Funote"/>
        <w:rPr/>
      </w:pPr>
      <w:r>
        <w:rPr>
          <w:rStyle w:val="Funotenzeichen"/>
        </w:rPr>
        <w:footnoteRef/>
      </w:r>
      <w:r>
        <w:rPr/>
        <w:tab/>
        <w:t>Vgl. Apparat der BHS.</w:t>
      </w:r>
    </w:p>
  </w:footnote>
  <w:footnote w:id="1288">
    <w:p>
      <w:pPr>
        <w:pStyle w:val="Funote"/>
        <w:rPr/>
      </w:pPr>
      <w:r>
        <w:rPr>
          <w:rStyle w:val="Funotenzeichen"/>
        </w:rPr>
        <w:footnoteRef/>
      </w:r>
      <w:r>
        <w:rPr/>
        <w:tab/>
        <w:t>Wahrscheinlich spöttisch gemeint.</w:t>
      </w:r>
    </w:p>
  </w:footnote>
  <w:footnote w:id="1289">
    <w:p>
      <w:pPr>
        <w:pStyle w:val="Funote"/>
        <w:rPr/>
      </w:pPr>
      <w:r>
        <w:rPr>
          <w:rStyle w:val="Funotenzeichen"/>
        </w:rPr>
        <w:footnoteRef/>
      </w:r>
      <w:r>
        <w:rPr/>
        <w:tab/>
        <w:t>LXX: „er treibt Geschäfte“</w:t>
      </w:r>
    </w:p>
  </w:footnote>
  <w:footnote w:id="1290">
    <w:p>
      <w:pPr>
        <w:pStyle w:val="Funote"/>
        <w:rPr/>
      </w:pPr>
      <w:r>
        <w:rPr>
          <w:rStyle w:val="Funotenzeichen"/>
        </w:rPr>
        <w:footnoteRef/>
      </w:r>
      <w:r>
        <w:rPr/>
        <w:tab/>
        <w:t>Lt Gesenius: „er ist beschäftigt“</w:t>
      </w:r>
    </w:p>
  </w:footnote>
  <w:footnote w:id="1291">
    <w:p>
      <w:pPr>
        <w:pStyle w:val="Funote"/>
        <w:rPr/>
      </w:pPr>
      <w:r>
        <w:rPr>
          <w:rStyle w:val="Funotenzeichen"/>
        </w:rPr>
        <w:footnoteRef/>
      </w:r>
      <w:r>
        <w:rPr/>
        <w:tab/>
        <w:t>Mincha ist hier eine Zeitbestimmung, wahrscheinlich ist der Zeitpunkt gemeint, an dem die Mincha (ein Speiseopfer) stattfand, vgl. Gesenius.</w:t>
      </w:r>
    </w:p>
  </w:footnote>
  <w:footnote w:id="1292">
    <w:p>
      <w:pPr>
        <w:pStyle w:val="Funote"/>
        <w:rPr/>
      </w:pPr>
      <w:r>
        <w:rPr>
          <w:rStyle w:val="Funotenzeichen"/>
        </w:rPr>
        <w:footnoteRef/>
      </w:r>
      <w:r>
        <w:rPr/>
        <w:tab/>
        <w:t>Maßeinheit für Getreide</w:t>
      </w:r>
    </w:p>
  </w:footnote>
  <w:footnote w:id="1293">
    <w:p>
      <w:pPr>
        <w:pStyle w:val="Funote"/>
        <w:rPr/>
      </w:pPr>
      <w:r>
        <w:rPr>
          <w:rStyle w:val="Funotenzeichen"/>
        </w:rPr>
        <w:footnoteRef/>
      </w:r>
      <w:r>
        <w:rPr/>
        <w:tab/>
        <w:t>Bedeutung unsicher</w:t>
      </w:r>
    </w:p>
  </w:footnote>
  <w:footnote w:id="1294">
    <w:p>
      <w:pPr>
        <w:pStyle w:val="Funote"/>
        <w:rPr/>
      </w:pPr>
      <w:r>
        <w:rPr>
          <w:rStyle w:val="Funotenzeichen"/>
        </w:rPr>
        <w:footnoteRef/>
      </w:r>
      <w:r>
        <w:rPr/>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95">
    <w:p>
      <w:pPr>
        <w:pStyle w:val="Funote"/>
        <w:rPr/>
      </w:pPr>
      <w:r>
        <w:rPr>
          <w:rStyle w:val="Funotenzeichen"/>
        </w:rPr>
        <w:footnoteRef/>
      </w:r>
      <w:r>
        <w:rPr/>
        <w:tab/>
        <w:t>wörtl.: „[...] um aufzunehmen einen Mann von seinem Aussatz.“ Dabei ist an die Wiedereingliederung an die Gesellschaft gedacht.</w:t>
      </w:r>
    </w:p>
  </w:footnote>
  <w:footnote w:id="1296">
    <w:p>
      <w:pPr>
        <w:pStyle w:val="Funote"/>
        <w:rPr/>
      </w:pPr>
      <w:r>
        <w:rPr>
          <w:rStyle w:val="Funotenzeichen"/>
        </w:rPr>
        <w:footnoteRef/>
      </w:r>
      <w:r>
        <w:rPr/>
        <w:tab/>
        <w:t xml:space="preserve">Verb </w:t>
      </w:r>
      <w:r>
        <w:rPr>
          <w:rtl w:val="true"/>
          <w:lang w:bidi="he-IL"/>
        </w:rPr>
        <w:t>אנה</w:t>
      </w:r>
      <w:r>
        <w:rPr/>
        <w:t xml:space="preserve"> </w:t>
      </w:r>
      <w:r>
        <w:rPr/>
        <w:t>im Hithpael Part. m. Sg. abs. In dieser Form nur an dieser Stelle.</w:t>
      </w:r>
    </w:p>
  </w:footnote>
  <w:footnote w:id="1297">
    <w:p>
      <w:pPr>
        <w:pStyle w:val="Funote"/>
        <w:rPr/>
      </w:pPr>
      <w:r>
        <w:rPr>
          <w:rStyle w:val="Funotenzeichen"/>
        </w:rPr>
        <w:footnoteRef/>
      </w:r>
      <w:r>
        <w:rPr/>
        <w:tab/>
        <w:t>Gemeint ist wohl eine Gelegenheit zur Konfrontation, zum Streit. Im Urtext steht das nicht explizit.</w:t>
      </w:r>
    </w:p>
  </w:footnote>
  <w:footnote w:id="1298">
    <w:p>
      <w:pPr>
        <w:pStyle w:val="Funote"/>
        <w:rPr/>
      </w:pPr>
      <w:r>
        <w:rPr>
          <w:rStyle w:val="Funotenzeichen"/>
        </w:rPr>
        <w:footnoteRef/>
      </w:r>
      <w:r>
        <w:rPr/>
        <w:tab/>
        <w:t>[Status: Ungeprüft]</w:t>
      </w:r>
    </w:p>
  </w:footnote>
  <w:footnote w:id="1299">
    <w:p>
      <w:pPr>
        <w:pStyle w:val="Funote"/>
        <w:rPr/>
      </w:pPr>
      <w:r>
        <w:rPr>
          <w:rStyle w:val="Funotenzeichen"/>
        </w:rPr>
        <w:footnoteRef/>
      </w:r>
      <w:r>
        <w:rPr/>
        <w:tab/>
        <w:t>Die Septuaginta hatte gelesen/verbessert: „Noach. Söhne Noachs: Sem, Ham, Jafet.“ (Vermutlich richtig).</w:t>
      </w:r>
    </w:p>
  </w:footnote>
  <w:footnote w:id="1300">
    <w:p>
      <w:pPr>
        <w:pStyle w:val="Funote"/>
        <w:rPr/>
      </w:pPr>
      <w:r>
        <w:rPr>
          <w:rStyle w:val="Funotenzeichen"/>
        </w:rPr>
        <w:footnoteRef/>
      </w:r>
      <w:r>
        <w:rPr/>
        <w:tab/>
        <w:t xml:space="preserve">So der Masoretische Text und Hieronymus / Septuaginta ohne Konjunktion; s. Gen 10 </w:t>
      </w:r>
      <w:r>
        <w:fldChar w:fldCharType="begin"/>
      </w:r>
      <w:r>
        <w:rPr>
          <w:rStyle w:val="Internetverknpfung"/>
        </w:rPr>
        <w:instrText> HYPERLINK "../../../../../../../../../wiki/Genesis_10" \l "S1"</w:instrText>
      </w:r>
      <w:r>
        <w:rPr>
          <w:rStyle w:val="Internetverknpfung"/>
        </w:rPr>
        <w:fldChar w:fldCharType="separate"/>
      </w:r>
      <w:r>
        <w:rPr>
          <w:rStyle w:val="Internetverknpfung"/>
        </w:rPr>
        <w:t>Genesis 10,1</w:t>
      </w:r>
      <w:r>
        <w:rPr>
          <w:rStyle w:val="Internetverknpfung"/>
        </w:rPr>
        <w:fldChar w:fldCharType="end"/>
      </w:r>
      <w:r>
        <w:rPr/>
        <w:t>.</w:t>
      </w:r>
    </w:p>
  </w:footnote>
  <w:footnote w:id="1301">
    <w:p>
      <w:pPr>
        <w:pStyle w:val="Funote"/>
        <w:rPr/>
      </w:pPr>
      <w:r>
        <w:rPr>
          <w:rStyle w:val="Funotenzeichen"/>
        </w:rPr>
        <w:footnoteRef/>
      </w:r>
      <w:r>
        <w:rPr/>
        <w:tab/>
        <w:t>Im Hebräischen geschrieben als „Status constructus“, eine Verbindung als Sprech- und Bedeutungseinheit mit dem nachfolgenden Personennamen: Die direkte Übersetzung davon ins Deutsche ist der Personenname mit Genitiv-s (nicht: „Söhne von …“.</w:t>
      </w:r>
    </w:p>
  </w:footnote>
  <w:footnote w:id="1302">
    <w:p>
      <w:pPr>
        <w:pStyle w:val="Funote"/>
        <w:rPr/>
      </w:pPr>
      <w:r>
        <w:rPr>
          <w:rStyle w:val="Funotenzeichen"/>
        </w:rPr>
        <w:footnoteRef/>
      </w:r>
      <w:r>
        <w:rPr/>
        <w:tab/>
        <w:t xml:space="preserve">Die Septuaginta fügt hier ein: </w:t>
      </w:r>
      <w:r>
        <w:rPr>
          <w:lang w:val="el-GR"/>
        </w:rPr>
        <w:t>Ελισα</w:t>
      </w:r>
      <w:r>
        <w:rPr/>
        <w:t xml:space="preserve"> = Elischa (Vermutlich nur aus Vers 7 verlesen. Konjunktion in diesem Vers nur beim letzten Namen: „und Tiras“).</w:t>
      </w:r>
    </w:p>
  </w:footnote>
  <w:footnote w:id="1303">
    <w:p>
      <w:pPr>
        <w:pStyle w:val="Funote"/>
        <w:rPr/>
      </w:pPr>
      <w:r>
        <w:rPr>
          <w:rStyle w:val="Funotenzeichen"/>
        </w:rPr>
        <w:footnoteRef/>
      </w:r>
      <w:r>
        <w:rPr/>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 xml:space="preserve">an der Parallelstelle Gen 10 </w:t>
      </w:r>
      <w:r>
        <w:fldChar w:fldCharType="begin"/>
      </w:r>
      <w:r>
        <w:rPr>
          <w:rStyle w:val="Internetverknpfung"/>
        </w:rPr>
        <w:instrText> HYPERLINK "../../../../../../../../../wiki/Genesis_10" \l "S3"</w:instrText>
      </w:r>
      <w:r>
        <w:rPr>
          <w:rStyle w:val="Internetverknpfung"/>
        </w:rPr>
        <w:fldChar w:fldCharType="separate"/>
      </w:r>
      <w:r>
        <w:rPr>
          <w:rStyle w:val="Internetverknpfung"/>
        </w:rPr>
        <w:t>Genesis 10,3</w:t>
      </w:r>
      <w:r>
        <w:rPr>
          <w:rStyle w:val="Internetverknpfung"/>
        </w:rPr>
        <w:fldChar w:fldCharType="end"/>
      </w:r>
      <w:r>
        <w:rPr/>
        <w:t>.</w:t>
      </w:r>
    </w:p>
  </w:footnote>
  <w:footnote w:id="1304">
    <w:p>
      <w:pPr>
        <w:pStyle w:val="Funote"/>
        <w:rPr/>
      </w:pPr>
      <w:r>
        <w:rPr>
          <w:rStyle w:val="Funotenzeichen"/>
        </w:rPr>
        <w:footnoteRef/>
      </w:r>
      <w:r>
        <w:rPr/>
        <w:tab/>
        <w:t xml:space="preserve">Im Hebräischen mit Mehrzahlendung </w:t>
      </w:r>
      <w:r>
        <w:rPr>
          <w:rtl w:val="true"/>
          <w:lang w:bidi="he-IL"/>
        </w:rPr>
        <w:t>ים</w:t>
      </w:r>
      <w:r>
        <w:rPr/>
        <w:t xml:space="preserve">~ als Plural und daher als Name eines Volksstammes zu verstehen; s. Jer 2 </w:t>
      </w:r>
      <w:r>
        <w:fldChar w:fldCharType="begin"/>
      </w:r>
      <w:r>
        <w:rPr>
          <w:rStyle w:val="Internetverknpfung"/>
        </w:rPr>
        <w:instrText> HYPERLINK "../../../../../../../../../wiki/Jeremia_2" \l "S10"</w:instrText>
      </w:r>
      <w:r>
        <w:rPr>
          <w:rStyle w:val="Internetverknpfung"/>
        </w:rPr>
        <w:fldChar w:fldCharType="separate"/>
      </w:r>
      <w:r>
        <w:rPr>
          <w:rStyle w:val="Internetverknpfung"/>
        </w:rPr>
        <w:t>Jeremia 2,10</w:t>
      </w:r>
      <w:r>
        <w:rPr>
          <w:rStyle w:val="Internetverknpfung"/>
        </w:rPr>
        <w:fldChar w:fldCharType="end"/>
      </w:r>
      <w:r>
        <w:rPr/>
        <w:t>.</w:t>
      </w:r>
    </w:p>
  </w:footnote>
  <w:footnote w:id="1305">
    <w:p>
      <w:pPr>
        <w:pStyle w:val="Funote"/>
        <w:rPr/>
      </w:pPr>
      <w:r>
        <w:rPr>
          <w:rStyle w:val="Funotenzeichen"/>
        </w:rPr>
        <w:footnoteRef/>
      </w:r>
      <w:r>
        <w:rPr/>
        <w:tab/>
        <w:t xml:space="preserve">Im Hebräischen mit Mehrzahlendung </w:t>
      </w:r>
      <w:r>
        <w:rPr>
          <w:rtl w:val="true"/>
          <w:lang w:bidi="he-IL"/>
        </w:rPr>
        <w:t>ים</w:t>
      </w:r>
      <w:r>
        <w:rPr/>
        <w:t>~ als Plural und daher als Name eines Volksstammes zu verstehen.</w:t>
      </w:r>
    </w:p>
  </w:footnote>
  <w:footnote w:id="1306">
    <w:p>
      <w:pPr>
        <w:pStyle w:val="Funote"/>
        <w:rPr/>
      </w:pPr>
      <w:r>
        <w:rPr>
          <w:rStyle w:val="Funotenzeichen"/>
        </w:rPr>
        <w:footnoteRef/>
      </w:r>
      <w:r>
        <w:rPr/>
        <w:tab/>
        <w:t>Hier im Kontext als Personenname erkennbar; auch Name eines Landes, s. Gen 2 Genesis 2,13 und 2 Kön 19 2 Könige 19,9 etc.</w:t>
      </w:r>
    </w:p>
  </w:footnote>
  <w:footnote w:id="1307">
    <w:p>
      <w:pPr>
        <w:pStyle w:val="Funote"/>
        <w:rPr/>
      </w:pPr>
      <w:r>
        <w:rPr>
          <w:rStyle w:val="Funotenzeichen"/>
        </w:rPr>
        <w:footnoteRef/>
      </w:r>
      <w:r>
        <w:rPr/>
        <w:tab/>
        <w:t xml:space="preserve">Hier im Kontext als Personenname erkennbar; auch der Name eines Landes, s. Gen 12 </w:t>
      </w:r>
      <w:r>
        <w:fldChar w:fldCharType="begin"/>
      </w:r>
      <w:r>
        <w:rPr>
          <w:rStyle w:val="Internetverknpfung"/>
        </w:rPr>
        <w:instrText> HYPERLINK "../../../../../../../../../wiki/Genesis_12" \l "S10"</w:instrText>
      </w:r>
      <w:r>
        <w:rPr>
          <w:rStyle w:val="Internetverknpfung"/>
        </w:rPr>
        <w:fldChar w:fldCharType="separate"/>
      </w:r>
      <w:r>
        <w:rPr>
          <w:rStyle w:val="Internetverknpfung"/>
        </w:rPr>
        <w:t>Genesis 12,10</w:t>
      </w:r>
      <w:r>
        <w:rPr>
          <w:rStyle w:val="Internetverknpfung"/>
        </w:rPr>
        <w:fldChar w:fldCharType="end"/>
      </w:r>
      <w:r>
        <w:rPr/>
        <w:t xml:space="preserve"> etc. (Ägypten). Im Masoretischen Text zwar mit Mehrzahlendung </w:t>
      </w:r>
      <w:r>
        <w:rPr>
          <w:rtl w:val="true"/>
          <w:lang w:bidi="he-IL"/>
        </w:rPr>
        <w:t>יִם</w:t>
      </w:r>
      <w:r>
        <w:rPr/>
        <w:t>~ aber als Dual punktiert; muss sich nicht unbedingt auf „Ober- und Unterägypten“ beziehen.</w:t>
      </w:r>
    </w:p>
  </w:footnote>
  <w:footnote w:id="1308">
    <w:p>
      <w:pPr>
        <w:pStyle w:val="Funote"/>
        <w:rPr/>
      </w:pPr>
      <w:r>
        <w:rPr>
          <w:rStyle w:val="Funotenzeichen"/>
        </w:rPr>
        <w:footnoteRef/>
      </w:r>
      <w:r>
        <w:rPr/>
        <w:tab/>
        <w:t xml:space="preserve">So der Masoretische Text, Septuaginta und Hieronymus (ohne Konjunktion). Masoretischer Text an der Parallelstelle mit Konjunktion „und Put“; s. Gen 10 </w:t>
      </w:r>
      <w:r>
        <w:fldChar w:fldCharType="begin"/>
      </w:r>
      <w:r>
        <w:rPr>
          <w:rStyle w:val="Internetverknpfung"/>
        </w:rPr>
        <w:instrText> HYPERLINK "../../../../../../../../../wiki/Genesis_10" \l "S6"</w:instrText>
      </w:r>
      <w:r>
        <w:rPr>
          <w:rStyle w:val="Internetverknpfung"/>
        </w:rPr>
        <w:fldChar w:fldCharType="separate"/>
      </w:r>
      <w:r>
        <w:rPr>
          <w:rStyle w:val="Internetverknpfung"/>
        </w:rPr>
        <w:t>Genesis 10,6</w:t>
      </w:r>
      <w:r>
        <w:rPr>
          <w:rStyle w:val="Internetverknpfung"/>
        </w:rPr>
        <w:fldChar w:fldCharType="end"/>
      </w:r>
      <w:r>
        <w:rPr/>
        <w:t>.</w:t>
      </w:r>
    </w:p>
  </w:footnote>
  <w:footnote w:id="1309">
    <w:p>
      <w:pPr>
        <w:pStyle w:val="Funote"/>
        <w:rPr/>
      </w:pPr>
      <w:r>
        <w:rPr>
          <w:rStyle w:val="Funotenzeichen"/>
        </w:rPr>
        <w:footnoteRef/>
      </w:r>
      <w:r>
        <w:rPr/>
        <w:tab/>
        <w:t xml:space="preserve">Hier im Kontext als Personenname erkennbar; auch der Name eines Landes, s. Jer 46 </w:t>
      </w:r>
      <w:hyperlink r:id="rId43">
        <w:r>
          <w:rPr>
            <w:rStyle w:val="Internetverknpfung"/>
          </w:rPr>
          <w:t>Jeremia 46,9</w:t>
        </w:r>
      </w:hyperlink>
      <w:r>
        <w:rPr/>
        <w:t xml:space="preserve"> etc.</w:t>
      </w:r>
    </w:p>
  </w:footnote>
  <w:footnote w:id="1310">
    <w:p>
      <w:pPr>
        <w:pStyle w:val="Funote"/>
        <w:rPr/>
      </w:pPr>
      <w:r>
        <w:rPr>
          <w:rStyle w:val="Funotenzeichen"/>
        </w:rPr>
        <w:footnoteRef/>
      </w:r>
      <w:r>
        <w:rPr/>
        <w:tab/>
        <w:t xml:space="preserve">Hier im Kontext als Personenname erkennbar; auch der Name eines Landes, s. Gen 11 </w:t>
      </w:r>
      <w:r>
        <w:fldChar w:fldCharType="begin"/>
      </w:r>
      <w:r>
        <w:rPr>
          <w:rStyle w:val="Internetverknpfung"/>
        </w:rPr>
        <w:instrText> HYPERLINK "../../../../../../../../../wiki/Genesis_11" \l "S31"</w:instrText>
      </w:r>
      <w:r>
        <w:rPr>
          <w:rStyle w:val="Internetverknpfung"/>
        </w:rPr>
        <w:fldChar w:fldCharType="separate"/>
      </w:r>
      <w:r>
        <w:rPr>
          <w:rStyle w:val="Internetverknpfung"/>
        </w:rPr>
        <w:t>Genesis 11,31</w:t>
      </w:r>
      <w:r>
        <w:rPr>
          <w:rStyle w:val="Internetverknpfung"/>
        </w:rPr>
        <w:fldChar w:fldCharType="end"/>
      </w:r>
      <w:r>
        <w:rPr/>
        <w:t xml:space="preserve"> etc.</w:t>
      </w:r>
    </w:p>
  </w:footnote>
  <w:footnote w:id="1311">
    <w:p>
      <w:pPr>
        <w:pStyle w:val="Funote"/>
        <w:rPr/>
      </w:pPr>
      <w:r>
        <w:rPr>
          <w:rStyle w:val="Funotenzeichen"/>
        </w:rPr>
        <w:footnoteRef/>
      </w:r>
      <w:r>
        <w:rPr/>
        <w:tab/>
        <w:t xml:space="preserve">3. </w:t>
      </w:r>
      <w:r>
        <w:rPr>
          <w:i/>
        </w:rPr>
        <w:t>sg. masc. pf.</w:t>
      </w:r>
      <w:r>
        <w:rPr/>
        <w:t>, hier mit Plusquamperfekt wiedergegeben wegen der nachfolgenden Geschichte seines Sohnes Nimrod im selben Vers.</w:t>
      </w:r>
    </w:p>
  </w:footnote>
  <w:footnote w:id="1312">
    <w:p>
      <w:pPr>
        <w:pStyle w:val="Funote"/>
        <w:rPr/>
      </w:pPr>
      <w:r>
        <w:rPr>
          <w:rStyle w:val="Funotenzeichen"/>
        </w:rPr>
        <w:footnoteRef/>
      </w:r>
      <w:r>
        <w:rPr/>
        <w:tab/>
        <w:t xml:space="preserve">Im Hebräischen steht hier nur die Akkusativpartikel </w:t>
      </w:r>
      <w:r>
        <w:rPr>
          <w:rtl w:val="true"/>
          <w:lang w:bidi="he-IL"/>
        </w:rPr>
        <w:t>אֶת־</w:t>
      </w:r>
      <w:r>
        <w:rPr/>
        <w:t xml:space="preserve"> </w:t>
      </w:r>
      <w:r>
        <w:rPr/>
        <w:t>und kein Artikel.</w:t>
      </w:r>
    </w:p>
  </w:footnote>
  <w:footnote w:id="1313">
    <w:p>
      <w:pPr>
        <w:pStyle w:val="Funote"/>
        <w:rPr/>
      </w:pPr>
      <w:r>
        <w:rPr>
          <w:rStyle w:val="Funotenzeichen"/>
        </w:rPr>
        <w:footnoteRef/>
      </w:r>
      <w:r>
        <w:rPr/>
        <w:tab/>
        <w:t xml:space="preserve">Personalpronomen 3. </w:t>
      </w:r>
      <w:r>
        <w:rPr>
          <w:i/>
        </w:rPr>
        <w:t>sg. masc.</w:t>
      </w:r>
    </w:p>
  </w:footnote>
  <w:footnote w:id="1314">
    <w:p>
      <w:pPr>
        <w:pStyle w:val="Funote"/>
        <w:rPr/>
      </w:pPr>
      <w:r>
        <w:rPr>
          <w:rStyle w:val="Funotenzeichen"/>
        </w:rPr>
        <w:footnoteRef/>
      </w:r>
      <w:r>
        <w:rPr/>
        <w:tab/>
        <w:t xml:space="preserve">3. </w:t>
      </w:r>
      <w:r>
        <w:rPr>
          <w:i/>
        </w:rPr>
        <w:t>sg. masc. pf.</w:t>
      </w:r>
      <w:r>
        <w:rPr/>
        <w:t xml:space="preserve"> als hebräische Aktionsart „Hifil“.</w:t>
      </w:r>
    </w:p>
  </w:footnote>
  <w:footnote w:id="1315">
    <w:p>
      <w:pPr>
        <w:pStyle w:val="Funote"/>
        <w:rPr/>
      </w:pPr>
      <w:r>
        <w:rPr>
          <w:rStyle w:val="Funotenzeichen"/>
        </w:rPr>
        <w:footnoteRef/>
      </w:r>
      <w:r>
        <w:rPr/>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16">
    <w:p>
      <w:pPr>
        <w:pStyle w:val="Funote"/>
        <w:rPr/>
      </w:pPr>
      <w:r>
        <w:rPr>
          <w:rStyle w:val="Funotenzeichen"/>
        </w:rPr>
        <w:footnoteRef/>
      </w:r>
      <w:r>
        <w:rPr/>
        <w:tab/>
        <w:t xml:space="preserve">Die Machtbestrebungen Nimrods beschränkten sich nicht nur auf die heimische Region (Schinar), sondern umfassten auch einen Neuerwerb von fremden Gebieten; im Masoretischen Text wäre der Artikel (im Hebräischen für ein bereits bekanntes bzw. </w:t>
      </w:r>
      <w:r>
        <w:fldChar w:fldCharType="begin"/>
      </w:r>
      <w:r>
        <w:rPr>
          <w:rStyle w:val="Internetverknpfung"/>
        </w:rPr>
        <w:instrText> HYPERLINK "../../../../../../../../../wiki/Genesis_2" \l "S14"</w:instrText>
      </w:r>
      <w:r>
        <w:rPr>
          <w:rStyle w:val="Internetverknpfung"/>
        </w:rPr>
        <w:fldChar w:fldCharType="separate"/>
      </w:r>
      <w:r>
        <w:rPr>
          <w:rStyle w:val="Internetverknpfung"/>
        </w:rPr>
        <w:t>im Text zuvor schon mal erwähntes</w:t>
      </w:r>
      <w:r>
        <w:rPr>
          <w:rStyle w:val="Internetverknpfung"/>
        </w:rPr>
        <w:fldChar w:fldCharType="end"/>
      </w:r>
      <w:r>
        <w:rPr/>
        <w:t xml:space="preserve"> Land) nur nachträglich hineinpunktiert.</w:t>
      </w:r>
    </w:p>
  </w:footnote>
  <w:footnote w:id="1317">
    <w:p>
      <w:pPr>
        <w:pStyle w:val="Funote"/>
        <w:rPr/>
      </w:pPr>
      <w:r>
        <w:rPr>
          <w:rStyle w:val="Funotenzeichen"/>
        </w:rPr>
        <w:footnoteRef/>
      </w:r>
      <w:r>
        <w:rPr/>
        <w:tab/>
        <w:t xml:space="preserve">3. </w:t>
      </w:r>
      <w:r>
        <w:rPr>
          <w:i/>
        </w:rPr>
        <w:t>sg. masc. pf.</w:t>
      </w:r>
    </w:p>
  </w:footnote>
  <w:footnote w:id="1318">
    <w:p>
      <w:pPr>
        <w:pStyle w:val="Funote"/>
        <w:rPr/>
      </w:pPr>
      <w:r>
        <w:rPr>
          <w:rStyle w:val="Funotenzeichen"/>
        </w:rPr>
        <w:footnoteRef/>
      </w:r>
      <w:r>
        <w:rPr/>
        <w:tab/>
        <w:t xml:space="preserve">Im Hebräischen mit Mehrzahlendung </w:t>
      </w:r>
      <w:r>
        <w:rPr>
          <w:rtl w:val="true"/>
          <w:lang w:bidi="he-IL"/>
        </w:rPr>
        <w:t>ים</w:t>
      </w:r>
      <w:r>
        <w:rPr/>
        <w:t>~ als Plural und daher als Volksstamm zu verstehen.</w:t>
      </w:r>
    </w:p>
  </w:footnote>
  <w:footnote w:id="1319">
    <w:p>
      <w:pPr>
        <w:pStyle w:val="Funote"/>
        <w:rPr/>
      </w:pPr>
      <w:r>
        <w:rPr>
          <w:rStyle w:val="Funotenzeichen"/>
        </w:rPr>
        <w:footnoteRef/>
      </w:r>
      <w:r>
        <w:rPr/>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20">
    <w:p>
      <w:pPr>
        <w:pStyle w:val="Funote"/>
        <w:rPr/>
      </w:pPr>
      <w:r>
        <w:rPr>
          <w:rStyle w:val="Funotenzeichen"/>
        </w:rPr>
        <w:footnoteRef/>
      </w:r>
      <w:r>
        <w:rPr/>
        <w:tab/>
        <w:t xml:space="preserve">3. </w:t>
      </w:r>
      <w:r>
        <w:rPr>
          <w:i/>
        </w:rPr>
        <w:t>pl. masc. pf.</w:t>
      </w:r>
    </w:p>
  </w:footnote>
  <w:footnote w:id="1321">
    <w:p>
      <w:pPr>
        <w:pStyle w:val="Funote"/>
        <w:rPr/>
      </w:pPr>
      <w:r>
        <w:rPr>
          <w:rStyle w:val="Funotenzeichen"/>
        </w:rPr>
        <w:footnoteRef/>
      </w:r>
      <w:r>
        <w:rPr/>
        <w:tab/>
        <w:t xml:space="preserve">Masoretischer Text weder mit Akkusativpartikel </w:t>
      </w:r>
      <w:r>
        <w:rPr>
          <w:rtl w:val="true"/>
          <w:lang w:bidi="he-IL"/>
        </w:rPr>
        <w:t>אֶת־</w:t>
      </w:r>
      <w:r>
        <w:rPr/>
        <w:t xml:space="preserve"> </w:t>
      </w:r>
      <w:r>
        <w:rPr/>
        <w:t>noch mit Artikel vor dem Namen.</w:t>
      </w:r>
    </w:p>
  </w:footnote>
  <w:footnote w:id="1322">
    <w:p>
      <w:pPr>
        <w:pStyle w:val="Funote"/>
        <w:rPr/>
      </w:pPr>
      <w:r>
        <w:rPr>
          <w:rStyle w:val="Funotenzeichen"/>
        </w:rPr>
        <w:footnoteRef/>
      </w:r>
      <w:r>
        <w:rPr/>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w:t>
      </w:r>
      <w:hyperlink r:id="rId44">
        <w:r>
          <w:rPr>
            <w:rStyle w:val="Internetverknpfung"/>
          </w:rPr>
          <w:t>Jeremia 47,4</w:t>
        </w:r>
      </w:hyperlink>
      <w:r>
        <w:rPr/>
        <w:t xml:space="preserve">, </w:t>
      </w:r>
      <w:r>
        <w:fldChar w:fldCharType="begin"/>
      </w:r>
      <w:r>
        <w:rPr>
          <w:rStyle w:val="Internetverknpfung"/>
        </w:rPr>
        <w:instrText> HYPERLINK "../../../../../../../../../wiki/Amos_9" \l "S7"</w:instrText>
      </w:r>
      <w:r>
        <w:rPr>
          <w:rStyle w:val="Internetverknpfung"/>
        </w:rPr>
        <w:fldChar w:fldCharType="separate"/>
      </w:r>
      <w:r>
        <w:rPr>
          <w:rStyle w:val="Internetverknpfung"/>
        </w:rPr>
        <w:t>Amos 9,7</w:t>
      </w:r>
      <w:r>
        <w:rPr>
          <w:rStyle w:val="Internetverknpfung"/>
        </w:rPr>
        <w:fldChar w:fldCharType="end"/>
      </w:r>
      <w:r>
        <w:rPr/>
        <w:t>).</w:t>
      </w:r>
    </w:p>
  </w:footnote>
  <w:footnote w:id="132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1324">
    <w:p>
      <w:pPr>
        <w:pStyle w:val="Funote"/>
        <w:rPr/>
      </w:pPr>
      <w:r>
        <w:rPr>
          <w:rStyle w:val="Funotenzeichen"/>
        </w:rPr>
        <w:footnoteRef/>
      </w:r>
      <w:r>
        <w:rPr/>
        <w:tab/>
        <w:t>Im Masoretischen Text als „Constructus“ (Genitiv) geschrieben, daher als Angehöriger des Volksstammes zu verstehen.</w:t>
      </w:r>
    </w:p>
  </w:footnote>
  <w:footnote w:id="1325">
    <w:p>
      <w:pPr>
        <w:pStyle w:val="Funote"/>
        <w:rPr/>
      </w:pPr>
      <w:r>
        <w:rPr>
          <w:rStyle w:val="Funotenzeichen"/>
        </w:rPr>
        <w:footnoteRef/>
      </w:r>
      <w:r>
        <w:rPr/>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26">
    <w:p>
      <w:pPr>
        <w:pStyle w:val="Funote"/>
        <w:rPr/>
      </w:pPr>
      <w:r>
        <w:rPr>
          <w:rStyle w:val="Funotenzeichen"/>
        </w:rPr>
        <w:footnoteRef/>
      </w:r>
      <w:r>
        <w:rPr/>
        <w:tab/>
        <w:t>Masoretischer Text und Hieronymus fassen hier Söhne und Enkel Sems zusammen.</w:t>
      </w:r>
    </w:p>
  </w:footnote>
  <w:footnote w:id="1327">
    <w:p>
      <w:pPr>
        <w:pStyle w:val="Funote"/>
        <w:rPr/>
      </w:pPr>
      <w:r>
        <w:rPr>
          <w:rStyle w:val="Funotenzeichen"/>
        </w:rPr>
        <w:footnoteRef/>
      </w:r>
      <w:r>
        <w:rPr/>
        <w:tab/>
        <w:t>Masoretischer Text und Hieronymus fassen Söhne und Enkel Sems zusammen / Cod. Alexandrinus (LXX) liest getrennt „und Söhne Arams …“ wie in Gen 10 Genesis 10,23.</w:t>
      </w:r>
    </w:p>
  </w:footnote>
  <w:footnote w:id="1328">
    <w:p>
      <w:pPr>
        <w:pStyle w:val="Funote"/>
        <w:rPr/>
      </w:pPr>
      <w:r>
        <w:rPr>
          <w:rStyle w:val="Funotenzeichen"/>
        </w:rPr>
        <w:footnoteRef/>
      </w:r>
      <w:r>
        <w:rPr/>
        <w:tab/>
        <w:t xml:space="preserve">3. </w:t>
      </w:r>
      <w:r>
        <w:rPr>
          <w:i/>
        </w:rPr>
        <w:t>sg. masc. pf.</w:t>
      </w:r>
      <w:r>
        <w:rPr/>
        <w:t xml:space="preserve"> hier mit Plusquamperfekt wiedergegeben wegen der nachfolgenden Familiengeschichte seines Sohnes Schelach im selben Vers.</w:t>
      </w:r>
    </w:p>
  </w:footnote>
  <w:footnote w:id="1329">
    <w:p>
      <w:pPr>
        <w:pStyle w:val="Funote"/>
        <w:rPr/>
      </w:pPr>
      <w:r>
        <w:rPr>
          <w:rStyle w:val="Funotenzeichen"/>
        </w:rPr>
        <w:footnoteRef/>
      </w:r>
      <w:r>
        <w:rPr/>
        <w:tab/>
        <w:t xml:space="preserve">Im Masoretischen Text als Schreibfehler hier die gleiche Formel „er hat gezeugt“ (3. </w:t>
      </w:r>
      <w:r>
        <w:rPr>
          <w:i/>
        </w:rPr>
        <w:t>sg. masc. pf. aktiv</w:t>
      </w:r>
      <w:r>
        <w:rPr/>
        <w:t xml:space="preserve">), punktiert als Aktionsart „Pual“ (Passiv) zu „er/es ist geboren worden“. Der Kontext verlangt die 3. </w:t>
      </w:r>
      <w:r>
        <w:rPr>
          <w:i/>
        </w:rPr>
        <w:t>pl. masc. pf. passiv</w:t>
      </w:r>
      <w:r>
        <w:rPr/>
        <w:t xml:space="preserve">; s. Gen 10 </w:t>
      </w:r>
      <w:r>
        <w:fldChar w:fldCharType="begin"/>
      </w:r>
      <w:r>
        <w:rPr>
          <w:rStyle w:val="Internetverknpfung"/>
        </w:rPr>
        <w:instrText> HYPERLINK "../../../../../../../../../wiki/Genesis_10" \l "S25"</w:instrText>
      </w:r>
      <w:r>
        <w:rPr>
          <w:rStyle w:val="Internetverknpfung"/>
        </w:rPr>
        <w:fldChar w:fldCharType="separate"/>
      </w:r>
      <w:r>
        <w:rPr>
          <w:rStyle w:val="Internetverknpfung"/>
        </w:rPr>
        <w:t>Genesis 10,25</w:t>
      </w:r>
      <w:r>
        <w:rPr>
          <w:rStyle w:val="Internetverknpfung"/>
        </w:rPr>
        <w:fldChar w:fldCharType="end"/>
      </w:r>
      <w:r>
        <w:rPr/>
        <w:t>.</w:t>
      </w:r>
    </w:p>
  </w:footnote>
  <w:footnote w:id="1330">
    <w:p>
      <w:pPr>
        <w:pStyle w:val="Funote"/>
        <w:rPr/>
      </w:pPr>
      <w:r>
        <w:rPr>
          <w:rStyle w:val="Funotenzeichen"/>
        </w:rPr>
        <w:footnoteRef/>
      </w:r>
      <w:r>
        <w:rPr/>
        <w:tab/>
        <w:t>Masoretischer Text mit Artikel</w:t>
      </w:r>
    </w:p>
  </w:footnote>
  <w:footnote w:id="1331">
    <w:p>
      <w:pPr>
        <w:pStyle w:val="Funote"/>
        <w:rPr/>
      </w:pPr>
      <w:r>
        <w:rPr>
          <w:rStyle w:val="Funotenzeichen"/>
        </w:rPr>
        <w:footnoteRef/>
      </w:r>
      <w:r>
        <w:rPr/>
        <w:tab/>
        <w:t>Demonstrativpronomen im Plural.</w:t>
      </w:r>
    </w:p>
  </w:footnote>
  <w:footnote w:id="1332">
    <w:p>
      <w:pPr>
        <w:pStyle w:val="Funote"/>
        <w:rPr/>
      </w:pPr>
      <w:r>
        <w:rPr>
          <w:rStyle w:val="Funotenzeichen"/>
        </w:rPr>
        <w:footnoteRef/>
      </w:r>
      <w:r>
        <w:rPr/>
        <w:tab/>
        <w:t>Plural von „Werdegang“, hier auf Menschen bezogen.</w:t>
      </w:r>
    </w:p>
  </w:footnote>
  <w:footnote w:id="1333">
    <w:p>
      <w:pPr>
        <w:pStyle w:val="Funote"/>
        <w:rPr/>
      </w:pPr>
      <w:r>
        <w:rPr>
          <w:rStyle w:val="Funotenzeichen"/>
        </w:rPr>
        <w:footnoteRef/>
      </w:r>
      <w:r>
        <w:rPr/>
        <w:tab/>
        <w:t>Personalpronomen 3. Person (m) Plural</w:t>
      </w:r>
    </w:p>
  </w:footnote>
  <w:footnote w:id="1334">
    <w:p>
      <w:pPr>
        <w:pStyle w:val="Funote"/>
        <w:rPr/>
      </w:pPr>
      <w:r>
        <w:rPr>
          <w:rStyle w:val="Funotenzeichen"/>
        </w:rPr>
        <w:footnoteRef/>
      </w:r>
      <w:r>
        <w:rPr/>
        <w:tab/>
        <w:t>3. Person Singular (f) Perfekt</w:t>
      </w:r>
    </w:p>
  </w:footnote>
  <w:footnote w:id="1335">
    <w:p>
      <w:pPr>
        <w:pStyle w:val="Funote"/>
        <w:rPr/>
      </w:pPr>
      <w:r>
        <w:rPr>
          <w:rStyle w:val="Funotenzeichen"/>
        </w:rPr>
        <w:footnoteRef/>
      </w:r>
      <w:r>
        <w:rPr/>
        <w:tab/>
        <w:t>3. Person Singular (m) Imperfekt</w:t>
      </w:r>
    </w:p>
  </w:footnote>
  <w:footnote w:id="1336">
    <w:p>
      <w:pPr>
        <w:pStyle w:val="Funote"/>
        <w:rPr/>
      </w:pPr>
      <w:r>
        <w:rPr>
          <w:rStyle w:val="Funotenzeichen"/>
        </w:rPr>
        <w:footnoteRef/>
      </w:r>
      <w:r>
        <w:rPr/>
        <w:tab/>
        <w:t>Im Masoretischen Text als Constructus punktiert, als eine Sprech- und Bedeutungseinheit mit dem nachfolgenden Personennamen: Die korrekte Übersetzung davon ins Deutsche ist der Personenname mit Genitiv-s (nicht: „Schwester von …“.</w:t>
      </w:r>
    </w:p>
  </w:footnote>
  <w:footnote w:id="1337">
    <w:p>
      <w:pPr>
        <w:pStyle w:val="Funote"/>
        <w:rPr/>
      </w:pPr>
      <w:r>
        <w:rPr>
          <w:rStyle w:val="Funotenzeichen"/>
        </w:rPr>
        <w:footnoteRef/>
      </w:r>
      <w:r>
        <w:rPr/>
        <w:tab/>
        <w:t>Im Masoretischen Text hier die gleiche Formel „Söhne“ (Plural), obwohl Anas nur einen „Sohn“ hatte</w:t>
      </w:r>
    </w:p>
  </w:footnote>
  <w:footnote w:id="1338">
    <w:p>
      <w:pPr>
        <w:pStyle w:val="Funote"/>
        <w:rPr/>
      </w:pPr>
      <w:r>
        <w:rPr>
          <w:rStyle w:val="Funotenzeichen"/>
        </w:rPr>
        <w:footnoteRef/>
      </w:r>
      <w:r>
        <w:rPr/>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39">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„Tochter von …“.</w:t>
      </w:r>
    </w:p>
  </w:footnote>
  <w:footnote w:id="1340">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„Häuptlinge von …“.</w:t>
      </w:r>
    </w:p>
  </w:footnote>
  <w:footnote w:id="1341">
    <w:p>
      <w:pPr>
        <w:pStyle w:val="Funote"/>
        <w:rPr/>
      </w:pPr>
      <w:r>
        <w:rPr>
          <w:rStyle w:val="Funotenzeichen"/>
        </w:rPr>
        <w:footnoteRef/>
      </w:r>
      <w:r>
        <w:rPr/>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42">
    <w:p>
      <w:pPr>
        <w:pStyle w:val="Funote"/>
        <w:rPr/>
      </w:pPr>
      <w:r>
        <w:rPr>
          <w:rStyle w:val="Funotenzeichen"/>
        </w:rPr>
        <w:footnoteRef/>
      </w:r>
      <w:r>
        <w:rPr/>
        <w:tab/>
        <w:t xml:space="preserve">Hif'il Impf. Cons. von </w:t>
      </w:r>
      <w:r>
        <w:rPr>
          <w:rtl w:val="true"/>
          <w:lang w:bidi="he-IL"/>
        </w:rPr>
        <w:t>נכה</w:t>
      </w:r>
      <w:r>
        <w:rPr/>
        <w:t>.</w:t>
      </w:r>
    </w:p>
  </w:footnote>
  <w:footnote w:id="1343">
    <w:p>
      <w:pPr>
        <w:pStyle w:val="Funote"/>
        <w:rPr/>
      </w:pPr>
      <w:r>
        <w:rPr>
          <w:rStyle w:val="Funotenzeichen"/>
        </w:rPr>
        <w:footnoteRef/>
      </w:r>
      <w:r>
        <w:rPr/>
        <w:tab/>
        <w:t xml:space="preserve">Kal Inf. von </w:t>
      </w:r>
      <w:r>
        <w:rPr>
          <w:rtl w:val="true"/>
          <w:lang w:bidi="he-IL"/>
        </w:rPr>
        <w:t>מנה</w:t>
      </w:r>
      <w:r>
        <w:rPr/>
        <w:t>. Der Infinitiv kann auch kausal übersetzt werden: „damit er Israel zählte.“ Gemeint ist hier ein allgemeiner Zensus.</w:t>
      </w:r>
    </w:p>
  </w:footnote>
  <w:footnote w:id="1344">
    <w:p>
      <w:pPr>
        <w:pStyle w:val="Funote"/>
        <w:rPr/>
      </w:pPr>
      <w:r>
        <w:rPr>
          <w:rStyle w:val="Funotenzeichen"/>
        </w:rPr>
        <w:footnoteRef/>
      </w:r>
      <w:r>
        <w:rPr/>
        <w:tab/>
        <w:t xml:space="preserve">Das Verb </w:t>
      </w:r>
      <w:r>
        <w:rPr>
          <w:rtl w:val="true"/>
          <w:lang w:bidi="he-IL"/>
        </w:rPr>
        <w:t>ספר</w:t>
      </w:r>
      <w:r>
        <w:rPr/>
        <w:t xml:space="preserve"> </w:t>
      </w:r>
      <w:r>
        <w:rPr/>
        <w:t>meint im eigentlichen Sinn: „(amtlich) aufschreiben“.</w:t>
      </w:r>
    </w:p>
  </w:footnote>
  <w:footnote w:id="1345">
    <w:p>
      <w:pPr>
        <w:pStyle w:val="Funote"/>
        <w:rPr/>
      </w:pPr>
      <w:r>
        <w:rPr>
          <w:rStyle w:val="Funotenzeichen"/>
        </w:rPr>
        <w:footnoteRef/>
      </w:r>
      <w:r>
        <w:rPr/>
        <w:tab/>
        <w:t xml:space="preserve">Hif'il Imp. Pl. von </w:t>
      </w:r>
      <w:r>
        <w:rPr>
          <w:rtl w:val="true"/>
          <w:lang w:bidi="he-IL"/>
        </w:rPr>
        <w:t>בוא</w:t>
      </w:r>
      <w:r>
        <w:rPr/>
        <w:t>.</w:t>
      </w:r>
    </w:p>
  </w:footnote>
  <w:footnote w:id="1346">
    <w:p>
      <w:pPr>
        <w:pStyle w:val="Funote"/>
        <w:rPr/>
      </w:pPr>
      <w:r>
        <w:rPr>
          <w:rStyle w:val="Funotenzeichen"/>
        </w:rPr>
        <w:footnoteRef/>
      </w:r>
      <w:r>
        <w:rPr/>
        <w:tab/>
        <w:t xml:space="preserve">Kal Impf. 1 Person Sg. von </w:t>
      </w:r>
      <w:r>
        <w:rPr>
          <w:rtl w:val="true"/>
          <w:lang w:bidi="he-IL"/>
        </w:rPr>
        <w:t>ידע</w:t>
      </w:r>
      <w:r>
        <w:rPr/>
        <w:t>.</w:t>
      </w:r>
    </w:p>
  </w:footnote>
  <w:footnote w:id="1347">
    <w:p>
      <w:pPr>
        <w:pStyle w:val="Funote"/>
        <w:rPr/>
      </w:pPr>
      <w:r>
        <w:rPr>
          <w:rStyle w:val="Funotenzeichen"/>
        </w:rPr>
        <w:footnoteRef/>
      </w:r>
      <w:r>
        <w:rPr/>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48">
    <w:p>
      <w:pPr>
        <w:pStyle w:val="Funote"/>
        <w:rPr/>
      </w:pPr>
      <w:r>
        <w:rPr>
          <w:rStyle w:val="Funotenzeichen"/>
        </w:rPr>
        <w:footnoteRef/>
      </w:r>
      <w:r>
        <w:rPr/>
        <w:tab/>
        <w:t xml:space="preserve">Hif'il Impf. Cons. von </w:t>
      </w:r>
      <w:r>
        <w:rPr>
          <w:rtl w:val="true"/>
          <w:lang w:bidi="he-IL"/>
        </w:rPr>
        <w:t>נכה</w:t>
      </w:r>
      <w:r>
        <w:rPr/>
        <w:t>.</w:t>
      </w:r>
    </w:p>
  </w:footnote>
  <w:footnote w:id="1349">
    <w:p>
      <w:pPr>
        <w:pStyle w:val="Funote"/>
        <w:rPr/>
      </w:pPr>
      <w:r>
        <w:rPr>
          <w:rStyle w:val="Funotenzeichen"/>
        </w:rPr>
        <w:footnoteRef/>
      </w:r>
      <w:r>
        <w:rPr/>
        <w:tab/>
        <w:t>Am Ende des Verses steht im MT ein Petucha (</w:t>
      </w:r>
      <w:r>
        <w:rPr>
          <w:rtl w:val="true"/>
          <w:lang w:bidi="he-IL"/>
        </w:rPr>
        <w:t>פ</w:t>
      </w:r>
      <w:r>
        <w:rPr/>
        <w:t>), das einen neuen Sinnabschnitt bezeichnet.</w:t>
      </w:r>
    </w:p>
  </w:footnote>
  <w:footnote w:id="1350">
    <w:p>
      <w:pPr>
        <w:pStyle w:val="Funote"/>
        <w:rPr/>
      </w:pPr>
      <w:r>
        <w:rPr>
          <w:rStyle w:val="Funotenzeichen"/>
        </w:rPr>
        <w:footnoteRef/>
      </w:r>
      <w:r>
        <w:rPr/>
        <w:tab/>
        <w:t xml:space="preserve">Hif'il Imp. Sg. von </w:t>
      </w:r>
      <w:r>
        <w:rPr>
          <w:rtl w:val="true"/>
          <w:lang w:bidi="he-IL"/>
        </w:rPr>
        <w:t>עבר</w:t>
      </w:r>
      <w:r>
        <w:rPr/>
        <w:t xml:space="preserve"> </w:t>
      </w:r>
      <w:r>
        <w:rPr/>
        <w:t>mit Verstärkungspartikel.</w:t>
      </w:r>
    </w:p>
  </w:footnote>
  <w:footnote w:id="1351">
    <w:p>
      <w:pPr>
        <w:pStyle w:val="Funote"/>
        <w:rPr/>
      </w:pPr>
      <w:r>
        <w:rPr>
          <w:rStyle w:val="Funotenzeichen"/>
        </w:rPr>
        <w:footnoteRef/>
      </w:r>
      <w:r>
        <w:rPr/>
        <w:tab/>
        <w:t>Am Ende des Verses steht im MT ein Petucha (</w:t>
      </w:r>
      <w:r>
        <w:rPr>
          <w:rtl w:val="true"/>
          <w:lang w:bidi="he-IL"/>
        </w:rPr>
        <w:t>פ</w:t>
      </w:r>
      <w:r>
        <w:rPr/>
        <w:t>), das einen neuen Sinnabschnitt bezeichnet.</w:t>
      </w:r>
    </w:p>
  </w:footnote>
  <w:footnote w:id="1352">
    <w:p>
      <w:pPr>
        <w:pStyle w:val="Funote"/>
        <w:rPr/>
      </w:pPr>
      <w:r>
        <w:rPr>
          <w:rStyle w:val="Funotenzeichen"/>
        </w:rPr>
        <w:footnoteRef/>
      </w:r>
      <w:r>
        <w:rPr/>
        <w:tab/>
        <w:t>[Status: Ungeprüft]</w:t>
      </w:r>
    </w:p>
  </w:footnote>
  <w:footnote w:id="1353">
    <w:p>
      <w:pPr>
        <w:pStyle w:val="Funote"/>
        <w:rPr/>
      </w:pPr>
      <w:r>
        <w:rPr>
          <w:rStyle w:val="Funotenzeichen"/>
        </w:rPr>
        <w:footnoteRef/>
      </w:r>
      <w:r>
        <w:rPr/>
        <w:tab/>
        <w:t>Diese Übersetzung ist recht wörtlich, ergibt aber so nicht wirklich Sinn. Darüber sollte noch weiter diskutiert werden.</w:t>
      </w:r>
    </w:p>
  </w:footnote>
  <w:footnote w:id="1354">
    <w:p>
      <w:pPr>
        <w:pStyle w:val="Funote"/>
        <w:rPr/>
      </w:pPr>
      <w:r>
        <w:rPr>
          <w:rStyle w:val="Funotenzeichen"/>
        </w:rPr>
        <w:footnoteRef/>
      </w:r>
      <w:r>
        <w:rPr/>
        <w:tab/>
        <w:t>Besser lesbar: für alle Gegenstände des jeweiligen Dienstes.</w:t>
      </w:r>
    </w:p>
  </w:footnote>
  <w:footnote w:id="1355">
    <w:p>
      <w:pPr>
        <w:pStyle w:val="Funote"/>
        <w:rPr/>
      </w:pPr>
      <w:r>
        <w:rPr>
          <w:rStyle w:val="Funotenzeichen"/>
        </w:rPr>
        <w:footnoteRef/>
      </w:r>
      <w:r>
        <w:rPr/>
        <w:tab/>
        <w:t>Vgl. Fußnote 2.</w:t>
      </w:r>
    </w:p>
  </w:footnote>
  <w:footnote w:id="1356">
    <w:p>
      <w:pPr>
        <w:pStyle w:val="Funote"/>
        <w:rPr/>
      </w:pPr>
      <w:r>
        <w:rPr>
          <w:rStyle w:val="Funotenzeichen"/>
        </w:rPr>
        <w:footnoteRef/>
      </w:r>
      <w:r>
        <w:rPr/>
        <w:tab/>
        <w:t>Vgl. Fußnote 2.</w:t>
      </w:r>
    </w:p>
  </w:footnote>
  <w:footnote w:id="1357">
    <w:p>
      <w:pPr>
        <w:pStyle w:val="Funote"/>
        <w:rPr/>
      </w:pPr>
      <w:r>
        <w:rPr>
          <w:rStyle w:val="Funotenzeichen"/>
        </w:rPr>
        <w:footnoteRef/>
      </w:r>
      <w:r>
        <w:rPr/>
        <w:tab/>
        <w:t>Vgl. Fußnote 2.</w:t>
      </w:r>
    </w:p>
  </w:footnote>
  <w:footnote w:id="1358">
    <w:p>
      <w:pPr>
        <w:pStyle w:val="Funote"/>
        <w:rPr/>
      </w:pPr>
      <w:r>
        <w:rPr>
          <w:rStyle w:val="Funotenzeichen"/>
        </w:rPr>
        <w:footnoteRef/>
      </w:r>
      <w:r>
        <w:rPr/>
        <w:tab/>
        <w:t>Vgl. Fußnote 2.</w:t>
      </w:r>
    </w:p>
  </w:footnote>
  <w:footnote w:id="1359">
    <w:p>
      <w:pPr>
        <w:pStyle w:val="Funote"/>
        <w:rPr/>
      </w:pPr>
      <w:r>
        <w:rPr>
          <w:rStyle w:val="Funotenzeichen"/>
        </w:rPr>
        <w:footnoteRef/>
      </w:r>
      <w:r>
        <w:rPr/>
        <w:tab/>
        <w:t>Vgl. Fußnote 2.</w:t>
      </w:r>
    </w:p>
  </w:footnote>
  <w:footnote w:id="1360">
    <w:p>
      <w:pPr>
        <w:pStyle w:val="Funote"/>
        <w:rPr/>
      </w:pPr>
      <w:r>
        <w:rPr>
          <w:rStyle w:val="Funotenzeichen"/>
        </w:rPr>
        <w:footnoteRef/>
      </w:r>
      <w:r>
        <w:rPr/>
        <w:tab/>
        <w:t>Vgl. Fußnote 2.</w:t>
      </w:r>
    </w:p>
  </w:footnote>
  <w:footnote w:id="1361">
    <w:p>
      <w:pPr>
        <w:pStyle w:val="Funote"/>
        <w:rPr/>
      </w:pPr>
      <w:r>
        <w:rPr>
          <w:rStyle w:val="Funotenzeichen"/>
        </w:rPr>
        <w:footnoteRef/>
      </w:r>
      <w:r>
        <w:rPr/>
        <w:tab/>
        <w:t>[Status: Ungeprüft]</w:t>
      </w:r>
    </w:p>
  </w:footnote>
  <w:footnote w:id="1362">
    <w:p>
      <w:pPr>
        <w:pStyle w:val="Funote"/>
        <w:rPr/>
      </w:pPr>
      <w:r>
        <w:rPr>
          <w:rStyle w:val="Funotenzeichen"/>
        </w:rPr>
        <w:footnoteRef/>
      </w:r>
      <w:r>
        <w:rPr/>
        <w:tab/>
        <w:t xml:space="preserve">Esra 4,8-6,18 (sowie 7,12-26) sind auf Aramäisch verfasst bzw. aus aramäischen Quellen zitiert (zudem Dan 2,4b-7,28; </w:t>
      </w:r>
      <w:r>
        <w:fldChar w:fldCharType="begin"/>
      </w:r>
      <w:r>
        <w:rPr>
          <w:rStyle w:val="Internetverknpfung"/>
        </w:rPr>
        <w:instrText> HYPERLINK "../../../../../../../../../wiki/Jeremia_10" \l "s11"</w:instrText>
      </w:r>
      <w:r>
        <w:rPr>
          <w:rStyle w:val="Internetverknpfung"/>
        </w:rPr>
        <w:fldChar w:fldCharType="separate"/>
      </w:r>
      <w:r>
        <w:rPr>
          <w:rStyle w:val="Internetverknpfung"/>
        </w:rPr>
        <w:t>Jer 10,11</w:t>
      </w:r>
      <w:r>
        <w:rPr>
          <w:rStyle w:val="Internetverknpfung"/>
        </w:rPr>
        <w:fldChar w:fldCharType="end"/>
      </w:r>
      <w:r>
        <w:rPr/>
        <w:t xml:space="preserve"> und ein Teil von </w:t>
      </w:r>
      <w:hyperlink r:id="rId45">
        <w:r>
          <w:rPr>
            <w:rStyle w:val="Internetverknpfung"/>
          </w:rPr>
          <w:t>Gen 31,47</w:t>
        </w:r>
      </w:hyperlink>
      <w:r>
        <w:rPr/>
        <w:t xml:space="preserve">).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 </w:t>
      </w:r>
    </w:p>
  </w:footnote>
  <w:footnote w:id="1363">
    <w:p>
      <w:pPr>
        <w:pStyle w:val="Funote"/>
        <w:rPr/>
      </w:pPr>
      <w:r>
        <w:rPr>
          <w:rStyle w:val="Funotenzeichen"/>
        </w:rPr>
        <w:footnoteRef/>
      </w:r>
      <w:r>
        <w:rPr/>
        <w:tab/>
        <w:t xml:space="preserve">Wörtlich „Herr des Kommandos“, also etwa „Befehlshaber“. Was genau dieser Titel bezeichnet, ist nicht mehr bekannt. Es liegt nahe, dass Rehum vielleicht ein hoher Beamter in der Provinzverwaltung war (Loken 2011, 4:8). </w:t>
      </w:r>
    </w:p>
  </w:footnote>
  <w:footnote w:id="1364">
    <w:p>
      <w:pPr>
        <w:pStyle w:val="Funote"/>
        <w:rPr/>
      </w:pPr>
      <w:r>
        <w:rPr>
          <w:rStyle w:val="Funotenzeichen"/>
        </w:rPr>
        <w:footnoteRef/>
      </w:r>
      <w:r>
        <w:rPr/>
        <w:tab/>
        <w:t xml:space="preserve">Artaxerxes war 486-465 v. Chr. König von Persien (Loken 2011, 4:6-24 Commentary). </w:t>
      </w:r>
    </w:p>
  </w:footnote>
  <w:footnote w:id="1365">
    <w:p>
      <w:pPr>
        <w:pStyle w:val="Funote"/>
        <w:rPr/>
      </w:pPr>
      <w:r>
        <w:rPr>
          <w:rStyle w:val="Funotenzeichen"/>
        </w:rPr>
        <w:footnoteRef/>
      </w:r>
      <w:r>
        <w:rPr/>
        <w:tab/>
        <w:t>W. „dann“</w:t>
      </w:r>
    </w:p>
  </w:footnote>
  <w:footnote w:id="1366">
    <w:p>
      <w:pPr>
        <w:pStyle w:val="Funote"/>
        <w:rPr/>
      </w:pPr>
      <w:r>
        <w:rPr>
          <w:rStyle w:val="Funotenzeichen"/>
        </w:rPr>
        <w:footnoteRef/>
      </w:r>
      <w:r>
        <w:rPr/>
        <w:tab/>
        <w:t xml:space="preserve">Das Wort lässt sich nicht sicher deuten, steht aber wohl für eine persische Beamtenklasse („Richter“) und ist dann persisches Lehnwort, ansonsten eine Volksbezeichnung (BDB </w:t>
      </w:r>
      <w:r>
        <w:rPr>
          <w:rtl w:val="true"/>
          <w:lang w:bidi="he-IL"/>
        </w:rPr>
        <w:t>דִּינָיֵא</w:t>
      </w:r>
      <w:r>
        <w:rPr/>
        <w:t xml:space="preserve">). Die erste Übersetzung ist wahrscheinlicher, wenn man davon ausgeht, dass in der Unterstützerliste zuerst Beamtenklassen, dann Völker aufgezählt werden (Loken 2011, 4:9). </w:t>
      </w:r>
    </w:p>
  </w:footnote>
  <w:footnote w:id="1367">
    <w:p>
      <w:pPr>
        <w:pStyle w:val="Funote"/>
        <w:rPr/>
      </w:pPr>
      <w:r>
        <w:rPr>
          <w:rStyle w:val="Funotenzeichen"/>
        </w:rPr>
        <w:footnoteRef/>
      </w:r>
      <w:r>
        <w:rPr/>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68">
    <w:p>
      <w:pPr>
        <w:pStyle w:val="Funote"/>
        <w:rPr/>
      </w:pPr>
      <w:r>
        <w:rPr>
          <w:rStyle w:val="Funotenzeichen"/>
        </w:rPr>
        <w:footnoteRef/>
      </w:r>
      <w:r>
        <w:rPr/>
        <w:tab/>
        <w:t>das sind die (Dehawiter) Das masoretische Qere versteht es als eine weitere Herkunftsbezeichnung, wahrscheinlicher jedoch als Relativpronomen zu verstehen (so BHS).</w:t>
      </w:r>
    </w:p>
  </w:footnote>
  <w:footnote w:id="1369">
    <w:p>
      <w:pPr>
        <w:pStyle w:val="Funote"/>
        <w:rPr/>
      </w:pPr>
      <w:r>
        <w:rPr>
          <w:rStyle w:val="Funotenzeichen"/>
        </w:rPr>
        <w:footnoteRef/>
      </w:r>
      <w:r>
        <w:rPr>
          <w:i/>
        </w:rPr>
        <w:tab/>
        <w:t>Asenappar</w:t>
      </w:r>
      <w:r>
        <w:rPr/>
        <w:t xml:space="preserve"> Wahrscheinlich der assyrische König Assurbanipal (669-626 v. Chr.), der den ganzen fruchtbaren Halbmond mit Krieg überzog und viele Gefangene machte. Als einziger assyrischer König kam er dabei bis Susa (Loken 2011, 4:10; vgl. Ryle 1901, 56f.). </w:t>
      </w:r>
    </w:p>
  </w:footnote>
  <w:footnote w:id="1370">
    <w:p>
      <w:pPr>
        <w:pStyle w:val="Funote"/>
        <w:rPr/>
      </w:pPr>
      <w:r>
        <w:rPr>
          <w:rStyle w:val="Funotenzeichen"/>
        </w:rPr>
        <w:footnoteRef/>
      </w:r>
      <w:r>
        <w:rPr/>
        <w:tab/>
        <w:t xml:space="preserve">Hier ist von der Satrapie Transeuphrat, „Jenseits des Stromes“ die Rede (Loken 2011, 4:10). Samaria ist die alte Hauptstadt des israelischen Nordreichs, die ebenfalls von den Assyrern (722) zerstört worden war. </w:t>
      </w:r>
    </w:p>
  </w:footnote>
  <w:footnote w:id="1371">
    <w:p>
      <w:pPr>
        <w:pStyle w:val="Funote"/>
        <w:rPr/>
      </w:pPr>
      <w:r>
        <w:rPr>
          <w:rStyle w:val="Funotenzeichen"/>
        </w:rPr>
        <w:footnoteRef/>
      </w:r>
      <w:r>
        <w:rPr/>
        <w:tab/>
        <w:t xml:space="preserve">Dient zur syntaktischen Markierung eines neuen Absatzes (Loken 2011, 4,6-24 Translation). Manchmal auch mit „nun“ übersetzt (Zür, NRSV, NASB), meist aber unübersetzt. </w:t>
      </w:r>
    </w:p>
  </w:footnote>
  <w:footnote w:id="1372">
    <w:p>
      <w:pPr>
        <w:pStyle w:val="Funote"/>
        <w:rPr/>
      </w:pPr>
      <w:r>
        <w:rPr>
          <w:rStyle w:val="Funotenzeichen"/>
        </w:rPr>
        <w:footnoteRef/>
      </w:r>
      <w:r>
        <w:rPr/>
        <w:tab/>
        <w:t xml:space="preserve">Hier ist von der Satrapie Transeuphrat, „Jenseits des Stromes“ die Rede (Loken 2011, 4:10). </w:t>
      </w:r>
    </w:p>
  </w:footnote>
  <w:footnote w:id="1373">
    <w:p>
      <w:pPr>
        <w:pStyle w:val="Funote"/>
        <w:rPr/>
      </w:pPr>
      <w:r>
        <w:rPr>
          <w:rStyle w:val="Funotenzeichen"/>
        </w:rPr>
        <w:footnoteRef/>
      </w:r>
      <w:r>
        <w:rPr/>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74">
    <w:p>
      <w:pPr>
        <w:pStyle w:val="Funote"/>
        <w:rPr/>
      </w:pPr>
      <w:r>
        <w:rPr>
          <w:rStyle w:val="Funotenzeichen"/>
        </w:rPr>
        <w:footnoteRef/>
      </w:r>
      <w:r>
        <w:rPr>
          <w:i/>
        </w:rPr>
        <w:tab/>
        <w:t>bessern gerade aus</w:t>
      </w:r>
      <w:r>
        <w:rPr/>
        <w:t xml:space="preserve"> Futur, durativ, daher die Einfügung von „gerade“. Bedeutung ist unklar, wird jedoch meist mit </w:t>
      </w:r>
      <w:r>
        <w:rPr>
          <w:i/>
        </w:rPr>
        <w:t>ausbessern, reparieren</w:t>
      </w:r>
      <w:r>
        <w:rPr/>
        <w:t xml:space="preserve"> wiedergegeben (DBL Aramaic, </w:t>
      </w:r>
      <w:r>
        <w:rPr>
          <w:rtl w:val="true"/>
          <w:lang w:bidi="he-IL"/>
        </w:rPr>
        <w:t>חוּט</w:t>
      </w:r>
      <w:r>
        <w:rPr/>
        <w:t xml:space="preserve">). </w:t>
      </w:r>
    </w:p>
  </w:footnote>
  <w:footnote w:id="1375">
    <w:p>
      <w:pPr>
        <w:pStyle w:val="Funote"/>
        <w:rPr/>
      </w:pPr>
      <w:r>
        <w:rPr>
          <w:rStyle w:val="Funotenzeichen"/>
        </w:rPr>
        <w:footnoteRef/>
      </w:r>
      <w:r>
        <w:rPr/>
        <w:tab/>
        <w:t xml:space="preserve">W. „geben“. </w:t>
      </w:r>
    </w:p>
  </w:footnote>
  <w:footnote w:id="1376">
    <w:p>
      <w:pPr>
        <w:pStyle w:val="Funote"/>
        <w:rPr/>
      </w:pPr>
      <w:r>
        <w:rPr>
          <w:rStyle w:val="Funotenzeichen"/>
        </w:rPr>
        <w:footnoteRef/>
      </w:r>
      <w:r>
        <w:rPr/>
        <w:tab/>
        <w:t xml:space="preserve">Im Hebr. im Plural, wohl ein Pluralis majestatis (Loken 2011, 4:6–24 Translation). </w:t>
      </w:r>
    </w:p>
  </w:footnote>
  <w:footnote w:id="1377">
    <w:p>
      <w:pPr>
        <w:pStyle w:val="Funote"/>
        <w:rPr/>
      </w:pPr>
      <w:r>
        <w:rPr>
          <w:rStyle w:val="Funotenzeichen"/>
        </w:rPr>
        <w:footnoteRef/>
      </w:r>
      <w:r>
        <w:rPr>
          <w:i/>
        </w:rPr>
        <w:tab/>
        <w:t>sicherlich</w:t>
      </w:r>
      <w:r>
        <w:rPr/>
        <w:t xml:space="preserve"> Wort mit unsicherer Bedeutung; in der neueren Forschung </w:t>
      </w:r>
      <w:r>
        <w:rPr>
          <w:i/>
        </w:rPr>
        <w:t>schließlich</w:t>
      </w:r>
      <w:r>
        <w:rPr/>
        <w:t xml:space="preserve">, früher eher </w:t>
      </w:r>
      <w:r>
        <w:rPr>
          <w:i/>
        </w:rPr>
        <w:t>Schatzkammer</w:t>
      </w:r>
      <w:r>
        <w:rPr/>
        <w:t xml:space="preserve">, entsprechend: „das wird dem König sicherlich schaden“ oder „das wird der Schatzkammer des Königs schaden“ (Loken 2011, 4:6–24 Translation, vgl. GesD, DBL Aramaic). </w:t>
      </w:r>
    </w:p>
  </w:footnote>
  <w:footnote w:id="1378">
    <w:p>
      <w:pPr>
        <w:pStyle w:val="Funote"/>
        <w:rPr/>
      </w:pPr>
      <w:r>
        <w:rPr>
          <w:rStyle w:val="Funotenzeichen"/>
        </w:rPr>
        <w:footnoteRef/>
      </w:r>
      <w:r>
        <w:rPr/>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79">
    <w:p>
      <w:pPr>
        <w:pStyle w:val="Funote"/>
        <w:rPr/>
      </w:pPr>
      <w:r>
        <w:rPr>
          <w:rStyle w:val="Funotenzeichen"/>
        </w:rPr>
        <w:footnoteRef/>
      </w:r>
      <w:r>
        <w:rPr/>
        <w:tab/>
        <w:t>Vgl. EÜ, GNB, NIV, NET. W. »senden und informieren wir den König«. »und« hat finale Bedeutung, die Sendung erfolgt zum Zweck der Information des Königs.</w:t>
      </w:r>
    </w:p>
  </w:footnote>
  <w:footnote w:id="1380">
    <w:p>
      <w:pPr>
        <w:pStyle w:val="Funote"/>
        <w:rPr/>
      </w:pPr>
      <w:r>
        <w:rPr>
          <w:rStyle w:val="Funotenzeichen"/>
        </w:rPr>
        <w:footnoteRef/>
      </w:r>
      <w:r>
        <w:rPr/>
        <w:tab/>
        <w:t xml:space="preserve">W. „Buch der Denkwürdigkeiten“, offenbar die Annalen des Reiches, die wohl auch noch Informationen über die Herrschaft der Babylonier enthielten, die vor den Persern geherrscht und gegen die sich die Juden mehrmals aufgelehnt hatten (Loken 2011, 4:15). </w:t>
      </w:r>
    </w:p>
  </w:footnote>
  <w:footnote w:id="1381">
    <w:p>
      <w:pPr>
        <w:pStyle w:val="Funote"/>
        <w:rPr/>
      </w:pPr>
      <w:r>
        <w:rPr>
          <w:rStyle w:val="Funotenzeichen"/>
        </w:rPr>
        <w:footnoteRef/>
      </w:r>
      <w:r>
        <w:rPr/>
        <w:tab/>
        <w:t>Oder genauer „damit man nachforscht“ (Pael 3. Sg. m. Ipf., unpersönlich).</w:t>
      </w:r>
    </w:p>
  </w:footnote>
  <w:footnote w:id="1382">
    <w:p>
      <w:pPr>
        <w:pStyle w:val="Funote"/>
        <w:rPr/>
      </w:pPr>
      <w:r>
        <w:rPr>
          <w:rStyle w:val="Funotenzeichen"/>
        </w:rPr>
        <w:footnoteRef/>
      </w:r>
      <w:r>
        <w:rPr/>
        <w:tab/>
        <w:t xml:space="preserve">Also etwa: „dass sie von jeher ein Unruheherd ist“. </w:t>
      </w:r>
      <w:r>
        <w:rPr>
          <w:i/>
        </w:rPr>
        <w:t>anzettelt</w:t>
      </w:r>
      <w:r>
        <w:rPr/>
        <w:t xml:space="preserve"> Ein Ptz. m. pl. mit iterativem Sinn, hier wird also eine grundsätzliche, sich u.U. wiederholende Tätigkeit beschrieben – kein einmaliger Vorgang von ewiger Dauer. </w:t>
      </w:r>
      <w:r>
        <w:rPr>
          <w:i/>
        </w:rPr>
        <w:t>Aufstände</w:t>
      </w:r>
      <w:r>
        <w:rPr/>
        <w:t xml:space="preserve"> Eigentlich ein Sg., hier wohl als Kollektivbegriff zu verstehen. </w:t>
      </w:r>
    </w:p>
  </w:footnote>
  <w:footnote w:id="1383">
    <w:p>
      <w:pPr>
        <w:pStyle w:val="Funote"/>
        <w:rPr/>
      </w:pPr>
      <w:r>
        <w:rPr>
          <w:rStyle w:val="Funotenzeichen"/>
        </w:rPr>
        <w:footnoteRef/>
      </w:r>
      <w:r>
        <w:rPr>
          <w:i/>
        </w:rPr>
        <w:tab/>
        <w:t>deswegen</w:t>
      </w:r>
      <w:r>
        <w:rPr/>
        <w:t xml:space="preserve"> wurde vorgezogen, eigentlich: „Wir teilen … mit: Wenn … wirst du deswegen…“ </w:t>
      </w:r>
    </w:p>
  </w:footnote>
  <w:footnote w:id="1384">
    <w:p>
      <w:pPr>
        <w:pStyle w:val="Funote"/>
        <w:rPr/>
      </w:pPr>
      <w:r>
        <w:rPr>
          <w:rStyle w:val="Funotenzeichen"/>
        </w:rPr>
        <w:footnoteRef/>
      </w:r>
      <w:r>
        <w:rPr/>
        <w:tab/>
        <w:t>Des Königs Antwortschreiben (17-22) folgte wohl umgehend, entstand dann vermutlich nicht mehr als drei Monate später (Loken 2011, 4:17; vgl. 1. Fußnote in V. 8). Der Brief beginnt wohl hier (mit „an“), könnte aber auch erst mit „Friede“ beginnen (so SLT).</w:t>
      </w:r>
    </w:p>
  </w:footnote>
  <w:footnote w:id="1385">
    <w:p>
      <w:pPr>
        <w:pStyle w:val="Funote"/>
        <w:rPr/>
      </w:pPr>
      <w:r>
        <w:rPr>
          <w:rStyle w:val="Funotenzeichen"/>
        </w:rPr>
        <w:footnoteRef/>
      </w:r>
      <w:r>
        <w:rPr/>
        <w:tab/>
        <w:t xml:space="preserve">Stimmt wörtlich mit Teilen von 8a überein. </w:t>
      </w:r>
    </w:p>
  </w:footnote>
  <w:footnote w:id="1386">
    <w:p>
      <w:pPr>
        <w:pStyle w:val="Funote"/>
        <w:rPr/>
      </w:pPr>
      <w:r>
        <w:rPr>
          <w:rStyle w:val="Funotenzeichen"/>
        </w:rPr>
        <w:footnoteRef/>
      </w:r>
      <w:r>
        <w:rPr/>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87">
    <w:p>
      <w:pPr>
        <w:pStyle w:val="Funote"/>
        <w:rPr/>
      </w:pPr>
      <w:r>
        <w:rPr>
          <w:rStyle w:val="Funotenzeichen"/>
        </w:rPr>
        <w:footnoteRef/>
      </w:r>
      <w:r>
        <w:rPr/>
        <w:tab/>
        <w:t>W. „von mir ist ein Befehl ausgegangen“</w:t>
      </w:r>
    </w:p>
  </w:footnote>
  <w:footnote w:id="1388">
    <w:p>
      <w:pPr>
        <w:pStyle w:val="Funote"/>
        <w:rPr/>
      </w:pPr>
      <w:r>
        <w:rPr>
          <w:rStyle w:val="Funotenzeichen"/>
        </w:rPr>
        <w:footnoteRef/>
      </w:r>
      <w:r>
        <w:rPr/>
        <w:tab/>
        <w:t xml:space="preserve">Mit vielen direkten Anleihen an </w:t>
      </w:r>
      <w:r>
        <w:fldChar w:fldCharType="begin"/>
      </w:r>
      <w:r>
        <w:rPr>
          <w:rStyle w:val="Internetverknpfung"/>
        </w:rPr>
        <w:instrText> HYPERLINK "../../../../../../../../../wiki/Esra_4" \l "s15"</w:instrText>
      </w:r>
      <w:r>
        <w:rPr>
          <w:rStyle w:val="Internetverknpfung"/>
        </w:rPr>
        <w:fldChar w:fldCharType="separate"/>
      </w:r>
      <w:r>
        <w:rPr>
          <w:rStyle w:val="Internetverknpfung"/>
        </w:rPr>
        <w:t>V. 15</w:t>
      </w:r>
      <w:r>
        <w:rPr>
          <w:rStyle w:val="Internetverknpfung"/>
        </w:rPr>
        <w:fldChar w:fldCharType="end"/>
      </w:r>
      <w:r>
        <w:rPr/>
        <w:t xml:space="preserve"> formuliert – der König übernimmt die Polemik der Widersacher also 1:1. </w:t>
        <w:br/>
      </w:r>
      <w:r>
        <w:rPr>
          <w:i/>
        </w:rPr>
        <w:t>aufkommen</w:t>
      </w:r>
      <w:r>
        <w:rPr/>
        <w:t xml:space="preserve"> Dasselbe Wort wie in V. 15 „anzettelt“, wieder als Ptz., aber Sg. </w:t>
      </w:r>
    </w:p>
  </w:footnote>
  <w:footnote w:id="1389">
    <w:p>
      <w:pPr>
        <w:pStyle w:val="Funote"/>
        <w:rPr/>
      </w:pPr>
      <w:r>
        <w:rPr>
          <w:rStyle w:val="Funotenzeichen"/>
        </w:rPr>
        <w:footnoteRef/>
      </w:r>
      <w:r>
        <w:rPr/>
        <w:tab/>
        <w:t xml:space="preserve">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 </w:t>
      </w:r>
    </w:p>
  </w:footnote>
  <w:footnote w:id="1390">
    <w:p>
      <w:pPr>
        <w:pStyle w:val="Funote"/>
        <w:rPr/>
      </w:pPr>
      <w:r>
        <w:rPr>
          <w:rStyle w:val="Funotenzeichen"/>
        </w:rPr>
        <w:footnoteRef/>
      </w:r>
      <w:r>
        <w:rPr/>
        <w:tab/>
        <w:t>W. „waren über Jerusalem“</w:t>
      </w:r>
    </w:p>
  </w:footnote>
  <w:footnote w:id="1391">
    <w:p>
      <w:pPr>
        <w:pStyle w:val="Funote"/>
        <w:rPr/>
      </w:pPr>
      <w:r>
        <w:rPr>
          <w:rStyle w:val="Funotenzeichen"/>
        </w:rPr>
        <w:footnoteRef/>
      </w:r>
      <w:r>
        <w:rPr/>
        <w:tab/>
        <w:t xml:space="preserve">W. „bis von mir der Befehl [dazu] erteilt wird“. </w:t>
      </w:r>
      <w:r>
        <w:rPr>
          <w:i/>
        </w:rPr>
        <w:t>von mir</w:t>
      </w:r>
      <w:r>
        <w:rPr/>
        <w:t xml:space="preserve"> ist eine emphatische Formulierung. </w:t>
      </w:r>
    </w:p>
  </w:footnote>
  <w:footnote w:id="1392">
    <w:p>
      <w:pPr>
        <w:pStyle w:val="Funote"/>
        <w:rPr/>
      </w:pPr>
      <w:r>
        <w:rPr>
          <w:rStyle w:val="Funotenzeichen"/>
        </w:rPr>
        <w:footnoteRef/>
      </w:r>
      <w:r>
        <w:rPr/>
        <w:tab/>
        <w:t xml:space="preserve">W. „Nachlässigkeit zu machen/üben“. Lt. DBL Aramaic hat das Verb hier jedoch lediglich die Funktion, das Objekt in ein Prädikat zu verwandeln, und keine eigene semantische Bedeutung. </w:t>
      </w:r>
    </w:p>
  </w:footnote>
  <w:footnote w:id="1393">
    <w:p>
      <w:pPr>
        <w:pStyle w:val="Funote"/>
        <w:rPr/>
      </w:pPr>
      <w:r>
        <w:rPr>
          <w:rStyle w:val="Funotenzeichen"/>
        </w:rPr>
        <w:footnoteRef/>
      </w:r>
      <w:r>
        <w:rPr>
          <w:i/>
        </w:rPr>
        <w:tab/>
        <w:t>da</w:t>
      </w:r>
      <w:r>
        <w:rPr/>
        <w:t xml:space="preserve"> Der Übersicht halber vom Satzanfang an die im Deutschen erwartete Stelle verschoben. </w:t>
      </w:r>
    </w:p>
  </w:footnote>
  <w:footnote w:id="1394">
    <w:p>
      <w:pPr>
        <w:pStyle w:val="Funote"/>
        <w:rPr/>
      </w:pPr>
      <w:r>
        <w:rPr>
          <w:rStyle w:val="Funotenzeichen"/>
        </w:rPr>
        <w:footnoteRef/>
      </w:r>
      <w:r>
        <w:rPr/>
        <w:tab/>
        <w:t>W. „in Eile“</w:t>
      </w:r>
    </w:p>
  </w:footnote>
  <w:footnote w:id="1395">
    <w:p>
      <w:pPr>
        <w:pStyle w:val="Funote"/>
        <w:rPr/>
      </w:pPr>
      <w:r>
        <w:rPr>
          <w:rStyle w:val="Funotenzeichen"/>
        </w:rPr>
        <w:footnoteRef/>
      </w:r>
      <w:r>
        <w:rPr/>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96">
    <w:p>
      <w:pPr>
        <w:pStyle w:val="Funote"/>
        <w:rPr/>
      </w:pPr>
      <w:r>
        <w:rPr>
          <w:rStyle w:val="Funotenzeichen"/>
        </w:rPr>
        <w:footnoteRef/>
      </w:r>
      <w:r>
        <w:rPr>
          <w:i/>
        </w:rPr>
        <w:tab/>
        <w:t>Einstellen</w:t>
      </w:r>
      <w:r>
        <w:rPr/>
        <w:t xml:space="preserve"> Dasselbe Wort wie in </w:t>
      </w:r>
      <w:r>
        <w:fldChar w:fldCharType="begin"/>
      </w:r>
      <w:r>
        <w:rPr>
          <w:rStyle w:val="Internetverknpfung"/>
        </w:rPr>
        <w:instrText> HYPERLINK "../../../../../../../../../wiki/Esra_4" \l "s21"</w:instrText>
      </w:r>
      <w:r>
        <w:rPr>
          <w:rStyle w:val="Internetverknpfung"/>
        </w:rPr>
        <w:fldChar w:fldCharType="separate"/>
      </w:r>
      <w:r>
        <w:rPr>
          <w:rStyle w:val="Internetverknpfung"/>
        </w:rPr>
        <w:t>V. 21</w:t>
      </w:r>
      <w:r>
        <w:rPr>
          <w:rStyle w:val="Internetverknpfung"/>
        </w:rPr>
        <w:fldChar w:fldCharType="end"/>
      </w:r>
      <w:r>
        <w:rPr/>
        <w:t xml:space="preserve">, wie schon dort im Zusammenspiel „zu etwas bringen“ bzw. hier „zwingen“ gebraucht, um die Stammesmodifikation Pa'el genauer abzubilden. </w:t>
      </w:r>
    </w:p>
  </w:footnote>
  <w:footnote w:id="1397">
    <w:p>
      <w:pPr>
        <w:pStyle w:val="Funote"/>
        <w:rPr/>
      </w:pPr>
      <w:r>
        <w:rPr>
          <w:rStyle w:val="Funotenzeichen"/>
        </w:rPr>
        <w:footnoteRef/>
      </w:r>
      <w:r>
        <w:rPr>
          <w:i/>
        </w:rPr>
        <w:tab/>
        <w:t>Sofort</w:t>
      </w:r>
      <w:r>
        <w:rPr/>
        <w:t xml:space="preserve"> (GesD) funktioniert nur, wenn es sich bei </w:t>
      </w:r>
      <w:r>
        <w:fldChar w:fldCharType="begin"/>
      </w:r>
      <w:r>
        <w:rPr>
          <w:rStyle w:val="Internetverknpfung"/>
        </w:rPr>
        <w:instrText> HYPERLINK "../../../../../../../../../wiki/Esra_4" \l "s23"</w:instrText>
      </w:r>
      <w:r>
        <w:rPr>
          <w:rStyle w:val="Internetverknpfung"/>
        </w:rPr>
        <w:fldChar w:fldCharType="separate"/>
      </w:r>
      <w:r>
        <w:rPr>
          <w:rStyle w:val="Internetverknpfung"/>
        </w:rPr>
        <w:t>V. 23</w:t>
      </w:r>
      <w:r>
        <w:rPr>
          <w:rStyle w:val="Internetverknpfung"/>
        </w:rPr>
        <w:fldChar w:fldCharType="end"/>
      </w:r>
      <w:r>
        <w:rPr/>
        <w:t xml:space="preserve"> nicht, wie in der nächsten Fußnote angenommen, um eine Rückkehr zur Handlung von </w:t>
      </w:r>
      <w:r>
        <w:fldChar w:fldCharType="begin"/>
      </w:r>
      <w:r>
        <w:rPr>
          <w:rStyle w:val="Internetverknpfung"/>
        </w:rPr>
        <w:instrText> HYPERLINK "../../../../../../../../../wiki/Esra_4" \l "s5"</w:instrText>
      </w:r>
      <w:r>
        <w:rPr>
          <w:rStyle w:val="Internetverknpfung"/>
        </w:rPr>
        <w:fldChar w:fldCharType="separate"/>
      </w:r>
      <w:r>
        <w:rPr>
          <w:rStyle w:val="Internetverknpfung"/>
        </w:rPr>
        <w:t>V. 5</w:t>
      </w:r>
      <w:r>
        <w:rPr>
          <w:rStyle w:val="Internetverknpfung"/>
        </w:rPr>
        <w:fldChar w:fldCharType="end"/>
      </w:r>
      <w:r>
        <w:rPr/>
        <w:t xml:space="preserve"> handelt, sondern um die Fortsetzung der Erzählung aus </w:t>
      </w:r>
      <w:r>
        <w:fldChar w:fldCharType="begin"/>
      </w:r>
      <w:r>
        <w:rPr>
          <w:rStyle w:val="Internetverknpfung"/>
        </w:rPr>
        <w:instrText> HYPERLINK "../../../../../../../../../wiki/Esra_4" \l "s23"</w:instrText>
      </w:r>
      <w:r>
        <w:rPr>
          <w:rStyle w:val="Internetverknpfung"/>
        </w:rPr>
        <w:fldChar w:fldCharType="separate"/>
      </w:r>
      <w:r>
        <w:rPr>
          <w:rStyle w:val="Internetverknpfung"/>
        </w:rPr>
        <w:t>V. 23</w:t>
      </w:r>
      <w:r>
        <w:rPr>
          <w:rStyle w:val="Internetverknpfung"/>
        </w:rPr>
        <w:fldChar w:fldCharType="end"/>
      </w:r>
      <w:r>
        <w:rPr/>
        <w:t xml:space="preserve">. </w:t>
      </w:r>
    </w:p>
  </w:footnote>
  <w:footnote w:id="1398">
    <w:p>
      <w:pPr>
        <w:pStyle w:val="Funote"/>
        <w:spacing w:before="0" w:after="283"/>
        <w:rPr/>
      </w:pPr>
      <w:r>
        <w:rPr>
          <w:rStyle w:val="Funotenzeichen"/>
        </w:rPr>
        <w:footnoteRef/>
      </w:r>
      <w:r>
        <w:rPr/>
        <w:tab/>
        <w:t xml:space="preserve">Das ist Darius I. Hystaspes (522–486 v. Chr.), der gerade zitierte Brief stammt aber von Artaxerxes (486-465 v. Chr.). Die Handlung kehrt hier offenbar zurück zu </w:t>
      </w:r>
      <w:r>
        <w:fldChar w:fldCharType="begin"/>
      </w:r>
      <w:r>
        <w:rPr>
          <w:rStyle w:val="Internetverknpfung"/>
        </w:rPr>
        <w:instrText> HYPERLINK "../../../../../../../../../wiki/Esra_4" \l "s5"</w:instrText>
      </w:r>
      <w:r>
        <w:rPr>
          <w:rStyle w:val="Internetverknpfung"/>
        </w:rPr>
        <w:fldChar w:fldCharType="separate"/>
      </w:r>
      <w:r>
        <w:rPr>
          <w:rStyle w:val="Internetverknpfung"/>
        </w:rPr>
        <w:t>V. 5</w:t>
      </w:r>
      <w:r>
        <w:rPr>
          <w:rStyle w:val="Internetverknpfung"/>
        </w:rPr>
        <w:fldChar w:fldCharType="end"/>
      </w:r>
      <w:r>
        <w:rPr/>
        <w:t xml:space="preserve">, in die Zeit des Kyrus etliche Jahrzehnte vorher. (Eine Verwechslung vonseiten des Verfassers scheint ausgeschlossen, weil er in </w:t>
      </w:r>
      <w:r>
        <w:fldChar w:fldCharType="begin"/>
      </w:r>
      <w:r>
        <w:rPr>
          <w:rStyle w:val="Internetverknpfung"/>
        </w:rPr>
        <w:instrText> HYPERLINK "../../../../../../../../../wiki/Esra_6" \l "s14"</w:instrText>
      </w:r>
      <w:r>
        <w:rPr>
          <w:rStyle w:val="Internetverknpfung"/>
        </w:rPr>
        <w:fldChar w:fldCharType="separate"/>
      </w:r>
      <w:r>
        <w:rPr>
          <w:rStyle w:val="Internetverknpfung"/>
        </w:rPr>
        <w:t>6,14</w:t>
      </w:r>
      <w:r>
        <w:rPr>
          <w:rStyle w:val="Internetverknpfung"/>
        </w:rPr>
        <w:fldChar w:fldCharType="end"/>
      </w:r>
      <w:r>
        <w:rPr/>
        <w:t xml:space="preserve"> die persischen Könige in chronologischer Reihenfolge nennt und also zu kennen scheint.) Der Verfasser (Esra?) schiebt mit </w:t>
      </w:r>
      <w:r>
        <w:fldChar w:fldCharType="begin"/>
      </w:r>
      <w:r>
        <w:rPr>
          <w:rStyle w:val="Internetverknpfung"/>
        </w:rPr>
        <w:instrText> HYPERLINK "../../../../../../../../../wiki/Esra_4" \l "s6"</w:instrText>
      </w:r>
      <w:r>
        <w:rPr>
          <w:rStyle w:val="Internetverknpfung"/>
        </w:rPr>
        <w:fldChar w:fldCharType="separate"/>
      </w:r>
      <w:r>
        <w:rPr>
          <w:rStyle w:val="Internetverknpfung"/>
        </w:rPr>
        <w:t>6-23</w:t>
      </w:r>
      <w:r>
        <w:rPr>
          <w:rStyle w:val="Internetverknpfung"/>
        </w:rPr>
        <w:fldChar w:fldCharType="end"/>
      </w:r>
      <w:r>
        <w:rPr/>
        <w:t xml:space="preserve">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w:t>
      </w:r>
    </w:p>
    <w:p>
      <w:pPr>
        <w:pStyle w:val="Textkrper"/>
        <w:rPr/>
      </w:pPr>
      <w:r>
        <w:rPr/>
        <w:tab/>
        <w:t xml:space="preserve">Dass V. 24 an </w:t>
      </w:r>
      <w:r>
        <w:fldChar w:fldCharType="begin"/>
      </w:r>
      <w:r>
        <w:rPr>
          <w:rStyle w:val="Internetverknpfung"/>
        </w:rPr>
        <w:instrText> HYPERLINK "../../../../../../../../../wiki/Esra_4" \l "s5"</w:instrText>
      </w:r>
      <w:r>
        <w:rPr>
          <w:rStyle w:val="Internetverknpfung"/>
        </w:rPr>
        <w:fldChar w:fldCharType="separate"/>
      </w:r>
      <w:r>
        <w:rPr>
          <w:rStyle w:val="Internetverknpfung"/>
        </w:rPr>
        <w:t>V. 5</w:t>
      </w:r>
      <w:r>
        <w:rPr>
          <w:rStyle w:val="Internetverknpfung"/>
        </w:rPr>
        <w:fldChar w:fldCharType="end"/>
      </w:r>
      <w:r>
        <w:rPr/>
        <w:t xml:space="preserve"> anknüpft, zeigt sich auch daran, dass Inhalt und Formulierung z.T. übernommen wurden (ein Stilmittel namens „wiederholende Wiederaufnahme“; vgl. Loken 2011, 4:6–24 Commentary).</w:t>
      </w:r>
    </w:p>
    <w:p>
      <w:pPr>
        <w:pStyle w:val="Textkrper"/>
        <w:spacing w:before="0" w:after="283"/>
        <w:rPr/>
      </w:pPr>
      <w:r>
        <w:rPr/>
        <w:tab/>
        <w:t xml:space="preserve">Der Baustopp unter Kyrus hielt von 536 bis 520 v. Chr. (das zweite Jahr von Darius' Herrschaft), also 16 Jahre an (Loken 2011, 4:24). Artaxerxes, von dessen Baustopp bis V. 23 die Rede war, nahm seine Entscheidung 444 v. Chr. auf Bitten Nehemias selbst zurück (Loken 2011, 4:21). </w:t>
      </w:r>
    </w:p>
  </w:footnote>
  <w:footnote w:id="1399">
    <w:p>
      <w:pPr>
        <w:pStyle w:val="Funote"/>
        <w:rPr/>
      </w:pPr>
      <w:r>
        <w:rPr>
          <w:rStyle w:val="Funotenzeichen"/>
        </w:rPr>
        <w:footnoteRef/>
      </w:r>
      <w:r>
        <w:rPr/>
        <w:tab/>
        <w:t>[Status: Ungeprüft]</w:t>
      </w:r>
    </w:p>
  </w:footnote>
  <w:footnote w:id="1400">
    <w:p>
      <w:pPr>
        <w:pStyle w:val="Funote"/>
        <w:rPr/>
      </w:pPr>
      <w:r>
        <w:rPr>
          <w:rStyle w:val="Funotenzeichen"/>
        </w:rPr>
        <w:footnoteRef/>
      </w:r>
      <w:r>
        <w:rPr/>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401">
    <w:p>
      <w:pPr>
        <w:pStyle w:val="Funote"/>
        <w:rPr/>
      </w:pPr>
      <w:r>
        <w:rPr>
          <w:rStyle w:val="Funotenzeichen"/>
        </w:rPr>
        <w:footnoteRef/>
      </w:r>
      <w:r>
        <w:rPr/>
        <w:tab/>
        <w:t xml:space="preserve">Aus </w:t>
      </w:r>
      <w:r>
        <w:fldChar w:fldCharType="begin"/>
      </w:r>
      <w:r>
        <w:rPr>
          <w:rStyle w:val="Internetverknpfung"/>
        </w:rPr>
        <w:instrText> HYPERLINK "../../../../../../../../../wiki/Esra_4" \l "s24"</w:instrText>
      </w:r>
      <w:r>
        <w:rPr>
          <w:rStyle w:val="Internetverknpfung"/>
        </w:rPr>
        <w:fldChar w:fldCharType="separate"/>
      </w:r>
      <w:r>
        <w:rPr>
          <w:rStyle w:val="Internetverknpfung"/>
        </w:rPr>
        <w:t>Esra 4,24</w:t>
      </w:r>
      <w:r>
        <w:rPr>
          <w:rStyle w:val="Internetverknpfung"/>
        </w:rPr>
        <w:fldChar w:fldCharType="end"/>
      </w:r>
      <w:r>
        <w:rPr/>
        <w:t xml:space="preserve">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 </w:t>
      </w:r>
    </w:p>
  </w:footnote>
  <w:footnote w:id="1402">
    <w:p>
      <w:pPr>
        <w:pStyle w:val="Funote"/>
        <w:rPr/>
      </w:pPr>
      <w:r>
        <w:rPr>
          <w:rStyle w:val="Funotenzeichen"/>
        </w:rPr>
        <w:footnoteRef/>
      </w:r>
      <w:r>
        <w:rPr/>
        <w:tab/>
        <w:t xml:space="preserve">Hier ist von der Satrapie Transeuphrat, „Jenseits des Stromes“ die Rede (Loken 2011, 4:10). Tattenai ist 502 v. Chr. aus einem babylonischen Dokument als Statthalter der Satrapie Transeuphrat bekannt (Loken 2011, 5:3). </w:t>
      </w:r>
    </w:p>
  </w:footnote>
  <w:footnote w:id="1403">
    <w:p>
      <w:pPr>
        <w:pStyle w:val="Funote"/>
        <w:rPr/>
      </w:pPr>
      <w:r>
        <w:rPr>
          <w:rStyle w:val="Funotenzeichen"/>
        </w:rPr>
        <w:footnoteRef/>
      </w:r>
      <w:r>
        <w:rPr/>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404">
    <w:p>
      <w:pPr>
        <w:pStyle w:val="Funote"/>
        <w:rPr/>
      </w:pPr>
      <w:r>
        <w:rPr>
          <w:rStyle w:val="Funotenzeichen"/>
        </w:rPr>
        <w:footnoteRef/>
      </w:r>
      <w:r>
        <w:rPr/>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405">
    <w:p>
      <w:pPr>
        <w:pStyle w:val="Funote"/>
        <w:rPr/>
      </w:pPr>
      <w:r>
        <w:rPr>
          <w:rStyle w:val="Funotenzeichen"/>
        </w:rPr>
        <w:footnoteRef/>
      </w:r>
      <w:r>
        <w:rPr/>
        <w:tab/>
        <w:t xml:space="preserve">Dieser Brief muss zwischen dem 21.09.520 (das Datum von Haggais Prophezeiung, </w:t>
      </w:r>
      <w:r>
        <w:fldChar w:fldCharType="begin"/>
      </w:r>
      <w:r>
        <w:rPr>
          <w:rStyle w:val="Internetverknpfung"/>
        </w:rPr>
        <w:instrText> HYPERLINK "../../../../../../../../../wiki/Haggai_1" \l "s15"</w:instrText>
      </w:r>
      <w:r>
        <w:rPr>
          <w:rStyle w:val="Internetverknpfung"/>
        </w:rPr>
        <w:fldChar w:fldCharType="separate"/>
      </w:r>
      <w:r>
        <w:rPr>
          <w:rStyle w:val="Internetverknpfung"/>
        </w:rPr>
        <w:t>Hag 1,15</w:t>
      </w:r>
      <w:r>
        <w:rPr>
          <w:rStyle w:val="Internetverknpfung"/>
        </w:rPr>
        <w:fldChar w:fldCharType="end"/>
      </w:r>
      <w:r>
        <w:rPr/>
        <w:t>) und der Fertigstellung des Tempels am 12.03.515 v. Chr. (</w:t>
      </w:r>
      <w:r>
        <w:fldChar w:fldCharType="begin"/>
      </w:r>
      <w:r>
        <w:rPr>
          <w:rStyle w:val="Internetverknpfung"/>
        </w:rPr>
        <w:instrText> HYPERLINK "../../../../../../../../../wiki/Esra_6" \l "s15"</w:instrText>
      </w:r>
      <w:r>
        <w:rPr>
          <w:rStyle w:val="Internetverknpfung"/>
        </w:rPr>
        <w:fldChar w:fldCharType="separate"/>
      </w:r>
      <w:r>
        <w:rPr>
          <w:rStyle w:val="Internetverknpfung"/>
        </w:rPr>
        <w:t>Esr 6,15</w:t>
      </w:r>
      <w:r>
        <w:rPr>
          <w:rStyle w:val="Internetverknpfung"/>
        </w:rPr>
        <w:fldChar w:fldCharType="end"/>
      </w:r>
      <w:r>
        <w:rPr/>
        <w:t xml:space="preserve">) entstanden sein, am ehesten wohl zwischen 520 und 517 v. Chr. (Loken 2011, 5:6). </w:t>
      </w:r>
    </w:p>
  </w:footnote>
  <w:footnote w:id="1406">
    <w:p>
      <w:pPr>
        <w:pStyle w:val="Funote"/>
        <w:rPr/>
      </w:pPr>
      <w:r>
        <w:rPr>
          <w:rStyle w:val="Funotenzeichen"/>
        </w:rPr>
        <w:footnoteRef/>
      </w:r>
      <w:r>
        <w:rPr/>
        <w:tab/>
        <w:t xml:space="preserve">Hier ist von der Satrapie Transeuphrat, „Jenseits des Stromes“ die Rede (Loken 2011, 4:10). Tattenai ist 502 v. Chr. aus einem babylonischen Dokument als Statthalter der Satrapie Transeuphrat bekannt (Loken 2011, 5:3). </w:t>
      </w:r>
    </w:p>
  </w:footnote>
  <w:footnote w:id="1407">
    <w:p>
      <w:pPr>
        <w:pStyle w:val="Funote"/>
        <w:rPr/>
      </w:pPr>
      <w:r>
        <w:rPr>
          <w:rStyle w:val="Funotenzeichen"/>
        </w:rPr>
        <w:footnoteRef/>
      </w:r>
      <w:r>
        <w:rPr/>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08">
    <w:p>
      <w:pPr>
        <w:pStyle w:val="Funote"/>
        <w:rPr/>
      </w:pPr>
      <w:r>
        <w:rPr>
          <w:rStyle w:val="Funotenzeichen"/>
        </w:rPr>
        <w:footnoteRef/>
      </w:r>
      <w:r>
        <w:rPr/>
        <w:tab/>
        <w:t xml:space="preserve">Juda war eine Provinz innerhalb der Satrapie Transeuphrat, also eine Provinz auf einer niedrigeren Ebene (Loken 2011, 5:8). </w:t>
      </w:r>
    </w:p>
  </w:footnote>
  <w:footnote w:id="1409">
    <w:p>
      <w:pPr>
        <w:pStyle w:val="Funote"/>
        <w:rPr/>
      </w:pPr>
      <w:r>
        <w:rPr>
          <w:rStyle w:val="Funotenzeichen"/>
        </w:rPr>
        <w:footnoteRef/>
      </w:r>
      <w:r>
        <w:rPr/>
        <w:tab/>
        <w:t xml:space="preserve">Dieselbe Bautechnik wie in </w:t>
      </w:r>
      <w:hyperlink r:id="rId46">
        <w:r>
          <w:rPr>
            <w:rStyle w:val="Internetverknpfung"/>
          </w:rPr>
          <w:t>1. Kön 6,36</w:t>
        </w:r>
      </w:hyperlink>
      <w:r>
        <w:rPr/>
        <w:t xml:space="preserve">. Die Holzbalken dienen dabei zur Verstärkung der Wände (Loken 2011, 5:8). </w:t>
      </w:r>
    </w:p>
  </w:footnote>
  <w:footnote w:id="1410">
    <w:p>
      <w:pPr>
        <w:pStyle w:val="Funote"/>
        <w:rPr/>
      </w:pPr>
      <w:r>
        <w:rPr>
          <w:rStyle w:val="Funotenzeichen"/>
        </w:rPr>
        <w:footnoteRef/>
      </w:r>
      <w:r>
        <w:rPr/>
        <w:tab/>
        <w:t xml:space="preserve">Das Wort </w:t>
      </w:r>
      <w:r>
        <w:rPr>
          <w:rtl w:val="true"/>
          <w:lang w:bidi="he-IL"/>
        </w:rPr>
        <w:t>פֶחָה</w:t>
      </w:r>
      <w:r>
        <w:rPr/>
        <w:t xml:space="preserve"> </w:t>
      </w:r>
      <w:r>
        <w:rPr/>
        <w:t xml:space="preserve">kann einen Statthalter, Satrapen oder Kommissar mit bestimmten Vollmachten bezeichnen. Obwohl „Statthalter“ hier möglich ist, scheint Scheschbazzar doch eher besondere Vollmachten zu einem bestimmten Auftrag, nicht unbedingt das Statthalteramt, erhalten zu haben (Loken 2011, 5:14). </w:t>
      </w:r>
    </w:p>
  </w:footnote>
  <w:footnote w:id="1411">
    <w:p>
      <w:pPr>
        <w:pStyle w:val="Funote"/>
        <w:rPr/>
      </w:pPr>
      <w:r>
        <w:rPr>
          <w:rStyle w:val="Funotenzeichen"/>
        </w:rPr>
        <w:footnoteRef/>
      </w:r>
      <w:r>
        <w:rPr/>
        <w:tab/>
        <w:t xml:space="preserve">Scheschbazzars Tätigkeiten werden in </w:t>
      </w:r>
      <w:hyperlink r:id="rId47">
        <w:r>
          <w:rPr>
            <w:rStyle w:val="Internetverknpfung"/>
          </w:rPr>
          <w:t>Esr 1,5-11</w:t>
        </w:r>
      </w:hyperlink>
      <w:r>
        <w:rPr/>
        <w:t xml:space="preserve"> etwas genauer beschrieben. </w:t>
      </w:r>
    </w:p>
  </w:footnote>
  <w:footnote w:id="1412">
    <w:p>
      <w:pPr>
        <w:pStyle w:val="Funote"/>
        <w:rPr/>
      </w:pPr>
      <w:r>
        <w:rPr>
          <w:rStyle w:val="Funotenzeichen"/>
        </w:rPr>
        <w:footnoteRef/>
      </w:r>
      <w:r>
        <w:rPr/>
        <w:tab/>
        <w:t xml:space="preserve">Wo sich offenbar auch die Archive befanden (vgl. </w:t>
      </w:r>
      <w:r>
        <w:fldChar w:fldCharType="begin"/>
      </w:r>
      <w:r>
        <w:rPr>
          <w:rStyle w:val="Internetverknpfung"/>
        </w:rPr>
        <w:instrText> HYPERLINK "../../../../../../../../../wiki/Esra_6" \l "s1"</w:instrText>
      </w:r>
      <w:r>
        <w:rPr>
          <w:rStyle w:val="Internetverknpfung"/>
        </w:rPr>
        <w:fldChar w:fldCharType="separate"/>
      </w:r>
      <w:r>
        <w:rPr>
          <w:rStyle w:val="Internetverknpfung"/>
        </w:rPr>
        <w:t>6,1</w:t>
      </w:r>
      <w:r>
        <w:rPr>
          <w:rStyle w:val="Internetverknpfung"/>
        </w:rPr>
        <w:fldChar w:fldCharType="end"/>
      </w:r>
      <w:r>
        <w:rPr/>
        <w:t xml:space="preserve">; vgl. DBL Aramaic </w:t>
      </w:r>
      <w:r>
        <w:rPr>
          <w:rtl w:val="true"/>
          <w:lang w:bidi="he-IL"/>
        </w:rPr>
        <w:t>גְּנַז</w:t>
      </w:r>
      <w:r>
        <w:rPr/>
        <w:t xml:space="preserve">). </w:t>
      </w:r>
    </w:p>
  </w:footnote>
  <w:footnote w:id="1413">
    <w:p>
      <w:pPr>
        <w:pStyle w:val="Funote"/>
        <w:rPr/>
      </w:pPr>
      <w:r>
        <w:rPr>
          <w:rStyle w:val="Funotenzeichen"/>
        </w:rPr>
        <w:footnoteRef/>
      </w:r>
      <w:r>
        <w:rPr/>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14">
    <w:p>
      <w:pPr>
        <w:pStyle w:val="Funote"/>
        <w:rPr/>
      </w:pPr>
      <w:r>
        <w:rPr>
          <w:rStyle w:val="Funotenzeichen"/>
        </w:rPr>
        <w:footnoteRef/>
      </w:r>
      <w:r>
        <w:rPr/>
        <w:tab/>
        <w:t>[Status: Ungeprüft]</w:t>
      </w:r>
    </w:p>
  </w:footnote>
  <w:footnote w:id="1415">
    <w:p>
      <w:pPr>
        <w:pStyle w:val="Funote"/>
        <w:rPr/>
      </w:pPr>
      <w:r>
        <w:rPr>
          <w:rStyle w:val="Funotenzeichen"/>
        </w:rPr>
        <w:footnoteRef/>
      </w:r>
      <w:r>
        <w:rPr>
          <w:i/>
        </w:rPr>
        <w:tab/>
        <w:t>Ekbata</w:t>
      </w:r>
      <w:r>
        <w:rPr/>
        <w:t xml:space="preserve"> Die Sommerresidenz des Königs Kyrus lag in den Bergen. Vor seiner Zeit (bis 550 v. Chr.) war sie Hauptstadt der Meder (Loken 2011, 6:2). </w:t>
      </w:r>
    </w:p>
  </w:footnote>
  <w:footnote w:id="1416">
    <w:p>
      <w:pPr>
        <w:pStyle w:val="Funote"/>
        <w:rPr/>
      </w:pPr>
      <w:r>
        <w:rPr>
          <w:rStyle w:val="Funotenzeichen"/>
        </w:rPr>
        <w:footnoteRef/>
      </w:r>
      <w:r>
        <w:rPr/>
        <w:tab/>
        <w:t xml:space="preserve">Der Begriff wurde regelmäßig als Überschrift von Listen und Inventarprotokollen gebraucht (Loken 2011, 6:2). </w:t>
      </w:r>
    </w:p>
  </w:footnote>
  <w:footnote w:id="1417">
    <w:p>
      <w:pPr>
        <w:pStyle w:val="Funote"/>
        <w:rPr/>
      </w:pPr>
      <w:r>
        <w:rPr>
          <w:rStyle w:val="Funotenzeichen"/>
        </w:rPr>
        <w:footnoteRef/>
      </w:r>
      <w:r>
        <w:rPr/>
        <w:tab/>
        <w:t xml:space="preserve">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 </w:t>
      </w:r>
    </w:p>
  </w:footnote>
  <w:footnote w:id="1418">
    <w:p>
      <w:pPr>
        <w:pStyle w:val="Funote"/>
        <w:rPr/>
      </w:pPr>
      <w:r>
        <w:rPr>
          <w:rStyle w:val="Funotenzeichen"/>
        </w:rPr>
        <w:footnoteRef/>
      </w:r>
      <w:r>
        <w:rPr/>
        <w:tab/>
        <w:t xml:space="preserve">Oder: „Das Haus soll wieder aufgebaut werden, die Stätte, an der sie Opfer darbrachten (darbringen)“ Da weder die Perser noch die Juden während des persischen Exils Opfer darbrachten, dient diese Angabe als Unterscheidungsmerkmal gegenüber anderen Tempeln (Loken 2011, 6:3-5). </w:t>
      </w:r>
    </w:p>
  </w:footnote>
  <w:footnote w:id="1419">
    <w:p>
      <w:pPr>
        <w:pStyle w:val="Funote"/>
        <w:rPr/>
      </w:pPr>
      <w:r>
        <w:rPr>
          <w:rStyle w:val="Funotenzeichen"/>
        </w:rPr>
        <w:footnoteRef/>
      </w:r>
      <w:r>
        <w:rPr/>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20">
    <w:p>
      <w:pPr>
        <w:pStyle w:val="Funote"/>
        <w:rPr/>
      </w:pPr>
      <w:r>
        <w:rPr>
          <w:rStyle w:val="Funotenzeichen"/>
        </w:rPr>
        <w:footnoteRef/>
      </w:r>
      <w:r>
        <w:rPr/>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21">
    <w:p>
      <w:pPr>
        <w:pStyle w:val="Funote"/>
        <w:rPr/>
      </w:pPr>
      <w:r>
        <w:rPr>
          <w:rStyle w:val="Funotenzeichen"/>
        </w:rPr>
        <w:footnoteRef/>
      </w:r>
      <w:r>
        <w:rPr/>
        <w:tab/>
        <w:t xml:space="preserve">Dieser Teil stimmt bis hierhin fast wortwörtlich mit dem entsprechenden Abschnitt aus dem Bericht der Juden aus </w:t>
      </w:r>
      <w:r>
        <w:fldChar w:fldCharType="begin"/>
      </w:r>
      <w:r>
        <w:rPr>
          <w:rStyle w:val="Internetverknpfung"/>
        </w:rPr>
        <w:instrText> HYPERLINK "../../../../../../../../../wiki/Esra_5" \l "s14"</w:instrText>
      </w:r>
      <w:r>
        <w:rPr>
          <w:rStyle w:val="Internetverknpfung"/>
        </w:rPr>
        <w:fldChar w:fldCharType="separate"/>
      </w:r>
      <w:r>
        <w:rPr>
          <w:rStyle w:val="Internetverknpfung"/>
        </w:rPr>
        <w:t>5,14</w:t>
      </w:r>
      <w:r>
        <w:rPr>
          <w:rStyle w:val="Internetverknpfung"/>
        </w:rPr>
        <w:fldChar w:fldCharType="end"/>
      </w:r>
      <w:r>
        <w:rPr/>
        <w:t xml:space="preserve"> überein. </w:t>
      </w:r>
    </w:p>
  </w:footnote>
  <w:footnote w:id="1422">
    <w:p>
      <w:pPr>
        <w:pStyle w:val="Funote"/>
        <w:rPr/>
      </w:pPr>
      <w:r>
        <w:rPr>
          <w:rStyle w:val="Funotenzeichen"/>
        </w:rPr>
        <w:footnoteRef/>
      </w:r>
      <w:r>
        <w:rPr/>
        <w:tab/>
        <w:t>W. „gehen“</w:t>
      </w:r>
    </w:p>
  </w:footnote>
  <w:footnote w:id="1423">
    <w:p>
      <w:pPr>
        <w:pStyle w:val="Funote"/>
        <w:rPr/>
      </w:pPr>
      <w:r>
        <w:rPr>
          <w:rStyle w:val="Funotenzeichen"/>
        </w:rPr>
        <w:footnoteRef/>
      </w:r>
      <w:r>
        <w:rPr/>
        <w:tab/>
        <w:t>W. „ihren“ (3. Pl.)</w:t>
      </w:r>
    </w:p>
  </w:footnote>
  <w:footnote w:id="1424">
    <w:p>
      <w:pPr>
        <w:pStyle w:val="Funote"/>
        <w:rPr/>
      </w:pPr>
      <w:r>
        <w:rPr>
          <w:rStyle w:val="Funotenzeichen"/>
        </w:rPr>
        <w:footnoteRef/>
      </w:r>
      <w:r>
        <w:rPr/>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25">
    <w:p>
      <w:pPr>
        <w:pStyle w:val="Funote"/>
        <w:rPr/>
      </w:pPr>
      <w:r>
        <w:rPr>
          <w:rStyle w:val="Funotenzeichen"/>
        </w:rPr>
        <w:footnoteRef/>
      </w:r>
      <w:r>
        <w:rPr/>
        <w:tab/>
        <w:t xml:space="preserve">W. „und von mir ist [der] Befehl erteilt worden“ </w:t>
      </w:r>
    </w:p>
  </w:footnote>
  <w:footnote w:id="1426">
    <w:p>
      <w:pPr>
        <w:pStyle w:val="Funote"/>
        <w:rPr/>
      </w:pPr>
      <w:r>
        <w:rPr>
          <w:rStyle w:val="Funotenzeichen"/>
        </w:rPr>
        <w:footnoteRef/>
      </w:r>
      <w:r>
        <w:rPr/>
        <w:tab/>
        <w:t xml:space="preserve">W. „jeder Mensch (Mann), der“. Die Umformulierung war notwendig, um den restlichen Satz möglich 1:1 ins Deutsche übertragen zu können. </w:t>
      </w:r>
    </w:p>
  </w:footnote>
  <w:footnote w:id="1427">
    <w:p>
      <w:pPr>
        <w:pStyle w:val="Funote"/>
        <w:rPr/>
      </w:pPr>
      <w:r>
        <w:rPr>
          <w:rStyle w:val="Funotenzeichen"/>
        </w:rPr>
        <w:footnoteRef/>
      </w:r>
      <w:r>
        <w:rPr/>
        <w:tab/>
        <w:t xml:space="preserve">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 </w:t>
      </w:r>
    </w:p>
  </w:footnote>
  <w:footnote w:id="1428">
    <w:p>
      <w:pPr>
        <w:pStyle w:val="Funote"/>
        <w:rPr/>
      </w:pPr>
      <w:r>
        <w:rPr>
          <w:rStyle w:val="Funotenzeichen"/>
        </w:rPr>
        <w:footnoteRef/>
      </w:r>
      <w:r>
        <w:rPr/>
        <w:tab/>
        <w:t xml:space="preserve">Vgl. Fußnote zu </w:t>
      </w:r>
      <w:r>
        <w:fldChar w:fldCharType="begin"/>
      </w:r>
      <w:r>
        <w:rPr>
          <w:rStyle w:val="Internetverknpfung"/>
        </w:rPr>
        <w:instrText> HYPERLINK "../../../../../../../../../wiki/Daniel_2" \l "s5"</w:instrText>
      </w:r>
      <w:r>
        <w:rPr>
          <w:rStyle w:val="Internetverknpfung"/>
        </w:rPr>
        <w:fldChar w:fldCharType="separate"/>
      </w:r>
      <w:r>
        <w:rPr>
          <w:rStyle w:val="Internetverknpfung"/>
        </w:rPr>
        <w:t>Daniel 2,5</w:t>
      </w:r>
      <w:r>
        <w:rPr>
          <w:rStyle w:val="Internetverknpfung"/>
        </w:rPr>
        <w:fldChar w:fldCharType="end"/>
      </w:r>
      <w:r>
        <w:rPr/>
        <w:t xml:space="preserve">. </w:t>
      </w:r>
    </w:p>
  </w:footnote>
  <w:footnote w:id="1429">
    <w:p>
      <w:pPr>
        <w:pStyle w:val="Funote"/>
        <w:rPr/>
      </w:pPr>
      <w:r>
        <w:rPr>
          <w:rStyle w:val="Funotenzeichen"/>
        </w:rPr>
        <w:footnoteRef/>
      </w:r>
      <w:r>
        <w:rPr/>
        <w:tab/>
        <w:t>W. „der seine Hand ausstreckt“</w:t>
      </w:r>
    </w:p>
  </w:footnote>
  <w:footnote w:id="1430">
    <w:p>
      <w:pPr>
        <w:pStyle w:val="Funote"/>
        <w:rPr/>
      </w:pPr>
      <w:r>
        <w:rPr>
          <w:rStyle w:val="Funotenzeichen"/>
        </w:rPr>
        <w:footnoteRef/>
      </w:r>
      <w:r>
        <w:rPr/>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31">
    <w:p>
      <w:pPr>
        <w:pStyle w:val="Funote"/>
        <w:rPr/>
      </w:pPr>
      <w:r>
        <w:rPr>
          <w:rStyle w:val="Funotenzeichen"/>
        </w:rPr>
        <w:footnoteRef/>
      </w:r>
      <w:r>
        <w:rPr/>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 xml:space="preserve">(Loken 2011, 6:13-22 Translation). </w:t>
      </w:r>
    </w:p>
  </w:footnote>
  <w:footnote w:id="1432">
    <w:p>
      <w:pPr>
        <w:pStyle w:val="Funote"/>
        <w:rPr/>
      </w:pPr>
      <w:r>
        <w:rPr>
          <w:rStyle w:val="Funotenzeichen"/>
        </w:rPr>
        <w:footnoteRef/>
      </w:r>
      <w:r>
        <w:rPr/>
        <w:tab/>
        <w:t>Am 12. März 515 v. Chr. In 1. Esdras 7,5 ist vielleicht deshalb nicht vom 3., sondern vom 23. Tag die Rede, weil der 12. März 515 ein Sabbat war (Loken 2011, 6:15).</w:t>
      </w:r>
    </w:p>
  </w:footnote>
  <w:footnote w:id="1433">
    <w:p>
      <w:pPr>
        <w:pStyle w:val="Funote"/>
        <w:rPr/>
      </w:pPr>
      <w:r>
        <w:rPr>
          <w:rStyle w:val="Funotenzeichen"/>
        </w:rPr>
        <w:footnoteRef/>
      </w:r>
      <w:r>
        <w:rPr/>
        <w:tab/>
        <w:t xml:space="preserve">W. „Kinder (Nachfahren, Söhne; Leute) der Verbannung “, die gewählte Übersetzung des Idioms nach GesD. </w:t>
      </w:r>
    </w:p>
  </w:footnote>
  <w:footnote w:id="1434">
    <w:p>
      <w:pPr>
        <w:pStyle w:val="Funote"/>
        <w:rPr/>
      </w:pPr>
      <w:r>
        <w:rPr>
          <w:rStyle w:val="Funotenzeichen"/>
        </w:rPr>
        <w:footnoteRef/>
      </w:r>
      <w:r>
        <w:rPr/>
        <w:tab/>
        <w:t>W. „nach der Schrift des Buchs von Mose“</w:t>
      </w:r>
    </w:p>
  </w:footnote>
  <w:footnote w:id="1435">
    <w:p>
      <w:pPr>
        <w:pStyle w:val="Funote"/>
        <w:rPr/>
      </w:pPr>
      <w:r>
        <w:rPr>
          <w:rStyle w:val="Funotenzeichen"/>
        </w:rPr>
        <w:footnoteRef/>
      </w:r>
      <w:r>
        <w:rPr/>
        <w:tab/>
        <w:t xml:space="preserve">Ex 29; Lev 8; Num 3; 8; 18. </w:t>
      </w:r>
    </w:p>
  </w:footnote>
  <w:footnote w:id="1436">
    <w:p>
      <w:pPr>
        <w:pStyle w:val="Funote"/>
        <w:rPr/>
      </w:pPr>
      <w:r>
        <w:rPr>
          <w:rStyle w:val="Funotenzeichen"/>
        </w:rPr>
        <w:footnoteRef/>
      </w:r>
      <w:r>
        <w:rPr/>
        <w:tab/>
        <w:t xml:space="preserve">Nach Esr 4,8-6,18 sind auch 7,12-26 auf Aramäisch verfasst bzw. aus einem aramäischen Urdokument zitiert (sonst Dan 2,4b-7,28 und Jer 10,11 sowie ein Teil von Gen 31,47). </w:t>
      </w:r>
    </w:p>
  </w:footnote>
  <w:footnote w:id="1437">
    <w:p>
      <w:pPr>
        <w:pStyle w:val="Funote"/>
        <w:rPr/>
      </w:pPr>
      <w:r>
        <w:rPr>
          <w:rStyle w:val="Funotenzeichen"/>
        </w:rPr>
        <w:footnoteRef/>
      </w:r>
      <w:r>
        <w:rPr/>
        <w:tab/>
        <w:t xml:space="preserve">Die Bedeutung und Funktion dieses aramäischen Wortes (Ptz. pass. m. Sg.) sind nicht mehr bekannt. Es handelt sich wahrscheinlich um eine Grußformel (vgl. Esr 4,17 und 5,8), nach anderen Vorschlägen um eine Eigenschaft oder einen Titel Esras (Loken 2011, 7:11-28 Translation). </w:t>
      </w:r>
    </w:p>
  </w:footnote>
  <w:footnote w:id="1438">
    <w:p>
      <w:pPr>
        <w:pStyle w:val="Funote"/>
        <w:rPr/>
      </w:pPr>
      <w:r>
        <w:rPr>
          <w:rStyle w:val="Funotenzeichen"/>
        </w:rPr>
        <w:footnoteRef/>
      </w:r>
      <w:r>
        <w:rPr/>
        <w:tab/>
        <w:t xml:space="preserve">Dient zur syntaktischen Markierung eines neuen Absatzes (Loken 2011, 4,6-24 Translation). Manchmal auch mit „Nun“ übersetzt (Zür, NRSV, NASB), meist aber unübersetzt. </w:t>
      </w:r>
    </w:p>
  </w:footnote>
  <w:footnote w:id="1439">
    <w:p>
      <w:pPr>
        <w:pStyle w:val="Funote"/>
        <w:rPr/>
      </w:pPr>
      <w:r>
        <w:rPr>
          <w:rStyle w:val="Funotenzeichen"/>
        </w:rPr>
        <w:footnoteRef/>
      </w:r>
      <w:r>
        <w:rPr/>
        <w:tab/>
        <w:t xml:space="preserve">W. „Von mir ist [der] Befehl erteilt worden“ </w:t>
      </w:r>
    </w:p>
  </w:footnote>
  <w:footnote w:id="1440">
    <w:p>
      <w:pPr>
        <w:pStyle w:val="Funote"/>
        <w:rPr/>
      </w:pPr>
      <w:r>
        <w:rPr>
          <w:rStyle w:val="Funotenzeichen"/>
        </w:rPr>
        <w:footnoteRef/>
      </w:r>
      <w:r>
        <w:rPr/>
        <w:tab/>
        <w:t xml:space="preserve">Attributives Ptz. als Relativsatz aufgelöst. </w:t>
      </w:r>
    </w:p>
  </w:footnote>
  <w:footnote w:id="1441">
    <w:p>
      <w:pPr>
        <w:pStyle w:val="Funote"/>
        <w:rPr/>
      </w:pPr>
      <w:r>
        <w:rPr>
          <w:rStyle w:val="Funotenzeichen"/>
        </w:rPr>
        <w:footnoteRef/>
      </w:r>
      <w:r>
        <w:rPr>
          <w:i/>
        </w:rPr>
        <w:tab/>
        <w:t>für das (zum) Haus ihres Gottes in Jerusalem</w:t>
      </w:r>
      <w:r>
        <w:rPr/>
        <w:t xml:space="preserve"> Die Ortsangabe kann auch als Lokalangabe des Prädikats „zu bringen“ aus V. 15 verstanden werden, dann: „um … zum Haus... zu bringen“</w:t>
      </w:r>
    </w:p>
  </w:footnote>
  <w:footnote w:id="1442">
    <w:p>
      <w:pPr>
        <w:pStyle w:val="Funote"/>
        <w:rPr/>
      </w:pPr>
      <w:r>
        <w:rPr>
          <w:rStyle w:val="Funotenzeichen"/>
        </w:rPr>
        <w:footnoteRef/>
      </w:r>
      <w:r>
        <w:rPr/>
        <w:tab/>
        <w:t>W. „ihre“</w:t>
      </w:r>
    </w:p>
  </w:footnote>
  <w:footnote w:id="1443">
    <w:p>
      <w:pPr>
        <w:pStyle w:val="Funote"/>
        <w:rPr/>
      </w:pPr>
      <w:r>
        <w:rPr>
          <w:rStyle w:val="Funotenzeichen"/>
        </w:rPr>
        <w:footnoteRef/>
      </w:r>
      <w:r>
        <w:rPr/>
        <w:tab/>
        <w:t>Oder „das dürft ihr in Übereinstimmung mit (gemäß) dem Willen eures Gottes tun.“</w:t>
      </w:r>
    </w:p>
  </w:footnote>
  <w:footnote w:id="1444">
    <w:p>
      <w:pPr>
        <w:pStyle w:val="Funote"/>
        <w:rPr/>
      </w:pPr>
      <w:r>
        <w:rPr>
          <w:rStyle w:val="Funotenzeichen"/>
        </w:rPr>
        <w:footnoteRef/>
      </w:r>
      <w:r>
        <w:rPr/>
        <w:tab/>
        <w:t>W. „den/von dem gilt: es fällt dir zu (könnte dir zufallen), [den Bedarf] aufzubringen“</w:t>
      </w:r>
    </w:p>
  </w:footnote>
  <w:footnote w:id="1445">
    <w:p>
      <w:pPr>
        <w:pStyle w:val="Funote"/>
        <w:rPr/>
      </w:pPr>
      <w:r>
        <w:rPr>
          <w:rStyle w:val="Funotenzeichen"/>
        </w:rPr>
        <w:footnoteRef/>
      </w:r>
      <w:r>
        <w:rPr/>
        <w:tab/>
        <w:t>W. „Zudem (und) ergeht von mir, {ich} dem König Artaxerxes (Artachschaste), [hiermit] Befehl“</w:t>
      </w:r>
    </w:p>
  </w:footnote>
  <w:footnote w:id="1446">
    <w:p>
      <w:pPr>
        <w:pStyle w:val="Funote"/>
        <w:rPr/>
      </w:pPr>
      <w:r>
        <w:rPr>
          <w:rStyle w:val="Funotenzeichen"/>
        </w:rPr>
        <w:footnoteRef/>
      </w:r>
      <w:r>
        <w:rPr/>
        <w:tab/>
        <w:t xml:space="preserve">Ein Talent Silber wog etwa 34kg, 100 Talente sind also 3,4t – eine große Menge, die etwa einem Drittel des jährlichen Steueraufkommens von 350 Talenten in der Satrapie Transeuphrat entsprach (Loken 2011, 7:21-24). </w:t>
      </w:r>
    </w:p>
  </w:footnote>
  <w:footnote w:id="1447">
    <w:p>
      <w:pPr>
        <w:pStyle w:val="Funote"/>
        <w:rPr/>
      </w:pPr>
      <w:r>
        <w:rPr>
          <w:rStyle w:val="Funotenzeichen"/>
        </w:rPr>
        <w:footnoteRef/>
      </w:r>
      <w:r>
        <w:rPr/>
        <w:tab/>
        <w:t xml:space="preserve">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 </w:t>
      </w:r>
    </w:p>
  </w:footnote>
  <w:footnote w:id="1448">
    <w:p>
      <w:pPr>
        <w:pStyle w:val="Funote"/>
        <w:rPr/>
      </w:pPr>
      <w:r>
        <w:rPr>
          <w:rStyle w:val="Funotenzeichen"/>
        </w:rPr>
        <w:footnoteRef/>
      </w:r>
      <w:r>
        <w:rPr/>
        <w:tab/>
        <w:t xml:space="preserve">Ein Hohlmaß für Flüssigkeiten (GesD), nach Hes 45,14 gilt 1kor=10bath (Loken 2011, 7:21-24). </w:t>
      </w:r>
    </w:p>
  </w:footnote>
  <w:footnote w:id="1449">
    <w:p>
      <w:pPr>
        <w:pStyle w:val="Funote"/>
        <w:rPr/>
      </w:pPr>
      <w:r>
        <w:rPr>
          <w:rStyle w:val="Funotenzeichen"/>
        </w:rPr>
        <w:footnoteRef/>
      </w:r>
      <w:r>
        <w:rPr/>
        <w:tab/>
        <w:t xml:space="preserve">W. etwa „Salz, das nicht vorgeschrieben ist“, also „Salz in unbegrenzten/beliebigen Mengen“. Salz war zu dieser Zeit in Israel billig und einfach zu bekommen (Loken 2011, 7:21-24). </w:t>
      </w:r>
    </w:p>
  </w:footnote>
  <w:footnote w:id="1450">
    <w:p>
      <w:pPr>
        <w:pStyle w:val="Funote"/>
        <w:rPr/>
      </w:pPr>
      <w:r>
        <w:rPr>
          <w:rStyle w:val="Funotenzeichen"/>
        </w:rPr>
        <w:footnoteRef/>
      </w:r>
      <w:r>
        <w:rPr/>
        <w:tab/>
        <w:t>W. „ist“</w:t>
      </w:r>
    </w:p>
  </w:footnote>
  <w:footnote w:id="1451">
    <w:p>
      <w:pPr>
        <w:pStyle w:val="Funote"/>
        <w:rPr/>
      </w:pPr>
      <w:r>
        <w:rPr>
          <w:rStyle w:val="Funotenzeichen"/>
        </w:rPr>
        <w:footnoteRef/>
      </w:r>
      <w:r>
        <w:rPr/>
        <w:tab/>
        <w:t>W. etwa „dass [es im Falle] alle[r] Priester … dieses Hauses Gottes nicht gestattet ist... auf sie zu legen“</w:t>
      </w:r>
    </w:p>
  </w:footnote>
  <w:footnote w:id="1452">
    <w:p>
      <w:pPr>
        <w:pStyle w:val="Funote"/>
        <w:rPr/>
      </w:pPr>
      <w:r>
        <w:rPr>
          <w:rStyle w:val="Funotenzeichen"/>
        </w:rPr>
        <w:footnoteRef/>
      </w:r>
      <w:r>
        <w:rPr/>
        <w:tab/>
        <w:t xml:space="preserve">Beide Wörter haben die Hauptbedeutung „Richter“, stammen aber von verschiedenen Wurzeln. Beide kommen auch im Hebräischen vor, wobei das erste deutlich verbreiteter ist und etwa die Richter, die politischen Führer der Richterzeit bezeichnet. </w:t>
      </w:r>
    </w:p>
  </w:footnote>
  <w:footnote w:id="1453">
    <w:p>
      <w:pPr>
        <w:pStyle w:val="Funote"/>
        <w:rPr/>
      </w:pPr>
      <w:r>
        <w:rPr>
          <w:rStyle w:val="Funotenzeichen"/>
        </w:rPr>
        <w:footnoteRef/>
      </w:r>
      <w:r>
        <w:rPr/>
        <w:tab/>
        <w:t xml:space="preserve">Attributives Ptz. als Relativsatz aufgelöst. </w:t>
      </w:r>
    </w:p>
  </w:footnote>
  <w:footnote w:id="1454">
    <w:p>
      <w:pPr>
        <w:pStyle w:val="Funote"/>
        <w:rPr/>
      </w:pPr>
      <w:r>
        <w:rPr>
          <w:rStyle w:val="Funotenzeichen"/>
        </w:rPr>
        <w:footnoteRef/>
      </w:r>
      <w:r>
        <w:rPr/>
        <w:tab/>
        <w:t>genauestens kann sich auch auf den Gerichtsprozess beziehen (so EÜ, SLT, Zür).</w:t>
      </w:r>
    </w:p>
  </w:footnote>
  <w:footnote w:id="1455">
    <w:p>
      <w:pPr>
        <w:pStyle w:val="Funote"/>
        <w:rPr/>
      </w:pPr>
      <w:r>
        <w:rPr>
          <w:rStyle w:val="Funotenzeichen"/>
        </w:rPr>
        <w:footnoteRef/>
      </w:r>
      <w:r>
        <w:rPr/>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56">
    <w:p>
      <w:pPr>
        <w:pStyle w:val="Funote"/>
        <w:rPr/>
      </w:pPr>
      <w:r>
        <w:rPr>
          <w:rStyle w:val="Funotenzeichen"/>
        </w:rPr>
        <w:footnoteRef/>
      </w:r>
      <w:r>
        <w:rPr/>
        <w:tab/>
        <w:t>Mit Artikel, daher auch: „an diesem Tag“.</w:t>
      </w:r>
    </w:p>
  </w:footnote>
  <w:footnote w:id="1457">
    <w:p>
      <w:pPr>
        <w:pStyle w:val="Funote"/>
        <w:rPr/>
      </w:pPr>
      <w:r>
        <w:rPr>
          <w:rStyle w:val="Funotenzeichen"/>
        </w:rPr>
        <w:footnoteRef/>
      </w:r>
      <w:r>
        <w:rPr/>
        <w:tab/>
        <w:t>Die LXX liest: „</w:t>
      </w:r>
      <w:r>
        <w:rPr>
          <w:lang w:val="el-GR"/>
        </w:rPr>
        <w:t>οι αγγελοι του θεου</w:t>
      </w:r>
      <w:r>
        <w:rPr/>
        <w:t>“.</w:t>
      </w:r>
    </w:p>
  </w:footnote>
  <w:footnote w:id="1458">
    <w:p>
      <w:pPr>
        <w:pStyle w:val="Funote"/>
        <w:rPr/>
      </w:pPr>
      <w:r>
        <w:rPr>
          <w:rStyle w:val="Funotenzeichen"/>
        </w:rPr>
        <w:footnoteRef/>
      </w:r>
      <w:r>
        <w:rPr/>
        <w:tab/>
        <w:t>Hitpa'el Pf. von </w:t>
      </w:r>
      <w:r>
        <w:rPr>
          <w:rtl w:val="true"/>
          <w:lang w:bidi="he-IL"/>
        </w:rPr>
        <w:t>יצב</w:t>
      </w:r>
      <w:r>
        <w:rPr/>
        <w:t>.</w:t>
      </w:r>
    </w:p>
  </w:footnote>
  <w:footnote w:id="1459">
    <w:p>
      <w:pPr>
        <w:pStyle w:val="Funote"/>
        <w:rPr/>
      </w:pPr>
      <w:r>
        <w:rPr>
          <w:rStyle w:val="Funotenzeichen"/>
        </w:rPr>
        <w:footnoteRef/>
      </w:r>
      <w:r>
        <w:rPr/>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60">
    <w:p>
      <w:pPr>
        <w:pStyle w:val="Funote"/>
        <w:rPr/>
      </w:pPr>
      <w:r>
        <w:rPr>
          <w:rStyle w:val="Funotenzeichen"/>
        </w:rPr>
        <w:footnoteRef/>
      </w:r>
      <w:r>
        <w:rPr/>
        <w:tab/>
        <w:t xml:space="preserve">Kal Inf. von </w:t>
      </w:r>
      <w:r>
        <w:rPr>
          <w:rtl w:val="true"/>
          <w:lang w:bidi="he-IL"/>
        </w:rPr>
        <w:t>שוט</w:t>
      </w:r>
      <w:r>
        <w:rPr/>
        <w:t>.</w:t>
      </w:r>
    </w:p>
  </w:footnote>
  <w:footnote w:id="1461">
    <w:p>
      <w:pPr>
        <w:pStyle w:val="Funote"/>
        <w:rPr/>
      </w:pPr>
      <w:r>
        <w:rPr>
          <w:rStyle w:val="Funotenzeichen"/>
        </w:rPr>
        <w:footnoteRef/>
      </w:r>
      <w:r>
        <w:rPr/>
        <w:tab/>
        <w:t xml:space="preserve">Hitpa'el Pt. von </w:t>
      </w:r>
      <w:r>
        <w:rPr>
          <w:rtl w:val="true"/>
          <w:lang w:bidi="he-IL"/>
        </w:rPr>
        <w:t>הלך</w:t>
      </w:r>
      <w:r>
        <w:rPr/>
        <w:t>.</w:t>
      </w:r>
    </w:p>
  </w:footnote>
  <w:footnote w:id="1462">
    <w:p>
      <w:pPr>
        <w:pStyle w:val="Funote"/>
        <w:rPr/>
      </w:pPr>
      <w:r>
        <w:rPr>
          <w:rStyle w:val="Funotenzeichen"/>
        </w:rPr>
        <w:footnoteRef/>
      </w:r>
      <w:r>
        <w:rPr/>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63">
    <w:p>
      <w:pPr>
        <w:pStyle w:val="Funote"/>
        <w:rPr/>
      </w:pPr>
      <w:r>
        <w:rPr>
          <w:rStyle w:val="Funotenzeichen"/>
        </w:rPr>
        <w:footnoteRef/>
      </w:r>
      <w:r>
        <w:rPr/>
        <w:tab/>
        <w:t xml:space="preserve">St. Constr. von </w:t>
      </w:r>
      <w:r>
        <w:rPr>
          <w:rtl w:val="true"/>
          <w:lang w:bidi="he-IL"/>
        </w:rPr>
        <w:t>מַעֲשֶׂה</w:t>
      </w:r>
      <w:r>
        <w:rPr/>
        <w:t>.</w:t>
      </w:r>
    </w:p>
  </w:footnote>
  <w:footnote w:id="1464">
    <w:p>
      <w:pPr>
        <w:pStyle w:val="Funote"/>
        <w:rPr/>
      </w:pPr>
      <w:r>
        <w:rPr>
          <w:rStyle w:val="Funotenzeichen"/>
        </w:rPr>
        <w:footnoteRef/>
      </w:r>
      <w:r>
        <w:rPr/>
        <w:tab/>
        <w:t xml:space="preserve">Wörtlich: „fürchtend Gott“; Verbaldadjektiv im St. Constr. von </w:t>
      </w:r>
      <w:r>
        <w:rPr>
          <w:rtl w:val="true"/>
          <w:lang w:bidi="he-IL"/>
        </w:rPr>
        <w:t>ירא</w:t>
      </w:r>
      <w:r>
        <w:rPr/>
        <w:t>.</w:t>
      </w:r>
    </w:p>
  </w:footnote>
  <w:footnote w:id="1465">
    <w:p>
      <w:pPr>
        <w:pStyle w:val="Funote"/>
        <w:rPr/>
      </w:pPr>
      <w:r>
        <w:rPr>
          <w:rStyle w:val="Funotenzeichen"/>
        </w:rPr>
        <w:footnoteRef/>
      </w:r>
      <w:r>
        <w:rPr/>
        <w:tab/>
        <w:t>I.S.v. „ohne Lohn zu empfangen“.</w:t>
      </w:r>
    </w:p>
  </w:footnote>
  <w:footnote w:id="1466">
    <w:p>
      <w:pPr>
        <w:pStyle w:val="Funote"/>
        <w:rPr/>
      </w:pPr>
      <w:r>
        <w:rPr>
          <w:rStyle w:val="Funotenzeichen"/>
        </w:rPr>
        <w:footnoteRef/>
      </w:r>
      <w:r>
        <w:rPr/>
        <w:tab/>
        <w:t>Betonung auf das „Du“ (also JHWH).</w:t>
      </w:r>
    </w:p>
  </w:footnote>
  <w:footnote w:id="1467">
    <w:p>
      <w:pPr>
        <w:pStyle w:val="Funote"/>
        <w:rPr/>
      </w:pPr>
      <w:r>
        <w:rPr>
          <w:rStyle w:val="Funotenzeichen"/>
        </w:rPr>
        <w:footnoteRef/>
      </w:r>
      <w:r>
        <w:rPr/>
        <w:tab/>
        <w:t>Formelhafte Einleitung für Negativfrage.</w:t>
      </w:r>
    </w:p>
  </w:footnote>
  <w:footnote w:id="1468">
    <w:p>
      <w:pPr>
        <w:pStyle w:val="Funote"/>
        <w:rPr/>
      </w:pPr>
      <w:r>
        <w:rPr>
          <w:rStyle w:val="Funotenzeichen"/>
        </w:rPr>
        <w:footnoteRef/>
      </w:r>
      <w:r>
        <w:rPr/>
        <w:tab/>
        <w:t xml:space="preserve">Kal Pf. von </w:t>
      </w:r>
      <w:r>
        <w:rPr>
          <w:rtl w:val="true"/>
          <w:lang w:bidi="he-IL"/>
        </w:rPr>
        <w:t>שׂוך</w:t>
      </w:r>
      <w:r>
        <w:rPr/>
        <w:t>, wörtlich: „umzäunen“.</w:t>
      </w:r>
    </w:p>
  </w:footnote>
  <w:footnote w:id="1469">
    <w:p>
      <w:pPr>
        <w:pStyle w:val="Funote"/>
        <w:rPr/>
      </w:pPr>
      <w:r>
        <w:rPr>
          <w:rStyle w:val="Funotenzeichen"/>
        </w:rPr>
        <w:footnoteRef/>
      </w:r>
      <w:r>
        <w:rPr/>
        <w:tab/>
        <w:t xml:space="preserve">Adv., bezieht sich auf das Verb </w:t>
      </w:r>
      <w:r>
        <w:rPr>
          <w:rtl w:val="true"/>
          <w:lang w:bidi="he-IL"/>
        </w:rPr>
        <w:t>שׂוך</w:t>
      </w:r>
      <w:r>
        <w:rPr/>
        <w:t>.</w:t>
      </w:r>
    </w:p>
  </w:footnote>
  <w:footnote w:id="1470">
    <w:p>
      <w:pPr>
        <w:pStyle w:val="Funote"/>
        <w:rPr/>
      </w:pPr>
      <w:r>
        <w:rPr>
          <w:rStyle w:val="Funotenzeichen"/>
        </w:rPr>
        <w:footnoteRef/>
      </w:r>
      <w:r>
        <w:rPr/>
        <w:tab/>
        <w:t xml:space="preserve">St. Constr. von </w:t>
      </w:r>
      <w:r>
        <w:rPr>
          <w:rtl w:val="true"/>
          <w:lang w:bidi="he-IL"/>
        </w:rPr>
        <w:t>מַעֲשֶׂה</w:t>
      </w:r>
      <w:r>
        <w:rPr/>
        <w:t>.</w:t>
      </w:r>
    </w:p>
  </w:footnote>
  <w:footnote w:id="1471">
    <w:p>
      <w:pPr>
        <w:pStyle w:val="Funote"/>
        <w:rPr/>
      </w:pPr>
      <w:r>
        <w:rPr>
          <w:rStyle w:val="Funotenzeichen"/>
        </w:rPr>
        <w:footnoteRef/>
      </w:r>
      <w:r>
        <w:rPr/>
        <w:tab/>
        <w:t xml:space="preserve">Pi'el Pf. von </w:t>
      </w:r>
      <w:r>
        <w:rPr>
          <w:rtl w:val="true"/>
          <w:lang w:bidi="he-IL"/>
        </w:rPr>
        <w:t>ברך</w:t>
      </w:r>
      <w:r>
        <w:rPr/>
        <w:t>.</w:t>
      </w:r>
    </w:p>
  </w:footnote>
  <w:footnote w:id="1472">
    <w:p>
      <w:pPr>
        <w:pStyle w:val="Funote"/>
        <w:rPr/>
      </w:pPr>
      <w:r>
        <w:rPr>
          <w:rStyle w:val="Funotenzeichen"/>
        </w:rPr>
        <w:footnoteRef/>
      </w:r>
      <w:r>
        <w:rPr/>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73">
    <w:p>
      <w:pPr>
        <w:pStyle w:val="Funote"/>
        <w:rPr/>
      </w:pPr>
      <w:r>
        <w:rPr>
          <w:rStyle w:val="Funotenzeichen"/>
        </w:rPr>
        <w:footnoteRef/>
      </w:r>
      <w:r>
        <w:rPr/>
        <w:tab/>
        <w:t xml:space="preserve">Kal Imp. von </w:t>
      </w:r>
      <w:r>
        <w:rPr>
          <w:rtl w:val="true"/>
          <w:lang w:bidi="he-IL"/>
        </w:rPr>
        <w:t>שׁלח</w:t>
      </w:r>
      <w:r>
        <w:rPr/>
        <w:t>.</w:t>
      </w:r>
    </w:p>
  </w:footnote>
  <w:footnote w:id="1474">
    <w:p>
      <w:pPr>
        <w:pStyle w:val="Funote"/>
        <w:rPr/>
      </w:pPr>
      <w:r>
        <w:rPr>
          <w:rStyle w:val="Funotenzeichen"/>
        </w:rPr>
        <w:footnoteRef/>
      </w:r>
      <w:r>
        <w:rPr/>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75">
    <w:p>
      <w:pPr>
        <w:pStyle w:val="Funote"/>
        <w:rPr/>
      </w:pPr>
      <w:r>
        <w:rPr>
          <w:rStyle w:val="Funotenzeichen"/>
        </w:rPr>
        <w:footnoteRef/>
      </w:r>
      <w:r>
        <w:rPr/>
        <w:tab/>
        <w:t xml:space="preserve">Kal Impf. von </w:t>
      </w:r>
      <w:r>
        <w:rPr>
          <w:rtl w:val="true"/>
          <w:lang w:bidi="he-IL"/>
        </w:rPr>
        <w:t>שׁלח</w:t>
      </w:r>
      <w:r>
        <w:rPr/>
        <w:t>.</w:t>
      </w:r>
    </w:p>
  </w:footnote>
  <w:footnote w:id="1476">
    <w:p>
      <w:pPr>
        <w:pStyle w:val="Funote"/>
        <w:rPr/>
      </w:pPr>
      <w:r>
        <w:rPr>
          <w:rStyle w:val="Funotenzeichen"/>
        </w:rPr>
        <w:footnoteRef/>
      </w:r>
      <w:r>
        <w:rPr/>
        <w:tab/>
        <w:t>[Status: Ungeprüft]</w:t>
      </w:r>
    </w:p>
  </w:footnote>
  <w:footnote w:id="1477">
    <w:p>
      <w:pPr>
        <w:pStyle w:val="Funote"/>
        <w:rPr/>
      </w:pPr>
      <w:r>
        <w:rPr>
          <w:rStyle w:val="Funotenzeichen"/>
        </w:rPr>
        <w:footnoteRef/>
      </w:r>
      <w:r>
        <w:rPr/>
        <w:tab/>
        <w:t xml:space="preserve">Gemeint ist der Tag seiner Geburt, vgl. Gen 40,20; Jer 20,14; Hos 2,5; Koh 7,1. </w:t>
      </w:r>
    </w:p>
  </w:footnote>
  <w:footnote w:id="1478">
    <w:p>
      <w:pPr>
        <w:pStyle w:val="Funote"/>
        <w:rPr/>
      </w:pPr>
      <w:r>
        <w:rPr>
          <w:rStyle w:val="Funotenzeichen"/>
        </w:rPr>
        <w:footnoteRef/>
      </w:r>
      <w:r>
        <w:rPr/>
        <w:tab/>
        <w:t xml:space="preserve">Der Artikel zu </w:t>
      </w:r>
      <w:r>
        <w:rPr>
          <w:rtl w:val="true"/>
          <w:lang w:bidi="he-IL"/>
        </w:rPr>
        <w:t>יומ</w:t>
      </w:r>
      <w:r>
        <w:rPr/>
        <w:t xml:space="preserve"> </w:t>
      </w:r>
      <w:r>
        <w:rPr/>
        <w:t xml:space="preserve">fehlt in poetischen Texten häufig. Das Substantiv wird aber analog einer Construktus-Verbindung durch den nachfolgenden Relativsatz determiniert. </w:t>
      </w:r>
    </w:p>
  </w:footnote>
  <w:footnote w:id="1479">
    <w:p>
      <w:pPr>
        <w:pStyle w:val="Funote"/>
        <w:rPr/>
      </w:pPr>
      <w:r>
        <w:rPr>
          <w:rStyle w:val="Funotenzeichen"/>
        </w:rPr>
        <w:footnoteRef/>
      </w:r>
      <w:r>
        <w:rPr/>
        <w:tab/>
        <w:t xml:space="preserve">Relativsatz ohne Relativpartikel, wobei das rückbezügliche Pronomen von einer Präposition abhängig ist. </w:t>
      </w:r>
    </w:p>
  </w:footnote>
  <w:footnote w:id="1480">
    <w:p>
      <w:pPr>
        <w:pStyle w:val="Funote"/>
        <w:rPr/>
      </w:pPr>
      <w:r>
        <w:rPr>
          <w:rStyle w:val="Funotenzeichen"/>
        </w:rPr>
        <w:footnoteRef/>
      </w:r>
      <w:r>
        <w:rPr/>
        <w:tab/>
        <w:t xml:space="preserve">Die Imperfekt-Form ist hier ohne iterative bzw. durative Bedeutung, sondern als poetische Form zum Ausdruck lebhaften Handelns in der Vergangenheit gebraucht und deshalb (wie in Hi 3,11) mit Perfekt zu übersetzen. </w:t>
      </w:r>
    </w:p>
  </w:footnote>
  <w:footnote w:id="1481">
    <w:p>
      <w:pPr>
        <w:pStyle w:val="Funote"/>
        <w:rPr/>
      </w:pPr>
      <w:r>
        <w:rPr>
          <w:rStyle w:val="Funotenzeichen"/>
        </w:rPr>
        <w:footnoteRef/>
      </w:r>
      <w:r>
        <w:rPr/>
        <w:tab/>
        <w:t xml:space="preserve">Relativsatz ohne Relativpartikel, wobei das rückbezügliche Pronomen von einer Präposition abhängig ist. </w:t>
      </w:r>
    </w:p>
  </w:footnote>
  <w:footnote w:id="1482">
    <w:p>
      <w:pPr>
        <w:pStyle w:val="Funote"/>
        <w:rPr/>
      </w:pPr>
      <w:r>
        <w:rPr>
          <w:rStyle w:val="Funotenzeichen"/>
        </w:rPr>
        <w:footnoteRef/>
      </w:r>
      <w:r>
        <w:rPr>
          <w:rtl w:val="true"/>
          <w:lang w:bidi="he-IL"/>
        </w:rPr>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83">
    <w:p>
      <w:pPr>
        <w:pStyle w:val="Funote"/>
        <w:rPr/>
      </w:pPr>
      <w:r>
        <w:rPr>
          <w:rStyle w:val="Funotenzeichen"/>
        </w:rPr>
        <w:footnoteRef/>
      </w:r>
      <w:r>
        <w:rPr>
          <w:rtl w:val="true"/>
          <w:lang w:bidi="he-IL"/>
        </w:rPr>
        <w:tab/>
        <w:t>דרש</w:t>
      </w:r>
      <w:r>
        <w:rPr/>
        <w:t xml:space="preserve"> </w:t>
      </w:r>
      <w:r>
        <w:rPr/>
        <w:t xml:space="preserve">in der Bedeutung von „sich erkundigen, nachfragen nach“, vgl. Dtn 11,12; Jes 62,12; Jer 30,17. Denn es geht nicht um die Beschaffenheit des Tages, sondern um seine Existenz, um die (von Hiob gewünschte) zeitlich (nicht vorhandene) Lage. </w:t>
      </w:r>
    </w:p>
  </w:footnote>
  <w:footnote w:id="1484">
    <w:p>
      <w:pPr>
        <w:pStyle w:val="Funote"/>
        <w:rPr/>
      </w:pPr>
      <w:r>
        <w:rPr>
          <w:rStyle w:val="Funotenzeichen"/>
        </w:rPr>
        <w:footnoteRef/>
      </w:r>
      <w:r>
        <w:rPr/>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 xml:space="preserve">Tod“ besteht. </w:t>
      </w:r>
    </w:p>
  </w:footnote>
  <w:footnote w:id="1485">
    <w:p>
      <w:pPr>
        <w:pStyle w:val="Funote"/>
        <w:rPr/>
      </w:pPr>
      <w:r>
        <w:rPr>
          <w:rStyle w:val="Funotenzeichen"/>
        </w:rPr>
        <w:footnoteRef/>
      </w:r>
      <w:r>
        <w:rPr>
          <w:rtl w:val="true"/>
          <w:lang w:bidi="he-IL"/>
        </w:rPr>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 xml:space="preserve">verabscheuen“ abzuleiten, scheitern deshalb. </w:t>
      </w:r>
    </w:p>
  </w:footnote>
  <w:footnote w:id="1486">
    <w:p>
      <w:pPr>
        <w:pStyle w:val="Funote"/>
        <w:rPr/>
      </w:pPr>
      <w:r>
        <w:rPr>
          <w:rStyle w:val="Funotenzeichen"/>
        </w:rPr>
        <w:footnoteRef/>
      </w:r>
      <w:r>
        <w:rPr>
          <w:rtl w:val="true"/>
          <w:lang w:bidi="he-IL"/>
        </w:rPr>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 xml:space="preserve">unübersetzt bleiben. </w:t>
      </w:r>
    </w:p>
  </w:footnote>
  <w:footnote w:id="1487">
    <w:p>
      <w:pPr>
        <w:pStyle w:val="Funote"/>
        <w:rPr/>
      </w:pPr>
      <w:r>
        <w:rPr>
          <w:rStyle w:val="Funotenzeichen"/>
        </w:rPr>
        <w:footnoteRef/>
      </w:r>
      <w:r>
        <w:rPr/>
        <w:tab/>
        <w:t xml:space="preserve">Da </w:t>
      </w:r>
      <w:r>
        <w:rPr>
          <w:rtl w:val="true"/>
          <w:lang w:bidi="he-IL"/>
        </w:rPr>
        <w:t>לילה</w:t>
      </w:r>
      <w:r>
        <w:rPr/>
        <w:t xml:space="preserve"> – „</w:t>
      </w:r>
      <w:r>
        <w:rPr/>
        <w:t xml:space="preserve">Nacht“ und </w:t>
      </w:r>
      <w:r>
        <w:rPr>
          <w:rtl w:val="true"/>
          <w:lang w:bidi="he-IL"/>
        </w:rPr>
        <w:t>יומ</w:t>
      </w:r>
      <w:r>
        <w:rPr/>
        <w:t xml:space="preserve"> – „</w:t>
      </w:r>
      <w:r>
        <w:rPr/>
        <w:t xml:space="preserve">Tag“ beides maskuline Begriffe sind, lässt sich grammatikalisch nicht entscheiden, wer das Subjekt der Verse 6-7.10 ist. Ich verstehe es als Vorzeichen zu den folgenden Aussagen über die Nacht. </w:t>
      </w:r>
    </w:p>
  </w:footnote>
  <w:footnote w:id="1488">
    <w:p>
      <w:pPr>
        <w:pStyle w:val="Funote"/>
        <w:rPr/>
      </w:pPr>
      <w:r>
        <w:rPr>
          <w:rStyle w:val="Funotenzeichen"/>
        </w:rPr>
        <w:footnoteRef/>
      </w:r>
      <w:r>
        <w:rPr>
          <w:rtl w:val="true"/>
          <w:lang w:bidi="he-IL"/>
        </w:rPr>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 xml:space="preserve">sich gesellen“ zu lesen. </w:t>
      </w:r>
    </w:p>
  </w:footnote>
  <w:footnote w:id="1489">
    <w:p>
      <w:pPr>
        <w:pStyle w:val="Funote"/>
        <w:rPr/>
      </w:pPr>
      <w:r>
        <w:rPr>
          <w:rStyle w:val="Funotenzeichen"/>
        </w:rPr>
        <w:footnoteRef/>
      </w:r>
      <w:r>
        <w:rPr/>
        <w:tab/>
        <w:t xml:space="preserve">Wörtlich: „Zahl“. Insofern ist „Ablauf“ bereits eine interpretierende Übersetzung. </w:t>
      </w:r>
    </w:p>
  </w:footnote>
  <w:footnote w:id="1490">
    <w:p>
      <w:pPr>
        <w:pStyle w:val="Funote"/>
        <w:rPr/>
      </w:pPr>
      <w:r>
        <w:rPr>
          <w:rStyle w:val="Funotenzeichen"/>
        </w:rPr>
        <w:footnoteRef/>
      </w:r>
      <w:r>
        <w:rPr/>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 xml:space="preserve">Meer“ zu lesen. Es besteht aber kein Grund für diese Änderung. </w:t>
      </w:r>
    </w:p>
  </w:footnote>
  <w:footnote w:id="1491">
    <w:p>
      <w:pPr>
        <w:pStyle w:val="Funote"/>
        <w:rPr/>
      </w:pPr>
      <w:r>
        <w:rPr>
          <w:rStyle w:val="Funotenzeichen"/>
        </w:rPr>
        <w:footnoteRef/>
      </w:r>
      <w:r>
        <w:rPr/>
        <w:tab/>
        <w:t xml:space="preserve">Wer das Subjekt ist, muss aus grammatikalischer Sicht offen bleiben. Ich beziehe es auf die Nacht. Siehe Anm. 11. </w:t>
      </w:r>
    </w:p>
  </w:footnote>
  <w:footnote w:id="1492">
    <w:p>
      <w:pPr>
        <w:pStyle w:val="Funote"/>
        <w:rPr/>
      </w:pPr>
      <w:r>
        <w:rPr>
          <w:rStyle w:val="Funotenzeichen"/>
        </w:rPr>
        <w:footnoteRef/>
      </w:r>
      <w:r>
        <w:rPr/>
        <w:tab/>
        <w:t xml:space="preserve">Wörtlich: „mein Bauch“, hier aber in der Bedeutung gebraucht: „der Bauch, der mich ausgetragen hat und aus dem ich geboren bin“. </w:t>
      </w:r>
    </w:p>
  </w:footnote>
  <w:footnote w:id="1493">
    <w:p>
      <w:pPr>
        <w:pStyle w:val="Funote"/>
        <w:rPr/>
      </w:pPr>
      <w:r>
        <w:rPr>
          <w:rStyle w:val="Funotenzeichen"/>
        </w:rPr>
        <w:footnoteRef/>
      </w:r>
      <w:r>
        <w:rPr>
          <w:rtl w:val="true"/>
          <w:lang w:bidi="he-IL"/>
        </w:rPr>
        <w:tab/>
        <w:t>לא</w:t>
      </w:r>
      <w:r>
        <w:rPr/>
        <w:t xml:space="preserve"> </w:t>
      </w:r>
      <w:r>
        <w:rPr/>
        <w:t>bezieht sich auch auf den zweiten, parallel gebauten Versteil.</w:t>
      </w:r>
    </w:p>
  </w:footnote>
  <w:footnote w:id="1494">
    <w:p>
      <w:pPr>
        <w:pStyle w:val="Funote"/>
        <w:rPr/>
      </w:pPr>
      <w:r>
        <w:rPr>
          <w:rStyle w:val="Funotenzeichen"/>
        </w:rPr>
        <w:footnoteRef/>
      </w:r>
      <w:r>
        <w:rPr/>
        <w:tab/>
        <w:t xml:space="preserve">Wörtlich: „aus dem Mutterleib“, im Sinne von „sofort, als ich aus dem Mutterleib gekommen bin“. </w:t>
      </w:r>
    </w:p>
  </w:footnote>
  <w:footnote w:id="1495">
    <w:p>
      <w:pPr>
        <w:pStyle w:val="Funote"/>
        <w:rPr/>
      </w:pPr>
      <w:r>
        <w:rPr>
          <w:rStyle w:val="Funotenzeichen"/>
        </w:rPr>
        <w:footnoteRef/>
      </w:r>
      <w:r>
        <w:rPr>
          <w:rtl w:val="true"/>
          <w:lang w:bidi="he-IL"/>
        </w:rPr>
        <w:tab/>
        <w:t>עתה</w:t>
      </w:r>
      <w:r>
        <w:rPr/>
        <w:t xml:space="preserve"> „</w:t>
      </w:r>
      <w:r>
        <w:rPr/>
        <w:t xml:space="preserve">nun“ zeigt hier – wie das später im Vers vorkommende temporale </w:t>
      </w:r>
      <w:r>
        <w:rPr>
          <w:rtl w:val="true"/>
          <w:lang w:bidi="he-IL"/>
        </w:rPr>
        <w:t>אז</w:t>
      </w:r>
      <w:r>
        <w:rPr/>
        <w:t xml:space="preserve"> – </w:t>
      </w:r>
      <w:r>
        <w:rPr/>
        <w:t xml:space="preserve">eine strikt logische Folge an. </w:t>
      </w:r>
    </w:p>
  </w:footnote>
  <w:footnote w:id="1496">
    <w:p>
      <w:pPr>
        <w:pStyle w:val="Funote"/>
        <w:rPr/>
      </w:pPr>
      <w:r>
        <w:rPr>
          <w:rStyle w:val="Funotenzeichen"/>
        </w:rPr>
        <w:footnoteRef/>
      </w:r>
      <w:r>
        <w:rPr>
          <w:rtl w:val="true"/>
          <w:lang w:bidi="he-IL"/>
        </w:rPr>
        <w:tab/>
        <w:t>נוח</w:t>
      </w:r>
      <w:r>
        <w:rPr/>
        <w:t xml:space="preserve"> </w:t>
      </w:r>
      <w:r>
        <w:rPr/>
        <w:t xml:space="preserve">wird unpersönlich gebraucht, um ein Gefühl auszudrücken. </w:t>
      </w:r>
    </w:p>
  </w:footnote>
  <w:footnote w:id="1497">
    <w:p>
      <w:pPr>
        <w:pStyle w:val="Funote"/>
        <w:rPr/>
      </w:pPr>
      <w:r>
        <w:rPr>
          <w:rStyle w:val="Funotenzeichen"/>
        </w:rPr>
        <w:footnoteRef/>
      </w:r>
      <w:r>
        <w:rPr>
          <w:rtl w:val="true"/>
          <w:lang w:bidi="he-IL"/>
        </w:rPr>
        <w:tab/>
        <w:t>עם</w:t>
      </w:r>
      <w:r>
        <w:rPr/>
        <w:t xml:space="preserve"> – „</w:t>
      </w:r>
      <w:r>
        <w:rPr/>
        <w:t xml:space="preserve">mit, bei“ im Sinne einer Gleichheit: „zusammengestellt mit, so gut wie“. </w:t>
      </w:r>
    </w:p>
  </w:footnote>
  <w:footnote w:id="1498">
    <w:p>
      <w:pPr>
        <w:pStyle w:val="Funote"/>
        <w:rPr/>
      </w:pPr>
      <w:r>
        <w:rPr>
          <w:rStyle w:val="Funotenzeichen"/>
        </w:rPr>
        <w:footnoteRef/>
      </w:r>
      <w:r>
        <w:rPr/>
        <w:tab/>
        <w:t xml:space="preserve">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 </w:t>
      </w:r>
    </w:p>
  </w:footnote>
  <w:footnote w:id="1499">
    <w:p>
      <w:pPr>
        <w:pStyle w:val="Funote"/>
        <w:rPr/>
      </w:pPr>
      <w:r>
        <w:rPr>
          <w:rStyle w:val="Funotenzeichen"/>
        </w:rPr>
        <w:footnoteRef/>
      </w:r>
      <w:r>
        <w:rPr/>
        <w:tab/>
        <w:t xml:space="preserve">Anstatt des Perfekts kann in der prophetischen oder poetischen Sprache auch wie hier das parallele Imperfekt zur Beschreibung von Handlungen, Ereignissen oder Zuständen herangezogen werden, die – obwohl in der Vergangenheit vollendet – in die Gegenwart hineinreichen. </w:t>
      </w:r>
    </w:p>
  </w:footnote>
  <w:footnote w:id="1500">
    <w:p>
      <w:pPr>
        <w:pStyle w:val="Funote"/>
        <w:rPr/>
      </w:pPr>
      <w:r>
        <w:rPr>
          <w:rStyle w:val="Funotenzeichen"/>
        </w:rPr>
        <w:footnoteRef/>
      </w:r>
      <w:r>
        <w:rPr/>
        <w:tab/>
        <w:t xml:space="preserve">Wörtlich: „beisammen“, hier wegen des Parallelismus und wie in Dtn 33,5; Ps 33,15; Hi 38,7 mehrere Personen zusammenfassend als poetisches Synonym für </w:t>
      </w:r>
      <w:r>
        <w:rPr>
          <w:rtl w:val="true"/>
          <w:lang w:bidi="he-IL"/>
        </w:rPr>
        <w:t>כל</w:t>
      </w:r>
      <w:r>
        <w:rPr/>
        <w:t xml:space="preserve"> </w:t>
      </w:r>
      <w:r>
        <w:rPr/>
        <w:t xml:space="preserve">gebraucht. </w:t>
      </w:r>
    </w:p>
  </w:footnote>
  <w:footnote w:id="1501">
    <w:p>
      <w:pPr>
        <w:pStyle w:val="Funote"/>
        <w:rPr/>
      </w:pPr>
      <w:r>
        <w:rPr>
          <w:rStyle w:val="Funotenzeichen"/>
        </w:rPr>
        <w:footnoteRef/>
      </w:r>
      <w:r>
        <w:rPr/>
        <w:tab/>
        <w:t xml:space="preserve">Hier wird </w:t>
      </w:r>
      <w:r>
        <w:rPr>
          <w:rtl w:val="true"/>
          <w:lang w:bidi="he-IL"/>
        </w:rPr>
        <w:t>שמע</w:t>
      </w:r>
      <w:r>
        <w:rPr/>
        <w:t xml:space="preserve"> </w:t>
      </w:r>
      <w:r>
        <w:rPr/>
        <w:t xml:space="preserve">wie in Ruth 2,8 und Jer 4,31 als Zustandsverb gebraucht. </w:t>
      </w:r>
    </w:p>
  </w:footnote>
  <w:footnote w:id="1502">
    <w:p>
      <w:pPr>
        <w:pStyle w:val="Funote"/>
        <w:rPr/>
      </w:pPr>
      <w:r>
        <w:rPr>
          <w:rStyle w:val="Funotenzeichen"/>
        </w:rPr>
        <w:footnoteRef/>
      </w:r>
      <w:r>
        <w:rPr>
          <w:rtl w:val="true"/>
          <w:lang w:bidi="he-IL"/>
        </w:rPr>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 xml:space="preserve">im Sinne von „gleich sein“ aufgefasst werden könne. </w:t>
      </w:r>
    </w:p>
  </w:footnote>
  <w:footnote w:id="1503">
    <w:p>
      <w:pPr>
        <w:pStyle w:val="Funote"/>
        <w:rPr/>
      </w:pPr>
      <w:r>
        <w:rPr>
          <w:rStyle w:val="Funotenzeichen"/>
        </w:rPr>
        <w:footnoteRef/>
      </w:r>
      <w:r>
        <w:rPr/>
        <w:tab/>
        <w:t xml:space="preserve">Gott ist das logische, wenn auch ungenannte Subjekt. </w:t>
      </w:r>
    </w:p>
  </w:footnote>
  <w:footnote w:id="1504">
    <w:p>
      <w:pPr>
        <w:pStyle w:val="Funote"/>
        <w:rPr/>
      </w:pPr>
      <w:r>
        <w:rPr>
          <w:rStyle w:val="Funotenzeichen"/>
        </w:rPr>
        <w:footnoteRef/>
      </w:r>
      <w:r>
        <w:rPr/>
        <w:tab/>
        <w:t xml:space="preserve">Epexegetischer Genitiv zur Angabe des Teils der Person, dessen physischer oder seelischer Zustand beschrieben werden soll. </w:t>
      </w:r>
    </w:p>
  </w:footnote>
  <w:footnote w:id="1505">
    <w:p>
      <w:pPr>
        <w:pStyle w:val="Funote"/>
        <w:rPr/>
      </w:pPr>
      <w:r>
        <w:rPr>
          <w:rStyle w:val="Funotenzeichen"/>
        </w:rPr>
        <w:footnoteRef/>
      </w:r>
      <w:r>
        <w:rPr/>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506">
    <w:p>
      <w:pPr>
        <w:pStyle w:val="Funote"/>
        <w:rPr/>
      </w:pPr>
      <w:r>
        <w:rPr>
          <w:rStyle w:val="Funotenzeichen"/>
        </w:rPr>
        <w:footnoteRef/>
      </w:r>
      <w:r>
        <w:rPr>
          <w:rtl w:val="true"/>
          <w:lang w:bidi="he-IL"/>
        </w:rPr>
        <w:tab/>
        <w:t>לפני</w:t>
      </w:r>
      <w:r>
        <w:rPr/>
        <w:t xml:space="preserve"> – </w:t>
      </w:r>
      <w:r>
        <w:rPr/>
        <w:t xml:space="preserve">wörtlich: „vor mein Angesicht“ scheint gut als komperativische Umschreibung vorstellbar, die ausdrückt, dass das Stöhnen wichtiger ist als Essen. </w:t>
      </w:r>
    </w:p>
  </w:footnote>
  <w:footnote w:id="1507">
    <w:p>
      <w:pPr>
        <w:pStyle w:val="Funote"/>
        <w:rPr/>
      </w:pPr>
      <w:r>
        <w:rPr>
          <w:rStyle w:val="Funotenzeichen"/>
        </w:rPr>
        <w:footnoteRef/>
      </w:r>
      <w:r>
        <w:rPr/>
        <w:tab/>
        <w:t>Hier steht dieselbe hebräische Wurzel (</w:t>
      </w:r>
      <w:r>
        <w:rPr>
          <w:rtl w:val="true"/>
          <w:lang w:bidi="he-IL"/>
        </w:rPr>
        <w:t>גאל</w:t>
      </w:r>
      <w:r>
        <w:rPr/>
        <w:t>) wie im Buch Ruth, dort wird damit der „Löser“ im Kontext der sogenannten Leviratsehe bezeichnet.</w:t>
      </w:r>
    </w:p>
  </w:footnote>
  <w:footnote w:id="1508">
    <w:p>
      <w:pPr>
        <w:pStyle w:val="Funote"/>
        <w:rPr/>
      </w:pPr>
      <w:r>
        <w:rPr>
          <w:rStyle w:val="Funotenzeichen"/>
        </w:rPr>
        <w:footnoteRef/>
      </w:r>
      <w:r>
        <w:rPr/>
        <w:tab/>
        <w:t>[Status: Sehr gut]</w:t>
      </w:r>
    </w:p>
  </w:footnote>
  <w:footnote w:id="1509">
    <w:p>
      <w:pPr>
        <w:pStyle w:val="Funote"/>
        <w:rPr/>
      </w:pPr>
      <w:r>
        <w:rPr>
          <w:rStyle w:val="Funotenzeichen"/>
        </w:rPr>
        <w:footnoteRef/>
      </w:r>
      <w:r>
        <w:rPr/>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t>
      </w:r>
      <w:r>
        <w:fldChar w:fldCharType="begin"/>
      </w:r>
      <w:r>
        <w:rPr>
          <w:rStyle w:val="Internetverknpfung"/>
        </w:rPr>
        <w:instrText> HYPERLINK "http://books.google.de/books?id=nJbZ3d5BF0UC&amp;lpg=PP1&amp;pg=PA133" \l "v=onepage&amp;q&amp;f=false"</w:instrText>
      </w:r>
      <w:r>
        <w:rPr>
          <w:rStyle w:val="Internetverknpfung"/>
        </w:rPr>
        <w:fldChar w:fldCharType="separate"/>
      </w:r>
      <w:r>
        <w:rPr>
          <w:rStyle w:val="Internetverknpfung"/>
        </w:rPr>
        <w:t>Waltke 2010, 133</w:t>
      </w:r>
      <w:r>
        <w:rPr>
          <w:rStyle w:val="Internetverknpfung"/>
        </w:rPr>
        <w:fldChar w:fldCharType="end"/>
      </w:r>
      <w:r>
        <w:rPr/>
        <w:t>). Ähnlich auch die Seligpreisungen (</w:t>
      </w:r>
      <w:r>
        <w:fldChar w:fldCharType="begin"/>
      </w:r>
      <w:r>
        <w:rPr>
          <w:rStyle w:val="Internetverknpfung"/>
        </w:rPr>
        <w:instrText> HYPERLINK "../../../../../../../../../wiki/Matth%C3%A4us_5" \l "s1"</w:instrText>
      </w:r>
      <w:r>
        <w:rPr>
          <w:rStyle w:val="Internetverknpfung"/>
        </w:rPr>
        <w:fldChar w:fldCharType="separate"/>
      </w:r>
      <w:r>
        <w:rPr>
          <w:rStyle w:val="Internetverknpfung"/>
        </w:rPr>
        <w:t>Mt 5,1-12</w:t>
      </w:r>
      <w:r>
        <w:rPr>
          <w:rStyle w:val="Internetverknpfung"/>
        </w:rPr>
        <w:fldChar w:fldCharType="end"/>
      </w:r>
      <w:r>
        <w:rPr/>
        <w:t xml:space="preserve">). Psalm 1 kann als Definition dafür gelten, welche Art von Mensch sich auf diese Weise glücklich nennen darf (vgl. Kraus </w:t>
      </w:r>
      <w:r>
        <w:rPr>
          <w:position w:val="7"/>
          <w:sz w:val="16"/>
        </w:rPr>
        <w:t>4</w:t>
      </w:r>
      <w:r>
        <w:rPr/>
        <w:t>1972, 3): der „Gerechte“ (</w:t>
      </w:r>
      <w:r>
        <w:rPr>
          <w:rtl w:val="true"/>
          <w:lang w:bidi="he-IL"/>
        </w:rPr>
        <w:t>צַדִּיק</w:t>
      </w:r>
      <w:r>
        <w:rPr/>
        <w:t>), der falsche Wege meidet (1) und sich stattdessen der Torah, der Weisung Gottes zuwendet (</w:t>
      </w:r>
      <w:r>
        <w:fldChar w:fldCharType="begin"/>
      </w:r>
      <w:r>
        <w:rPr>
          <w:rStyle w:val="Internetverknpfung"/>
        </w:rPr>
        <w:instrText> HYPERLINK "../../../../../../../../../wiki/Psalm_1" \l "s2"</w:instrText>
      </w:r>
      <w:r>
        <w:rPr>
          <w:rStyle w:val="Internetverknpfung"/>
        </w:rPr>
        <w:fldChar w:fldCharType="separate"/>
      </w:r>
      <w:r>
        <w:rPr>
          <w:rStyle w:val="Internetverknpfung"/>
        </w:rPr>
        <w:t>2</w:t>
      </w:r>
      <w:r>
        <w:rPr>
          <w:rStyle w:val="Internetverknpfung"/>
        </w:rPr>
        <w:fldChar w:fldCharType="end"/>
      </w:r>
      <w:r>
        <w:rPr/>
        <w:t xml:space="preserve">)(Kraus </w:t>
      </w:r>
      <w:r>
        <w:rPr>
          <w:position w:val="7"/>
          <w:sz w:val="16"/>
        </w:rPr>
        <w:t>4</w:t>
      </w:r>
      <w:r>
        <w:rPr/>
        <w:t xml:space="preserve">1972, 9). </w:t>
      </w:r>
    </w:p>
  </w:footnote>
  <w:footnote w:id="1510">
    <w:p>
      <w:pPr>
        <w:pStyle w:val="Funote"/>
        <w:rPr/>
      </w:pPr>
      <w:r>
        <w:rPr>
          <w:rStyle w:val="Funotenzeichen"/>
        </w:rPr>
        <w:footnoteRef/>
      </w:r>
      <w:r>
        <w:rPr/>
        <w:tab/>
        <w:t>Die männliche Form steht hier stellvertretend für jeden Menschen, auf den das Beschriebene zutrifft (</w:t>
      </w:r>
      <w:hyperlink r:id="rId48">
        <w:r>
          <w:rPr>
            <w:rStyle w:val="Internetverknpfung"/>
          </w:rPr>
          <w:t>Generisches Maskulinum</w:t>
        </w:r>
      </w:hyperlink>
      <w:r>
        <w:rPr/>
        <w:t xml:space="preserve">; vgl. </w:t>
      </w:r>
      <w:r>
        <w:fldChar w:fldCharType="begin"/>
      </w:r>
      <w:r>
        <w:rPr>
          <w:rStyle w:val="Internetverknpfung"/>
        </w:rPr>
        <w:instrText> HYPERLINK "http://books.google.de/books?id=nJbZ3d5BF0UC&amp;lpg=PP1&amp;pg=PA128" \l "v=onepage&amp;q&amp;f=false"</w:instrText>
      </w:r>
      <w:r>
        <w:rPr>
          <w:rStyle w:val="Internetverknpfung"/>
        </w:rPr>
        <w:fldChar w:fldCharType="separate"/>
      </w:r>
      <w:r>
        <w:rPr>
          <w:rStyle w:val="Internetverknpfung"/>
        </w:rPr>
        <w:t>Waltke 2010, 128</w:t>
      </w:r>
      <w:r>
        <w:rPr>
          <w:rStyle w:val="Internetverknpfung"/>
        </w:rPr>
        <w:fldChar w:fldCharType="end"/>
      </w:r>
      <w:r>
        <w:rPr/>
        <w:t xml:space="preserve">). </w:t>
      </w:r>
    </w:p>
  </w:footnote>
  <w:footnote w:id="1511">
    <w:p>
      <w:pPr>
        <w:pStyle w:val="Funote"/>
        <w:rPr/>
      </w:pPr>
      <w:r>
        <w:rPr>
          <w:rStyle w:val="Funotenzeichen"/>
        </w:rPr>
        <w:footnoteRef/>
      </w:r>
      <w:r>
        <w:rPr/>
        <w:tab/>
        <w:t xml:space="preserve">Das Wort kann sich auch auf die Pläne und Ziele einer Person beziehen, umfasst also mehr als einen einmaligen Ratschlag. </w:t>
      </w:r>
    </w:p>
  </w:footnote>
  <w:footnote w:id="1512">
    <w:p>
      <w:pPr>
        <w:pStyle w:val="Funote"/>
        <w:rPr/>
      </w:pPr>
      <w:r>
        <w:rPr>
          <w:rStyle w:val="Funotenzeichen"/>
        </w:rPr>
        <w:footnoteRef/>
      </w:r>
      <w:r>
        <w:rPr/>
        <w:tab/>
        <w:t>„</w:t>
      </w:r>
      <w:r>
        <w:rPr/>
        <w:t>Gottlose“ (</w:t>
      </w:r>
      <w:r>
        <w:rPr>
          <w:rtl w:val="true"/>
          <w:lang w:bidi="he-IL"/>
        </w:rPr>
        <w:t>רְשָׁעִים</w:t>
      </w:r>
      <w:r>
        <w:rPr/>
        <w:t xml:space="preserve">) sind solche, die vor dem Gesetz Gottes schuldig sind und sich Gott bewusst widersetzen (Kraus </w:t>
      </w:r>
      <w:r>
        <w:rPr>
          <w:position w:val="7"/>
          <w:sz w:val="16"/>
        </w:rPr>
        <w:t>4</w:t>
      </w:r>
      <w:r>
        <w:rPr/>
        <w:t>1972, 4). Der Gottlose ist das genaue Gegenstück zum Gerechten (</w:t>
      </w:r>
      <w:r>
        <w:fldChar w:fldCharType="begin"/>
      </w:r>
      <w:r>
        <w:rPr>
          <w:rStyle w:val="Internetverknpfung"/>
        </w:rPr>
        <w:instrText> HYPERLINK "http://books.google.de/books?id=nJbZ3d5BF0UC&amp;lpg=PP1&amp;pg=PA133" \l "v=onepage&amp;q&amp;f=false"</w:instrText>
      </w:r>
      <w:r>
        <w:rPr>
          <w:rStyle w:val="Internetverknpfung"/>
        </w:rPr>
        <w:fldChar w:fldCharType="separate"/>
      </w:r>
      <w:r>
        <w:rPr>
          <w:rStyle w:val="Internetverknpfung"/>
        </w:rPr>
        <w:t>Waltke 2010, 133</w:t>
      </w:r>
      <w:r>
        <w:rPr>
          <w:rStyle w:val="Internetverknpfung"/>
        </w:rPr>
        <w:fldChar w:fldCharType="end"/>
      </w:r>
      <w:r>
        <w:rPr/>
        <w:t xml:space="preserve">). </w:t>
      </w:r>
    </w:p>
  </w:footnote>
  <w:footnote w:id="1513">
    <w:p>
      <w:pPr>
        <w:pStyle w:val="Funote"/>
        <w:rPr/>
      </w:pPr>
      <w:r>
        <w:rPr>
          <w:rStyle w:val="Funotenzeichen"/>
        </w:rPr>
        <w:footnoteRef/>
      </w:r>
      <w:r>
        <w:rPr/>
        <w:tab/>
        <w:t>Wörtlich: „im Rat der Gottlosen geht/gegangen ist“; Übs. vgl. NGÜ, REB, NET.</w:t>
      </w:r>
    </w:p>
  </w:footnote>
  <w:footnote w:id="1514">
    <w:p>
      <w:pPr>
        <w:pStyle w:val="Funote"/>
        <w:rPr/>
      </w:pPr>
      <w:r>
        <w:rPr>
          <w:rStyle w:val="Funotenzeichen"/>
        </w:rPr>
        <w:footnoteRef/>
      </w:r>
      <w:r>
        <w:rPr/>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15">
    <w:p>
      <w:pPr>
        <w:pStyle w:val="Funote"/>
        <w:rPr/>
      </w:pPr>
      <w:r>
        <w:rPr>
          <w:rStyle w:val="Funotenzeichen"/>
        </w:rPr>
        <w:footnoteRef/>
      </w:r>
      <w:r>
        <w:rPr/>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16">
    <w:p>
      <w:pPr>
        <w:pStyle w:val="Funote"/>
        <w:rPr/>
      </w:pPr>
      <w:r>
        <w:rPr>
          <w:rStyle w:val="Funotenzeichen"/>
        </w:rPr>
        <w:footnoteRef/>
      </w:r>
      <w:r>
        <w:rPr/>
        <w:tab/>
        <w:t xml:space="preserve">Freude und Andacht gegenüber dem Gesetz sind Metonymien der Ursache für ein Leben, das sich an der Schrift orientiert. Da Psalm 1 den gesamten </w:t>
      </w:r>
      <w:hyperlink r:id="rId49">
        <w:r>
          <w:rPr>
            <w:rStyle w:val="Internetverknpfung"/>
          </w:rPr>
          <w:t>Psalter</w:t>
        </w:r>
      </w:hyperlink>
      <w:r>
        <w:rPr/>
        <w:t xml:space="preserve"> einleitet, nennt er mit dieser Aussage eine Schlüsselqualifikation für das richtige Verständnis der Psalmen (</w:t>
      </w:r>
      <w:r>
        <w:fldChar w:fldCharType="begin"/>
      </w:r>
      <w:r>
        <w:rPr>
          <w:rStyle w:val="Internetverknpfung"/>
        </w:rPr>
        <w:instrText> HYPERLINK "http://books.google.de/books?id=nJbZ3d5BF0UC&amp;lpg=PP1&amp;pg=PA139" \l "v=onepage&amp;q&amp;f=false"</w:instrText>
      </w:r>
      <w:r>
        <w:rPr>
          <w:rStyle w:val="Internetverknpfung"/>
        </w:rPr>
        <w:fldChar w:fldCharType="separate"/>
      </w:r>
      <w:r>
        <w:rPr>
          <w:rStyle w:val="Internetverknpfung"/>
        </w:rPr>
        <w:t>Waltke 2010, 139</w:t>
      </w:r>
      <w:r>
        <w:rPr>
          <w:rStyle w:val="Internetverknpfung"/>
        </w:rPr>
        <w:fldChar w:fldCharType="end"/>
      </w:r>
      <w:r>
        <w:rPr/>
        <w:t xml:space="preserve">). </w:t>
      </w:r>
    </w:p>
  </w:footnote>
  <w:footnote w:id="1517">
    <w:p>
      <w:pPr>
        <w:pStyle w:val="Funote"/>
        <w:rPr/>
      </w:pPr>
      <w:r>
        <w:rPr>
          <w:rStyle w:val="Funotenzeichen"/>
        </w:rPr>
        <w:footnoteRef/>
      </w:r>
      <w:r>
        <w:rPr/>
        <w:tab/>
        <w:t>Gemeint sind künstliche Bewässerungskanäle.</w:t>
      </w:r>
    </w:p>
  </w:footnote>
  <w:footnote w:id="1518">
    <w:p>
      <w:pPr>
        <w:pStyle w:val="Funote"/>
        <w:rPr/>
      </w:pPr>
      <w:r>
        <w:rPr>
          <w:rStyle w:val="Funotenzeichen"/>
        </w:rPr>
        <w:footnoteRef/>
      </w:r>
      <w:r>
        <w:rPr/>
        <w:tab/>
        <w:t xml:space="preserve">Also: regelmäßig, wegen der steten Wasserversorgung, die ohne solche Bewässerungskanäle nicht möglich wäre (Kraus </w:t>
      </w:r>
      <w:r>
        <w:rPr>
          <w:position w:val="7"/>
          <w:sz w:val="16"/>
        </w:rPr>
        <w:t>4</w:t>
      </w:r>
      <w:r>
        <w:rPr/>
        <w:t>1972, 6). Dieser Vergleich beschreibt zusammen mit dem Aspekt der nicht verwelkenden Blätter das ewige Leben, das der Gottesfürchtige als „Frucht“ bekommen wird (</w:t>
      </w:r>
      <w:r>
        <w:fldChar w:fldCharType="begin"/>
      </w:r>
      <w:r>
        <w:rPr>
          <w:rStyle w:val="Internetverknpfung"/>
        </w:rPr>
        <w:instrText> HYPERLINK "http://books.google.de/books?id=nJbZ3d5BF0UC&amp;lpg=PP1&amp;pg=PA140" \l "v=onepage&amp;q&amp;f=false"</w:instrText>
      </w:r>
      <w:r>
        <w:rPr>
          <w:rStyle w:val="Internetverknpfung"/>
        </w:rPr>
        <w:fldChar w:fldCharType="separate"/>
      </w:r>
      <w:r>
        <w:rPr>
          <w:rStyle w:val="Internetverknpfung"/>
        </w:rPr>
        <w:t>Waltke 2010, 140</w:t>
      </w:r>
      <w:r>
        <w:rPr>
          <w:rStyle w:val="Internetverknpfung"/>
        </w:rPr>
        <w:fldChar w:fldCharType="end"/>
      </w:r>
      <w:r>
        <w:rPr/>
        <w:t xml:space="preserve">). </w:t>
      </w:r>
    </w:p>
  </w:footnote>
  <w:footnote w:id="1519">
    <w:p>
      <w:pPr>
        <w:pStyle w:val="Funote"/>
        <w:rPr/>
      </w:pPr>
      <w:r>
        <w:rPr>
          <w:rStyle w:val="Funotenzeichen"/>
        </w:rPr>
        <w:footnoteRef/>
      </w:r>
      <w:r>
        <w:rPr/>
        <w:tab/>
        <w:t xml:space="preserve">Auch möglich: „Und er bringt alles, was er tut, zum Gedeihen“ („two-place“ Hiphil nach </w:t>
      </w:r>
      <w:r>
        <w:fldChar w:fldCharType="begin"/>
      </w:r>
      <w:r>
        <w:rPr>
          <w:rStyle w:val="Internetverknpfung"/>
        </w:rPr>
        <w:instrText> HYPERLINK "http://books.google.de/books?id=nJbZ3d5BF0UC&amp;lpg=PP1&amp;pg=PA128" \l "v=onepage&amp;q&amp;f=false"</w:instrText>
      </w:r>
      <w:r>
        <w:rPr>
          <w:rStyle w:val="Internetverknpfung"/>
        </w:rPr>
        <w:fldChar w:fldCharType="separate"/>
      </w:r>
      <w:r>
        <w:rPr>
          <w:rStyle w:val="Internetverknpfung"/>
        </w:rPr>
        <w:t>Waltke 2010, 128</w:t>
      </w:r>
      <w:r>
        <w:rPr>
          <w:rStyle w:val="Internetverknpfung"/>
        </w:rPr>
        <w:fldChar w:fldCharType="end"/>
      </w:r>
      <w:r>
        <w:rPr/>
        <w:t>).</w:t>
      </w:r>
    </w:p>
  </w:footnote>
  <w:footnote w:id="1520">
    <w:p>
      <w:pPr>
        <w:pStyle w:val="Funote"/>
        <w:rPr/>
      </w:pPr>
      <w:r>
        <w:rPr>
          <w:rStyle w:val="Funotenzeichen"/>
        </w:rPr>
        <w:footnoteRef/>
      </w:r>
      <w:r>
        <w:rPr/>
        <w:tab/>
        <w:t xml:space="preserve">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w:t>
      </w:r>
      <w:r>
        <w:rPr>
          <w:i/>
        </w:rPr>
        <w:t>zu seiner Zeit</w:t>
      </w:r>
      <w:r>
        <w:rPr/>
        <w:t xml:space="preserve"> Frucht bringen. </w:t>
      </w:r>
    </w:p>
  </w:footnote>
  <w:footnote w:id="1521">
    <w:p>
      <w:pPr>
        <w:pStyle w:val="Funote"/>
        <w:rPr/>
      </w:pPr>
      <w:r>
        <w:rPr>
          <w:rStyle w:val="Funotenzeichen"/>
        </w:rPr>
        <w:footnoteRef/>
      </w:r>
      <w:r>
        <w:rPr/>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w:t>
      </w:r>
      <w:r>
        <w:fldChar w:fldCharType="begin"/>
      </w:r>
      <w:r>
        <w:rPr>
          <w:rStyle w:val="Internetverknpfung"/>
        </w:rPr>
        <w:instrText> HYPERLINK "../../../../../../../../../wiki/Psalm_1" \l "s3"</w:instrText>
      </w:r>
      <w:r>
        <w:rPr>
          <w:rStyle w:val="Internetverknpfung"/>
        </w:rPr>
        <w:fldChar w:fldCharType="separate"/>
      </w:r>
      <w:r>
        <w:rPr>
          <w:rStyle w:val="Internetverknpfung"/>
        </w:rPr>
        <w:t>3</w:t>
      </w:r>
      <w:r>
        <w:rPr>
          <w:rStyle w:val="Internetverknpfung"/>
        </w:rPr>
        <w:fldChar w:fldCharType="end"/>
      </w:r>
      <w:r>
        <w:rPr/>
        <w:t>) (</w:t>
      </w:r>
      <w:r>
        <w:fldChar w:fldCharType="begin"/>
      </w:r>
      <w:r>
        <w:rPr>
          <w:rStyle w:val="Internetverknpfung"/>
        </w:rPr>
        <w:instrText> HYPERLINK "http://books.google.de/books?id=nJbZ3d5BF0UC&amp;lpg=PP1&amp;pg=PA141" \l "v=onepage&amp;q&amp;f=false"</w:instrText>
      </w:r>
      <w:r>
        <w:rPr>
          <w:rStyle w:val="Internetverknpfung"/>
        </w:rPr>
        <w:fldChar w:fldCharType="separate"/>
      </w:r>
      <w:r>
        <w:rPr>
          <w:rStyle w:val="Internetverknpfung"/>
        </w:rPr>
        <w:t>Waltke 2010, 141</w:t>
      </w:r>
      <w:r>
        <w:rPr>
          <w:rStyle w:val="Internetverknpfung"/>
        </w:rPr>
        <w:fldChar w:fldCharType="end"/>
      </w:r>
      <w:r>
        <w:rPr/>
        <w:t xml:space="preserve">). Gottlose und Spreu teilen für den Psalmisten dasselbe Schicksal: Sie sind wertlos und bestehen nicht, sie werden im entscheidenden Moment vergehen (vgl. den Beginn von V. 5: „deshalb“ </w:t>
      </w:r>
    </w:p>
  </w:footnote>
  <w:footnote w:id="1522">
    <w:p>
      <w:pPr>
        <w:pStyle w:val="Funote"/>
        <w:rPr/>
      </w:pPr>
      <w:r>
        <w:rPr>
          <w:rStyle w:val="Funotenzeichen"/>
        </w:rPr>
        <w:footnoteRef/>
      </w:r>
      <w:r>
        <w:rPr/>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23">
    <w:p>
      <w:pPr>
        <w:pStyle w:val="Funote"/>
        <w:rPr/>
      </w:pPr>
      <w:r>
        <w:rPr>
          <w:rStyle w:val="Funotenzeichen"/>
        </w:rPr>
        <w:footnoteRef/>
      </w:r>
      <w:r>
        <w:rPr/>
        <w:tab/>
        <w:t xml:space="preserve">Zum Gebrauch des Begriffs „Gerechter“ s. die Fußnote in </w:t>
      </w:r>
      <w:r>
        <w:fldChar w:fldCharType="begin"/>
      </w:r>
      <w:r>
        <w:rPr>
          <w:rStyle w:val="Internetverknpfung"/>
        </w:rPr>
        <w:instrText> HYPERLINK "../../../../../../../../../wiki/Psalm_1" \l "note_a"</w:instrText>
      </w:r>
      <w:r>
        <w:rPr>
          <w:rStyle w:val="Internetverknpfung"/>
        </w:rPr>
        <w:fldChar w:fldCharType="separate"/>
      </w:r>
      <w:r>
        <w:rPr>
          <w:rStyle w:val="Internetverknpfung"/>
        </w:rPr>
        <w:t>V. 1</w:t>
      </w:r>
      <w:r>
        <w:rPr>
          <w:rStyle w:val="Internetverknpfung"/>
        </w:rPr>
        <w:fldChar w:fldCharType="end"/>
      </w:r>
      <w:r>
        <w:rPr/>
        <w:t xml:space="preserve">. </w:t>
      </w:r>
    </w:p>
  </w:footnote>
  <w:footnote w:id="1524">
    <w:p>
      <w:pPr>
        <w:pStyle w:val="Funote"/>
        <w:rPr/>
      </w:pPr>
      <w:r>
        <w:rPr>
          <w:rStyle w:val="Funotenzeichen"/>
        </w:rPr>
        <w:footnoteRef/>
      </w:r>
      <w:r>
        <w:rPr/>
        <w:tab/>
        <w:t xml:space="preserve">führt ins Verderben (vgl. SLT, NGÜ, NLB) übersetzt das Verb </w:t>
      </w:r>
      <w:r>
        <w:rPr>
          <w:rtl w:val="true"/>
          <w:lang w:bidi="he-IL"/>
        </w:rPr>
        <w:t>אָבַד</w:t>
      </w:r>
      <w:r>
        <w:rPr/>
        <w:t>, das häufig etwas altertümlich als „zugrunde gehen, umkommen“ übersetzt wird.</w:t>
      </w:r>
    </w:p>
  </w:footnote>
  <w:footnote w:id="1525">
    <w:p>
      <w:pPr>
        <w:pStyle w:val="Funote"/>
        <w:rPr/>
      </w:pPr>
      <w:r>
        <w:rPr>
          <w:rStyle w:val="Funotenzeichen"/>
        </w:rPr>
        <w:footnoteRef/>
      </w:r>
      <w:r>
        <w:rPr/>
        <w:tab/>
        <w:t>[Status: Sehr gut]</w:t>
      </w:r>
    </w:p>
  </w:footnote>
  <w:footnote w:id="1526">
    <w:p>
      <w:pPr>
        <w:pStyle w:val="Funote"/>
        <w:rPr/>
      </w:pPr>
      <w:r>
        <w:rPr>
          <w:rStyle w:val="Funotenzeichen"/>
        </w:rPr>
        <w:footnoteRef/>
      </w:r>
      <w:r>
        <w:rPr/>
        <w:tab/>
        <w:t xml:space="preserve">Dieses Verb ist ein nur selten erkannter Aramaismus (in </w:t>
      </w:r>
      <w:r>
        <w:fldChar w:fldCharType="begin"/>
      </w:r>
      <w:r>
        <w:rPr>
          <w:rStyle w:val="Internetverknpfung"/>
        </w:rPr>
        <w:instrText> HYPERLINK "../../../../../../../../../wiki/Psalm_2" \l "s9"</w:instrText>
      </w:r>
      <w:r>
        <w:rPr>
          <w:rStyle w:val="Internetverknpfung"/>
        </w:rPr>
        <w:fldChar w:fldCharType="separate"/>
      </w:r>
      <w:r>
        <w:rPr>
          <w:rStyle w:val="Internetverknpfung"/>
        </w:rPr>
        <w:t>9</w:t>
      </w:r>
      <w:r>
        <w:rPr>
          <w:rStyle w:val="Internetverknpfung"/>
        </w:rPr>
        <w:fldChar w:fldCharType="end"/>
      </w:r>
      <w:r>
        <w:rPr/>
        <w:t>.</w:t>
      </w:r>
      <w:r>
        <w:fldChar w:fldCharType="begin"/>
      </w:r>
      <w:r>
        <w:rPr>
          <w:rStyle w:val="Internetverknpfung"/>
        </w:rPr>
        <w:instrText> HYPERLINK "../../../../../../../../../wiki/Psalm_2" \l "s12"</w:instrText>
      </w:r>
      <w:r>
        <w:rPr>
          <w:rStyle w:val="Internetverknpfung"/>
        </w:rPr>
        <w:fldChar w:fldCharType="separate"/>
      </w:r>
      <w:r>
        <w:rPr>
          <w:rStyle w:val="Internetverknpfung"/>
        </w:rPr>
        <w:t>12</w:t>
      </w:r>
      <w:r>
        <w:rPr>
          <w:rStyle w:val="Internetverknpfung"/>
        </w:rPr>
        <w:fldChar w:fldCharType="end"/>
      </w:r>
      <w:r>
        <w:rPr/>
        <w:t xml:space="preserve"> sind weitere). In </w:t>
      </w:r>
      <w:hyperlink r:id="rId50">
        <w:r>
          <w:rPr>
            <w:rStyle w:val="Internetverknpfung"/>
          </w:rPr>
          <w:t>Dan 6,7.12.16</w:t>
        </w:r>
      </w:hyperlink>
      <w:r>
        <w:rPr/>
        <w:t xml:space="preserve"> hat das aramäische Verb jeweils die Bedeutung „gemeinsam/als Gruppe [an einen Ort] gehen“, wobei immer eine heimliche/intrigante Absprache Teil der Konnotation ist (DBL Aramaic). Die konkrete Übersetzung „verschwören“ ergibt sich aus dem Kontext (vgl. </w:t>
      </w:r>
      <w:r>
        <w:fldChar w:fldCharType="begin"/>
      </w:r>
      <w:r>
        <w:rPr>
          <w:rStyle w:val="Internetverknpfung"/>
        </w:rPr>
        <w:instrText> HYPERLINK "http://books.google.de/books?id=nJbZ3d5BF0UC&amp;lpg=PP1&amp;pg=PA157" \l "v=onepage&amp;q&amp;f=false"</w:instrText>
      </w:r>
      <w:r>
        <w:rPr>
          <w:rStyle w:val="Internetverknpfung"/>
        </w:rPr>
        <w:fldChar w:fldCharType="separate"/>
      </w:r>
      <w:r>
        <w:rPr>
          <w:rStyle w:val="Internetverknpfung"/>
        </w:rPr>
        <w:t>Waltke 2010, S. 157</w:t>
      </w:r>
      <w:r>
        <w:rPr>
          <w:rStyle w:val="Internetverknpfung"/>
        </w:rPr>
        <w:fldChar w:fldCharType="end"/>
      </w:r>
      <w:r>
        <w:rPr/>
        <w:t xml:space="preserve">): Das parallele Verb aus der zweiten Vershälfte bedeutet etwa, „Pläne zu schmieden“ (vgl. Fußnote dort); ein ähnliches Bedeutungsfeld ergeben die Verben in </w:t>
      </w:r>
      <w:r>
        <w:fldChar w:fldCharType="begin"/>
      </w:r>
      <w:r>
        <w:rPr>
          <w:rStyle w:val="Internetverknpfung"/>
        </w:rPr>
        <w:instrText> HYPERLINK "../../../../../../../../../wiki/Psalm_2" \l "s2"</w:instrText>
      </w:r>
      <w:r>
        <w:rPr>
          <w:rStyle w:val="Internetverknpfung"/>
        </w:rPr>
        <w:fldChar w:fldCharType="separate"/>
      </w:r>
      <w:r>
        <w:rPr>
          <w:rStyle w:val="Internetverknpfung"/>
        </w:rPr>
        <w:t>2</w:t>
      </w:r>
      <w:r>
        <w:rPr>
          <w:rStyle w:val="Internetverknpfung"/>
        </w:rPr>
        <w:fldChar w:fldCharType="end"/>
      </w:r>
      <w:r>
        <w:rPr/>
        <w:t xml:space="preserve">, der mit </w:t>
      </w:r>
      <w:r>
        <w:fldChar w:fldCharType="begin"/>
      </w:r>
      <w:r>
        <w:rPr>
          <w:rStyle w:val="Internetverknpfung"/>
        </w:rPr>
        <w:instrText> HYPERLINK "../../../../../../../../../wiki/Psalm_2" \l "s1"</w:instrText>
      </w:r>
      <w:r>
        <w:rPr>
          <w:rStyle w:val="Internetverknpfung"/>
        </w:rPr>
        <w:fldChar w:fldCharType="separate"/>
      </w:r>
      <w:r>
        <w:rPr>
          <w:rStyle w:val="Internetverknpfung"/>
        </w:rPr>
        <w:t>1</w:t>
      </w:r>
      <w:r>
        <w:rPr>
          <w:rStyle w:val="Internetverknpfung"/>
        </w:rPr>
        <w:fldChar w:fldCharType="end"/>
      </w:r>
      <w:r>
        <w:rPr/>
        <w:t xml:space="preserve"> (und </w:t>
      </w:r>
      <w:r>
        <w:fldChar w:fldCharType="begin"/>
      </w:r>
      <w:r>
        <w:rPr>
          <w:rStyle w:val="Internetverknpfung"/>
        </w:rPr>
        <w:instrText> HYPERLINK "../../../../../../../../../wiki/Psalm_2" \l "s3"</w:instrText>
      </w:r>
      <w:r>
        <w:rPr>
          <w:rStyle w:val="Internetverknpfung"/>
        </w:rPr>
        <w:fldChar w:fldCharType="separate"/>
      </w:r>
      <w:r>
        <w:rPr>
          <w:rStyle w:val="Internetverknpfung"/>
        </w:rPr>
        <w:t>3</w:t>
      </w:r>
      <w:r>
        <w:rPr>
          <w:rStyle w:val="Internetverknpfung"/>
        </w:rPr>
        <w:fldChar w:fldCharType="end"/>
      </w:r>
      <w:r>
        <w:rPr/>
        <w:t xml:space="preserve">) eine klimaktische Sinneinheit bildet. Dennoch findet sich in deutschen Übersetzungen i.d.R. eine Übersetzung nach dem Sinn von „sich in Unruhe befinden“ (vgl. aber NET, </w:t>
      </w:r>
      <w:r>
        <w:fldChar w:fldCharType="begin"/>
      </w:r>
      <w:r>
        <w:rPr>
          <w:rStyle w:val="Internetverknpfung"/>
        </w:rPr>
        <w:instrText> HYPERLINK "http://books.google.de/books?id=nJbZ3d5BF0UC&amp;lpg=PP1&amp;dq=Waltke&amp;hl=de&amp;pg=PA157" \l "v=onepage&amp;q&amp;f=false"</w:instrText>
      </w:r>
      <w:r>
        <w:rPr>
          <w:rStyle w:val="Internetverknpfung"/>
        </w:rPr>
        <w:fldChar w:fldCharType="separate"/>
      </w:r>
      <w:r>
        <w:rPr>
          <w:rStyle w:val="Internetverknpfung"/>
        </w:rPr>
        <w:t>Waltke 2010</w:t>
      </w:r>
      <w:r>
        <w:rPr>
          <w:rStyle w:val="Internetverknpfung"/>
        </w:rPr>
        <w:fldChar w:fldCharType="end"/>
      </w:r>
      <w:r>
        <w:rPr/>
        <w:t xml:space="preserve">, </w:t>
      </w:r>
      <w:r>
        <w:fldChar w:fldCharType="begin"/>
      </w:r>
      <w:r>
        <w:rPr>
          <w:rStyle w:val="Internetverknpfung"/>
        </w:rPr>
        <w:instrText> HYPERLINK "http://books.google.de/books?id=PpvY6V8xakUC&amp;lpg=PP1&amp;hl=de&amp;pg=PA50" \l "v=onepage&amp;q&amp;f=false"</w:instrText>
      </w:r>
      <w:r>
        <w:rPr>
          <w:rStyle w:val="Internetverknpfung"/>
        </w:rPr>
        <w:fldChar w:fldCharType="separate"/>
      </w:r>
      <w:r>
        <w:rPr>
          <w:rStyle w:val="Internetverknpfung"/>
        </w:rPr>
        <w:t>Hunter 1999</w:t>
      </w:r>
      <w:r>
        <w:rPr>
          <w:rStyle w:val="Internetverknpfung"/>
        </w:rPr>
        <w:fldChar w:fldCharType="end"/>
      </w:r>
      <w:r>
        <w:rPr/>
        <w:t xml:space="preserve">). </w:t>
      </w:r>
    </w:p>
  </w:footnote>
  <w:footnote w:id="1527">
    <w:p>
      <w:pPr>
        <w:pStyle w:val="Funote"/>
        <w:rPr/>
      </w:pPr>
      <w:r>
        <w:rPr>
          <w:rStyle w:val="Funotenzeichen"/>
        </w:rPr>
        <w:footnoteRef/>
      </w:r>
      <w:r>
        <w:rPr/>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28">
    <w:p>
      <w:pPr>
        <w:pStyle w:val="Funote"/>
        <w:rPr/>
      </w:pPr>
      <w:r>
        <w:rPr>
          <w:rStyle w:val="Funotenzeichen"/>
        </w:rPr>
        <w:footnoteRef/>
      </w:r>
      <w:r>
        <w:rPr/>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29">
    <w:p>
      <w:pPr>
        <w:pStyle w:val="Funote"/>
        <w:rPr/>
      </w:pPr>
      <w:r>
        <w:rPr>
          <w:rStyle w:val="Funotenzeichen"/>
        </w:rPr>
        <w:footnoteRef/>
      </w:r>
      <w:r>
        <w:rPr/>
        <w:tab/>
        <w:t>Wahrscheinlich double duty-Präposition aus V. 1a; so z.B. Niccacci 2006, S. 8; auch schon Carrier 1900, S. 58.</w:t>
      </w:r>
    </w:p>
  </w:footnote>
  <w:footnote w:id="1530">
    <w:p>
      <w:pPr>
        <w:pStyle w:val="Funote"/>
        <w:rPr/>
      </w:pPr>
      <w:r>
        <w:rPr>
          <w:rStyle w:val="Funotenzeichen"/>
        </w:rPr>
        <w:footnoteRef/>
      </w:r>
      <w:r>
        <w:rPr/>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31">
    <w:p>
      <w:pPr>
        <w:pStyle w:val="Funote"/>
        <w:rPr/>
      </w:pPr>
      <w:r>
        <w:rPr>
          <w:rStyle w:val="Funotenzeichen"/>
        </w:rPr>
        <w:footnoteRef/>
      </w:r>
      <w:r>
        <w:rPr/>
        <w:tab/>
        <w:t>Vgl. Kraus 1960, S. 11.</w:t>
      </w:r>
    </w:p>
  </w:footnote>
  <w:footnote w:id="1532">
    <w:p>
      <w:pPr>
        <w:pStyle w:val="Funote"/>
        <w:rPr/>
      </w:pPr>
      <w:r>
        <w:rPr>
          <w:rStyle w:val="Funotenzeichen"/>
        </w:rPr>
        <w:footnoteRef/>
      </w:r>
      <w:r>
        <w:rPr/>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33">
    <w:p>
      <w:pPr>
        <w:pStyle w:val="Funote"/>
        <w:rPr/>
      </w:pPr>
      <w:r>
        <w:rPr>
          <w:rStyle w:val="Funotenzeichen"/>
        </w:rPr>
        <w:footnoteRef/>
      </w:r>
      <w:r>
        <w:rPr/>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34">
    <w:p>
      <w:pPr>
        <w:pStyle w:val="Funote"/>
        <w:rPr/>
      </w:pPr>
      <w:r>
        <w:rPr>
          <w:rStyle w:val="Funotenzeichen"/>
        </w:rPr>
        <w:footnoteRef/>
      </w:r>
      <w:r>
        <w:rPr/>
        <w:tab/>
        <w:t>Hier sprechen die erwähnten Könige (</w:t>
      </w:r>
      <w:r>
        <w:fldChar w:fldCharType="begin"/>
      </w:r>
      <w:r>
        <w:rPr>
          <w:rStyle w:val="Internetverknpfung"/>
        </w:rPr>
        <w:instrText> HYPERLINK "../../../../../../../../../wiki/Psalm_2" \l "s2"</w:instrText>
      </w:r>
      <w:r>
        <w:rPr>
          <w:rStyle w:val="Internetverknpfung"/>
        </w:rPr>
        <w:fldChar w:fldCharType="separate"/>
      </w:r>
      <w:r>
        <w:rPr>
          <w:rStyle w:val="Internetverknpfung"/>
        </w:rPr>
        <w:t>V. 2</w:t>
      </w:r>
      <w:r>
        <w:rPr>
          <w:rStyle w:val="Internetverknpfung"/>
        </w:rPr>
        <w:fldChar w:fldCharType="end"/>
      </w:r>
      <w:r>
        <w:rPr/>
        <w:t>).</w:t>
      </w:r>
    </w:p>
  </w:footnote>
  <w:footnote w:id="1535">
    <w:p>
      <w:pPr>
        <w:pStyle w:val="Funote"/>
        <w:rPr/>
      </w:pPr>
      <w:r>
        <w:rPr>
          <w:rStyle w:val="Funotenzeichen"/>
        </w:rPr>
        <w:footnoteRef/>
      </w:r>
      <w:r>
        <w:rPr/>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36">
    <w:p>
      <w:pPr>
        <w:pStyle w:val="Funote"/>
        <w:rPr/>
      </w:pPr>
      <w:r>
        <w:rPr>
          <w:rStyle w:val="Funotenzeichen"/>
        </w:rPr>
        <w:footnoteRef/>
      </w:r>
      <w:r>
        <w:rPr/>
        <w:tab/>
        <w:t>Das Objekt am Satzende bezieht sich auf beide Verben (vgl. Luther).</w:t>
      </w:r>
    </w:p>
  </w:footnote>
  <w:footnote w:id="1537">
    <w:p>
      <w:pPr>
        <w:pStyle w:val="Funote"/>
        <w:rPr/>
      </w:pPr>
      <w:r>
        <w:rPr>
          <w:rStyle w:val="Funotenzeichen"/>
        </w:rPr>
        <w:footnoteRef/>
      </w:r>
      <w:r>
        <w:rPr/>
        <w:tab/>
        <w:t>Von einer allgemeinen, zu jeder Zeit vorstellbaren Beschreibung wechselt der Psalmist nun zu einer konkreten Beschreibung von JHWHs Handeln („dann“). Die Handlung entfaltet sich vor den Augen des Erzählers (</w:t>
      </w:r>
      <w:r>
        <w:fldChar w:fldCharType="begin"/>
      </w:r>
      <w:r>
        <w:rPr>
          <w:rStyle w:val="Internetverknpfung"/>
        </w:rPr>
        <w:instrText> HYPERLINK "http://books.google.de/books?id=nJbZ3d5BF0UC&amp;lpg=PP1&amp;pg=PA158" \l "v=onepage&amp;q&amp;f=false"</w:instrText>
      </w:r>
      <w:r>
        <w:rPr>
          <w:rStyle w:val="Internetverknpfung"/>
        </w:rPr>
        <w:fldChar w:fldCharType="separate"/>
      </w:r>
      <w:r>
        <w:rPr>
          <w:rStyle w:val="Internetverknpfung"/>
        </w:rPr>
        <w:t>Waltke 2010, S. 158</w:t>
      </w:r>
      <w:r>
        <w:rPr>
          <w:rStyle w:val="Internetverknpfung"/>
        </w:rPr>
        <w:fldChar w:fldCharType="end"/>
      </w:r>
      <w:r>
        <w:rPr/>
        <w:t xml:space="preserve">; NET Ps 2,4, Fußnote 15). Im Gegensatz dazu interpretiert Kraus 1960 das Folgende als zukünftige Rede (S. 12; Übers. „Einst redet er sie an...“), die folgenden Verse sind dann dem nachgeschobene Erklärung. </w:t>
      </w:r>
    </w:p>
  </w:footnote>
  <w:footnote w:id="1538">
    <w:p>
      <w:pPr>
        <w:pStyle w:val="Funote"/>
        <w:rPr/>
      </w:pPr>
      <w:r>
        <w:rPr>
          <w:rStyle w:val="Funotenzeichen"/>
        </w:rPr>
        <w:footnoteRef/>
      </w:r>
      <w:r>
        <w:rPr/>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t>
      </w:r>
      <w:r>
        <w:fldChar w:fldCharType="begin"/>
      </w:r>
      <w:r>
        <w:rPr>
          <w:rStyle w:val="Internetverknpfung"/>
        </w:rPr>
        <w:instrText> HYPERLINK "http://books.google.de/books?id=nJbZ3d5BF0UC&amp;lpg=PP1&amp;pg=PA158" \l "v=onepage&amp;q&amp;f=false"</w:instrText>
      </w:r>
      <w:r>
        <w:rPr>
          <w:rStyle w:val="Internetverknpfung"/>
        </w:rPr>
        <w:fldChar w:fldCharType="separate"/>
      </w:r>
      <w:r>
        <w:rPr>
          <w:rStyle w:val="Internetverknpfung"/>
        </w:rPr>
        <w:t>Waltke 2010, S. 158</w:t>
      </w:r>
      <w:r>
        <w:rPr>
          <w:rStyle w:val="Internetverknpfung"/>
        </w:rPr>
        <w:fldChar w:fldCharType="end"/>
      </w:r>
      <w:r>
        <w:rPr/>
        <w:t>). Die beiden Begriffe sind hier referenzidentisch.</w:t>
      </w:r>
    </w:p>
  </w:footnote>
  <w:footnote w:id="1539">
    <w:p>
      <w:pPr>
        <w:pStyle w:val="Funote"/>
        <w:rPr/>
      </w:pPr>
      <w:r>
        <w:rPr>
          <w:rStyle w:val="Funotenzeichen"/>
        </w:rPr>
        <w:footnoteRef/>
      </w:r>
      <w:r>
        <w:rPr/>
        <w:tab/>
        <w:t xml:space="preserve">Das Waw markiert hier die lose Anknüpfung der direkten Rede an vorher (nicht) Gesagtes und bleibt unübersetzt (Gesenius-Kautzsch §154b) - so ähnlich, wie man auch im Deutschen in Erregung einen Satz mit „und“ beginnt. Alternativ ist es adversativ zu verstehen; dann „aber“ (Davidson, </w:t>
      </w:r>
      <w:r>
        <w:rPr>
          <w:i/>
        </w:rPr>
        <w:t>Hebrew Syntax</w:t>
      </w:r>
      <w:r>
        <w:rPr/>
        <w:t xml:space="preserve">, §155); es ist aber kein wirklicher Gegensatz vorhanden. </w:t>
      </w:r>
    </w:p>
  </w:footnote>
  <w:footnote w:id="1540">
    <w:p>
      <w:pPr>
        <w:pStyle w:val="Funote"/>
        <w:rPr/>
      </w:pPr>
      <w:r>
        <w:rPr>
          <w:rStyle w:val="Funotenzeichen"/>
        </w:rPr>
        <w:footnoteRef/>
      </w:r>
      <w:r>
        <w:rPr/>
        <w:tab/>
        <w:t xml:space="preserve">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w:t>
      </w:r>
      <w:r>
        <w:rPr>
          <w:i/>
        </w:rPr>
        <w:t>Hebrew Syntax</w:t>
      </w:r>
      <w:r>
        <w:rPr/>
        <w:t>, §24.2).</w:t>
      </w:r>
    </w:p>
  </w:footnote>
  <w:footnote w:id="1541">
    <w:p>
      <w:pPr>
        <w:pStyle w:val="Funote"/>
        <w:rPr/>
      </w:pPr>
      <w:r>
        <w:rPr>
          <w:rStyle w:val="Funotenzeichen"/>
        </w:rPr>
        <w:footnoteRef/>
      </w:r>
      <w:r>
        <w:rPr/>
        <w:tab/>
        <w:t>LXX: »ich wurde von ihm ... eingesetzt«, das begradigt den unmarkierten Wechsel der sprechenden Person in 6-7. Waltke (2010, S. 158) interpretiert als Vollzugsperfekt: »Hiermit setze ich ein«</w:t>
      </w:r>
    </w:p>
  </w:footnote>
  <w:footnote w:id="1542">
    <w:p>
      <w:pPr>
        <w:pStyle w:val="Funote"/>
        <w:rPr/>
      </w:pPr>
      <w:r>
        <w:rPr>
          <w:rStyle w:val="Funotenzeichen"/>
        </w:rPr>
        <w:footnoteRef/>
      </w:r>
      <w:r>
        <w:rPr/>
        <w:tab/>
        <w:t>Jetzt (7-9) spricht der Gesalbte JHWHs (</w:t>
      </w:r>
      <w:r>
        <w:fldChar w:fldCharType="begin"/>
      </w:r>
      <w:r>
        <w:rPr>
          <w:rStyle w:val="Internetverknpfung"/>
        </w:rPr>
        <w:instrText> HYPERLINK "../../../../../../../../../wiki/Psalm_2" \l "s2"</w:instrText>
      </w:r>
      <w:r>
        <w:rPr>
          <w:rStyle w:val="Internetverknpfung"/>
        </w:rPr>
        <w:fldChar w:fldCharType="separate"/>
      </w:r>
      <w:r>
        <w:rPr>
          <w:rStyle w:val="Internetverknpfung"/>
        </w:rPr>
        <w:t>V. 2</w:t>
      </w:r>
      <w:r>
        <w:rPr>
          <w:rStyle w:val="Internetverknpfung"/>
        </w:rPr>
        <w:fldChar w:fldCharType="end"/>
      </w:r>
      <w:r>
        <w:rPr/>
        <w:t>).</w:t>
      </w:r>
    </w:p>
  </w:footnote>
  <w:footnote w:id="1543">
    <w:p>
      <w:pPr>
        <w:pStyle w:val="Funote"/>
        <w:rPr/>
      </w:pPr>
      <w:r>
        <w:rPr>
          <w:rStyle w:val="Funotenzeichen"/>
        </w:rPr>
        <w:footnoteRef/>
      </w:r>
      <w:r>
        <w:rPr/>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44">
    <w:p>
      <w:pPr>
        <w:pStyle w:val="Funote"/>
        <w:rPr/>
      </w:pPr>
      <w:r>
        <w:rPr>
          <w:rStyle w:val="Funotenzeichen"/>
        </w:rPr>
        <w:footnoteRef/>
      </w:r>
      <w:r>
        <w:rPr/>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45">
    <w:p>
      <w:pPr>
        <w:pStyle w:val="Funote"/>
        <w:rPr/>
      </w:pPr>
      <w:r>
        <w:rPr>
          <w:rStyle w:val="Funotenzeichen"/>
        </w:rPr>
        <w:footnoteRef/>
      </w:r>
      <w:r>
        <w:rPr/>
        <w:tab/>
        <w:t>Nach den masoretischen Kantillationszeichen, die keine Constructus-Verbindung zwischen „Anordnung“ und „JHWH“ sehen: „...Anordnung berichten. JHWH hat...“ (vgl. Waltke 2010, S. 159; NET Ps 2,7, Fußnote 23)</w:t>
      </w:r>
    </w:p>
  </w:footnote>
  <w:footnote w:id="1546">
    <w:p>
      <w:pPr>
        <w:pStyle w:val="Funote"/>
        <w:rPr/>
      </w:pPr>
      <w:r>
        <w:rPr>
          <w:rStyle w:val="Funotenzeichen"/>
        </w:rPr>
        <w:footnoteRef/>
      </w:r>
      <w:r>
        <w:rPr/>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47">
    <w:p>
      <w:pPr>
        <w:pStyle w:val="Funote"/>
        <w:rPr/>
      </w:pPr>
      <w:r>
        <w:rPr>
          <w:rStyle w:val="Funotenzeichen"/>
        </w:rPr>
        <w:footnoteRef/>
      </w:r>
      <w:r>
        <w:rPr/>
        <w:tab/>
        <w:t xml:space="preserve">Eine Bitte passt besser in das dargestellte vertrauensvolle Verhältnis als eine Forderung. </w:t>
      </w:r>
    </w:p>
  </w:footnote>
  <w:footnote w:id="1548">
    <w:p>
      <w:pPr>
        <w:pStyle w:val="Funote"/>
        <w:rPr/>
      </w:pPr>
      <w:r>
        <w:rPr>
          <w:rStyle w:val="Funotenzeichen"/>
        </w:rPr>
        <w:footnoteRef/>
      </w:r>
      <w:r>
        <w:rPr/>
        <w:tab/>
        <w:t xml:space="preserve">D.h. Permanenter, erblicher Besitz (TWOT 1342a </w:t>
      </w:r>
      <w:r>
        <w:rPr>
          <w:rtl w:val="true"/>
          <w:lang w:bidi="he-IL"/>
        </w:rPr>
        <w:t>נַחֲלָה</w:t>
      </w:r>
      <w:r>
        <w:rPr/>
        <w:t xml:space="preserve">). </w:t>
      </w:r>
    </w:p>
  </w:footnote>
  <w:footnote w:id="1549">
    <w:p>
      <w:pPr>
        <w:pStyle w:val="Funote"/>
        <w:rPr/>
      </w:pPr>
      <w:r>
        <w:rPr>
          <w:rStyle w:val="Funotenzeichen"/>
        </w:rPr>
        <w:footnoteRef/>
      </w:r>
      <w:r>
        <w:rPr/>
        <w:tab/>
        <w:t>Es bleibt hier unklar, ob es sich um eine Prophezeiung oder um die Vollmacht zur Kriegführung handelt (Vgl. Wallace 2009, S. 18).</w:t>
      </w:r>
    </w:p>
  </w:footnote>
  <w:footnote w:id="1550">
    <w:p>
      <w:pPr>
        <w:pStyle w:val="Funote"/>
        <w:rPr/>
      </w:pPr>
      <w:r>
        <w:rPr>
          <w:rStyle w:val="Funotenzeichen"/>
        </w:rPr>
        <w:footnoteRef/>
      </w:r>
      <w:r>
        <w:rPr/>
        <w:tab/>
        <w:t xml:space="preserve">Kann auch einen Hirtenstab bezeichnen. Der Genitiv beschreibt eine Eigenschaft; wörtlich „Stab des Eisens“. Vgl. Fußnote V. 6. </w:t>
      </w:r>
    </w:p>
  </w:footnote>
  <w:footnote w:id="1551">
    <w:p>
      <w:pPr>
        <w:pStyle w:val="Funote"/>
        <w:rPr/>
      </w:pPr>
      <w:r>
        <w:rPr>
          <w:rStyle w:val="Funotenzeichen"/>
        </w:rPr>
        <w:footnoteRef/>
      </w:r>
      <w:r>
        <w:rPr/>
        <w:tab/>
        <w:t>So die LXX (vgl. NIV84), die durchaus die ursprüngliche Lesart bezeugen könnte (Vgl. Wilhelmi, Der Hirt mit dem eisernen Szepter, VT 27.2, 1977). Gründe für den Vorzug des MT bei Waltke 2010, S. 173.</w:t>
      </w:r>
    </w:p>
  </w:footnote>
  <w:footnote w:id="1552">
    <w:p>
      <w:pPr>
        <w:pStyle w:val="Funote"/>
        <w:rPr/>
      </w:pPr>
      <w:r>
        <w:rPr>
          <w:rStyle w:val="Funotenzeichen"/>
        </w:rPr>
        <w:footnoteRef/>
      </w:r>
      <w:r>
        <w:rPr/>
        <w:tab/>
        <w:t>Wörtlich: „Gefäß(e) eines Töpfers“</w:t>
      </w:r>
    </w:p>
  </w:footnote>
  <w:footnote w:id="1553">
    <w:p>
      <w:pPr>
        <w:pStyle w:val="Funote"/>
        <w:rPr/>
      </w:pPr>
      <w:r>
        <w:rPr>
          <w:rStyle w:val="Funotenzeichen"/>
        </w:rPr>
        <w:footnoteRef/>
      </w:r>
      <w:r>
        <w:rPr/>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54">
    <w:p>
      <w:pPr>
        <w:pStyle w:val="Funote"/>
        <w:rPr/>
      </w:pPr>
      <w:r>
        <w:rPr>
          <w:rStyle w:val="Funotenzeichen"/>
        </w:rPr>
        <w:footnoteRef/>
      </w:r>
      <w:r>
        <w:rPr/>
        <w:tab/>
        <w:t>Gemeint ist keine Straße, sondern der im übertragenen Sinn eingeschlagene Weg, JHWH zu gehorchen – oder auch nicht (vgl. NET Ps 2,12, Fußnote 36; Anm. zu Ps 67,3).</w:t>
      </w:r>
    </w:p>
  </w:footnote>
  <w:footnote w:id="1555">
    <w:p>
      <w:pPr>
        <w:pStyle w:val="Funote"/>
        <w:rPr/>
      </w:pPr>
      <w:r>
        <w:rPr>
          <w:rStyle w:val="Funotenzeichen"/>
        </w:rPr>
        <w:footnoteRef/>
      </w:r>
      <w:r>
        <w:rPr/>
        <w:tab/>
        <w:t>JHWH</w:t>
      </w:r>
    </w:p>
  </w:footnote>
  <w:footnote w:id="1556">
    <w:p>
      <w:pPr>
        <w:pStyle w:val="Funote"/>
        <w:rPr/>
      </w:pPr>
      <w:r>
        <w:rPr>
          <w:rStyle w:val="Funotenzeichen"/>
        </w:rPr>
        <w:footnoteRef/>
      </w:r>
      <w:r>
        <w:rPr/>
        <w:tab/>
        <w:t>JHWH</w:t>
      </w:r>
    </w:p>
  </w:footnote>
  <w:footnote w:id="1557">
    <w:p>
      <w:pPr>
        <w:pStyle w:val="Funote"/>
        <w:rPr/>
      </w:pPr>
      <w:r>
        <w:rPr>
          <w:rStyle w:val="Funotenzeichen"/>
        </w:rPr>
        <w:footnoteRef/>
      </w:r>
      <w:r>
        <w:rPr/>
        <w:tab/>
        <w:t>JHWH</w:t>
      </w:r>
    </w:p>
  </w:footnote>
  <w:footnote w:id="1558">
    <w:p>
      <w:pPr>
        <w:pStyle w:val="Funote"/>
        <w:rPr/>
      </w:pPr>
      <w:r>
        <w:rPr>
          <w:rStyle w:val="Funotenzeichen"/>
        </w:rPr>
        <w:footnoteRef/>
      </w:r>
      <w:r>
        <w:rPr/>
        <w:tab/>
        <w:t>JHWH</w:t>
      </w:r>
    </w:p>
  </w:footnote>
  <w:footnote w:id="1559">
    <w:p>
      <w:pPr>
        <w:pStyle w:val="Funote"/>
        <w:rPr/>
      </w:pPr>
      <w:r>
        <w:rPr>
          <w:rStyle w:val="Funotenzeichen"/>
        </w:rPr>
        <w:footnoteRef/>
      </w:r>
      <w:r>
        <w:rPr/>
        <w:tab/>
        <w:t>JHWH</w:t>
      </w:r>
    </w:p>
  </w:footnote>
  <w:footnote w:id="1560">
    <w:p>
      <w:pPr>
        <w:pStyle w:val="Funote"/>
        <w:rPr/>
      </w:pPr>
      <w:r>
        <w:rPr>
          <w:rStyle w:val="Funotenzeichen"/>
        </w:rPr>
        <w:footnoteRef/>
      </w:r>
      <w:r>
        <w:rPr/>
        <w:tab/>
        <w:t>JHWH</w:t>
      </w:r>
    </w:p>
  </w:footnote>
  <w:footnote w:id="1561">
    <w:p>
      <w:pPr>
        <w:pStyle w:val="Funote"/>
        <w:rPr/>
      </w:pPr>
      <w:r>
        <w:rPr>
          <w:rStyle w:val="Funotenzeichen"/>
        </w:rPr>
        <w:footnoteRef/>
      </w:r>
      <w:r>
        <w:rPr/>
        <w:tab/>
        <w:t>[Status: Zuverlässig]</w:t>
      </w:r>
    </w:p>
  </w:footnote>
  <w:footnote w:id="1562">
    <w:p>
      <w:pPr>
        <w:pStyle w:val="Funote"/>
        <w:rPr/>
      </w:pPr>
      <w:r>
        <w:rPr>
          <w:rStyle w:val="Funotenzeichen"/>
        </w:rPr>
        <w:footnoteRef/>
      </w:r>
      <w:r>
        <w:rPr>
          <w:i/>
        </w:rPr>
        <w:tab/>
        <w:t>Während er floh vor Absalom, seinem Sohn</w:t>
      </w:r>
      <w:r>
        <w:rPr/>
        <w:t xml:space="preserve"> - Die Begebenheit, auf die hier angespielt wird, wird berichtet in </w:t>
      </w:r>
      <w:hyperlink r:id="rId51">
        <w:r>
          <w:rPr>
            <w:rStyle w:val="Internetverknpfung"/>
          </w:rPr>
          <w:t>2 Sam 16</w:t>
        </w:r>
      </w:hyperlink>
      <w:r>
        <w:rPr/>
        <w:t>.</w:t>
      </w:r>
    </w:p>
  </w:footnote>
  <w:footnote w:id="1563">
    <w:p>
      <w:pPr>
        <w:pStyle w:val="Funote"/>
        <w:rPr/>
      </w:pPr>
      <w:r>
        <w:rPr>
          <w:rStyle w:val="Funotenzeichen"/>
        </w:rPr>
        <w:footnoteRef/>
      </w:r>
      <w:r>
        <w:rPr/>
        <w:tab/>
        <w:t>tFN: [Wie] - Brachylogie aus V. 2a (so z.B. Craigie 1983; Dahood 1965, S. 15; Ehrlich 1905, S. 5; Kissane 1953, S. 10; Kselman 1987, S. 574; auch GRAIL; MÜN).</w:t>
      </w:r>
    </w:p>
  </w:footnote>
  <w:footnote w:id="1564">
    <w:p>
      <w:pPr>
        <w:pStyle w:val="Funote"/>
        <w:rPr/>
      </w:pPr>
      <w:r>
        <w:rPr>
          <w:rStyle w:val="Funotenzeichen"/>
        </w:rPr>
        <w:footnoteRef/>
      </w:r>
      <w:r>
        <w:rPr/>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65">
    <w:p>
      <w:pPr>
        <w:pStyle w:val="Funote"/>
        <w:rPr/>
      </w:pPr>
      <w:r>
        <w:rPr>
          <w:rStyle w:val="Funotenzeichen"/>
        </w:rPr>
        <w:footnoteRef/>
      </w:r>
      <w:r>
        <w:rPr>
          <w:i/>
        </w:rPr>
        <w:tab/>
        <w:t>über meine Seele (über mich)</w:t>
      </w:r>
      <w:r>
        <w:rPr/>
        <w:t xml:space="preserve"> - Heb. </w:t>
      </w:r>
      <w:r>
        <w:rPr>
          <w:i/>
        </w:rPr>
        <w:t>nephesch</w:t>
      </w:r>
      <w:r>
        <w:rPr/>
        <w:t xml:space="preserve">. Die häufige Übersetzung „Seele“ ist fast nie zu empfehlen, weil es im heb. Menschenbild einen Gegensatz von Körper und Seele so nicht gab; </w:t>
      </w:r>
      <w:r>
        <w:rPr>
          <w:i/>
        </w:rPr>
        <w:t>nephesch</w:t>
      </w:r>
      <w:r>
        <w:rPr/>
        <w:t xml:space="preserve"> meint hier wie meist den </w:t>
      </w:r>
      <w:r>
        <w:rPr>
          <w:i/>
        </w:rPr>
        <w:t>ganzen</w:t>
      </w:r>
      <w:r>
        <w:rPr/>
        <w:t xml:space="preserve"> Menschen und wird daher hier wie häufig als Wechselbegriff für „Ich“ verwendet.</w:t>
      </w:r>
    </w:p>
  </w:footnote>
  <w:footnote w:id="1566">
    <w:p>
      <w:pPr>
        <w:pStyle w:val="Funote"/>
        <w:rPr/>
      </w:pPr>
      <w:r>
        <w:rPr>
          <w:rStyle w:val="Funotenzeichen"/>
        </w:rPr>
        <w:footnoteRef/>
      </w:r>
      <w:r>
        <w:rPr/>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67">
    <w:p>
      <w:pPr>
        <w:pStyle w:val="Funote"/>
        <w:rPr/>
      </w:pPr>
      <w:r>
        <w:rPr>
          <w:rStyle w:val="Funotenzeichen"/>
        </w:rPr>
        <w:footnoteRef/>
      </w:r>
      <w:r>
        <w:rPr/>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68">
    <w:p>
      <w:pPr>
        <w:pStyle w:val="Funote"/>
        <w:rPr/>
      </w:pPr>
      <w:r>
        <w:rPr>
          <w:rStyle w:val="Funotenzeichen"/>
        </w:rPr>
        <w:footnoteRef/>
      </w:r>
      <w:r>
        <w:rPr>
          <w:i/>
        </w:rPr>
        <w:tab/>
        <w:t>{</w:t>
      </w:r>
      <w:r>
        <w:rPr>
          <w:i/>
          <w:strike/>
        </w:rPr>
        <w:t>Sela</w:t>
      </w:r>
      <w:r>
        <w:rPr>
          <w:i/>
        </w:rPr>
        <w:t>}</w:t>
      </w:r>
      <w:r>
        <w:rPr/>
        <w:t xml:space="preserve"> - Die Bedeutung von „Sela“ ist unklar; vgl. Lexikon/Lemma </w:t>
      </w:r>
      <w:hyperlink r:id="rId52">
        <w:r>
          <w:rPr>
            <w:rStyle w:val="Internetverknpfung"/>
            <w:rtl w:val="true"/>
            <w:lang w:bidi="he-IL"/>
          </w:rPr>
          <w:t>סֶלַה</w:t>
        </w:r>
      </w:hyperlink>
      <w:r>
        <w:rPr/>
        <w:t>. In der Lesefassung sollte es daher besser gestrichen werden, da es sonst nur ein unverständlicher Fremdkörper im dt. Text wäre.</w:t>
      </w:r>
    </w:p>
  </w:footnote>
  <w:footnote w:id="1569">
    <w:p>
      <w:pPr>
        <w:pStyle w:val="Funote"/>
        <w:rPr/>
      </w:pPr>
      <w:r>
        <w:rPr>
          <w:rStyle w:val="Funotenzeichen"/>
        </w:rPr>
        <w:footnoteRef/>
      </w:r>
      <w:r>
        <w:rPr/>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70">
    <w:p>
      <w:pPr>
        <w:pStyle w:val="Funote"/>
        <w:rPr/>
      </w:pPr>
      <w:r>
        <w:rPr>
          <w:rStyle w:val="Funotenzeichen"/>
        </w:rPr>
        <w:footnoteRef/>
      </w:r>
      <w:r>
        <w:rPr/>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71">
    <w:p>
      <w:pPr>
        <w:pStyle w:val="Funote"/>
        <w:rPr/>
      </w:pPr>
      <w:r>
        <w:rPr>
          <w:rStyle w:val="Funotenzeichen"/>
        </w:rPr>
        <w:footnoteRef/>
      </w:r>
      <w:r>
        <w:rPr/>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72">
    <w:p>
      <w:pPr>
        <w:pStyle w:val="Funote"/>
        <w:rPr/>
      </w:pPr>
      <w:r>
        <w:rPr>
          <w:rStyle w:val="Funotenzeichen"/>
        </w:rPr>
        <w:footnoteRef/>
      </w:r>
      <w:r>
        <w:rPr/>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73">
    <w:p>
      <w:pPr>
        <w:pStyle w:val="Funote"/>
        <w:rPr/>
      </w:pPr>
      <w:r>
        <w:rPr>
          <w:rStyle w:val="Funotenzeichen"/>
        </w:rPr>
        <w:footnoteRef/>
      </w:r>
      <w:r>
        <w:rPr>
          <w:i/>
        </w:rPr>
        <w:tab/>
        <w:t>antwortet</w:t>
      </w:r>
      <w:r>
        <w:rPr/>
        <w:t xml:space="preserve"> - Das auf einen Flehruf folgende „Antworten“ Gottes steht in der Bibel fast ausnahmslos für eine Gebets</w:t>
      </w:r>
      <w:r>
        <w:rPr>
          <w:i/>
        </w:rPr>
        <w:t>erhörung</w:t>
      </w:r>
      <w:r>
        <w:rPr/>
        <w:t>; so auch hier.</w:t>
      </w:r>
    </w:p>
  </w:footnote>
  <w:footnote w:id="1574">
    <w:p>
      <w:pPr>
        <w:pStyle w:val="Funote"/>
        <w:rPr/>
      </w:pPr>
      <w:r>
        <w:rPr>
          <w:rStyle w:val="Funotenzeichen"/>
        </w:rPr>
        <w:footnoteRef/>
      </w:r>
      <w:r>
        <w:rPr/>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75">
    <w:p>
      <w:pPr>
        <w:pStyle w:val="Funote"/>
        <w:rPr/>
      </w:pPr>
      <w:r>
        <w:rPr>
          <w:rStyle w:val="Funotenzeichen"/>
        </w:rPr>
        <w:footnoteRef/>
      </w:r>
      <w:r>
        <w:rPr/>
        <w:tab/>
        <w:t xml:space="preserve">Mit dem </w:t>
      </w:r>
      <w:r>
        <w:rPr>
          <w:i/>
        </w:rPr>
        <w:t>heiligen Berg (dem Berg seiner Heiligkeit)</w:t>
      </w:r>
      <w:r>
        <w:rPr/>
        <w:t xml:space="preserve"> ist der Jerusalemer Berg Zion gemeint, auf dem der Tempel Gottes erbaut war. Nach altheb. Vorstellung wohnte Gott (zumindest „teilweise“) in seinem Tempel auf dem Zion (s. näher z.B. </w:t>
      </w:r>
      <w:hyperlink r:id="rId53">
        <w:r>
          <w:rPr>
            <w:rStyle w:val="Internetverknpfung"/>
          </w:rPr>
          <w:t>Zion / Zionstheologie (WiBiLex)</w:t>
        </w:r>
      </w:hyperlink>
      <w:r>
        <w:rPr/>
        <w:t xml:space="preserve">); ein Gebet musste daher zuerst zum Tempel in Zion dringen (s. z.B. </w:t>
      </w:r>
      <w:r>
        <w:fldChar w:fldCharType="begin"/>
      </w:r>
      <w:r>
        <w:rPr>
          <w:rStyle w:val="Internetverknpfung"/>
        </w:rPr>
        <w:instrText> HYPERLINK "../../../../../../../../../wiki/Jona_2" \l "s8"</w:instrText>
      </w:r>
      <w:r>
        <w:rPr>
          <w:rStyle w:val="Internetverknpfung"/>
        </w:rPr>
        <w:fldChar w:fldCharType="separate"/>
      </w:r>
      <w:r>
        <w:rPr>
          <w:rStyle w:val="Internetverknpfung"/>
        </w:rPr>
        <w:t>Jon 2,8</w:t>
      </w:r>
      <w:r>
        <w:rPr>
          <w:rStyle w:val="Internetverknpfung"/>
        </w:rPr>
        <w:fldChar w:fldCharType="end"/>
      </w:r>
      <w:r>
        <w:rPr/>
        <w:t>), um dann vom Tempel in Zion aus erhört werden zu können.</w:t>
      </w:r>
    </w:p>
  </w:footnote>
  <w:footnote w:id="1576">
    <w:p>
      <w:pPr>
        <w:pStyle w:val="Funote"/>
        <w:rPr/>
      </w:pPr>
      <w:r>
        <w:rPr>
          <w:rStyle w:val="Funotenzeichen"/>
        </w:rPr>
        <w:footnoteRef/>
      </w:r>
      <w:r>
        <w:rPr/>
        <w:tab/>
        <w:t>tFN: [den] - Auch ohne Artikel determiniert durch Relativsatz.</w:t>
      </w:r>
    </w:p>
  </w:footnote>
  <w:footnote w:id="1577">
    <w:p>
      <w:pPr>
        <w:pStyle w:val="Funote"/>
        <w:rPr/>
      </w:pPr>
      <w:r>
        <w:rPr>
          <w:rStyle w:val="Funotenzeichen"/>
        </w:rPr>
        <w:footnoteRef/>
      </w:r>
      <w:r>
        <w:rPr/>
        <w:tab/>
        <w:t xml:space="preserve">tFN: {Ja!,} - Emphatisches </w:t>
      </w:r>
      <w:r>
        <w:rPr>
          <w:rtl w:val="true"/>
          <w:lang w:bidi="he-IL"/>
        </w:rPr>
        <w:t>כִּי</w:t>
      </w:r>
      <w:r>
        <w:rPr/>
        <w:t>; in der LF besser auszusparen.</w:t>
      </w:r>
    </w:p>
  </w:footnote>
  <w:footnote w:id="1578">
    <w:p>
      <w:pPr>
        <w:pStyle w:val="Funote"/>
        <w:rPr/>
      </w:pPr>
      <w:r>
        <w:rPr>
          <w:rStyle w:val="Funotenzeichen"/>
        </w:rPr>
        <w:footnoteRef/>
      </w:r>
      <w:r>
        <w:rPr/>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79">
    <w:p>
      <w:pPr>
        <w:pStyle w:val="Funote"/>
        <w:rPr/>
      </w:pPr>
      <w:r>
        <w:rPr>
          <w:rStyle w:val="Funotenzeichen"/>
        </w:rPr>
        <w:footnoteRef/>
      </w:r>
      <w:r>
        <w:rPr/>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80">
    <w:p>
      <w:pPr>
        <w:pStyle w:val="Funote"/>
        <w:rPr/>
      </w:pPr>
      <w:r>
        <w:rPr>
          <w:rStyle w:val="Funotenzeichen"/>
        </w:rPr>
        <w:footnoteRef/>
      </w:r>
      <w:r>
        <w:rPr/>
        <w:tab/>
        <w:t>Bei JHWH ist Rettung - d.h.: „JHWH ist es, der rettet“ (ein sog. „Lamed der Zuständigkeit“: „Für die Rettung ist JHWH zuständig“).</w:t>
      </w:r>
    </w:p>
  </w:footnote>
  <w:footnote w:id="1581">
    <w:p>
      <w:pPr>
        <w:pStyle w:val="Funote"/>
        <w:rPr/>
      </w:pPr>
      <w:r>
        <w:rPr>
          <w:rStyle w:val="Funotenzeichen"/>
        </w:rPr>
        <w:footnoteRef/>
      </w:r>
      <w:r>
        <w:rPr/>
        <w:tab/>
        <w:t>[Status: Zuverlässig]</w:t>
      </w:r>
    </w:p>
  </w:footnote>
  <w:footnote w:id="1582">
    <w:p>
      <w:pPr>
        <w:pStyle w:val="Funote"/>
        <w:rPr/>
      </w:pPr>
      <w:r>
        <w:rPr>
          <w:rStyle w:val="Funotenzeichen"/>
        </w:rPr>
        <w:footnoteRef/>
      </w:r>
      <w:r>
        <w:rPr>
          <w:i/>
        </w:rPr>
        <w:tab/>
        <w:t>Für den Chorleiter (Dirigenten, Singenden, Musizierenden)</w:t>
      </w:r>
      <w:r>
        <w:rPr/>
        <w:t xml:space="preserve"> + </w:t>
      </w:r>
      <w:r>
        <w:rPr>
          <w:i/>
        </w:rPr>
        <w:t>Saitenspiel (Flötenspiel)</w:t>
      </w:r>
      <w:r>
        <w:rPr/>
        <w:t xml:space="preserve"> - Wie bei den meisten Psalmen sind auch hier die Bedeutungen der Begriffe im Titel unklar; die Primärübersetzungen sind die, die sich am häufigsten in den dt. Üss. finden.</w:t>
      </w:r>
    </w:p>
  </w:footnote>
  <w:footnote w:id="1583">
    <w:p>
      <w:pPr>
        <w:pStyle w:val="Funote"/>
        <w:rPr/>
      </w:pPr>
      <w:r>
        <w:rPr>
          <w:rStyle w:val="Funotenzeichen"/>
        </w:rPr>
        <w:footnoteRef/>
      </w:r>
      <w:r>
        <w:rPr>
          <w:i/>
        </w:rPr>
        <w:tab/>
        <w:t>antworte mir (erhöre mich)</w:t>
      </w:r>
      <w:r>
        <w:rPr/>
        <w:t xml:space="preserve"> - Die Rede vom „Antworten“ Gottes meint in den Psalmen häufig dessen Gebetserhörungen; so auch hier.</w:t>
      </w:r>
    </w:p>
  </w:footnote>
  <w:footnote w:id="1584">
    <w:p>
      <w:pPr>
        <w:pStyle w:val="Funote"/>
        <w:rPr/>
      </w:pPr>
      <w:r>
        <w:rPr>
          <w:rStyle w:val="Funotenzeichen"/>
        </w:rPr>
        <w:footnoteRef/>
      </w:r>
      <w:r>
        <w:rPr>
          <w:i/>
        </w:rPr>
        <w:tab/>
        <w:t>mein wahrer Gott (gerechter Gott, Gott meines Heils, Gott meiner Gerechtigkeit</w:t>
      </w:r>
      <w:r>
        <w:rPr/>
        <w:t xml:space="preserve">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85">
    <w:p>
      <w:pPr>
        <w:pStyle w:val="Funote"/>
        <w:rPr/>
      </w:pPr>
      <w:r>
        <w:rPr>
          <w:rStyle w:val="Funotenzeichen"/>
        </w:rPr>
        <w:footnoteRef/>
      </w:r>
      <w:r>
        <w:rPr/>
        <w:tab/>
        <w:t>tFN: schaff mir (hast geschaffen) - prekatives Qatal; so z.B. auch Gerstenberger 1988; Goldingay 2006b; Houston/Waltke 2010; IBHS §30.5.4d.</w:t>
      </w:r>
    </w:p>
  </w:footnote>
  <w:footnote w:id="1586">
    <w:p>
      <w:pPr>
        <w:pStyle w:val="Funote"/>
        <w:rPr/>
      </w:pPr>
      <w:r>
        <w:rPr>
          <w:rStyle w:val="Funotenzeichen"/>
        </w:rPr>
        <w:footnoteRef/>
      </w:r>
      <w:r>
        <w:rPr/>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viele Üss.</w:t>
      </w:r>
    </w:p>
  </w:footnote>
  <w:footnote w:id="1587">
    <w:p>
      <w:pPr>
        <w:pStyle w:val="Funote"/>
        <w:rPr/>
      </w:pPr>
      <w:r>
        <w:rPr>
          <w:rStyle w:val="Funotenzeichen"/>
        </w:rPr>
        <w:footnoteRef/>
      </w:r>
      <w:r>
        <w:rPr/>
        <w:tab/>
        <w:t>höre (erhöre) - Das „Hören“ Gottes meint in den Psalmen oft ebenso wie sein „Antworten“ Gebetserhörungen; zumal in Kombination mit dem Begriff tefillah („Flehen, Bitten, Gebet“) wie in V. 2; vgl. z.B. Schökel 1980, S. 41.</w:t>
      </w:r>
    </w:p>
  </w:footnote>
  <w:footnote w:id="1588">
    <w:p>
      <w:pPr>
        <w:pStyle w:val="Funote"/>
        <w:rPr/>
      </w:pPr>
      <w:r>
        <w:rPr>
          <w:rStyle w:val="Funotenzeichen"/>
        </w:rPr>
        <w:footnoteRef/>
      </w:r>
      <w:r>
        <w:rPr/>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89">
    <w:p>
      <w:pPr>
        <w:pStyle w:val="Funote"/>
        <w:rPr/>
      </w:pPr>
      <w:r>
        <w:rPr>
          <w:rStyle w:val="Funotenzeichen"/>
        </w:rPr>
        <w:footnoteRef/>
      </w:r>
      <w:r>
        <w:rPr/>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90">
    <w:p>
      <w:pPr>
        <w:pStyle w:val="Funote"/>
        <w:rPr/>
      </w:pPr>
      <w:r>
        <w:rPr>
          <w:rStyle w:val="Funotenzeichen"/>
        </w:rPr>
        <w:footnoteRef/>
      </w:r>
      <w:r>
        <w:rPr/>
        <w:tab/>
        <w:t>geschmäht (zum Schimpf) - W. „zum Schimpf“, Lamed des Zustands; vgl. z.B. KBL3, S. 484. Die Bedeutung ist schlicht „Wie lange soll das noch so gehen, dass ihr meinen Gott schmäht?“.</w:t>
      </w:r>
    </w:p>
  </w:footnote>
  <w:footnote w:id="1591">
    <w:p>
      <w:pPr>
        <w:pStyle w:val="Funote"/>
        <w:rPr/>
      </w:pPr>
      <w:r>
        <w:rPr>
          <w:rStyle w:val="Funotenzeichen"/>
        </w:rPr>
        <w:footnoteRef/>
      </w:r>
      <w:r>
        <w:rPr/>
        <w:tab/>
        <w:t>Nichtiges, Leeres und andere ähnliche Substantive werden in der Bibel häufiger dysphemistisch für Götzen verwendet; so auch hier; vgl. ad loc. Dahood 1965, S. 23f.; Terrien 2003, S. 97.</w:t>
      </w:r>
    </w:p>
  </w:footnote>
  <w:footnote w:id="1592">
    <w:p>
      <w:pPr>
        <w:pStyle w:val="Funote"/>
        <w:rPr/>
      </w:pPr>
      <w:r>
        <w:rPr>
          <w:rStyle w:val="Funotenzeichen"/>
        </w:rPr>
        <w:footnoteRef/>
      </w:r>
      <w:r>
        <w:rPr>
          <w:i/>
        </w:rPr>
        <w:tab/>
        <w:t>{</w:t>
      </w:r>
      <w:r>
        <w:rPr>
          <w:i/>
          <w:strike/>
        </w:rPr>
        <w:t>Sela</w:t>
      </w:r>
      <w:r>
        <w:rPr>
          <w:i/>
        </w:rPr>
        <w:t>}</w:t>
      </w:r>
      <w:r>
        <w:rPr/>
        <w:t xml:space="preserve"> - Die Bedeutung von </w:t>
      </w:r>
      <w:r>
        <w:rPr>
          <w:i/>
        </w:rPr>
        <w:t>sela</w:t>
      </w:r>
      <w:r>
        <w:rPr/>
        <w:t xml:space="preserve"> ist unklar; vgl. Lexikon/Lemma </w:t>
      </w:r>
      <w:hyperlink r:id="rId54">
        <w:r>
          <w:rPr>
            <w:rStyle w:val="Internetverknpfung"/>
            <w:rtl w:val="true"/>
            <w:lang w:bidi="he-IL"/>
          </w:rPr>
          <w:t>סֶלַה</w:t>
        </w:r>
      </w:hyperlink>
      <w:r>
        <w:rPr/>
        <w:t>. In der Lesefassung sollte es daher besser gestrichen werden, da es sonst nur ein unverständlicher Fremdkörper im deutschen Text wäre.</w:t>
      </w:r>
    </w:p>
  </w:footnote>
  <w:footnote w:id="1593">
    <w:p>
      <w:pPr>
        <w:pStyle w:val="Funote"/>
        <w:rPr/>
      </w:pPr>
      <w:r>
        <w:rPr>
          <w:rStyle w:val="Funotenzeichen"/>
        </w:rPr>
        <w:footnoteRef/>
      </w:r>
      <w:r>
        <w:rPr/>
        <w:tab/>
        <w:t>Textkritik: Der Vers gibt, wie er steht, im Kontext des Psalms nicht sonderlich viel Sinn: „JHWH hat sich einen Frommen ge-/unterschieden“. Viele Handschriften haben statt hiplah („er hat geschieden“) hipla´ („er hat Wunder vollbracht/wundervoll gehandelt“), was auch LXX und Hier voraussetzen. Diese Lesart ist sicher vorzuziehen; so daher z.B. auch BB, EÜ, GN, GRAIL, HER05, LUT 84. Dahood 1965, S. 23 denkt sogar, dass es sich bloß um eine alternative Schreibung handelt.</w:t>
      </w:r>
    </w:p>
  </w:footnote>
  <w:footnote w:id="1594">
    <w:p>
      <w:pPr>
        <w:pStyle w:val="Funote"/>
        <w:rPr/>
      </w:pPr>
      <w:r>
        <w:rPr>
          <w:rStyle w:val="Funotenzeichen"/>
        </w:rPr>
        <w:footnoteRef/>
      </w:r>
      <w:r>
        <w:rPr>
          <w:i/>
        </w:rPr>
        <w:tab/>
        <w:t>den ihm Frommen (seinem Frommen)</w:t>
      </w:r>
      <w:r>
        <w:rPr/>
        <w:t xml:space="preserve"> - Heb. </w:t>
      </w:r>
      <w:r>
        <w:rPr>
          <w:i/>
        </w:rPr>
        <w:t>lo</w:t>
      </w:r>
      <w:r>
        <w:rPr/>
        <w:t xml:space="preserve"> („sein“/„den ihm“) lässt sich sowohl possessiv deuten („</w:t>
      </w:r>
      <w:r>
        <w:rPr>
          <w:i/>
        </w:rPr>
        <w:t>sein</w:t>
      </w:r>
      <w:r>
        <w:rPr/>
        <w:t xml:space="preserve"> Frommer“) als auch „direktional“ als Angabe, wem die Frömmigkeit des Frommen gilt („der </w:t>
      </w:r>
      <w:r>
        <w:rPr>
          <w:i/>
        </w:rPr>
        <w:t>ihm</w:t>
      </w:r>
      <w:r>
        <w:rPr/>
        <w:t xml:space="preserve"> Fromme“). Wg. dem Kontrast mit Götzenanbetern ist Letzteres vorzuziehen.</w:t>
      </w:r>
    </w:p>
  </w:footnote>
  <w:footnote w:id="1595">
    <w:p>
      <w:pPr>
        <w:pStyle w:val="Funote"/>
        <w:rPr/>
      </w:pPr>
      <w:r>
        <w:rPr>
          <w:rStyle w:val="Funotenzeichen"/>
        </w:rPr>
        <w:footnoteRef/>
      </w:r>
      <w:r>
        <w:rPr/>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Als Pseudo-Imperative deuten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96">
    <w:p>
      <w:pPr>
        <w:pStyle w:val="Funote"/>
        <w:rPr/>
      </w:pPr>
      <w:r>
        <w:rPr>
          <w:rStyle w:val="Funotenzeichen"/>
        </w:rPr>
        <w:footnoteRef/>
      </w:r>
      <w:r>
        <w:rPr/>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in der folgenden Zeile. Daher wohl am Besten „seid unruhig!“. Vgl. auch die letzte Fußnote.</w:t>
      </w:r>
    </w:p>
  </w:footnote>
  <w:footnote w:id="1597">
    <w:p>
      <w:pPr>
        <w:pStyle w:val="Funote"/>
        <w:rPr/>
      </w:pPr>
      <w:r>
        <w:rPr>
          <w:rStyle w:val="Funotenzeichen"/>
        </w:rPr>
        <w:footnoteRef/>
      </w:r>
      <w:r>
        <w:rPr/>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77,7; 119,55.62; Jes 26,9 u.ö. (vgl. auch Booij 2008, S. 107).</w:t>
      </w:r>
    </w:p>
  </w:footnote>
  <w:footnote w:id="1598">
    <w:p>
      <w:pPr>
        <w:pStyle w:val="Funote"/>
        <w:rPr/>
      </w:pPr>
      <w:r>
        <w:rPr>
          <w:rStyle w:val="Funotenzeichen"/>
        </w:rPr>
        <w:footnoteRef/>
      </w:r>
      <w:r>
        <w:rPr/>
        <w:tab/>
        <w:t>Opfer dem wahren [Gott] (Opfer der Gerechtigkeit, richtige Opfer) - Meist übersetzt als „Opfer der Gerechtigkeit“ oder „rechte Opfer“. Darüber, was das eigentlich sein soll, besteht keine Einigkeit in der Exegese. Besser daher: tsedeq ist zu verstehen als Appellativ für JHWH, wie er ja schon in V. 2 als der tsedeq Gott bezeichnet wurde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99">
    <w:p>
      <w:pPr>
        <w:pStyle w:val="Funote"/>
        <w:rPr/>
      </w:pPr>
      <w:r>
        <w:rPr>
          <w:rStyle w:val="Funotenzeichen"/>
        </w:rPr>
        <w:footnoteRef/>
      </w:r>
      <w:r>
        <w:rPr>
          <w:i/>
        </w:rPr>
        <w:tab/>
        <w:t>[Während]</w:t>
      </w:r>
      <w:r>
        <w:rPr/>
        <w:t xml:space="preserve">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600">
    <w:p>
      <w:pPr>
        <w:pStyle w:val="Funote"/>
        <w:rPr/>
      </w:pPr>
      <w:r>
        <w:rPr>
          <w:rStyle w:val="Funotenzeichen"/>
        </w:rPr>
        <w:footnoteRef/>
      </w:r>
      <w:r>
        <w:rPr/>
        <w:tab/>
        <w:t>Lass uns Gutes erfahren! - Theoretisch möglich: Deutung der rhetorischen Frage als Wunschsatz; so z.B. Goldingay 2006b, S. 167; Warren-Rothlin 2007, S. 66; Dav §135; HKL III §354g</w:t>
      </w:r>
    </w:p>
  </w:footnote>
  <w:footnote w:id="1601">
    <w:p>
      <w:pPr>
        <w:pStyle w:val="Funote"/>
        <w:rPr/>
      </w:pPr>
      <w:r>
        <w:rPr>
          <w:rStyle w:val="Funotenzeichen"/>
        </w:rPr>
        <w:footnoteRef/>
      </w:r>
      <w:r>
        <w:rPr>
          <w:i/>
        </w:rPr>
        <w:tab/>
        <w:t>[wo doch]</w:t>
      </w:r>
      <w:r>
        <w:rPr/>
        <w:t xml:space="preserve"> - V. 7b soll offenbar das Motiv hinter dem mangelnden Vertrauen der „Vielen“ in Gott in 7a nennen; übersetze daher „da...“, „wo doch...“ o.Ä.</w:t>
      </w:r>
    </w:p>
  </w:footnote>
  <w:footnote w:id="1602">
    <w:p>
      <w:pPr>
        <w:pStyle w:val="Funote"/>
        <w:rPr/>
      </w:pPr>
      <w:r>
        <w:rPr>
          <w:rStyle w:val="Funotenzeichen"/>
        </w:rPr>
        <w:footnoteRef/>
      </w:r>
      <w:r>
        <w:rPr/>
        <w:tab/>
        <w:t xml:space="preserve">Textkritik: </w:t>
      </w:r>
      <w:r>
        <w:rPr>
          <w:rtl w:val="true"/>
          <w:lang w:bidi="he-IL"/>
        </w:rPr>
        <w:t>נְסָה</w:t>
      </w:r>
      <w:r>
        <w:rPr/>
        <w:t xml:space="preserve"> </w:t>
      </w:r>
      <w:r>
        <w:rPr/>
        <w:t xml:space="preserve">muss emendiert werden. Meist wird es emendiert zu </w:t>
      </w:r>
      <w:r>
        <w:rPr>
          <w:rtl w:val="true"/>
          <w:lang w:bidi="he-IL"/>
        </w:rPr>
        <w:t>נְשָה</w:t>
      </w:r>
      <w:r>
        <w:rPr/>
        <w:t xml:space="preserve"> </w:t>
      </w:r>
      <w:r>
        <w:rPr/>
        <w:t xml:space="preserve">(»erhebe!«, so z.B. Craigie, Houston/Waltke, einige Üss.); vorzuziehen ist aber </w:t>
      </w:r>
      <w:r>
        <w:rPr>
          <w:rtl w:val="true"/>
          <w:lang w:bidi="he-IL"/>
        </w:rPr>
        <w:t>נָסָה</w:t>
      </w:r>
      <w:r>
        <w:rPr/>
        <w:t xml:space="preserve"> </w:t>
      </w:r>
      <w:r>
        <w:rPr/>
        <w:t>(»geflohen ist«, so Dahood 1965, S. 26; Driver 1951, S. 247; Schökel 1980, S. 38)</w:t>
      </w:r>
    </w:p>
  </w:footnote>
  <w:footnote w:id="1603">
    <w:p>
      <w:pPr>
        <w:pStyle w:val="Funote"/>
        <w:rPr/>
      </w:pPr>
      <w:r>
        <w:rPr>
          <w:rStyle w:val="Funotenzeichen"/>
        </w:rPr>
        <w:footnoteRef/>
      </w:r>
      <w:r>
        <w:rPr/>
        <w:tab/>
        <w:t>tFN: von über - Zu dieser Bed. von `al vgl. z.B. Driver 1951, S. 247.</w:t>
      </w:r>
    </w:p>
  </w:footnote>
  <w:footnote w:id="1604">
    <w:p>
      <w:pPr>
        <w:pStyle w:val="Funote"/>
        <w:rPr/>
      </w:pPr>
      <w:r>
        <w:rPr>
          <w:rStyle w:val="Funotenzeichen"/>
        </w:rPr>
        <w:footnoteRef/>
      </w:r>
      <w:r>
        <w:rPr/>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605">
    <w:p>
      <w:pPr>
        <w:pStyle w:val="Funote"/>
        <w:rPr/>
      </w:pPr>
      <w:r>
        <w:rPr>
          <w:rStyle w:val="Funotenzeichen"/>
        </w:rPr>
        <w:footnoteRef/>
      </w:r>
      <w:r>
        <w:rPr/>
        <w:tab/>
        <w:t>tFN: {ihr} - Vermeintliche Personalpronomen verstanden als enklitische Mems (vgl. z.B. IBHS §9.8).</w:t>
      </w:r>
    </w:p>
  </w:footnote>
  <w:footnote w:id="1606">
    <w:p>
      <w:pPr>
        <w:pStyle w:val="Funote"/>
        <w:rPr/>
      </w:pPr>
      <w:r>
        <w:rPr>
          <w:rStyle w:val="Funotenzeichen"/>
        </w:rPr>
        <w:footnoteRef/>
      </w:r>
      <w:r>
        <w:rPr/>
        <w:tab/>
        <w:t xml:space="preserve">sofort - Vgl. CDCH, S. 151: </w:t>
      </w:r>
      <w:r>
        <w:rPr>
          <w:rtl w:val="true"/>
          <w:lang w:bidi="he-IL"/>
        </w:rPr>
        <w:t>יַחְדָּו</w:t>
      </w:r>
      <w:r>
        <w:rPr/>
        <w:t>: „(almost) contemporaneous activity, modifying two verbs [...] I both lie down and sleep Ps 4,9.“</w:t>
      </w:r>
    </w:p>
  </w:footnote>
  <w:footnote w:id="1607">
    <w:p>
      <w:pPr>
        <w:pStyle w:val="Funote"/>
        <w:rPr/>
      </w:pPr>
      <w:r>
        <w:rPr>
          <w:rStyle w:val="Funotenzeichen"/>
        </w:rPr>
        <w:footnoteRef/>
      </w:r>
      <w:r>
        <w:rPr/>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08">
    <w:p>
      <w:pPr>
        <w:pStyle w:val="Funote"/>
        <w:rPr/>
      </w:pPr>
      <w:r>
        <w:rPr>
          <w:rStyle w:val="Funotenzeichen"/>
        </w:rPr>
        <w:footnoteRef/>
      </w:r>
      <w:r>
        <w:rPr/>
        <w:tab/>
        <w:t>JHWH</w:t>
      </w:r>
    </w:p>
  </w:footnote>
  <w:footnote w:id="1609">
    <w:p>
      <w:pPr>
        <w:pStyle w:val="Funote"/>
        <w:rPr/>
      </w:pPr>
      <w:r>
        <w:rPr>
          <w:rStyle w:val="Funotenzeichen"/>
        </w:rPr>
        <w:footnoteRef/>
      </w:r>
      <w:r>
        <w:rPr/>
        <w:tab/>
        <w:t>[Status: Zuverlässig]</w:t>
      </w:r>
    </w:p>
  </w:footnote>
  <w:footnote w:id="1610">
    <w:p>
      <w:pPr>
        <w:pStyle w:val="Funote"/>
        <w:rPr/>
      </w:pPr>
      <w:r>
        <w:rPr>
          <w:rStyle w:val="Funotenzeichen"/>
        </w:rPr>
        <w:footnoteRef/>
      </w:r>
      <w:r>
        <w:rPr>
          <w:i/>
        </w:rPr>
        <w:tab/>
        <w:t>Für den Chorleiter</w:t>
      </w:r>
      <w:r>
        <w:rPr/>
        <w:t xml:space="preserve"> + </w:t>
      </w:r>
      <w:r>
        <w:rPr>
          <w:i/>
        </w:rPr>
        <w:t>Zu Flötenspiel (nach „das Erbe“)</w:t>
      </w:r>
      <w:r>
        <w:rPr/>
        <w:t xml:space="preserve"> - Wie bei den meisten Psalmen sind auch hier die Bedeutungen der Begriffe im Titel unklar; die Primärübersetzungen sind die, die sich am häufigsten in den dt. Üss. finden.</w:t>
      </w:r>
    </w:p>
  </w:footnote>
  <w:footnote w:id="1611">
    <w:p>
      <w:pPr>
        <w:pStyle w:val="Funote"/>
        <w:rPr/>
      </w:pPr>
      <w:r>
        <w:rPr>
          <w:rStyle w:val="Funotenzeichen"/>
        </w:rPr>
        <w:footnoteRef/>
      </w:r>
      <w:r>
        <w:rPr>
          <w:i/>
        </w:rPr>
        <w:tab/>
        <w:t>höre (erhöre mich)</w:t>
      </w:r>
      <w:r>
        <w:rPr/>
        <w:t xml:space="preserve"> + </w:t>
      </w:r>
      <w:r>
        <w:rPr>
          <w:i/>
        </w:rPr>
        <w:t>achte auf (erhöre)</w:t>
      </w:r>
      <w:r>
        <w:rPr/>
        <w:t xml:space="preserve"> + </w:t>
      </w:r>
      <w:r>
        <w:rPr>
          <w:i/>
        </w:rPr>
        <w:t>lausche auf (erhöre)</w:t>
      </w:r>
      <w:r>
        <w:rPr/>
        <w:t xml:space="preserve"> - Drei Verben, die zunächst schlicht für das „Hören“ stehen, hier wie oft aber als Bitten um Gebetserhörungen verwendet werden.</w:t>
        <w:br/>
        <w:t>Trikolon mit Klimax; mit den Begriffen wird um ein immer aufmerksames Hören gebetet: „höre“ =&gt; V. 2b „achte auf“ =&gt; V. 3a „lausche (aufmerksam)“.</w:t>
      </w:r>
    </w:p>
  </w:footnote>
  <w:footnote w:id="1612">
    <w:p>
      <w:pPr>
        <w:pStyle w:val="Funote"/>
        <w:rPr/>
      </w:pPr>
      <w:r>
        <w:rPr>
          <w:rStyle w:val="Funotenzeichen"/>
        </w:rPr>
        <w:footnoteRef/>
      </w:r>
      <w:r>
        <w:rPr>
          <w:i/>
        </w:rPr>
        <w:tab/>
        <w:t>Flehen (Grübeln, Murmeln)</w:t>
      </w:r>
      <w:r>
        <w:rPr/>
        <w:t xml:space="preserve"> - Heb. </w:t>
      </w:r>
      <w:r>
        <w:rPr>
          <w:i/>
        </w:rPr>
        <w:t>hagigi</w:t>
      </w:r>
      <w:r>
        <w:rPr/>
        <w:t xml:space="preserve">; Bed. unklar. Der Kontext macht aber offensichtlich, dass es sich hier um einen Ausdruck für ein flehendes Gebet handelt. Und da sich in Vv. 2ab.3a bei den Verben eine Steigerung findet (s. vorige FN) und auch bei den Substantiven „Geschrei“ in V. 3a stärker ist als „Stimme“ in V. 2a, macht es Sinn, anzunehmen, dass auch „Stimme“ =&gt; </w:t>
      </w:r>
      <w:r>
        <w:rPr>
          <w:i/>
        </w:rPr>
        <w:t>hagigi</w:t>
      </w:r>
      <w:r>
        <w:rPr/>
        <w:t xml:space="preserve"> =&gt; „Geschrei“ eine Steigerung verdichten sollen und also </w:t>
      </w:r>
      <w:r>
        <w:rPr>
          <w:i/>
        </w:rPr>
        <w:t>hagigi</w:t>
      </w:r>
      <w:r>
        <w:rPr/>
        <w:t xml:space="preserve"> irgendwo zwischen „Stimme“ und „Geschrei“ liegt, also etwa „Flehen“.</w:t>
      </w:r>
    </w:p>
  </w:footnote>
  <w:footnote w:id="1613">
    <w:p>
      <w:pPr>
        <w:pStyle w:val="Funote"/>
        <w:rPr/>
      </w:pPr>
      <w:r>
        <w:rPr>
          <w:rStyle w:val="Funotenzeichen"/>
        </w:rPr>
        <w:footnoteRef/>
      </w:r>
      <w:r>
        <w:rPr/>
        <w:tab/>
        <w:t>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 12, LUT 84, van Ess) # Das Objekt ist „ausgespart“ (Warum?) und muss ergänzt werden: „Ich will [X] bereiten“ (so die meisten Üss.)</w:t>
      </w:r>
    </w:p>
  </w:footnote>
  <w:footnote w:id="1614">
    <w:p>
      <w:pPr>
        <w:pStyle w:val="Funote"/>
        <w:rPr/>
      </w:pPr>
      <w:r>
        <w:rPr>
          <w:rStyle w:val="Funotenzeichen"/>
        </w:rPr>
        <w:footnoteRef/>
      </w:r>
      <w:r>
        <w:rPr/>
        <w:tab/>
        <w:t>tFN: [auf dich] - Brachylogie aus dem vorigen Ausdruck („zu dir beten“).</w:t>
      </w:r>
    </w:p>
  </w:footnote>
  <w:footnote w:id="1615">
    <w:p>
      <w:pPr>
        <w:pStyle w:val="Funote"/>
        <w:rPr/>
      </w:pPr>
      <w:r>
        <w:rPr>
          <w:rStyle w:val="Funotenzeichen"/>
        </w:rPr>
        <w:footnoteRef/>
      </w:r>
      <w:r>
        <w:rPr/>
        <w:tab/>
        <w:t>tFN: {Oh!} - Emphatisches ki; im Deutschen nicht zu übersetzen. Diese Verwendung von ki ist recht häufig gerade am Beginn einer Strophe; vgl. z.B. Muilenburg 1961, S. 148f.</w:t>
      </w:r>
    </w:p>
  </w:footnote>
  <w:footnote w:id="1616">
    <w:p>
      <w:pPr>
        <w:pStyle w:val="Funote"/>
        <w:rPr/>
      </w:pPr>
      <w:r>
        <w:rPr>
          <w:rStyle w:val="Funotenzeichen"/>
        </w:rPr>
        <w:footnoteRef/>
      </w:r>
      <w:r>
        <w:rPr>
          <w:i/>
        </w:rPr>
        <w:tab/>
        <w:t>Böse (Böses)</w:t>
      </w:r>
      <w:r>
        <w:rPr/>
        <w:t xml:space="preserve"> + </w:t>
      </w:r>
      <w:r>
        <w:rPr>
          <w:i/>
        </w:rPr>
        <w:t>Schlechte (Schlechtes)</w:t>
      </w:r>
      <w:r>
        <w:rPr/>
        <w:t xml:space="preserve"> - Rein sprachlich sind beide Üss. möglich; spätestens V. 6 wird aber klar, dass hier von </w:t>
      </w:r>
      <w:r>
        <w:rPr>
          <w:i/>
        </w:rPr>
        <w:t>Menschen</w:t>
      </w:r>
      <w:r>
        <w:rPr/>
        <w:t xml:space="preserve"> die Rede ist; daher ist durchaus der Primärübersetzung der Vorzug zu geben.</w:t>
      </w:r>
    </w:p>
  </w:footnote>
  <w:footnote w:id="1617">
    <w:p>
      <w:pPr>
        <w:pStyle w:val="Funote"/>
        <w:rPr/>
      </w:pPr>
      <w:r>
        <w:rPr>
          <w:rStyle w:val="Funotenzeichen"/>
        </w:rPr>
        <w:footnoteRef/>
      </w:r>
      <w:r>
        <w:rPr/>
        <w:tab/>
        <w:t>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H-R: „Der Böse“; HER05: „Die Unrecht verüben“; NVul: „Ungerechte“; van Ess: „Frevler“.</w:t>
      </w:r>
    </w:p>
  </w:footnote>
  <w:footnote w:id="1618">
    <w:p>
      <w:pPr>
        <w:pStyle w:val="Funote"/>
        <w:rPr/>
      </w:pPr>
      <w:r>
        <w:rPr>
          <w:rStyle w:val="Funotenzeichen"/>
        </w:rPr>
        <w:footnoteRef/>
      </w:r>
      <w:r>
        <w:rPr/>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19">
    <w:p>
      <w:pPr>
        <w:pStyle w:val="Funote"/>
        <w:rPr/>
      </w:pPr>
      <w:r>
        <w:rPr>
          <w:rStyle w:val="Funotenzeichen"/>
        </w:rPr>
        <w:footnoteRef/>
      </w:r>
      <w:r>
        <w:rPr/>
        <w:tab/>
        <w:t>Tuer von Unheil (Unholde) - Häufiger Ausdruck für die Feinde eines Psalmisten. Das konkrete Unheil, das diese „Unholde“ tun, sind meist Wort-Sünden (vgl. ThWAT I, S. 155), was diesen Sticho gut zusammenstimmen lässt mit dem folgenden V. 7.</w:t>
      </w:r>
    </w:p>
  </w:footnote>
  <w:footnote w:id="1620">
    <w:p>
      <w:pPr>
        <w:pStyle w:val="Funote"/>
        <w:rPr/>
      </w:pPr>
      <w:r>
        <w:rPr>
          <w:rStyle w:val="Funotenzeichen"/>
        </w:rPr>
        <w:footnoteRef/>
      </w:r>
      <w:r>
        <w:rPr/>
        <w:tab/>
        <w:t>verabscheut (verabscheust du,) JHWH - P-Shift; unübersetzbares heb. Stilmittel: In der heb. Lyrik kann aus stilistischen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w:t>
      </w:r>
    </w:p>
  </w:footnote>
  <w:footnote w:id="1621">
    <w:p>
      <w:pPr>
        <w:pStyle w:val="Funote"/>
        <w:rPr/>
      </w:pPr>
      <w:r>
        <w:rPr>
          <w:rStyle w:val="Funotenzeichen"/>
        </w:rPr>
        <w:footnoteRef/>
      </w:r>
      <w:r>
        <w:rPr>
          <w:i/>
        </w:rPr>
        <w:tab/>
        <w:t>in deiner</w:t>
      </w:r>
      <w:r>
        <w:rPr/>
        <w:t xml:space="preserve"> - V. 8ab.9a haben je eine mit </w:t>
      </w:r>
      <w:r>
        <w:rPr>
          <w:i/>
        </w:rPr>
        <w:t>b</w:t>
      </w:r>
      <w:r>
        <w:rPr>
          <w:i/>
          <w:position w:val="7"/>
          <w:sz w:val="16"/>
        </w:rPr>
        <w:t>e</w:t>
      </w:r>
      <w:r>
        <w:rPr>
          <w:i/>
        </w:rPr>
        <w:t>-</w:t>
      </w:r>
      <w:r>
        <w:rPr/>
        <w:t xml:space="preserve"> („in“) präfigierte und mit </w:t>
      </w:r>
      <w:r>
        <w:rPr>
          <w:i/>
        </w:rPr>
        <w:t>-ka</w:t>
      </w:r>
      <w:r>
        <w:rPr/>
        <w:t xml:space="preserve"> („deine“) suffigierte Angabe: 8a: „In deiner großen Gnade“, 8b: „In deiner Furcht“, 9a: „In deiner Gerechtigkeit“. Das parallelisiert die drei Stichen (=&gt; grammatischer Parallelismus), in keiner der Zeilen ist aber eine wörtl. Übertragung gut möglich: </w:t>
      </w:r>
    </w:p>
    <w:p>
      <w:pPr>
        <w:pStyle w:val="Textkrper"/>
        <w:numPr>
          <w:ilvl w:val="0"/>
          <w:numId w:val="1"/>
        </w:numPr>
        <w:tabs>
          <w:tab w:val="left" w:pos="0" w:leader="none"/>
        </w:tabs>
        <w:spacing w:before="0" w:after="0"/>
        <w:ind w:left="720" w:hanging="283"/>
        <w:rPr/>
      </w:pPr>
      <w:r>
        <w:rPr/>
        <w:tab/>
        <w:t xml:space="preserve">Das </w:t>
      </w:r>
      <w:r>
        <w:rPr>
          <w:i/>
        </w:rPr>
        <w:t>b</w:t>
      </w:r>
      <w:r>
        <w:rPr>
          <w:i/>
          <w:position w:val="8"/>
          <w:sz w:val="19"/>
        </w:rPr>
        <w:t>e</w:t>
      </w:r>
      <w:r>
        <w:rPr/>
        <w:t xml:space="preserve"> in „</w:t>
      </w:r>
      <w:r>
        <w:rPr>
          <w:i/>
        </w:rPr>
        <w:t>in</w:t>
      </w:r>
      <w:r>
        <w:rPr/>
        <w:t xml:space="preserve"> der Menge deiner Gnade“ ist ein sog. „Beth rationis impellentis“, mit dem angegeben wird, dass etwas </w:t>
      </w:r>
      <w:r>
        <w:rPr>
          <w:i/>
        </w:rPr>
        <w:t>dank</w:t>
      </w:r>
      <w:r>
        <w:rPr/>
        <w:t xml:space="preserve"> etwas geschieht; hier also, dass Gottes Güte ihn zu besagter „Erlaubnis“ veranlasst; sinngemäßer also „</w:t>
      </w:r>
      <w:r>
        <w:rPr>
          <w:i/>
        </w:rPr>
        <w:t>dank</w:t>
      </w:r>
      <w:r>
        <w:rPr/>
        <w:t xml:space="preserve"> der Menge deiner Gnade“ </w:t>
      </w:r>
    </w:p>
    <w:p>
      <w:pPr>
        <w:pStyle w:val="Textkrper"/>
        <w:numPr>
          <w:ilvl w:val="0"/>
          <w:numId w:val="2"/>
        </w:numPr>
        <w:tabs>
          <w:tab w:val="left" w:pos="0" w:leader="none"/>
        </w:tabs>
        <w:spacing w:before="0" w:after="0"/>
        <w:ind w:left="720" w:hanging="283"/>
        <w:rPr/>
      </w:pPr>
      <w:r>
        <w:rPr/>
        <w:tab/>
        <w:t>„</w:t>
      </w:r>
      <w:r>
        <w:rPr/>
        <w:t xml:space="preserve">In deiner Furcht“ meint „in Ehrfurcht vor dir“ </w:t>
      </w:r>
    </w:p>
    <w:p>
      <w:pPr>
        <w:pStyle w:val="Textkrper"/>
        <w:numPr>
          <w:ilvl w:val="0"/>
          <w:numId w:val="3"/>
        </w:numPr>
        <w:tabs>
          <w:tab w:val="left" w:pos="0" w:leader="none"/>
        </w:tabs>
        <w:spacing w:before="0" w:after="283"/>
        <w:ind w:left="720" w:hanging="283"/>
        <w:rPr/>
      </w:pPr>
      <w:r>
        <w:rPr/>
        <w:tab/>
        <w:t>„</w:t>
      </w:r>
      <w:r>
        <w:rPr/>
        <w:t>In deiner Gerechtigkeit“ fungiert als Appell: „du gerechter Gott“.</w:t>
      </w:r>
    </w:p>
  </w:footnote>
  <w:footnote w:id="1622">
    <w:p>
      <w:pPr>
        <w:pStyle w:val="Funote"/>
        <w:rPr/>
      </w:pPr>
      <w:r>
        <w:rPr>
          <w:rStyle w:val="Funotenzeichen"/>
        </w:rPr>
        <w:footnoteRef/>
      </w:r>
      <w:r>
        <w:rPr/>
        <w:tab/>
        <w:t>tFN: in (zu) - ´él (meist: „zu, nach“)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23">
    <w:p>
      <w:pPr>
        <w:pStyle w:val="Funote"/>
        <w:rPr/>
      </w:pPr>
      <w:r>
        <w:rPr>
          <w:rStyle w:val="Funotenzeichen"/>
        </w:rPr>
        <w:footnoteRef/>
      </w:r>
      <w:r>
        <w:rPr>
          <w:i/>
        </w:rPr>
        <w:tab/>
        <w:t>um meiner Feinde willen (wegen meiner Feinde)</w:t>
      </w:r>
      <w:r>
        <w:rPr/>
        <w:t xml:space="preserve"> - s. hierzu die nächste FN.</w:t>
      </w:r>
    </w:p>
  </w:footnote>
  <w:footnote w:id="1624">
    <w:p>
      <w:pPr>
        <w:pStyle w:val="Funote"/>
        <w:rPr/>
      </w:pPr>
      <w:r>
        <w:rPr>
          <w:rStyle w:val="Funotenzeichen"/>
        </w:rPr>
        <w:footnoteRef/>
      </w:r>
      <w:r>
        <w:rPr/>
        <w:tab/>
        <w:t>V. 9 - Schwierige Stelle. Der „Weg“ ist im AT eine sehr häufige Metapher für die Lebensführung „dein Weg“ wäre dann das gottgemäße Leben, ein Leben, wie es Gott gefällt (vgl. ähnlich z.B. Ps 143,10: „Führe mich auf rechter Bahn“ = „Lehre mich handeln, wie dir das gefällt“). So wird auch dieser Vers i.d.R. verstanden, doch dann ist (wie auch bei den sehr ähnlichen Formulierungen in 27,11 und 69,9) unklar, was hier die Rede von den „Feinden“ soll. Versuchsweise sei daher die alternative Deutung vorgeschlagen, dass hier nicht um Hilfe bei der Führung eines gottgemäßen Lebens gebeten wird, sondern darum, dass Gott den Beter auf einem tatsächlichen Weg behüten möge (nämlich eben dem zu Gottes Tempel, V. 8), was nötig ist, weil ihm Feinde auflauern könnten (ein häufiges Motiv in den Psalmen, zu lauernden und fallenstellenden Feinden s. z.B. Ps 10,8; 17,11f.; 35,7f. u.ö., zur Bewahrung auf dem Weg z.B. 23,4f.; 37,23; 91,11; Spr 3,23 u.ö.; zu Ps 27,11 s. gleich).Genauer: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und in Ps 27,11; 69,19 nicht, um wessentwillen etwas geschieht, sondern das, was Motivation für Gottes Handeln sein soll (vgl. Ges18, S. 713) – also eher „wegen meiner Feinde“, d.h. „da mir auf meinem Weg Feinde auflauern“ (hier und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25">
    <w:p>
      <w:pPr>
        <w:pStyle w:val="Funote"/>
        <w:rPr/>
      </w:pPr>
      <w:r>
        <w:rPr>
          <w:rStyle w:val="Funotenzeichen"/>
        </w:rPr>
        <w:footnoteRef/>
      </w:r>
      <w:r>
        <w:rPr/>
        <w:tab/>
        <w:t>seinem (ihrem) - N-Shift; unübersetzbares heb. Stilmittel: In der heb. Lyrik kann aus stilistischen Gründen unvermittelt von einer Zeile auf die andere von einem Numerus zum anderen gewechselt werden, ohne dass dies einen Bedeutungsunterschied machen würde – hier etwa vom Plural („meine Feinde)“ zum Singular („in seinem Mund“).</w:t>
      </w:r>
    </w:p>
  </w:footnote>
  <w:footnote w:id="1626">
    <w:p>
      <w:pPr>
        <w:pStyle w:val="Funote"/>
        <w:rPr/>
      </w:pPr>
      <w:r>
        <w:rPr>
          <w:rStyle w:val="Funotenzeichen"/>
        </w:rPr>
        <w:footnoteRef/>
      </w:r>
      <w:r>
        <w:rPr/>
        <w:tab/>
        <w:t>sie sind böse - „Inneres, Eingeweide, Herz“ ist im Heb. häufiger ein Wechselbegriff für die Person selbst. Und Nomina wie „Verderben“ können im Hebräischen auch als prädikative Adjektive verwendet werden; so auch hier. Zur Bed. „böse“ vgl. CDCH, S. 87; Kön, S. 77. Das wörtliche „Ihr Inneres [ist] Verderben“ kann also sinngemäß meinen: „Sie sind (durch und durch) böse“.</w:t>
      </w:r>
    </w:p>
  </w:footnote>
  <w:footnote w:id="1627">
    <w:p>
      <w:pPr>
        <w:pStyle w:val="Funote"/>
        <w:rPr/>
      </w:pPr>
      <w:r>
        <w:rPr>
          <w:rStyle w:val="Funotenzeichen"/>
        </w:rPr>
        <w:footnoteRef/>
      </w:r>
      <w:r>
        <w:rPr/>
        <w:tab/>
        <w:t>Grab - Lautspiel: qereb „Inneres“ (10b) - qeber „Grab“. Das „Grab“ ist im Hebräischen eine häufige Metapher für den Tod; vgl. z.B. Ryken 1998, S. 350.</w:t>
      </w:r>
    </w:p>
  </w:footnote>
  <w:footnote w:id="1628">
    <w:p>
      <w:pPr>
        <w:pStyle w:val="Funote"/>
        <w:rPr/>
      </w:pPr>
      <w:r>
        <w:rPr>
          <w:rStyle w:val="Funotenzeichen"/>
        </w:rPr>
        <w:footnoteRef/>
      </w:r>
      <w:r>
        <w:rPr>
          <w:i/>
        </w:rPr>
        <w:tab/>
        <w:t>sie glätten ihre Zunge glätten</w:t>
      </w:r>
      <w:r>
        <w:rPr/>
        <w:t xml:space="preserve"> - Stehender Ausdruck für „sie sind Heuchler“; vgl. noch </w:t>
      </w:r>
      <w:r>
        <w:fldChar w:fldCharType="begin"/>
      </w:r>
      <w:r>
        <w:rPr>
          <w:rStyle w:val="Internetverknpfung"/>
        </w:rPr>
        <w:instrText> HYPERLINK "../../../../../../../../../wiki/Psalm_12" \l "s3"</w:instrText>
      </w:r>
      <w:r>
        <w:rPr>
          <w:rStyle w:val="Internetverknpfung"/>
        </w:rPr>
        <w:fldChar w:fldCharType="separate"/>
      </w:r>
      <w:r>
        <w:rPr>
          <w:rStyle w:val="Internetverknpfung"/>
        </w:rPr>
        <w:t>Ps 12,3</w:t>
      </w:r>
      <w:r>
        <w:rPr>
          <w:rStyle w:val="Internetverknpfung"/>
        </w:rPr>
        <w:fldChar w:fldCharType="end"/>
      </w:r>
      <w:r>
        <w:rPr/>
        <w:t xml:space="preserve">; </w:t>
      </w:r>
      <w:hyperlink r:id="rId55">
        <w:r>
          <w:rPr>
            <w:rStyle w:val="Internetverknpfung"/>
          </w:rPr>
          <w:t>55,22</w:t>
        </w:r>
      </w:hyperlink>
      <w:r>
        <w:rPr/>
        <w:t xml:space="preserve">; auch </w:t>
      </w:r>
      <w:r>
        <w:fldChar w:fldCharType="begin"/>
      </w:r>
      <w:r>
        <w:rPr>
          <w:rStyle w:val="Internetverknpfung"/>
        </w:rPr>
        <w:instrText> HYPERLINK "../../../../../../../../../wiki/R%C3%B6mer_3" \l "s13"</w:instrText>
      </w:r>
      <w:r>
        <w:rPr>
          <w:rStyle w:val="Internetverknpfung"/>
        </w:rPr>
        <w:fldChar w:fldCharType="separate"/>
      </w:r>
      <w:r>
        <w:rPr>
          <w:rStyle w:val="Internetverknpfung"/>
        </w:rPr>
        <w:t>Röm 3,13</w:t>
      </w:r>
      <w:r>
        <w:rPr>
          <w:rStyle w:val="Internetverknpfung"/>
        </w:rPr>
        <w:fldChar w:fldCharType="end"/>
      </w:r>
    </w:p>
  </w:footnote>
  <w:footnote w:id="1629">
    <w:p>
      <w:pPr>
        <w:pStyle w:val="Funote"/>
        <w:rPr/>
      </w:pPr>
      <w:r>
        <w:rPr>
          <w:rStyle w:val="Funotenzeichen"/>
        </w:rPr>
        <w:footnoteRef/>
      </w:r>
      <w:r>
        <w:rPr/>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30">
    <w:p>
      <w:pPr>
        <w:pStyle w:val="Funote"/>
        <w:rPr/>
      </w:pPr>
      <w:r>
        <w:rPr>
          <w:rStyle w:val="Funotenzeichen"/>
        </w:rPr>
        <w:footnoteRef/>
      </w:r>
      <w:r>
        <w:rPr/>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31">
    <w:p>
      <w:pPr>
        <w:pStyle w:val="Funote"/>
        <w:rPr/>
      </w:pPr>
      <w:r>
        <w:rPr>
          <w:rStyle w:val="Funotenzeichen"/>
        </w:rPr>
        <w:footnoteRef/>
      </w:r>
      <w:r>
        <w:rPr/>
        <w:tab/>
        <w:t>tFN: du wirst segnen (bist es, der segnen wird) - Hier steht ein scheinbar „überflüssiges“ Personalpronomen („Denn du, du segnest“). Möglich wären die Deutungen, (1) dass das Pronomen die Exklusivität der Segner-Rolle JHWHs markieren soll (vgl. BHRG §36.1.1.3i; gut dannB-R: „Denn du bists, der segnet den Bewährten“; Terrien 2003, S. 103: „For it is thou, Lord, who blessest...“), oder (2), dass das Pronomen lediglich der Unterstreichung des Fokuswechsels (vgl. JM §146.a.1+2) dient: Im vorherigen Vers ging es um die bei JHWH Zuflucht Suchenden; nun dagegen geht es um JHWH selbst. In diesem Falle sollte es in der Übersetzung einfach ausgespart werden. Die beiden folgenden Zeilen führen den Satz fort.</w:t>
      </w:r>
    </w:p>
  </w:footnote>
  <w:footnote w:id="1632">
    <w:p>
      <w:pPr>
        <w:pStyle w:val="Funote"/>
        <w:rPr/>
      </w:pPr>
      <w:r>
        <w:rPr>
          <w:rStyle w:val="Funotenzeichen"/>
        </w:rPr>
        <w:footnoteRef/>
      </w:r>
      <w:r>
        <w:rPr>
          <w:i/>
        </w:rPr>
        <w:tab/>
        <w:t>den Gerechten (die Gerechten)</w:t>
      </w:r>
      <w:r>
        <w:rPr/>
        <w:t xml:space="preserve"> - Ein sog. „generalisierender Singular“, der Pl.-Bed. hat, weshalb es dann auch heißen kann, dass Gott </w:t>
      </w:r>
      <w:r>
        <w:rPr>
          <w:i/>
        </w:rPr>
        <w:t>sie</w:t>
      </w:r>
      <w:r>
        <w:rPr/>
        <w:t xml:space="preserve"> schützen werde.</w:t>
      </w:r>
    </w:p>
  </w:footnote>
  <w:footnote w:id="1633">
    <w:p>
      <w:pPr>
        <w:pStyle w:val="Funote"/>
        <w:rPr/>
      </w:pPr>
      <w:r>
        <w:rPr>
          <w:rStyle w:val="Funotenzeichen"/>
        </w:rPr>
        <w:footnoteRef/>
      </w:r>
      <w:r>
        <w:rPr/>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34">
    <w:p>
      <w:pPr>
        <w:pStyle w:val="Funote"/>
        <w:rPr/>
      </w:pPr>
      <w:r>
        <w:rPr>
          <w:rStyle w:val="Funotenzeichen"/>
        </w:rPr>
        <w:footnoteRef/>
      </w:r>
      <w:r>
        <w:rPr/>
        <w:tab/>
        <w:t>JHWH</w:t>
      </w:r>
    </w:p>
  </w:footnote>
  <w:footnote w:id="1635">
    <w:p>
      <w:pPr>
        <w:pStyle w:val="Funote"/>
        <w:rPr/>
      </w:pPr>
      <w:r>
        <w:rPr>
          <w:rStyle w:val="Funotenzeichen"/>
        </w:rPr>
        <w:footnoteRef/>
      </w:r>
      <w:r>
        <w:rPr/>
        <w:tab/>
        <w:t>JHWH</w:t>
      </w:r>
    </w:p>
  </w:footnote>
  <w:footnote w:id="1636">
    <w:p>
      <w:pPr>
        <w:pStyle w:val="Funote"/>
        <w:rPr/>
      </w:pPr>
      <w:r>
        <w:rPr>
          <w:rStyle w:val="Funotenzeichen"/>
        </w:rPr>
        <w:footnoteRef/>
      </w:r>
      <w:r>
        <w:rPr/>
        <w:tab/>
        <w:t>JHWH</w:t>
      </w:r>
    </w:p>
  </w:footnote>
  <w:footnote w:id="1637">
    <w:p>
      <w:pPr>
        <w:pStyle w:val="Funote"/>
        <w:rPr/>
      </w:pPr>
      <w:r>
        <w:rPr>
          <w:rStyle w:val="Funotenzeichen"/>
        </w:rPr>
        <w:footnoteRef/>
      </w:r>
      <w:r>
        <w:rPr/>
        <w:tab/>
        <w:t>JHWH</w:t>
      </w:r>
    </w:p>
  </w:footnote>
  <w:footnote w:id="1638">
    <w:p>
      <w:pPr>
        <w:pStyle w:val="Funote"/>
        <w:rPr/>
      </w:pPr>
      <w:r>
        <w:rPr>
          <w:rStyle w:val="Funotenzeichen"/>
        </w:rPr>
        <w:footnoteRef/>
      </w:r>
      <w:r>
        <w:rPr/>
        <w:tab/>
        <w:t>JHWH</w:t>
      </w:r>
    </w:p>
  </w:footnote>
  <w:footnote w:id="1639">
    <w:p>
      <w:pPr>
        <w:pStyle w:val="Funote"/>
        <w:rPr/>
      </w:pPr>
      <w:r>
        <w:rPr>
          <w:rStyle w:val="Funotenzeichen"/>
        </w:rPr>
        <w:footnoteRef/>
      </w:r>
      <w:r>
        <w:rPr/>
        <w:tab/>
        <w:t>JHWH</w:t>
      </w:r>
    </w:p>
  </w:footnote>
  <w:footnote w:id="1640">
    <w:p>
      <w:pPr>
        <w:pStyle w:val="Funote"/>
        <w:rPr/>
      </w:pPr>
      <w:r>
        <w:rPr>
          <w:rStyle w:val="Funotenzeichen"/>
        </w:rPr>
        <w:footnoteRef/>
      </w:r>
      <w:r>
        <w:rPr/>
        <w:tab/>
        <w:t>JHWH</w:t>
      </w:r>
    </w:p>
  </w:footnote>
  <w:footnote w:id="1641">
    <w:p>
      <w:pPr>
        <w:pStyle w:val="Funote"/>
        <w:rPr/>
      </w:pPr>
      <w:r>
        <w:rPr>
          <w:rStyle w:val="Funotenzeichen"/>
        </w:rPr>
        <w:footnoteRef/>
      </w:r>
      <w:r>
        <w:rPr/>
        <w:tab/>
        <w:t>[Status: Zuverlässig]</w:t>
      </w:r>
    </w:p>
  </w:footnote>
  <w:footnote w:id="1642">
    <w:p>
      <w:pPr>
        <w:pStyle w:val="Funote"/>
        <w:rPr/>
      </w:pPr>
      <w:r>
        <w:rPr>
          <w:rStyle w:val="Funotenzeichen"/>
        </w:rPr>
        <w:footnoteRef/>
      </w:r>
      <w:r>
        <w:rPr/>
        <w:tab/>
        <w:t>Für den Chorleiter + Zum Seitenspiel + Bassstimmen - Wie bei den meisten Psalmen sind auch hier die Bedeutungen der Begriffe im Titel unklar; die Primärübersetzungen sind die, die sich am häufigsten in den dt. Üss. finden.Die heb. Entsprechung der Üs. „von Bassstimmen“ findet sich auch im Titel von Ps 12,1.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w:t>
      </w:r>
    </w:p>
  </w:footnote>
  <w:footnote w:id="1643">
    <w:p>
      <w:pPr>
        <w:pStyle w:val="Funote"/>
        <w:rPr/>
      </w:pPr>
      <w:r>
        <w:rPr>
          <w:rStyle w:val="Funotenzeichen"/>
        </w:rPr>
        <w:footnoteRef/>
      </w:r>
      <w:r>
        <w:rPr/>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44">
    <w:p>
      <w:pPr>
        <w:pStyle w:val="Funote"/>
        <w:rPr/>
      </w:pPr>
      <w:r>
        <w:rPr>
          <w:rStyle w:val="Funotenzeichen"/>
        </w:rPr>
        <w:footnoteRef/>
      </w:r>
      <w:r>
        <w:rPr>
          <w:i/>
        </w:rPr>
        <w:tab/>
        <w:t>schwach</w:t>
      </w:r>
      <w:r>
        <w:rPr/>
        <w:t xml:space="preserve"> - Viele Üss. und Lexika: „welk“, aber das wäre überwörtlich (wenn denn „welken“ überhaupt wirklich die Primärbedeutung von </w:t>
      </w:r>
      <w:r>
        <w:rPr>
          <w:i/>
        </w:rPr>
        <w:t>amal</w:t>
      </w:r>
      <w:r>
        <w:rPr/>
        <w:t xml:space="preserve"> ist). Besser trifft die Bedeutung sinngemäß wohl ein wörtlich verstandenes „todtraurig“, „so traurig, dass ich dem Tode nahe bin“; s. z.B. </w:t>
      </w:r>
      <w:hyperlink r:id="rId56">
        <w:r>
          <w:rPr>
            <w:rStyle w:val="Internetverknpfung"/>
          </w:rPr>
          <w:t>Jes 24,4.7</w:t>
        </w:r>
      </w:hyperlink>
      <w:r>
        <w:rPr/>
        <w:t>: „</w:t>
      </w:r>
      <w:r>
        <w:rPr>
          <w:i/>
        </w:rPr>
        <w:t xml:space="preserve">Es trauert und verdorrt die Erde; es </w:t>
      </w:r>
      <w:r>
        <w:rPr/>
        <w:t xml:space="preserve">amal </w:t>
      </w:r>
      <w:r>
        <w:rPr>
          <w:i/>
        </w:rPr>
        <w:t xml:space="preserve">und verdorrt die Welt; es </w:t>
      </w:r>
      <w:r>
        <w:rPr/>
        <w:t xml:space="preserve">amal </w:t>
      </w:r>
      <w:r>
        <w:rPr>
          <w:i/>
        </w:rPr>
        <w:t xml:space="preserve">die Höhen der Erde. ... Es trauert die Rebe, es </w:t>
      </w:r>
      <w:r>
        <w:rPr/>
        <w:t xml:space="preserve">amal </w:t>
      </w:r>
      <w:r>
        <w:rPr>
          <w:i/>
        </w:rPr>
        <w:t>der Wein; es seufzen alle, die fröhlichen Herzens [waren].</w:t>
      </w:r>
      <w:r>
        <w:rPr/>
        <w:t xml:space="preserve">“; </w:t>
      </w:r>
      <w:hyperlink r:id="rId57">
        <w:r>
          <w:rPr>
            <w:rStyle w:val="Internetverknpfung"/>
          </w:rPr>
          <w:t>Hos 4,3</w:t>
        </w:r>
      </w:hyperlink>
      <w:r>
        <w:rPr/>
        <w:t>: „</w:t>
      </w:r>
      <w:r>
        <w:rPr>
          <w:i/>
        </w:rPr>
        <w:t xml:space="preserve">Deshalb wird trauern das Land und es </w:t>
      </w:r>
      <w:r>
        <w:rPr/>
        <w:t xml:space="preserve">amal </w:t>
      </w:r>
      <w:r>
        <w:rPr>
          <w:i/>
        </w:rPr>
        <w:t>alle, die darin wohnen. Die Tiere des Feldes, die Vögel des Himmels und die Fische des Meeres werden dahingerafft.</w:t>
      </w:r>
      <w:r>
        <w:rPr/>
        <w:t>“ u.ö.</w:t>
      </w:r>
    </w:p>
  </w:footnote>
  <w:footnote w:id="1645">
    <w:p>
      <w:pPr>
        <w:pStyle w:val="Funote"/>
        <w:rPr/>
      </w:pPr>
      <w:r>
        <w:rPr>
          <w:rStyle w:val="Funotenzeichen"/>
        </w:rPr>
        <w:footnoteRef/>
      </w:r>
      <w:r>
        <w:rPr/>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w:t>
      </w:r>
    </w:p>
  </w:footnote>
  <w:footnote w:id="1646">
    <w:p>
      <w:pPr>
        <w:pStyle w:val="Funote"/>
        <w:rPr/>
      </w:pPr>
      <w:r>
        <w:rPr>
          <w:rStyle w:val="Funotenzeichen"/>
        </w:rPr>
        <w:footnoteRef/>
      </w:r>
      <w:r>
        <w:rPr/>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47">
    <w:p>
      <w:pPr>
        <w:pStyle w:val="Funote"/>
        <w:rPr/>
      </w:pPr>
      <w:r>
        <w:rPr>
          <w:rStyle w:val="Funotenzeichen"/>
        </w:rPr>
        <w:footnoteRef/>
      </w:r>
      <w:r>
        <w:rPr/>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48">
    <w:p>
      <w:pPr>
        <w:pStyle w:val="Funote"/>
        <w:rPr/>
      </w:pPr>
      <w:r>
        <w:rPr>
          <w:rStyle w:val="Funotenzeichen"/>
        </w:rPr>
        <w:footnoteRef/>
      </w:r>
      <w:r>
        <w:rPr/>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49">
    <w:p>
      <w:pPr>
        <w:pStyle w:val="Funote"/>
        <w:rPr/>
      </w:pPr>
      <w:r>
        <w:rPr>
          <w:rStyle w:val="Funotenzeichen"/>
        </w:rPr>
        <w:footnoteRef/>
      </w:r>
      <w:r>
        <w:rPr>
          <w:i/>
        </w:rPr>
        <w:tab/>
        <w:t>meine Seele (mich)</w:t>
      </w:r>
      <w:r>
        <w:rPr/>
        <w:t xml:space="preserve"> - „Seele“ im Heb. fast stets Wechselbegriff für „Ich“; übersetze: „Rette </w:t>
      </w:r>
      <w:r>
        <w:rPr>
          <w:i/>
        </w:rPr>
        <w:t>mich</w:t>
      </w:r>
      <w:r>
        <w:rPr/>
        <w:t>!“</w:t>
      </w:r>
    </w:p>
  </w:footnote>
  <w:footnote w:id="1650">
    <w:p>
      <w:pPr>
        <w:pStyle w:val="Funote"/>
        <w:rPr/>
      </w:pPr>
      <w:r>
        <w:rPr>
          <w:rStyle w:val="Funotenzeichen"/>
        </w:rPr>
        <w:footnoteRef/>
      </w:r>
      <w:r>
        <w:rPr/>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51">
    <w:p>
      <w:pPr>
        <w:pStyle w:val="Funote"/>
        <w:rPr/>
      </w:pPr>
      <w:r>
        <w:rPr>
          <w:rStyle w:val="Funotenzeichen"/>
        </w:rPr>
        <w:footnoteRef/>
      </w:r>
      <w:r>
        <w:rPr>
          <w:i/>
        </w:rPr>
        <w:tab/>
        <w:t>Totenreich</w:t>
      </w:r>
      <w:r>
        <w:rPr/>
        <w:t xml:space="preserve"> + </w:t>
      </w:r>
      <w:r>
        <w:rPr>
          <w:i/>
        </w:rPr>
        <w:t>Scheol</w:t>
      </w:r>
      <w:r>
        <w:rPr/>
        <w:t>: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w:t>
      </w:r>
    </w:p>
  </w:footnote>
  <w:footnote w:id="1652">
    <w:p>
      <w:pPr>
        <w:pStyle w:val="Funote"/>
        <w:rPr/>
      </w:pPr>
      <w:r>
        <w:rPr>
          <w:rStyle w:val="Funotenzeichen"/>
        </w:rPr>
        <w:footnoteRef/>
      </w:r>
      <w:r>
        <w:rPr/>
        <w:tab/>
        <w:t>Zum Argument in V. 6, JHWH möge doch den Psalmisten retten, weil er mit dessen Tod ja einen Anbeter verlöre, s. z.B. Ps 30,10; 88,11-13; Jes 38,17f) und das Argument wird in Jes 48,9-11 sogar ähnlich von JHWH selbst angewandt.</w:t>
      </w:r>
    </w:p>
  </w:footnote>
  <w:footnote w:id="1653">
    <w:p>
      <w:pPr>
        <w:pStyle w:val="Funote"/>
        <w:rPr/>
      </w:pPr>
      <w:r>
        <w:rPr>
          <w:rStyle w:val="Funotenzeichen"/>
        </w:rPr>
        <w:footnoteRef/>
      </w:r>
      <w:r>
        <w:rPr/>
        <w:tab/>
        <w:t>tFN: Schluchzen trifft es besser als das häufig gefundene „Seufzen“. Sowohl beim Verb als auch beim Nomen passt diese Bedeutung an sämtlichen Stellen wesentlich besser. So z. St. Dahood 1965; Houston/Moore/Waltke 2014; BBE, EVD, NCV, NLT.</w:t>
      </w:r>
    </w:p>
  </w:footnote>
  <w:footnote w:id="1654">
    <w:p>
      <w:pPr>
        <w:pStyle w:val="Funote"/>
        <w:rPr/>
      </w:pPr>
      <w:r>
        <w:rPr>
          <w:rStyle w:val="Funotenzeichen"/>
        </w:rPr>
        <w:footnoteRef/>
      </w:r>
      <w:r>
        <w:rPr/>
        <w:tab/>
        <w:t>tFN: überflute (lasse schwimmen) + weiche auf - zur Deutung der Bedeutung des ersten Verbs als „überfluten“ statt „schwimmen lassen“ vgl. Bosworth 2013, S. 39; von Soden 1991, S. 165f; zur Deutung des zweiten Verbs als „aufweichen“ von Soden 1991, S. 166.</w:t>
      </w:r>
    </w:p>
  </w:footnote>
  <w:footnote w:id="1655">
    <w:p>
      <w:pPr>
        <w:pStyle w:val="Funote"/>
        <w:rPr/>
      </w:pPr>
      <w:r>
        <w:rPr>
          <w:rStyle w:val="Funotenzeichen"/>
        </w:rPr>
        <w:footnoteRef/>
      </w:r>
      <w:r>
        <w:rPr/>
        <w:tab/>
        <w:t>tFN: jede Nacht statt „die ganze Nacht“; diese iterative Deutung fordert die Verbform (Yiqtol).</w:t>
      </w:r>
    </w:p>
  </w:footnote>
  <w:footnote w:id="1656">
    <w:p>
      <w:pPr>
        <w:pStyle w:val="Funote"/>
        <w:rPr/>
      </w:pPr>
      <w:r>
        <w:rPr>
          <w:rStyle w:val="Funotenzeichen"/>
        </w:rPr>
        <w:footnoteRef/>
      </w:r>
      <w:r>
        <w:rPr/>
        <w:tab/>
        <w:t>tFN: [mit meinen Tränen] - Brachylogie aus Zeile 3; vgl. auch Goldingay 2006, S. 138.</w:t>
      </w:r>
    </w:p>
  </w:footnote>
  <w:footnote w:id="1657">
    <w:p>
      <w:pPr>
        <w:pStyle w:val="Funote"/>
        <w:rPr/>
      </w:pPr>
      <w:r>
        <w:rPr>
          <w:rStyle w:val="Funotenzeichen"/>
        </w:rPr>
        <w:footnoteRef/>
      </w:r>
      <w:r>
        <w:rPr/>
        <w:tab/>
        <w:t>tFN: [jede Nacht] - Brachylogie aus Zeile 2; vgl. auch Goldingay 2006, S. 138.</w:t>
      </w:r>
    </w:p>
  </w:footnote>
  <w:footnote w:id="1658">
    <w:p>
      <w:pPr>
        <w:pStyle w:val="Funote"/>
        <w:rPr/>
      </w:pPr>
      <w:r>
        <w:rPr>
          <w:rStyle w:val="Funotenzeichen"/>
        </w:rPr>
        <w:footnoteRef/>
      </w:r>
      <w:r>
        <w:rPr/>
        <w:tab/>
        <w:t>Schwach geworden (dunkel geworden, geeitert, angeschwollen, hochmütig?) - Bed. unsicher (-&gt; Tris legomenon); sonst nur noch in Ps 31,10f. Für eine Übersicht über ältere Deutungen vgl. Zolli 1951; am sinnvollsten abzuleiten von arab. ghatha („dünn/schwach werden; eitern“; vgl. z.B. Klein 1987, S. 489); daher: „Mein Auge ist schwach geworden (ZLH 635) / geeitert (Lambert 1899, S. 1899, S. 393)“. Zum Sinn vgl. FN j zu Ps 13,5.</w:t>
      </w:r>
    </w:p>
  </w:footnote>
  <w:footnote w:id="1659">
    <w:p>
      <w:pPr>
        <w:pStyle w:val="Funote"/>
        <w:rPr/>
      </w:pPr>
      <w:r>
        <w:rPr>
          <w:rStyle w:val="Funotenzeichen"/>
        </w:rPr>
        <w:footnoteRef/>
      </w:r>
      <w:r>
        <w:rPr/>
        <w:tab/>
        <w:t>tFN: meine Augen - W. „mein Auge“; kollektiver Singular, vgl. z.B. Houston/Moore/Waltke 2014, S. 51.</w:t>
      </w:r>
    </w:p>
  </w:footnote>
  <w:footnote w:id="1660">
    <w:p>
      <w:pPr>
        <w:pStyle w:val="Funote"/>
        <w:rPr/>
      </w:pPr>
      <w:r>
        <w:rPr>
          <w:rStyle w:val="Funotenzeichen"/>
        </w:rPr>
        <w:footnoteRef/>
      </w:r>
      <w:r>
        <w:rPr/>
        <w:tab/>
        <w:t>Textkritik: ich bin gealtert wegen (sie sind gealtert wegen) - Heb. „sie sind gealtert“; die Rede von den „gealterten Augen“ aber ist recht schwierig. Viele übersetzen daher freier als „sind schwach/matt geworden“ (vgl. auch hier zum Sinn FN j zu Ps 13,5), was aber wohl nicht in der Wortbedeutung liegen kann. LXX, Syr, Aq, Sym, Hier hatten offenbar einheitlich stattdessen den Text „ich bin gealtert“ vorliegen; diese Lesart ist sicher vorzuziehen.</w:t>
      </w:r>
    </w:p>
  </w:footnote>
  <w:footnote w:id="1661">
    <w:p>
      <w:pPr>
        <w:pStyle w:val="Funote"/>
        <w:rPr/>
      </w:pPr>
      <w:r>
        <w:rPr>
          <w:rStyle w:val="Funotenzeichen"/>
        </w:rPr>
        <w:footnoteRef/>
      </w:r>
      <w:r>
        <w:rPr>
          <w:i/>
        </w:rPr>
        <w:tab/>
        <w:t>Frevler</w:t>
      </w:r>
      <w:r>
        <w:rPr/>
        <w:t xml:space="preserve"> - stehende Wendung im Hebräischen; W.: „alle Tuenden von Frevel“.</w:t>
        <w:br/>
        <w:t>Erst in diesem Vers wird offenbar, was eigentlich genau das Leid ist, das der Beter die vorigen acht Verse hindurch beklagt hat: Er wird von frevlerischen Feinden bedrängt.</w:t>
      </w:r>
    </w:p>
  </w:footnote>
  <w:footnote w:id="1662">
    <w:p>
      <w:pPr>
        <w:pStyle w:val="Funote"/>
        <w:rPr/>
      </w:pPr>
      <w:r>
        <w:rPr>
          <w:rStyle w:val="Funotenzeichen"/>
        </w:rPr>
        <w:footnoteRef/>
      </w:r>
      <w:r>
        <w:rPr/>
        <w:tab/>
        <w:t>tFN: {Ja!,} (denn) - emphatisches ki, im Dt. nicht zu übersetzen.</w:t>
      </w:r>
    </w:p>
  </w:footnote>
  <w:footnote w:id="1663">
    <w:p>
      <w:pPr>
        <w:pStyle w:val="Funote"/>
        <w:rPr/>
      </w:pPr>
      <w:r>
        <w:rPr>
          <w:rStyle w:val="Funotenzeichen"/>
        </w:rPr>
        <w:footnoteRef/>
      </w:r>
      <w:r>
        <w:rPr>
          <w:i/>
        </w:rPr>
        <w:tab/>
        <w:t>Klang meines Weinens</w:t>
      </w:r>
      <w:r>
        <w:rPr/>
        <w:t xml:space="preserve"> + </w:t>
      </w:r>
      <w:r>
        <w:rPr>
          <w:i/>
        </w:rPr>
        <w:t>Bitten</w:t>
      </w:r>
      <w:r>
        <w:rPr/>
        <w:t xml:space="preserve"> + </w:t>
      </w:r>
      <w:r>
        <w:rPr>
          <w:i/>
        </w:rPr>
        <w:t>Gebet (Bittgebet)</w:t>
      </w:r>
      <w:r>
        <w:rPr/>
        <w:t xml:space="preserve"> - Die Aufeinanderfolge dieser drei Begriffe verdichtet eine Progression von unartikuliert nach artikuliert: </w:t>
      </w:r>
      <w:r>
        <w:rPr>
          <w:i/>
        </w:rPr>
        <w:t>qol</w:t>
      </w:r>
      <w:r>
        <w:rPr/>
        <w:t xml:space="preserve"> („Klang“) bezeichnet primär das rein Akustische (das „Geräusch“) – der „Klang des Weinens“ sind also die unartikulierten Klagelaute –; </w:t>
      </w:r>
      <w:r>
        <w:rPr>
          <w:i/>
        </w:rPr>
        <w:t>tehinna</w:t>
      </w:r>
      <w:r>
        <w:rPr/>
        <w:t xml:space="preserve"> („Bitten“) meint den Akt der flehenden Hinwendung im Gebet und </w:t>
      </w:r>
      <w:r>
        <w:rPr>
          <w:i/>
        </w:rPr>
        <w:t>täfilla</w:t>
      </w:r>
      <w:r>
        <w:rPr/>
        <w:t xml:space="preserve"> ist eine Psalm</w:t>
      </w:r>
      <w:r>
        <w:rPr>
          <w:i/>
        </w:rPr>
        <w:t>gattung</w:t>
      </w:r>
      <w:r>
        <w:rPr/>
        <w:t xml:space="preserve"> – das „Bitt-/Klagegebet“.</w:t>
      </w:r>
    </w:p>
  </w:footnote>
  <w:footnote w:id="1664">
    <w:p>
      <w:pPr>
        <w:pStyle w:val="Funote"/>
        <w:rPr/>
      </w:pPr>
      <w:r>
        <w:rPr>
          <w:rStyle w:val="Funotenzeichen"/>
        </w:rPr>
        <w:footnoteRef/>
      </w:r>
      <w:r>
        <w:rPr/>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65">
    <w:p>
      <w:pPr>
        <w:pStyle w:val="Funote"/>
        <w:rPr/>
      </w:pPr>
      <w:r>
        <w:rPr>
          <w:rStyle w:val="Funotenzeichen"/>
        </w:rPr>
        <w:footnoteRef/>
      </w:r>
      <w:r>
        <w:rPr/>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66">
    <w:p>
      <w:pPr>
        <w:pStyle w:val="Funote"/>
        <w:rPr/>
      </w:pPr>
      <w:r>
        <w:rPr>
          <w:rStyle w:val="Funotenzeichen"/>
        </w:rPr>
        <w:footnoteRef/>
      </w:r>
      <w:r>
        <w:rPr/>
        <w:tab/>
        <w:t>JHWH</w:t>
      </w:r>
    </w:p>
  </w:footnote>
  <w:footnote w:id="1667">
    <w:p>
      <w:pPr>
        <w:pStyle w:val="Funote"/>
        <w:rPr/>
      </w:pPr>
      <w:r>
        <w:rPr>
          <w:rStyle w:val="Funotenzeichen"/>
        </w:rPr>
        <w:footnoteRef/>
      </w:r>
      <w:r>
        <w:rPr/>
        <w:tab/>
        <w:t>[Beide Vorstellungen sind häufig miteinander verknüpft; vgl. z.B. Seybold 1984, S. 464f. und s. z.B. Ps 26,1; 35,22-25; Jer 11,16-20; 25,29-31; Ez 7,27; 18,30.]</w:t>
      </w:r>
    </w:p>
  </w:footnote>
  <w:footnote w:id="1668">
    <w:p>
      <w:pPr>
        <w:pStyle w:val="Funote"/>
        <w:rPr/>
      </w:pPr>
      <w:r>
        <w:rPr>
          <w:rStyle w:val="Funotenzeichen"/>
        </w:rPr>
        <w:footnoteRef/>
      </w:r>
      <w:r>
        <w:rPr/>
        <w:tab/>
        <w:t>JHWH</w:t>
      </w:r>
    </w:p>
  </w:footnote>
  <w:footnote w:id="1669">
    <w:p>
      <w:pPr>
        <w:pStyle w:val="Funote"/>
        <w:rPr/>
      </w:pPr>
      <w:r>
        <w:rPr>
          <w:rStyle w:val="Funotenzeichen"/>
        </w:rPr>
        <w:footnoteRef/>
      </w:r>
      <w:r>
        <w:rPr/>
        <w:tab/>
        <w:t>JHWH</w:t>
      </w:r>
    </w:p>
  </w:footnote>
  <w:footnote w:id="1670">
    <w:p>
      <w:pPr>
        <w:pStyle w:val="Funote"/>
        <w:rPr/>
      </w:pPr>
      <w:r>
        <w:rPr>
          <w:rStyle w:val="Funotenzeichen"/>
        </w:rPr>
        <w:footnoteRef/>
      </w:r>
      <w:r>
        <w:rPr/>
        <w:tab/>
        <w:t>[Status: Zuverlässig]</w:t>
      </w:r>
    </w:p>
  </w:footnote>
  <w:footnote w:id="1671">
    <w:p>
      <w:pPr>
        <w:pStyle w:val="Funote"/>
        <w:rPr/>
      </w:pPr>
      <w:r>
        <w:rPr>
          <w:rStyle w:val="Funotenzeichen"/>
        </w:rPr>
        <w:footnoteRef/>
      </w:r>
      <w:r>
        <w:rPr>
          <w:i/>
        </w:rPr>
        <w:tab/>
        <w:t>Shiggajon</w:t>
      </w:r>
      <w:r>
        <w:rPr/>
        <w:t xml:space="preserve"> - Bedeutung unbekannt. Das Wort findet sich sonst nur noch in </w:t>
      </w:r>
      <w:hyperlink r:id="rId58">
        <w:r>
          <w:rPr>
            <w:rStyle w:val="Internetverknpfung"/>
          </w:rPr>
          <w:t>Hab 3,1</w:t>
        </w:r>
      </w:hyperlink>
      <w:r>
        <w:rPr/>
        <w:t xml:space="preserve">. Viele leiten die Bedeutung vom akkadischen </w:t>
      </w:r>
      <w:r>
        <w:rPr>
          <w:i/>
        </w:rPr>
        <w:t>schigû</w:t>
      </w:r>
      <w:r>
        <w:rPr/>
        <w:t xml:space="preserve"> („Klageruf“) ab und übersetzen mit „Klagelied“, doch in Hab 3,1 passt diese Bedeutung nicht.</w:t>
      </w:r>
    </w:p>
  </w:footnote>
  <w:footnote w:id="1672">
    <w:p>
      <w:pPr>
        <w:pStyle w:val="Funote"/>
        <w:rPr/>
      </w:pPr>
      <w:r>
        <w:rPr>
          <w:rStyle w:val="Funotenzeichen"/>
        </w:rPr>
        <w:footnoteRef/>
      </w:r>
      <w:r>
        <w:rPr>
          <w:i/>
        </w:rPr>
        <w:tab/>
        <w:t>Kuschs, des Benjaminiten</w:t>
      </w:r>
      <w:r>
        <w:rPr/>
        <w:t xml:space="preserve"> - Ein Benjaminiter mit Namen Kusch ist in der Bibel unbekannt. Die Überschrift bezieht sich wohl auf eine nicht mehr erhaltene Davidslegende.</w:t>
      </w:r>
    </w:p>
  </w:footnote>
  <w:footnote w:id="1673">
    <w:p>
      <w:pPr>
        <w:pStyle w:val="Funote"/>
        <w:rPr/>
      </w:pPr>
      <w:r>
        <w:rPr>
          <w:rStyle w:val="Funotenzeichen"/>
        </w:rPr>
        <w:footnoteRef/>
      </w:r>
      <w:r>
        <w:rPr/>
        <w:tab/>
        <w:t>er - gemeint sind die Verfolger. Das Heb. kann v.a. in Poesie unvermittelt von einem Numerus zum anderen wechseln („N-Shift“), ohne dass dies einen Bedeutungsunterschied machen würde. Im Dt. muss mit Plural übertragen werden.</w:t>
      </w:r>
    </w:p>
  </w:footnote>
  <w:footnote w:id="1674">
    <w:p>
      <w:pPr>
        <w:pStyle w:val="Funote"/>
        <w:rPr/>
      </w:pPr>
      <w:r>
        <w:rPr>
          <w:rStyle w:val="Funotenzeichen"/>
        </w:rPr>
        <w:footnoteRef/>
      </w:r>
      <w:r>
        <w:rPr>
          <w:i/>
        </w:rPr>
        <w:tab/>
        <w:t>meine Seele (mich)</w:t>
      </w:r>
      <w:r>
        <w:rPr/>
        <w:t xml:space="preserve"> - „meine Seele“ ist im Heb. fast stets ein Wechselbegriff für „ich“; so auch hier.</w:t>
      </w:r>
    </w:p>
  </w:footnote>
  <w:footnote w:id="1675">
    <w:p>
      <w:pPr>
        <w:pStyle w:val="Funote"/>
        <w:rPr/>
      </w:pPr>
      <w:r>
        <w:rPr>
          <w:rStyle w:val="Funotenzeichen"/>
        </w:rPr>
        <w:footnoteRef/>
      </w:r>
      <w:r>
        <w:rPr/>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76">
    <w:p>
      <w:pPr>
        <w:pStyle w:val="Funote"/>
        <w:rPr/>
      </w:pPr>
      <w:r>
        <w:rPr>
          <w:rStyle w:val="Funotenzeichen"/>
        </w:rPr>
        <w:footnoteRef/>
      </w:r>
      <w:r>
        <w:rPr/>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77">
    <w:p>
      <w:pPr>
        <w:pStyle w:val="Funote"/>
        <w:rPr/>
      </w:pPr>
      <w:r>
        <w:rPr>
          <w:rStyle w:val="Funotenzeichen"/>
        </w:rPr>
        <w:footnoteRef/>
      </w:r>
      <w:r>
        <w:rPr/>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78">
    <w:p>
      <w:pPr>
        <w:pStyle w:val="Funote"/>
        <w:rPr/>
      </w:pPr>
      <w:r>
        <w:rPr>
          <w:rStyle w:val="Funotenzeichen"/>
        </w:rPr>
        <w:footnoteRef/>
      </w:r>
      <w:r>
        <w:rPr>
          <w:i/>
        </w:rPr>
        <w:tab/>
        <w:t>dem, der</w:t>
      </w:r>
      <w:r>
        <w:rPr/>
        <w:t xml:space="preserve"> - gemeint sind mit dem Sg. wieder die vielen Verfolger, s. die nächste Zeile und vgl. </w:t>
      </w:r>
      <w:r>
        <w:fldChar w:fldCharType="begin"/>
      </w:r>
      <w:r>
        <w:rPr>
          <w:rStyle w:val="Internetverknpfung"/>
        </w:rPr>
        <w:instrText> HYPERLINK "http://offene-bibel.de/mediawiki/index.php?title=Psalm_7" \l "note_c"</w:instrText>
      </w:r>
      <w:r>
        <w:rPr>
          <w:rStyle w:val="Internetverknpfung"/>
        </w:rPr>
        <w:fldChar w:fldCharType="separate"/>
      </w:r>
      <w:r>
        <w:rPr>
          <w:rStyle w:val="Internetverknpfung"/>
        </w:rPr>
        <w:t>FN c</w:t>
      </w:r>
      <w:r>
        <w:rPr>
          <w:rStyle w:val="Internetverknpfung"/>
        </w:rPr>
        <w:fldChar w:fldCharType="end"/>
      </w:r>
    </w:p>
  </w:footnote>
  <w:footnote w:id="1679">
    <w:p>
      <w:pPr>
        <w:pStyle w:val="Funote"/>
        <w:rPr/>
      </w:pPr>
      <w:r>
        <w:rPr>
          <w:rStyle w:val="Funotenzeichen"/>
        </w:rPr>
        <w:footnoteRef/>
      </w:r>
      <w:r>
        <w:rPr/>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80">
    <w:p>
      <w:pPr>
        <w:pStyle w:val="Funote"/>
        <w:rPr/>
      </w:pPr>
      <w:r>
        <w:rPr>
          <w:rStyle w:val="Funotenzeichen"/>
        </w:rPr>
        <w:footnoteRef/>
      </w:r>
      <w:r>
        <w:rPr>
          <w:i/>
        </w:rPr>
        <w:tab/>
        <w:t>mich</w:t>
      </w:r>
      <w:r>
        <w:rPr/>
        <w:t xml:space="preserve"> - „Seele“ und „Ehre“ sind in den Psalmen häufig nur Wechselbegriffe für „ich“; so auch hier.</w:t>
      </w:r>
    </w:p>
  </w:footnote>
  <w:footnote w:id="1681">
    <w:p>
      <w:pPr>
        <w:pStyle w:val="Funote"/>
        <w:rPr/>
      </w:pPr>
      <w:r>
        <w:rPr>
          <w:rStyle w:val="Funotenzeichen"/>
        </w:rPr>
        <w:footnoteRef/>
      </w:r>
      <w:r>
        <w:rPr/>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82">
    <w:p>
      <w:pPr>
        <w:pStyle w:val="Funote"/>
        <w:rPr/>
      </w:pPr>
      <w:r>
        <w:rPr>
          <w:rStyle w:val="Funotenzeichen"/>
        </w:rPr>
        <w:footnoteRef/>
      </w:r>
      <w:r>
        <w:rPr/>
        <w:tab/>
        <w:t xml:space="preserve">Die Bedeutung von </w:t>
      </w:r>
      <w:r>
        <w:rPr>
          <w:i/>
        </w:rPr>
        <w:t>Selah</w:t>
      </w:r>
      <w:r>
        <w:rPr/>
        <w:t xml:space="preserve"> ist unklar, s. Lexikon / Lemma </w:t>
      </w:r>
      <w:hyperlink r:id="rId59">
        <w:r>
          <w:rPr>
            <w:rStyle w:val="Internetverknpfung"/>
            <w:rtl w:val="true"/>
            <w:lang w:bidi="he-IL"/>
          </w:rPr>
          <w:t>סֶלַה</w:t>
        </w:r>
      </w:hyperlink>
      <w:r>
        <w:rPr/>
        <w:t>. In der LF sollte es daher besser ausgespart werden.</w:t>
      </w:r>
    </w:p>
  </w:footnote>
  <w:footnote w:id="1683">
    <w:p>
      <w:pPr>
        <w:pStyle w:val="Funote"/>
        <w:rPr/>
      </w:pPr>
      <w:r>
        <w:rPr>
          <w:rStyle w:val="Funotenzeichen"/>
        </w:rPr>
        <w:footnoteRef/>
      </w:r>
      <w:r>
        <w:rPr>
          <w:i/>
        </w:rPr>
        <w:tab/>
        <w:t>erwache</w:t>
      </w:r>
      <w:r>
        <w:rPr/>
        <w:t xml:space="preserve"> - Hinter diesem häufigen Aufruf steht die Vorstellung, dass - da einerseits ja Gott die ganze Welt lenkt und leitet, andererseits aber offensichtlich gerade ein Unrecht geschieht - Gott aktuell „inaktiv“ sein muss (vgl. näher z.B. </w:t>
      </w:r>
      <w:r>
        <w:fldChar w:fldCharType="begin"/>
      </w:r>
      <w:r>
        <w:rPr>
          <w:rStyle w:val="Internetverknpfung"/>
        </w:rPr>
        <w:instrText> HYPERLINK "http://www.bibelwissenschaft.de/stichwort/26737/" \l "h2"</w:instrText>
      </w:r>
      <w:r>
        <w:rPr>
          <w:rStyle w:val="Internetverknpfung"/>
        </w:rPr>
        <w:fldChar w:fldCharType="separate"/>
      </w:r>
      <w:r>
        <w:rPr>
          <w:rStyle w:val="Internetverknpfung"/>
        </w:rPr>
        <w:t>Schlaf (Wibilex)</w:t>
      </w:r>
      <w:r>
        <w:rPr>
          <w:rStyle w:val="Internetverknpfung"/>
        </w:rPr>
        <w:fldChar w:fldCharType="end"/>
      </w:r>
      <w:r>
        <w:rPr/>
        <w:t xml:space="preserve">). Ob dies „schlafen“ wirklich </w:t>
      </w:r>
      <w:r>
        <w:rPr>
          <w:i/>
        </w:rPr>
        <w:t>nur</w:t>
      </w:r>
      <w:r>
        <w:rPr/>
        <w:t xml:space="preserve"> eine Metapher für die Inaktivität Gottes ist, oder ob die Vorstellung tatsächlich wörtlich genommen werden muss, lässt sich heute nicht mehr sagen.</w:t>
      </w:r>
    </w:p>
  </w:footnote>
  <w:footnote w:id="1684">
    <w:p>
      <w:pPr>
        <w:pStyle w:val="Funote"/>
        <w:rPr/>
      </w:pPr>
      <w:r>
        <w:rPr>
          <w:rStyle w:val="Funotenzeichen"/>
        </w:rPr>
        <w:footnoteRef/>
      </w:r>
      <w:r>
        <w:rPr/>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85">
    <w:p>
      <w:pPr>
        <w:pStyle w:val="Funote"/>
        <w:rPr/>
      </w:pPr>
      <w:r>
        <w:rPr>
          <w:rStyle w:val="Funotenzeichen"/>
        </w:rPr>
        <w:footnoteRef/>
      </w:r>
      <w:r>
        <w:rPr/>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86">
    <w:p>
      <w:pPr>
        <w:pStyle w:val="Funote"/>
        <w:rPr/>
      </w:pPr>
      <w:r>
        <w:rPr>
          <w:rStyle w:val="Funotenzeichen"/>
        </w:rPr>
        <w:footnoteRef/>
      </w:r>
      <w:r>
        <w:rPr>
          <w:i/>
        </w:rPr>
        <w:tab/>
        <w:t>Und über sie kehre zur Höhe zurück</w:t>
      </w:r>
      <w:r>
        <w:rPr/>
        <w:t xml:space="preserve"> - nämlich, nachdem du erwacht bist, auf deinen himmlischen „Richterthron“ (4Esr 7,33), um dein Richtamt auszuüben; s. die Parallelstellen und vgl. zur Vorstellung z.B. </w:t>
      </w:r>
      <w:r>
        <w:fldChar w:fldCharType="begin"/>
      </w:r>
      <w:r>
        <w:rPr>
          <w:rStyle w:val="Internetverknpfung"/>
        </w:rPr>
        <w:instrText> HYPERLINK "http://www.bibelwissenschaft.de/stichwort/32258/" \l "h8"</w:instrText>
      </w:r>
      <w:r>
        <w:rPr>
          <w:rStyle w:val="Internetverknpfung"/>
        </w:rPr>
        <w:fldChar w:fldCharType="separate"/>
      </w:r>
      <w:r>
        <w:rPr>
          <w:rStyle w:val="Internetverknpfung"/>
        </w:rPr>
        <w:t>Tag Jahwes (AT) (Wibilex)</w:t>
      </w:r>
      <w:r>
        <w:rPr>
          <w:rStyle w:val="Internetverknpfung"/>
        </w:rPr>
        <w:fldChar w:fldCharType="end"/>
      </w:r>
      <w:r>
        <w:rPr/>
        <w:t>.</w:t>
      </w:r>
    </w:p>
  </w:footnote>
  <w:footnote w:id="1687">
    <w:p>
      <w:pPr>
        <w:pStyle w:val="Funote"/>
        <w:rPr/>
      </w:pPr>
      <w:r>
        <w:rPr>
          <w:rStyle w:val="Funotenzeichen"/>
        </w:rPr>
        <w:footnoteRef/>
      </w:r>
      <w:r>
        <w:rPr/>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88">
    <w:p>
      <w:pPr>
        <w:pStyle w:val="Funote"/>
        <w:rPr/>
      </w:pPr>
      <w:r>
        <w:rPr>
          <w:rStyle w:val="Funotenzeichen"/>
        </w:rPr>
        <w:footnoteRef/>
      </w:r>
      <w:r>
        <w:rPr/>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89">
    <w:p>
      <w:pPr>
        <w:pStyle w:val="Funote"/>
        <w:rPr/>
      </w:pPr>
      <w:r>
        <w:rPr>
          <w:rStyle w:val="Funotenzeichen"/>
        </w:rPr>
        <w:footnoteRef/>
      </w:r>
      <w:r>
        <w:rPr>
          <w:i/>
        </w:rPr>
        <w:tab/>
        <w:t>gemäß meiner Gerechtigkeit</w:t>
      </w:r>
      <w:r>
        <w:rPr/>
        <w:t xml:space="preserve"> - d.h., wie dies meiner Gerechtigkeit angemessen wäre.</w:t>
      </w:r>
    </w:p>
  </w:footnote>
  <w:footnote w:id="1690">
    <w:p>
      <w:pPr>
        <w:pStyle w:val="Funote"/>
        <w:rPr/>
      </w:pPr>
      <w:r>
        <w:rPr>
          <w:rStyle w:val="Funotenzeichen"/>
        </w:rPr>
        <w:footnoteRef/>
      </w:r>
      <w:r>
        <w:rPr>
          <w:i/>
        </w:rPr>
        <w:tab/>
        <w:t>[die] auf mir [ist]</w:t>
      </w:r>
      <w:r>
        <w:rPr/>
        <w:t xml:space="preserve"> - vielleicht ein Wortspiel: Dass Unschuld „auf“ jemandem ist, ist auch im Heb. nicht idiomatisch. Vielleicht soll hier mit der Vorstellung von Sündigkeit und Ungerechtigkeit, die „auf“ (</w:t>
      </w:r>
      <w:hyperlink r:id="rId60">
        <w:r>
          <w:rPr>
            <w:rStyle w:val="Internetverknpfung"/>
          </w:rPr>
          <w:t>Ez 33,10</w:t>
        </w:r>
      </w:hyperlink>
      <w:r>
        <w:rPr/>
        <w:t xml:space="preserve">; auch </w:t>
      </w:r>
      <w:hyperlink r:id="rId61">
        <w:r>
          <w:rPr>
            <w:rStyle w:val="Internetverknpfung"/>
          </w:rPr>
          <w:t>Ez 18,31</w:t>
        </w:r>
      </w:hyperlink>
      <w:r>
        <w:rPr/>
        <w:t>: „Werft von auf euch alle Übertretungen...“) jemandem lastet (</w:t>
      </w:r>
      <w:hyperlink r:id="rId62">
        <w:r>
          <w:rPr>
            <w:rStyle w:val="Internetverknpfung"/>
          </w:rPr>
          <w:t>Jes 24,20</w:t>
        </w:r>
      </w:hyperlink>
      <w:r>
        <w:rPr/>
        <w:t>) wie ein Joch (</w:t>
      </w:r>
      <w:hyperlink r:id="rId63">
        <w:r>
          <w:rPr>
            <w:rStyle w:val="Internetverknpfung"/>
          </w:rPr>
          <w:t>Klg 1,14</w:t>
        </w:r>
      </w:hyperlink>
      <w:r>
        <w:rPr/>
        <w:t xml:space="preserve">), gespielt werden: </w:t>
      </w:r>
      <w:r>
        <w:rPr>
          <w:i/>
        </w:rPr>
        <w:t>Solche</w:t>
      </w:r>
      <w:r>
        <w:rPr/>
        <w:t xml:space="preserve"> lasten gerade nicht auf dem Beter; auf </w:t>
      </w:r>
      <w:r>
        <w:rPr>
          <w:i/>
        </w:rPr>
        <w:t>ihm</w:t>
      </w:r>
      <w:r>
        <w:rPr/>
        <w:t xml:space="preserve"> lastet nur </w:t>
      </w:r>
      <w:r>
        <w:rPr>
          <w:i/>
        </w:rPr>
        <w:t>Unschuld</w:t>
      </w:r>
      <w:r>
        <w:rPr/>
        <w:t>.</w:t>
      </w:r>
    </w:p>
  </w:footnote>
  <w:footnote w:id="1691">
    <w:p>
      <w:pPr>
        <w:pStyle w:val="Funote"/>
        <w:rPr/>
      </w:pPr>
      <w:r>
        <w:rPr>
          <w:rStyle w:val="Funotenzeichen"/>
        </w:rPr>
        <w:footnoteRef/>
      </w:r>
      <w:r>
        <w:rPr>
          <w:i/>
        </w:rPr>
        <w:tab/>
        <w:t>Böses von Frevlern (böse Frevler, Bosheit von Frevler?)</w:t>
      </w:r>
      <w:r>
        <w:rPr/>
        <w:t xml:space="preserve"> - Was auf den ersten Blick „Böses von Frevlern“ zu bedeuten scheint und daher häufig nach „Bosheit von Frevlern“ emendiert worden ist, heißt wohl einfach „böse Frevler“ (zur Konstruktion vgl. </w:t>
      </w:r>
      <w:r>
        <w:fldChar w:fldCharType="begin"/>
      </w:r>
      <w:r>
        <w:rPr>
          <w:rStyle w:val="Internetverknpfung"/>
        </w:rPr>
        <w:instrText> HYPERLINK "http://en.wikisource.org/wiki/Gesenius'_Hebrew_Grammar/132._Connexion_of_the_Substantive_with_the_Adjective" \l "GHGpar-132-c"</w:instrText>
      </w:r>
      <w:r>
        <w:rPr>
          <w:rStyle w:val="Internetverknpfung"/>
        </w:rPr>
        <w:fldChar w:fldCharType="separate"/>
      </w:r>
      <w:r>
        <w:rPr>
          <w:rStyle w:val="Internetverknpfung"/>
        </w:rPr>
        <w:t>GKC § 132c</w:t>
      </w:r>
      <w:r>
        <w:rPr>
          <w:rStyle w:val="Internetverknpfung"/>
        </w:rPr>
        <w:fldChar w:fldCharType="end"/>
      </w:r>
      <w:r>
        <w:rPr/>
        <w:t>).</w:t>
      </w:r>
    </w:p>
  </w:footnote>
  <w:footnote w:id="1692">
    <w:p>
      <w:pPr>
        <w:pStyle w:val="Funote"/>
        <w:rPr/>
      </w:pPr>
      <w:r>
        <w:rPr>
          <w:rStyle w:val="Funotenzeichen"/>
        </w:rPr>
        <w:footnoteRef/>
      </w:r>
      <w:r>
        <w:rPr/>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93">
    <w:p>
      <w:pPr>
        <w:pStyle w:val="Funote"/>
        <w:rPr/>
      </w:pPr>
      <w:r>
        <w:rPr>
          <w:rStyle w:val="Funotenzeichen"/>
        </w:rPr>
        <w:footnoteRef/>
      </w:r>
      <w:r>
        <w:rPr/>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94">
    <w:p>
      <w:pPr>
        <w:pStyle w:val="Funote"/>
        <w:rPr/>
      </w:pPr>
      <w:r>
        <w:rPr>
          <w:rStyle w:val="Funotenzeichen"/>
        </w:rPr>
        <w:footnoteRef/>
      </w:r>
      <w:r>
        <w:rPr>
          <w:i/>
        </w:rPr>
        <w:tab/>
        <w:t>Der gerechte Gott prüft Herz und Nieren...</w:t>
      </w:r>
      <w:r>
        <w:rPr/>
        <w:t xml:space="preserve"> - oder: „[Du], gerechter Gott, prüfst Herz und Nieren.“</w:t>
      </w:r>
    </w:p>
  </w:footnote>
  <w:footnote w:id="1695">
    <w:p>
      <w:pPr>
        <w:pStyle w:val="Funote"/>
        <w:rPr/>
      </w:pPr>
      <w:r>
        <w:rPr>
          <w:rStyle w:val="Funotenzeichen"/>
        </w:rPr>
        <w:footnoteRef/>
      </w:r>
      <w:r>
        <w:rPr/>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96">
    <w:p>
      <w:pPr>
        <w:pStyle w:val="Funote"/>
        <w:rPr/>
      </w:pPr>
      <w:r>
        <w:rPr>
          <w:rStyle w:val="Funotenzeichen"/>
        </w:rPr>
        <w:footnoteRef/>
      </w:r>
      <w:r>
        <w:rPr/>
        <w:tab/>
        <w:t>der jeden Tag zürnt - nämlich den Frevlern, wie das der Text sicher voraussetzt und wie das schon Tg und heute z.B. GN, NGÜ, NL, T4T ergänzen.</w:t>
      </w:r>
    </w:p>
  </w:footnote>
  <w:footnote w:id="1697">
    <w:p>
      <w:pPr>
        <w:pStyle w:val="Funote"/>
        <w:rPr/>
      </w:pPr>
      <w:r>
        <w:rPr>
          <w:rStyle w:val="Funotenzeichen"/>
        </w:rPr>
        <w:footnoteRef/>
      </w:r>
      <w:r>
        <w:rPr/>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98">
    <w:p>
      <w:pPr>
        <w:pStyle w:val="Funote"/>
        <w:rPr/>
      </w:pPr>
      <w:r>
        <w:rPr>
          <w:rStyle w:val="Funotenzeichen"/>
        </w:rPr>
        <w:footnoteRef/>
      </w:r>
      <w:r>
        <w:rPr>
          <w:i/>
        </w:rPr>
        <w:tab/>
        <w:t>ihn aufrichtet</w:t>
      </w:r>
      <w:r>
        <w:rPr/>
        <w:t xml:space="preserve"> - d.h. wohl: „mit ihm zielt“.</w:t>
      </w:r>
    </w:p>
  </w:footnote>
  <w:footnote w:id="1699">
    <w:p>
      <w:pPr>
        <w:pStyle w:val="Funote"/>
        <w:rPr/>
      </w:pPr>
      <w:r>
        <w:rPr>
          <w:rStyle w:val="Funotenzeichen"/>
        </w:rPr>
        <w:footnoteRef/>
      </w:r>
      <w:r>
        <w:rPr>
          <w:i/>
        </w:rPr>
        <w:tab/>
        <w:t>zu brennenden</w:t>
      </w:r>
      <w:r>
        <w:rPr/>
        <w:t xml:space="preserve"> - d.h., zu Brandpfeilen.</w:t>
      </w:r>
    </w:p>
  </w:footnote>
  <w:footnote w:id="1700">
    <w:p>
      <w:pPr>
        <w:pStyle w:val="Funote"/>
        <w:rPr/>
      </w:pPr>
      <w:r>
        <w:rPr>
          <w:rStyle w:val="Funotenzeichen"/>
        </w:rPr>
        <w:footnoteRef/>
      </w:r>
      <w:r>
        <w:rPr/>
        <w:tab/>
        <w:t>tFN: Wenn (siehe) - zu hinneh mit der Bedeutung „wenn“ vgl. KBL3, S. 242 und s. z.B. 1 Sam 9,7; 2 Sam 18,11; 2 Kön 7,2.</w:t>
      </w:r>
    </w:p>
  </w:footnote>
  <w:footnote w:id="1701">
    <w:p>
      <w:pPr>
        <w:pStyle w:val="Funote"/>
        <w:rPr/>
      </w:pPr>
      <w:r>
        <w:rPr>
          <w:rStyle w:val="Funotenzeichen"/>
        </w:rPr>
        <w:footnoteRef/>
      </w:r>
      <w:r>
        <w:rPr/>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02">
    <w:p>
      <w:pPr>
        <w:pStyle w:val="Funote"/>
        <w:rPr/>
      </w:pPr>
      <w:r>
        <w:rPr>
          <w:rStyle w:val="Funotenzeichen"/>
        </w:rPr>
        <w:footnoteRef/>
      </w:r>
      <w:r>
        <w:rPr/>
        <w:tab/>
        <w:t>[Status: Zuverlässig]</w:t>
      </w:r>
    </w:p>
  </w:footnote>
  <w:footnote w:id="1703">
    <w:p>
      <w:pPr>
        <w:pStyle w:val="Funote"/>
        <w:rPr/>
      </w:pPr>
      <w:r>
        <w:rPr>
          <w:rStyle w:val="Funotenzeichen"/>
        </w:rPr>
        <w:footnoteRef/>
      </w:r>
      <w:r>
        <w:rPr/>
        <w:tab/>
        <w:t>Genaue Bedeutung unklar. Die gewählte Übersetzung entspricht der Mehrheitsmeinung.</w:t>
      </w:r>
    </w:p>
  </w:footnote>
  <w:footnote w:id="1704">
    <w:p>
      <w:pPr>
        <w:pStyle w:val="Funote"/>
        <w:rPr/>
      </w:pPr>
      <w:r>
        <w:rPr>
          <w:rStyle w:val="Funotenzeichen"/>
        </w:rPr>
        <w:footnoteRef/>
      </w:r>
      <w:r>
        <w:rPr/>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05">
    <w:p>
      <w:pPr>
        <w:pStyle w:val="Funote"/>
        <w:rPr/>
      </w:pPr>
      <w:r>
        <w:rPr>
          <w:rStyle w:val="Funotenzeichen"/>
        </w:rPr>
        <w:footnoteRef/>
      </w:r>
      <w:r>
        <w:rPr/>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06">
    <w:p>
      <w:pPr>
        <w:pStyle w:val="Funote"/>
        <w:rPr/>
      </w:pPr>
      <w:r>
        <w:rPr>
          <w:rStyle w:val="Funotenzeichen"/>
        </w:rPr>
        <w:footnoteRef/>
      </w:r>
      <w:r>
        <w:rPr>
          <w:rtl w:val="true"/>
          <w:lang w:bidi="he-IL"/>
        </w:rPr>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07">
    <w:p>
      <w:pPr>
        <w:pStyle w:val="Funote"/>
        <w:rPr/>
      </w:pPr>
      <w:r>
        <w:rPr>
          <w:rStyle w:val="Funotenzeichen"/>
        </w:rPr>
        <w:footnoteRef/>
      </w:r>
      <w:r>
        <w:rPr/>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08">
    <w:p>
      <w:pPr>
        <w:pStyle w:val="Funote"/>
        <w:rPr/>
      </w:pPr>
      <w:r>
        <w:rPr>
          <w:rStyle w:val="Funotenzeichen"/>
        </w:rPr>
        <w:footnoteRef/>
      </w:r>
      <w:r>
        <w:rPr/>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09">
    <w:p>
      <w:pPr>
        <w:pStyle w:val="Funote"/>
        <w:rPr/>
      </w:pPr>
      <w:r>
        <w:rPr>
          <w:rStyle w:val="Funotenzeichen"/>
        </w:rPr>
        <w:footnoteRef/>
      </w:r>
      <w:r>
        <w:rPr/>
        <w:tab/>
        <w:t>Sowohl das Wort für „Kleinkinder“ als auch das für „Säuglinge“ steht für Kinder bis maximal drei Jahren. Die übliche Übersetzung „</w:t>
      </w:r>
      <w:r>
        <w:rPr>
          <w:i/>
        </w:rPr>
        <w:t>Kinder</w:t>
      </w:r>
      <w:r>
        <w:rPr/>
        <w:t xml:space="preserve"> und Säuglinge“ ist also ungenau.</w:t>
      </w:r>
    </w:p>
  </w:footnote>
  <w:footnote w:id="1710">
    <w:p>
      <w:pPr>
        <w:pStyle w:val="Funote"/>
        <w:rPr/>
      </w:pPr>
      <w:r>
        <w:rPr>
          <w:rStyle w:val="Funotenzeichen"/>
        </w:rPr>
        <w:footnoteRef/>
      </w:r>
      <w:r>
        <w:rPr/>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11">
    <w:p>
      <w:pPr>
        <w:pStyle w:val="Funote"/>
        <w:rPr/>
      </w:pPr>
      <w:r>
        <w:rPr>
          <w:rStyle w:val="Funotenzeichen"/>
        </w:rPr>
        <w:footnoteRef/>
      </w:r>
      <w:r>
        <w:rPr/>
        <w:tab/>
        <w:t xml:space="preserve">zu „um deiner Gegner willen“ vgl. </w:t>
      </w:r>
      <w:r>
        <w:fldChar w:fldCharType="begin"/>
      </w:r>
      <w:r>
        <w:rPr>
          <w:rStyle w:val="Internetverknpfung"/>
        </w:rPr>
        <w:instrText> HYPERLINK "http://www.offene-bibel.de/wiki/index.php5?title=Psalm_5" \l "note_ad"</w:instrText>
      </w:r>
      <w:r>
        <w:rPr>
          <w:rStyle w:val="Internetverknpfung"/>
        </w:rPr>
        <w:fldChar w:fldCharType="separate"/>
      </w:r>
      <w:r>
        <w:rPr>
          <w:rStyle w:val="Internetverknpfung"/>
        </w:rPr>
        <w:t>FN ad</w:t>
      </w:r>
      <w:r>
        <w:rPr>
          <w:rStyle w:val="Internetverknpfung"/>
        </w:rPr>
        <w:fldChar w:fldCharType="end"/>
      </w:r>
      <w:r>
        <w:rPr/>
        <w:t xml:space="preserve"> zu </w:t>
      </w:r>
      <w:r>
        <w:fldChar w:fldCharType="begin"/>
      </w:r>
      <w:r>
        <w:rPr>
          <w:rStyle w:val="Internetverknpfung"/>
        </w:rPr>
        <w:instrText> HYPERLINK "../../../../../../../../../wiki/Psalm_5" \l "s9"</w:instrText>
      </w:r>
      <w:r>
        <w:rPr>
          <w:rStyle w:val="Internetverknpfung"/>
        </w:rPr>
        <w:fldChar w:fldCharType="separate"/>
      </w:r>
      <w:r>
        <w:rPr>
          <w:rStyle w:val="Internetverknpfung"/>
        </w:rPr>
        <w:t>Ps 5,9</w:t>
      </w:r>
      <w:r>
        <w:rPr>
          <w:rStyle w:val="Internetverknpfung"/>
        </w:rPr>
        <w:fldChar w:fldCharType="end"/>
      </w:r>
      <w:r>
        <w:rPr/>
        <w:t xml:space="preserve">: </w:t>
      </w:r>
      <w:r>
        <w:rPr>
          <w:rtl w:val="true"/>
          <w:lang w:bidi="he-IL"/>
        </w:rPr>
        <w:t>לְמַעַן</w:t>
      </w:r>
      <w:r>
        <w:rPr/>
        <w:t xml:space="preserve"> </w:t>
      </w:r>
      <w:r>
        <w:rPr/>
        <w:t>dient hier wohl zur Bezeichnung der Motivation, die Gott zu einer Handlung veranlassen soll, also wohl „wegen deiner = wider deine Feinde“</w:t>
      </w:r>
    </w:p>
  </w:footnote>
  <w:footnote w:id="1712">
    <w:p>
      <w:pPr>
        <w:pStyle w:val="Funote"/>
        <w:rPr/>
      </w:pPr>
      <w:r>
        <w:rPr>
          <w:rStyle w:val="Funotenzeichen"/>
        </w:rPr>
        <w:footnoteRef/>
      </w:r>
      <w:r>
        <w:rPr/>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13">
    <w:p>
      <w:pPr>
        <w:pStyle w:val="Funote"/>
        <w:rPr/>
      </w:pPr>
      <w:r>
        <w:rPr>
          <w:rStyle w:val="Funotenzeichen"/>
        </w:rPr>
        <w:footnoteRef/>
      </w:r>
      <w:r>
        <w:rPr/>
        <w:tab/>
        <w:t>In der biblischen Poesie werden Zitate häufig nicht durch verba dicendi eingeleitet; im Deutschen muss man diese Redeeinleitungen ergänzen. Vgl. dazu ad loc. z.B. GKC §159dd.</w:t>
      </w:r>
    </w:p>
  </w:footnote>
  <w:footnote w:id="1714">
    <w:p>
      <w:pPr>
        <w:pStyle w:val="Funote"/>
        <w:rPr/>
      </w:pPr>
      <w:r>
        <w:rPr>
          <w:rStyle w:val="Funotenzeichen"/>
        </w:rPr>
        <w:footnoteRef/>
      </w:r>
      <w:r>
        <w:rPr/>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15">
    <w:p>
      <w:pPr>
        <w:pStyle w:val="Funote"/>
        <w:rPr/>
      </w:pPr>
      <w:r>
        <w:rPr>
          <w:rStyle w:val="Funotenzeichen"/>
        </w:rPr>
        <w:footnoteRef/>
      </w:r>
      <w:r>
        <w:rPr/>
        <w:tab/>
        <w:t xml:space="preserve">Das „Erinnern“ und „Beachten“ Gottes ist nicht wörtlich zu verstehen, sondern beides sind geprägte Wendungen für ein Handeln Gottes an dem, dessen er sich „erinnert“ oder auf den er „achtet“. Ist es nicht näher bestimmt, meint es meist ein </w:t>
      </w:r>
      <w:r>
        <w:rPr>
          <w:i/>
        </w:rPr>
        <w:t>heilsames</w:t>
      </w:r>
      <w:r>
        <w:rPr/>
        <w:t xml:space="preserve"> Handeln; so auch hier. Vgl. zu „Erinnern“ </w:t>
      </w:r>
      <w:r>
        <w:fldChar w:fldCharType="begin"/>
      </w:r>
      <w:r>
        <w:rPr>
          <w:rStyle w:val="Internetverknpfung"/>
        </w:rPr>
        <w:instrText> HYPERLINK "../../../../../../../../../wiki/Genesis_8" \l "s1"</w:instrText>
      </w:r>
      <w:r>
        <w:rPr>
          <w:rStyle w:val="Internetverknpfung"/>
        </w:rPr>
        <w:fldChar w:fldCharType="separate"/>
      </w:r>
      <w:r>
        <w:rPr>
          <w:rStyle w:val="Internetverknpfung"/>
        </w:rPr>
        <w:t>Gen 8,1</w:t>
      </w:r>
      <w:r>
        <w:rPr>
          <w:rStyle w:val="Internetverknpfung"/>
        </w:rPr>
        <w:fldChar w:fldCharType="end"/>
      </w:r>
      <w:r>
        <w:rPr/>
        <w:t xml:space="preserve">; </w:t>
      </w:r>
      <w:r>
        <w:fldChar w:fldCharType="begin"/>
      </w:r>
      <w:r>
        <w:rPr>
          <w:rStyle w:val="Internetverknpfung"/>
        </w:rPr>
        <w:instrText> HYPERLINK "../../../../../../../../../wiki/Genesis_19" \l "s29"</w:instrText>
      </w:r>
      <w:r>
        <w:rPr>
          <w:rStyle w:val="Internetverknpfung"/>
        </w:rPr>
        <w:fldChar w:fldCharType="separate"/>
      </w:r>
      <w:r>
        <w:rPr>
          <w:rStyle w:val="Internetverknpfung"/>
        </w:rPr>
        <w:t>19,29</w:t>
      </w:r>
      <w:r>
        <w:rPr>
          <w:rStyle w:val="Internetverknpfung"/>
        </w:rPr>
        <w:fldChar w:fldCharType="end"/>
      </w:r>
      <w:r>
        <w:rPr/>
        <w:t xml:space="preserve">; </w:t>
      </w:r>
      <w:hyperlink r:id="rId64">
        <w:r>
          <w:rPr>
            <w:rStyle w:val="Internetverknpfung"/>
          </w:rPr>
          <w:t>30,22</w:t>
        </w:r>
      </w:hyperlink>
      <w:r>
        <w:rPr/>
        <w:t xml:space="preserve">; </w:t>
      </w:r>
      <w:hyperlink r:id="rId65">
        <w:r>
          <w:rPr>
            <w:rStyle w:val="Internetverknpfung"/>
          </w:rPr>
          <w:t>Ex 32,13</w:t>
        </w:r>
      </w:hyperlink>
      <w:r>
        <w:rPr/>
        <w:t xml:space="preserve">; </w:t>
      </w:r>
      <w:hyperlink r:id="rId66">
        <w:r>
          <w:rPr>
            <w:rStyle w:val="Internetverknpfung"/>
          </w:rPr>
          <w:t>Dtn 9,27</w:t>
        </w:r>
      </w:hyperlink>
      <w:r>
        <w:rPr/>
        <w:t xml:space="preserve"> u.ö.; zu „Beachten“ </w:t>
      </w:r>
      <w:r>
        <w:fldChar w:fldCharType="begin"/>
      </w:r>
      <w:r>
        <w:rPr>
          <w:rStyle w:val="Internetverknpfung"/>
        </w:rPr>
        <w:instrText> HYPERLINK "../../../../../../../../../wiki/Genesis_21" \l "s1"</w:instrText>
      </w:r>
      <w:r>
        <w:rPr>
          <w:rStyle w:val="Internetverknpfung"/>
        </w:rPr>
        <w:fldChar w:fldCharType="separate"/>
      </w:r>
      <w:r>
        <w:rPr>
          <w:rStyle w:val="Internetverknpfung"/>
        </w:rPr>
        <w:t>Gen 21,1</w:t>
      </w:r>
      <w:r>
        <w:rPr>
          <w:rStyle w:val="Internetverknpfung"/>
        </w:rPr>
        <w:fldChar w:fldCharType="end"/>
      </w:r>
      <w:r>
        <w:rPr/>
        <w:t xml:space="preserve">; </w:t>
      </w:r>
      <w:r>
        <w:fldChar w:fldCharType="begin"/>
      </w:r>
      <w:r>
        <w:rPr>
          <w:rStyle w:val="Internetverknpfung"/>
        </w:rPr>
        <w:instrText> HYPERLINK "../../../../../../../../../wiki/Genesis_50" \l "s24"</w:instrText>
      </w:r>
      <w:r>
        <w:rPr>
          <w:rStyle w:val="Internetverknpfung"/>
        </w:rPr>
        <w:fldChar w:fldCharType="separate"/>
      </w:r>
      <w:r>
        <w:rPr>
          <w:rStyle w:val="Internetverknpfung"/>
        </w:rPr>
        <w:t>50,24f</w:t>
      </w:r>
      <w:r>
        <w:rPr>
          <w:rStyle w:val="Internetverknpfung"/>
        </w:rPr>
        <w:fldChar w:fldCharType="end"/>
      </w:r>
      <w:r>
        <w:rPr/>
        <w:t xml:space="preserve">; </w:t>
      </w:r>
      <w:r>
        <w:fldChar w:fldCharType="begin"/>
      </w:r>
      <w:r>
        <w:rPr>
          <w:rStyle w:val="Internetverknpfung"/>
        </w:rPr>
        <w:instrText> HYPERLINK "../../../../../../../../../wiki/Exodus_3" \l "s16"</w:instrText>
      </w:r>
      <w:r>
        <w:rPr>
          <w:rStyle w:val="Internetverknpfung"/>
        </w:rPr>
        <w:fldChar w:fldCharType="separate"/>
      </w:r>
      <w:r>
        <w:rPr>
          <w:rStyle w:val="Internetverknpfung"/>
        </w:rPr>
        <w:t>Ex 3,16</w:t>
      </w:r>
      <w:r>
        <w:rPr>
          <w:rStyle w:val="Internetverknpfung"/>
        </w:rPr>
        <w:fldChar w:fldCharType="end"/>
      </w:r>
      <w:r>
        <w:rPr/>
        <w:t xml:space="preserve">; </w:t>
      </w:r>
      <w:r>
        <w:fldChar w:fldCharType="begin"/>
      </w:r>
      <w:r>
        <w:rPr>
          <w:rStyle w:val="Internetverknpfung"/>
        </w:rPr>
        <w:instrText> HYPERLINK "../../../../../../../../../wiki/Exodus_4" \l "s31"</w:instrText>
      </w:r>
      <w:r>
        <w:rPr>
          <w:rStyle w:val="Internetverknpfung"/>
        </w:rPr>
        <w:fldChar w:fldCharType="separate"/>
      </w:r>
      <w:r>
        <w:rPr>
          <w:rStyle w:val="Internetverknpfung"/>
        </w:rPr>
        <w:t>4,31</w:t>
      </w:r>
      <w:r>
        <w:rPr>
          <w:rStyle w:val="Internetverknpfung"/>
        </w:rPr>
        <w:fldChar w:fldCharType="end"/>
      </w:r>
      <w:r>
        <w:rPr/>
        <w:t xml:space="preserve">; </w:t>
      </w:r>
      <w:hyperlink r:id="rId67">
        <w:r>
          <w:rPr>
            <w:rStyle w:val="Internetverknpfung"/>
          </w:rPr>
          <w:t>1Sam 2,21</w:t>
        </w:r>
      </w:hyperlink>
      <w:r>
        <w:rPr/>
        <w:t xml:space="preserve"> u.ö.</w:t>
      </w:r>
    </w:p>
  </w:footnote>
  <w:footnote w:id="1716">
    <w:p>
      <w:pPr>
        <w:pStyle w:val="Funote"/>
        <w:rPr/>
      </w:pPr>
      <w:r>
        <w:rPr>
          <w:rStyle w:val="Funotenzeichen"/>
        </w:rPr>
        <w:footnoteRef/>
      </w:r>
      <w:r>
        <w:rPr/>
        <w:tab/>
        <w:t>„</w:t>
      </w:r>
      <w:r>
        <w:rPr/>
        <w:t>Menschenkind“ gut nach Ridderbos 1972, S. 136, da diese Übersetzung gut zum vorangehenden Halbvers passt.</w:t>
      </w:r>
    </w:p>
  </w:footnote>
  <w:footnote w:id="1717">
    <w:p>
      <w:pPr>
        <w:pStyle w:val="Funote"/>
        <w:rPr/>
      </w:pPr>
      <w:r>
        <w:rPr>
          <w:rStyle w:val="Funotenzeichen"/>
        </w:rPr>
        <w:footnoteRef/>
      </w:r>
      <w:r>
        <w:rPr/>
        <w:tab/>
        <w:t xml:space="preserve">Heb. </w:t>
      </w:r>
      <w:r>
        <w:rPr>
          <w:i/>
        </w:rPr>
        <w:t>ben adam</w:t>
      </w:r>
      <w:r>
        <w:rPr/>
        <w:t xml:space="preserve">, Sohn / Kind des </w:t>
      </w:r>
      <w:r>
        <w:rPr>
          <w:i/>
        </w:rPr>
        <w:t>adam</w:t>
      </w:r>
      <w:r>
        <w:rPr/>
        <w:t xml:space="preserve">. Dass Ps 8 vielfältige Bezüge zum Schöpfungsmythos hat, wurde häufig bemerkt (bis hin zur These, mit dem konsekutiven </w:t>
      </w:r>
      <w:r>
        <w:rPr>
          <w:i/>
        </w:rPr>
        <w:t>waw</w:t>
      </w:r>
      <w:r>
        <w:rPr/>
        <w:t xml:space="preserve"> schließe Ps 8 direkt an Gen 1 an); </w:t>
      </w:r>
      <w:r>
        <w:rPr>
          <w:i/>
        </w:rPr>
        <w:t>ben adam</w:t>
      </w:r>
      <w:r>
        <w:rPr/>
        <w:t xml:space="preserve"> ist daher ein besonders treffender Ausdruck.</w:t>
      </w:r>
    </w:p>
  </w:footnote>
  <w:footnote w:id="1718">
    <w:p>
      <w:pPr>
        <w:pStyle w:val="Funote"/>
        <w:rPr/>
      </w:pPr>
      <w:r>
        <w:rPr>
          <w:rStyle w:val="Funotenzeichen"/>
        </w:rPr>
        <w:footnoteRef/>
      </w:r>
      <w:r>
        <w:rPr/>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19">
    <w:p>
      <w:pPr>
        <w:pStyle w:val="Funote"/>
        <w:rPr/>
      </w:pPr>
      <w:r>
        <w:rPr>
          <w:rStyle w:val="Funotenzeichen"/>
        </w:rPr>
        <w:footnoteRef/>
      </w:r>
      <w:r>
        <w:rPr/>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20">
    <w:p>
      <w:pPr>
        <w:pStyle w:val="Funote"/>
        <w:rPr/>
      </w:pPr>
      <w:r>
        <w:rPr>
          <w:rStyle w:val="Funotenzeichen"/>
        </w:rPr>
        <w:footnoteRef/>
      </w:r>
      <w:r>
        <w:rPr/>
        <w:tab/>
        <w:t>„</w:t>
      </w:r>
      <w:r>
        <w:rPr/>
        <w:t xml:space="preserve">Herrlichkeit und Pracht“ sind eigentlich Prädikate, die typischerweise nur von Gott ausgesagt werden (vgl. </w:t>
      </w:r>
      <w:r>
        <w:fldChar w:fldCharType="begin"/>
      </w:r>
      <w:r>
        <w:rPr>
          <w:rStyle w:val="Internetverknpfung"/>
        </w:rPr>
        <w:instrText> HYPERLINK "../../../../../../../../../wiki/Psalm_145" \l "s5"</w:instrText>
      </w:r>
      <w:r>
        <w:rPr>
          <w:rStyle w:val="Internetverknpfung"/>
        </w:rPr>
        <w:fldChar w:fldCharType="separate"/>
      </w:r>
      <w:r>
        <w:rPr>
          <w:rStyle w:val="Internetverknpfung"/>
        </w:rPr>
        <w:t>Ps 145,5.12</w:t>
      </w:r>
      <w:r>
        <w:rPr>
          <w:rStyle w:val="Internetverknpfung"/>
        </w:rPr>
        <w:fldChar w:fldCharType="end"/>
      </w:r>
      <w:r>
        <w:rPr/>
        <w:t xml:space="preserve">; </w:t>
      </w:r>
      <w:r>
        <w:fldChar w:fldCharType="begin"/>
      </w:r>
      <w:r>
        <w:rPr>
          <w:rStyle w:val="Internetverknpfung"/>
        </w:rPr>
        <w:instrText> HYPERLINK "../../../../../../../../../wiki/Jesaja_35" \l "s2"</w:instrText>
      </w:r>
      <w:r>
        <w:rPr>
          <w:rStyle w:val="Internetverknpfung"/>
        </w:rPr>
        <w:fldChar w:fldCharType="separate"/>
      </w:r>
      <w:r>
        <w:rPr>
          <w:rStyle w:val="Internetverknpfung"/>
        </w:rPr>
        <w:t>Jes 35,2</w:t>
      </w:r>
      <w:r>
        <w:rPr>
          <w:rStyle w:val="Internetverknpfung"/>
        </w:rPr>
        <w:fldChar w:fldCharType="end"/>
      </w:r>
      <w:r>
        <w:rPr/>
        <w:t xml:space="preserve">). Ähnlich, wie sie </w:t>
      </w:r>
      <w:hyperlink r:id="rId68">
        <w:r>
          <w:rPr>
            <w:rStyle w:val="Internetverknpfung"/>
          </w:rPr>
          <w:t>Ps 21,5</w:t>
        </w:r>
      </w:hyperlink>
      <w:r>
        <w:rPr/>
        <w:t xml:space="preserve"> dann auf den König angewandt werden, werden sie hier auf den Menschen im Allgemeinen angewendet; dies unterstreicht noch die Aussage in 6a, dass dem Menschen nur wenig zu Gott fehlt.</w:t>
      </w:r>
    </w:p>
  </w:footnote>
  <w:footnote w:id="1721">
    <w:p>
      <w:pPr>
        <w:pStyle w:val="Funote"/>
        <w:rPr/>
      </w:pPr>
      <w:r>
        <w:rPr>
          <w:rStyle w:val="Funotenzeichen"/>
        </w:rPr>
        <w:footnoteRef/>
      </w:r>
      <w:r>
        <w:rPr/>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22">
    <w:p>
      <w:pPr>
        <w:pStyle w:val="Funote"/>
        <w:rPr/>
      </w:pPr>
      <w:r>
        <w:rPr>
          <w:rStyle w:val="Funotenzeichen"/>
        </w:rPr>
        <w:footnoteRef/>
      </w:r>
      <w:r>
        <w:rPr/>
        <w:tab/>
        <w:t>Zu „Schafe und Rinder“ als „Kleinvieh und Großvieh“ vgl. ad loc. Craigie 1983, S. 96; Whitekettle 2006, S. 752.</w:t>
      </w:r>
    </w:p>
  </w:footnote>
  <w:footnote w:id="1723">
    <w:p>
      <w:pPr>
        <w:pStyle w:val="Funote"/>
        <w:rPr/>
      </w:pPr>
      <w:r>
        <w:rPr>
          <w:rStyle w:val="Funotenzeichen"/>
        </w:rPr>
        <w:footnoteRef/>
      </w:r>
      <w:r>
        <w:rPr/>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24">
    <w:p>
      <w:pPr>
        <w:pStyle w:val="Funote"/>
        <w:rPr/>
      </w:pPr>
      <w:r>
        <w:rPr>
          <w:rStyle w:val="Funotenzeichen"/>
        </w:rPr>
        <w:footnoteRef/>
      </w:r>
      <w:r>
        <w:rPr/>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25">
    <w:p>
      <w:pPr>
        <w:pStyle w:val="Funote"/>
        <w:rPr/>
      </w:pPr>
      <w:r>
        <w:rPr>
          <w:rStyle w:val="Funotenzeichen"/>
        </w:rPr>
        <w:footnoteRef/>
      </w:r>
      <w:r>
        <w:rPr/>
        <w:tab/>
        <w:t>zu „seine Bahnen zieht“ vgl. Waltke 2010, S. 271: Die Pfade des Meeres steht für die Reiseroute des Leviathans.</w:t>
      </w:r>
    </w:p>
  </w:footnote>
  <w:footnote w:id="1726">
    <w:p>
      <w:pPr>
        <w:pStyle w:val="Funote"/>
        <w:rPr/>
      </w:pPr>
      <w:r>
        <w:rPr>
          <w:rStyle w:val="Funotenzeichen"/>
        </w:rPr>
        <w:footnoteRef/>
      </w:r>
      <w:r>
        <w:rPr/>
        <w:tab/>
        <w:t>JHWH</w:t>
      </w:r>
    </w:p>
  </w:footnote>
  <w:footnote w:id="1727">
    <w:p>
      <w:pPr>
        <w:pStyle w:val="Funote"/>
        <w:rPr/>
      </w:pPr>
      <w:r>
        <w:rPr>
          <w:rStyle w:val="Funotenzeichen"/>
        </w:rPr>
        <w:footnoteRef/>
      </w:r>
      <w:r>
        <w:rPr/>
        <w:tab/>
        <w:t>JHWH</w:t>
      </w:r>
    </w:p>
  </w:footnote>
  <w:footnote w:id="1728">
    <w:p>
      <w:pPr>
        <w:pStyle w:val="Funote"/>
        <w:rPr/>
      </w:pPr>
      <w:r>
        <w:rPr>
          <w:rStyle w:val="Funotenzeichen"/>
        </w:rPr>
        <w:footnoteRef/>
      </w:r>
      <w:r>
        <w:rPr/>
        <w:tab/>
        <w:t>[Status: Zuverlässig]</w:t>
      </w:r>
    </w:p>
  </w:footnote>
  <w:footnote w:id="1729">
    <w:p>
      <w:pPr>
        <w:pStyle w:val="Funote"/>
        <w:rPr/>
      </w:pPr>
      <w:r>
        <w:rPr>
          <w:rStyle w:val="Funotenzeichen"/>
        </w:rPr>
        <w:footnoteRef/>
      </w:r>
      <w:r>
        <w:rPr>
          <w:i/>
        </w:rPr>
        <w:tab/>
        <w:t>Chorleiter</w:t>
      </w:r>
      <w:r>
        <w:rPr/>
        <w:t xml:space="preserve"> - Heb. </w:t>
      </w:r>
      <w:r>
        <w:rPr>
          <w:i/>
        </w:rPr>
        <w:t>menatseach</w:t>
      </w:r>
      <w:r>
        <w:rPr/>
        <w:t>; genaue Bedeutung unklar. Die Primärübersetzung „Chorleiter“ ist mehr oder weniger Konvention. S. noch nächste FN.</w:t>
      </w:r>
    </w:p>
  </w:footnote>
  <w:footnote w:id="1730">
    <w:p>
      <w:pPr>
        <w:pStyle w:val="Funote"/>
        <w:rPr/>
      </w:pPr>
      <w:r>
        <w:rPr>
          <w:rStyle w:val="Funotenzeichen"/>
        </w:rPr>
        <w:footnoteRef/>
      </w:r>
      <w:r>
        <w:rPr/>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31">
    <w:p>
      <w:pPr>
        <w:pStyle w:val="Funote"/>
        <w:rPr/>
      </w:pPr>
      <w:r>
        <w:rPr>
          <w:rStyle w:val="Funotenzeichen"/>
        </w:rPr>
        <w:footnoteRef/>
      </w:r>
      <w:r>
        <w:rPr/>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32">
    <w:p>
      <w:pPr>
        <w:pStyle w:val="Funote"/>
        <w:rPr/>
      </w:pPr>
      <w:r>
        <w:rPr>
          <w:rStyle w:val="Funotenzeichen"/>
        </w:rPr>
        <w:footnoteRef/>
      </w:r>
      <w:r>
        <w:rPr/>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33">
    <w:p>
      <w:pPr>
        <w:pStyle w:val="Funote"/>
        <w:rPr/>
      </w:pPr>
      <w:r>
        <w:rPr>
          <w:rStyle w:val="Funotenzeichen"/>
        </w:rPr>
        <w:footnoteRef/>
      </w:r>
      <w:r>
        <w:rPr/>
        <w:tab/>
        <w:t>deinen Namen (dich) - der „Name“ Gottes steht hier wie meist in den Pss. für Gott selbst, genauer: für „Gott im Menschenmund“. Näher am Sinn wäre daher die Üs. „will dich besingen“ (so z.B. auch EÜ, GN, NeÜ).</w:t>
      </w:r>
    </w:p>
  </w:footnote>
  <w:footnote w:id="1734">
    <w:p>
      <w:pPr>
        <w:pStyle w:val="Funote"/>
        <w:rPr/>
      </w:pPr>
      <w:r>
        <w:rPr>
          <w:rStyle w:val="Funotenzeichen"/>
        </w:rPr>
        <w:footnoteRef/>
      </w:r>
      <w:r>
        <w:rPr/>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35">
    <w:p>
      <w:pPr>
        <w:pStyle w:val="Funote"/>
        <w:rPr/>
      </w:pPr>
      <w:r>
        <w:rPr>
          <w:rStyle w:val="Funotenzeichen"/>
        </w:rPr>
        <w:footnoteRef/>
      </w:r>
      <w:r>
        <w:rPr/>
        <w:tab/>
        <w:t xml:space="preserve">In </w:t>
      </w:r>
      <w:r>
        <w:rPr>
          <w:i/>
        </w:rPr>
        <w:t>Vv. 2-3</w:t>
      </w:r>
      <w:r>
        <w:rPr/>
        <w:t xml:space="preserve"> beginnt nicht nur das erste Wort mit Alef, dem ersten Buchstaben des heb. Alphabets - wie es das in den Anmerkungen beschriebene Muster erwarten lassen würde -, sondern jede Zeile und alle fünf verwendeten Verben beginnen mit diesem Buchstaben.</w:t>
      </w:r>
    </w:p>
  </w:footnote>
  <w:footnote w:id="1736">
    <w:p>
      <w:pPr>
        <w:pStyle w:val="Funote"/>
        <w:rPr/>
      </w:pPr>
      <w:r>
        <w:rPr>
          <w:rStyle w:val="Funotenzeichen"/>
        </w:rPr>
        <w:footnoteRef/>
      </w:r>
      <w:r>
        <w:rPr>
          <w:i/>
        </w:rPr>
        <w:tab/>
        <w:t>stolpern</w:t>
      </w:r>
      <w:r>
        <w:rPr/>
        <w:t xml:space="preserve"> - häufige Metapher u.a. für das Besiegt-werden; s. z.B. </w:t>
      </w:r>
      <w:hyperlink r:id="rId69">
        <w:r>
          <w:rPr>
            <w:rStyle w:val="Internetverknpfung"/>
          </w:rPr>
          <w:t>Lev 26,37</w:t>
        </w:r>
      </w:hyperlink>
      <w:r>
        <w:rPr/>
        <w:t xml:space="preserve">; </w:t>
      </w:r>
      <w:hyperlink r:id="rId70">
        <w:r>
          <w:rPr>
            <w:rStyle w:val="Internetverknpfung"/>
          </w:rPr>
          <w:t>2 Chr 25,8</w:t>
        </w:r>
      </w:hyperlink>
      <w:r>
        <w:rPr/>
        <w:t xml:space="preserve">; </w:t>
      </w:r>
      <w:r>
        <w:fldChar w:fldCharType="begin"/>
      </w:r>
      <w:r>
        <w:rPr>
          <w:rStyle w:val="Internetverknpfung"/>
        </w:rPr>
        <w:instrText> HYPERLINK "../../../../../../../../../wiki/Psalm_27" \l "s2"</w:instrText>
      </w:r>
      <w:r>
        <w:rPr>
          <w:rStyle w:val="Internetverknpfung"/>
        </w:rPr>
        <w:fldChar w:fldCharType="separate"/>
      </w:r>
      <w:r>
        <w:rPr>
          <w:rStyle w:val="Internetverknpfung"/>
        </w:rPr>
        <w:t>Ps 27,2</w:t>
      </w:r>
      <w:r>
        <w:rPr>
          <w:rStyle w:val="Internetverknpfung"/>
        </w:rPr>
        <w:fldChar w:fldCharType="end"/>
      </w:r>
      <w:r>
        <w:rPr/>
        <w:t xml:space="preserve"> (vgl. V. 3); </w:t>
      </w:r>
      <w:hyperlink r:id="rId71">
        <w:r>
          <w:rPr>
            <w:rStyle w:val="Internetverknpfung"/>
          </w:rPr>
          <w:t>64,8</w:t>
        </w:r>
      </w:hyperlink>
      <w:r>
        <w:rPr/>
        <w:t xml:space="preserve">; </w:t>
      </w:r>
      <w:hyperlink r:id="rId72">
        <w:r>
          <w:rPr>
            <w:rStyle w:val="Internetverknpfung"/>
          </w:rPr>
          <w:t>Jes 3,8</w:t>
        </w:r>
      </w:hyperlink>
      <w:r>
        <w:rPr/>
        <w:t xml:space="preserve">; </w:t>
      </w:r>
      <w:r>
        <w:fldChar w:fldCharType="begin"/>
      </w:r>
      <w:r>
        <w:rPr>
          <w:rStyle w:val="Internetverknpfung"/>
        </w:rPr>
        <w:instrText> HYPERLINK "../../../../../../../../../wiki/Jesaja_8" \l "s15"</w:instrText>
      </w:r>
      <w:r>
        <w:rPr>
          <w:rStyle w:val="Internetverknpfung"/>
        </w:rPr>
        <w:fldChar w:fldCharType="separate"/>
      </w:r>
      <w:r>
        <w:rPr>
          <w:rStyle w:val="Internetverknpfung"/>
        </w:rPr>
        <w:t>8,15</w:t>
      </w:r>
      <w:r>
        <w:rPr>
          <w:rStyle w:val="Internetverknpfung"/>
        </w:rPr>
        <w:fldChar w:fldCharType="end"/>
      </w:r>
      <w:r>
        <w:rPr/>
        <w:t xml:space="preserve"> u.ö.</w:t>
      </w:r>
    </w:p>
  </w:footnote>
  <w:footnote w:id="1737">
    <w:p>
      <w:pPr>
        <w:pStyle w:val="Funote"/>
        <w:rPr/>
      </w:pPr>
      <w:r>
        <w:rPr>
          <w:rStyle w:val="Funotenzeichen"/>
        </w:rPr>
        <w:footnoteRef/>
      </w:r>
      <w:r>
        <w:rPr/>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38">
    <w:p>
      <w:pPr>
        <w:pStyle w:val="Funote"/>
        <w:rPr/>
      </w:pPr>
      <w:r>
        <w:rPr>
          <w:rStyle w:val="Funotenzeichen"/>
        </w:rPr>
        <w:footnoteRef/>
      </w:r>
      <w:r>
        <w:rPr/>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39">
    <w:p>
      <w:pPr>
        <w:pStyle w:val="Funote"/>
        <w:rPr/>
      </w:pPr>
      <w:r>
        <w:rPr>
          <w:rStyle w:val="Funotenzeichen"/>
        </w:rPr>
        <w:footnoteRef/>
      </w:r>
      <w:r>
        <w:rPr>
          <w:i/>
        </w:rPr>
        <w:tab/>
        <w:t>auf dem Thron als gerechter Richter</w:t>
      </w:r>
      <w:r>
        <w:rPr/>
        <w:t xml:space="preserve"> - im Alten Israel galt der König als der „oberste Richter und Garant des Rechts“ (</w:t>
      </w:r>
      <w:hyperlink r:id="rId73">
        <w:r>
          <w:rPr>
            <w:rStyle w:val="Internetverknpfung"/>
          </w:rPr>
          <w:t>König / Königtum (AT) (WiBiLex)</w:t>
        </w:r>
      </w:hyperlink>
      <w:r>
        <w:rPr/>
        <w:t xml:space="preserve">); der Übergang von der Streitermetapher zur Metapher vom thronenden Richter ist im Heb. also nicht so hart wie im Dt. S. ähnlich den Übergang von </w:t>
      </w:r>
      <w:hyperlink r:id="rId74">
        <w:r>
          <w:rPr>
            <w:rStyle w:val="Internetverknpfung"/>
          </w:rPr>
          <w:t>Ps 89,9-11.14</w:t>
        </w:r>
      </w:hyperlink>
      <w:r>
        <w:rPr/>
        <w:t xml:space="preserve"> zu </w:t>
      </w:r>
      <w:hyperlink r:id="rId75">
        <w:r>
          <w:rPr>
            <w:rStyle w:val="Internetverknpfung"/>
          </w:rPr>
          <w:t>89,15</w:t>
        </w:r>
      </w:hyperlink>
      <w:r>
        <w:rPr/>
        <w:t xml:space="preserve"> und von </w:t>
      </w:r>
      <w:r>
        <w:fldChar w:fldCharType="begin"/>
      </w:r>
      <w:r>
        <w:rPr>
          <w:rStyle w:val="Internetverknpfung"/>
        </w:rPr>
        <w:instrText> HYPERLINK "../../../../../../../../../wiki/Psalm_97" \l "s1"</w:instrText>
      </w:r>
      <w:r>
        <w:rPr>
          <w:rStyle w:val="Internetverknpfung"/>
        </w:rPr>
        <w:fldChar w:fldCharType="separate"/>
      </w:r>
      <w:r>
        <w:rPr>
          <w:rStyle w:val="Internetverknpfung"/>
        </w:rPr>
        <w:t>Ps 97,1-2</w:t>
      </w:r>
      <w:r>
        <w:rPr>
          <w:rStyle w:val="Internetverknpfung"/>
        </w:rPr>
        <w:fldChar w:fldCharType="end"/>
      </w:r>
      <w:r>
        <w:rPr/>
        <w:t xml:space="preserve"> zu </w:t>
      </w:r>
      <w:r>
        <w:fldChar w:fldCharType="begin"/>
      </w:r>
      <w:r>
        <w:rPr>
          <w:rStyle w:val="Internetverknpfung"/>
        </w:rPr>
        <w:instrText> HYPERLINK "../../../../../../../../../wiki/Psalm_97" \l "s3"</w:instrText>
      </w:r>
      <w:r>
        <w:rPr>
          <w:rStyle w:val="Internetverknpfung"/>
        </w:rPr>
        <w:fldChar w:fldCharType="separate"/>
      </w:r>
      <w:r>
        <w:rPr>
          <w:rStyle w:val="Internetverknpfung"/>
        </w:rPr>
        <w:t>97,3-5</w:t>
      </w:r>
      <w:r>
        <w:rPr>
          <w:rStyle w:val="Internetverknpfung"/>
        </w:rPr>
        <w:fldChar w:fldCharType="end"/>
      </w:r>
      <w:r>
        <w:rPr/>
        <w:t>.</w:t>
      </w:r>
    </w:p>
  </w:footnote>
  <w:footnote w:id="1740">
    <w:p>
      <w:pPr>
        <w:pStyle w:val="Funote"/>
        <w:rPr/>
      </w:pPr>
      <w:r>
        <w:rPr>
          <w:rStyle w:val="Funotenzeichen"/>
        </w:rPr>
        <w:footnoteRef/>
      </w:r>
      <w:r>
        <w:rPr/>
        <w:tab/>
        <w:t>Nationen - Heb. gojim, oft verwendet für Nationen qua heidnische Nationen; sinngemäßer daher »Heidenvölker« (ähnlich z.B. Bonkamp 1949; Ehrlich 1905; Weber 2001: »Heiden«).</w:t>
      </w:r>
    </w:p>
  </w:footnote>
  <w:footnote w:id="1741">
    <w:p>
      <w:pPr>
        <w:pStyle w:val="Funote"/>
        <w:rPr/>
      </w:pPr>
      <w:r>
        <w:rPr>
          <w:rStyle w:val="Funotenzeichen"/>
        </w:rPr>
        <w:footnoteRef/>
      </w:r>
      <w:r>
        <w:rPr/>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42">
    <w:p>
      <w:pPr>
        <w:pStyle w:val="Funote"/>
        <w:rPr/>
      </w:pPr>
      <w:r>
        <w:rPr>
          <w:rStyle w:val="Funotenzeichen"/>
        </w:rPr>
        <w:footnoteRef/>
      </w:r>
      <w:r>
        <w:rPr/>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43">
    <w:p>
      <w:pPr>
        <w:pStyle w:val="Funote"/>
        <w:rPr/>
      </w:pPr>
      <w:r>
        <w:rPr>
          <w:rStyle w:val="Funotenzeichen"/>
        </w:rPr>
        <w:footnoteRef/>
      </w:r>
      <w:r>
        <w:rPr/>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44">
    <w:p>
      <w:pPr>
        <w:pStyle w:val="Funote"/>
        <w:rPr/>
      </w:pPr>
      <w:r>
        <w:rPr>
          <w:rStyle w:val="Funotenzeichen"/>
        </w:rPr>
        <w:footnoteRef/>
      </w:r>
      <w:r>
        <w:rPr/>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45">
    <w:p>
      <w:pPr>
        <w:pStyle w:val="Funote"/>
        <w:rPr/>
      </w:pPr>
      <w:r>
        <w:rPr>
          <w:rStyle w:val="Funotenzeichen"/>
        </w:rPr>
        <w:footnoteRef/>
      </w:r>
      <w:r>
        <w:rPr/>
        <w:tab/>
        <w:t>Gegner statt der häufigen Üs. »Städte« nach Gordis 1957, S. 11; Herkenne 1936, S. 68; s. 1 Sam 28,16; Sir 37,5; vgl. Ges18, S. 1007.</w:t>
      </w:r>
    </w:p>
  </w:footnote>
  <w:footnote w:id="1746">
    <w:p>
      <w:pPr>
        <w:pStyle w:val="Funote"/>
        <w:rPr/>
      </w:pPr>
      <w:r>
        <w:rPr>
          <w:rStyle w:val="Funotenzeichen"/>
        </w:rPr>
        <w:footnoteRef/>
      </w:r>
      <w:r>
        <w:rPr/>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47">
    <w:p>
      <w:pPr>
        <w:pStyle w:val="Funote"/>
        <w:rPr/>
      </w:pPr>
      <w:r>
        <w:rPr>
          <w:rStyle w:val="Funotenzeichen"/>
        </w:rPr>
        <w:footnoteRef/>
      </w:r>
      <w:r>
        <w:rPr/>
        <w:tab/>
        <w:t>[jene], die deinen Namen kennen - geläufiger Ausdruck für JHWH-Verehrer: jene, die dich verehren (vgl. z.B. Ehrlich 1905, S. 18; THAT I, Sp. 694f.).</w:t>
      </w:r>
    </w:p>
  </w:footnote>
  <w:footnote w:id="1748">
    <w:p>
      <w:pPr>
        <w:pStyle w:val="Funote"/>
        <w:rPr/>
      </w:pPr>
      <w:r>
        <w:rPr>
          <w:rStyle w:val="Funotenzeichen"/>
        </w:rPr>
        <w:footnoteRef/>
      </w:r>
      <w:r>
        <w:rPr/>
        <w:tab/>
        <w:t>Auch die dich suchen ist ein Ausdruck für JHWH-Verehrer: die, die sich zu dir halten (vgl. THAT I, Sp. 464-466).</w:t>
      </w:r>
    </w:p>
  </w:footnote>
  <w:footnote w:id="1749">
    <w:p>
      <w:pPr>
        <w:pStyle w:val="Funote"/>
        <w:rPr/>
      </w:pPr>
      <w:r>
        <w:rPr>
          <w:rStyle w:val="Funotenzeichen"/>
        </w:rPr>
        <w:footnoteRef/>
      </w:r>
      <w:r>
        <w:rPr/>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50">
    <w:p>
      <w:pPr>
        <w:pStyle w:val="Funote"/>
        <w:rPr/>
      </w:pPr>
      <w:r>
        <w:rPr>
          <w:rStyle w:val="Funotenzeichen"/>
        </w:rPr>
        <w:footnoteRef/>
      </w:r>
      <w:r>
        <w:rPr>
          <w:i/>
        </w:rPr>
        <w:tab/>
        <w:t>der auf dem Zion thront</w:t>
      </w:r>
      <w:r>
        <w:rPr/>
        <w:t xml:space="preserve"> - Der Zion war der Tempelberg in Jerusalem; man stellte sich vor, dass Gott - zumindest „teilweise“ - dort im Tempel wohnte. S. näher z.B. </w:t>
      </w:r>
      <w:hyperlink r:id="rId76">
        <w:r>
          <w:rPr>
            <w:rStyle w:val="Internetverknpfung"/>
          </w:rPr>
          <w:t>Zion / Zionstheologie (WiBiLex)</w:t>
        </w:r>
      </w:hyperlink>
      <w:r>
        <w:rPr/>
        <w:t>.</w:t>
      </w:r>
    </w:p>
  </w:footnote>
  <w:footnote w:id="1751">
    <w:p>
      <w:pPr>
        <w:pStyle w:val="Funote"/>
        <w:rPr/>
      </w:pPr>
      <w:r>
        <w:rPr>
          <w:rStyle w:val="Funotenzeichen"/>
        </w:rPr>
        <w:footnoteRef/>
      </w:r>
      <w:r>
        <w:rPr/>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52">
    <w:p>
      <w:pPr>
        <w:pStyle w:val="Funote"/>
        <w:rPr/>
      </w:pPr>
      <w:r>
        <w:rPr>
          <w:rStyle w:val="Funotenzeichen"/>
        </w:rPr>
        <w:footnoteRef/>
      </w:r>
      <w:r>
        <w:rPr/>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53">
    <w:p>
      <w:pPr>
        <w:pStyle w:val="Funote"/>
        <w:rPr/>
      </w:pPr>
      <w:r>
        <w:rPr>
          <w:rStyle w:val="Funotenzeichen"/>
        </w:rPr>
        <w:footnoteRef/>
      </w:r>
      <w:r>
        <w:rPr>
          <w:i/>
        </w:rPr>
        <w:tab/>
        <w:t>vergisst nicht</w:t>
      </w:r>
      <w:r>
        <w:rPr/>
        <w:t xml:space="preserve"> - ganz ähnlicher Ausdruck wie „denken an“ in der vorigen Zeile: Die Rede vom „Vergessen“ Gottes meint meist sein aktives sich-Abwenden von jmdn (s. z.B. </w:t>
      </w:r>
      <w:hyperlink r:id="rId77">
        <w:r>
          <w:rPr>
            <w:rStyle w:val="Internetverknpfung"/>
          </w:rPr>
          <w:t>1 Sam 1,11</w:t>
        </w:r>
      </w:hyperlink>
      <w:r>
        <w:rPr/>
        <w:t xml:space="preserve">; </w:t>
      </w:r>
      <w:r>
        <w:fldChar w:fldCharType="begin"/>
      </w:r>
      <w:r>
        <w:rPr>
          <w:rStyle w:val="Internetverknpfung"/>
        </w:rPr>
        <w:instrText> HYPERLINK "../../../../../../../../../wiki/Psalm_13" \l "s2"</w:instrText>
      </w:r>
      <w:r>
        <w:rPr>
          <w:rStyle w:val="Internetverknpfung"/>
        </w:rPr>
        <w:fldChar w:fldCharType="separate"/>
      </w:r>
      <w:r>
        <w:rPr>
          <w:rStyle w:val="Internetverknpfung"/>
        </w:rPr>
        <w:t>Ps 13,2</w:t>
      </w:r>
      <w:r>
        <w:rPr>
          <w:rStyle w:val="Internetverknpfung"/>
        </w:rPr>
        <w:fldChar w:fldCharType="end"/>
      </w:r>
      <w:r>
        <w:rPr/>
        <w:t xml:space="preserve">; </w:t>
      </w:r>
      <w:r>
        <w:fldChar w:fldCharType="begin"/>
      </w:r>
      <w:r>
        <w:rPr>
          <w:rStyle w:val="Internetverknpfung"/>
        </w:rPr>
        <w:instrText> HYPERLINK "../../../../../../../../../wiki/Psalm_42" \l "s10"</w:instrText>
      </w:r>
      <w:r>
        <w:rPr>
          <w:rStyle w:val="Internetverknpfung"/>
        </w:rPr>
        <w:fldChar w:fldCharType="separate"/>
      </w:r>
      <w:r>
        <w:rPr>
          <w:rStyle w:val="Internetverknpfung"/>
        </w:rPr>
        <w:t>42,10</w:t>
      </w:r>
      <w:r>
        <w:rPr>
          <w:rStyle w:val="Internetverknpfung"/>
        </w:rPr>
        <w:fldChar w:fldCharType="end"/>
      </w:r>
      <w:r>
        <w:rPr/>
        <w:t xml:space="preserve">; </w:t>
      </w:r>
      <w:hyperlink r:id="rId78">
        <w:r>
          <w:rPr>
            <w:rStyle w:val="Internetverknpfung"/>
          </w:rPr>
          <w:t>44,25</w:t>
        </w:r>
      </w:hyperlink>
      <w:r>
        <w:rPr/>
        <w:t xml:space="preserve">; </w:t>
      </w:r>
      <w:hyperlink r:id="rId79">
        <w:r>
          <w:rPr>
            <w:rStyle w:val="Internetverknpfung"/>
          </w:rPr>
          <w:t>Jes 49,14</w:t>
        </w:r>
      </w:hyperlink>
      <w:r>
        <w:rPr/>
        <w:t xml:space="preserve">; </w:t>
      </w:r>
      <w:hyperlink r:id="rId80">
        <w:r>
          <w:rPr>
            <w:rStyle w:val="Internetverknpfung"/>
          </w:rPr>
          <w:t>Klg 5,20</w:t>
        </w:r>
      </w:hyperlink>
      <w:r>
        <w:rPr/>
        <w:t>). Dass Gott die Armen „nicht vergisst“ meint also das gleiche wie dass Gott „an sie denkt“, nämlich, dass er ihnen helfend beisteht.</w:t>
      </w:r>
    </w:p>
  </w:footnote>
  <w:footnote w:id="1754">
    <w:p>
      <w:pPr>
        <w:pStyle w:val="Funote"/>
        <w:rPr/>
      </w:pPr>
      <w:r>
        <w:rPr>
          <w:rStyle w:val="Funotenzeichen"/>
        </w:rPr>
        <w:footnoteRef/>
      </w:r>
      <w:r>
        <w:rPr/>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55">
    <w:p>
      <w:pPr>
        <w:pStyle w:val="Funote"/>
        <w:rPr/>
      </w:pPr>
      <w:r>
        <w:rPr>
          <w:rStyle w:val="Funotenzeichen"/>
        </w:rPr>
        <w:footnoteRef/>
      </w:r>
      <w:r>
        <w:rPr/>
        <w:tab/>
        <w:t>Sieh auf mein Elend - d.h. ignoriere mich in meinem Elend nicht, sd. hilf mir! Gut HfA: „Siehe doch, wie ich leide unter dem Hass meiner Feinde!“</w:t>
      </w:r>
    </w:p>
  </w:footnote>
  <w:footnote w:id="1756">
    <w:p>
      <w:pPr>
        <w:pStyle w:val="Funote"/>
        <w:rPr/>
      </w:pPr>
      <w:r>
        <w:rPr>
          <w:rStyle w:val="Funotenzeichen"/>
        </w:rPr>
        <w:footnoteRef/>
      </w:r>
      <w:r>
        <w:rPr/>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57">
    <w:p>
      <w:pPr>
        <w:pStyle w:val="Funote"/>
        <w:rPr/>
      </w:pPr>
      <w:r>
        <w:rPr>
          <w:rStyle w:val="Funotenzeichen"/>
        </w:rPr>
        <w:footnoteRef/>
      </w:r>
      <w:r>
        <w:rPr/>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58">
    <w:p>
      <w:pPr>
        <w:pStyle w:val="Funote"/>
        <w:rPr/>
      </w:pPr>
      <w:r>
        <w:rPr>
          <w:rStyle w:val="Funotenzeichen"/>
        </w:rPr>
        <w:footnoteRef/>
      </w:r>
      <w:r>
        <w:rPr/>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59">
    <w:p>
      <w:pPr>
        <w:pStyle w:val="Funote"/>
        <w:rPr/>
      </w:pPr>
      <w:r>
        <w:rPr>
          <w:rStyle w:val="Funotenzeichen"/>
        </w:rPr>
        <w:footnoteRef/>
      </w:r>
      <w:r>
        <w:rPr>
          <w:i/>
        </w:rPr>
        <w:tab/>
        <w:t>{</w:t>
      </w:r>
      <w:r>
        <w:rPr>
          <w:i/>
          <w:strike/>
        </w:rPr>
        <w:t>Higgaion Selah</w:t>
      </w:r>
      <w:r>
        <w:rPr>
          <w:i/>
        </w:rPr>
        <w:t>}</w:t>
      </w:r>
      <w:r>
        <w:rPr/>
        <w:t xml:space="preserve"> (V. 17) + </w:t>
      </w:r>
      <w:r>
        <w:rPr>
          <w:i/>
        </w:rPr>
        <w:t>{</w:t>
      </w:r>
      <w:r>
        <w:rPr>
          <w:i/>
          <w:strike/>
        </w:rPr>
        <w:t>Selah</w:t>
      </w:r>
      <w:r>
        <w:rPr>
          <w:i/>
        </w:rPr>
        <w:t>} (V. 21)</w:t>
      </w:r>
      <w:r>
        <w:rPr/>
        <w:t xml:space="preserve"> - Zwei Wörter mit unklarer Bedeutung. </w:t>
      </w:r>
      <w:r>
        <w:rPr>
          <w:i/>
        </w:rPr>
        <w:t>Higgaion</w:t>
      </w:r>
      <w:r>
        <w:rPr/>
        <w:t xml:space="preserve"> ist offenbar etwas Hörbares, s. </w:t>
      </w:r>
      <w:r>
        <w:fldChar w:fldCharType="begin"/>
      </w:r>
      <w:r>
        <w:rPr>
          <w:rStyle w:val="Internetverknpfung"/>
        </w:rPr>
        <w:instrText> HYPERLINK "../../../../../../../../../wiki/Psalm_19" \l "s15"</w:instrText>
      </w:r>
      <w:r>
        <w:rPr>
          <w:rStyle w:val="Internetverknpfung"/>
        </w:rPr>
        <w:fldChar w:fldCharType="separate"/>
      </w:r>
      <w:r>
        <w:rPr>
          <w:rStyle w:val="Internetverknpfung"/>
        </w:rPr>
        <w:t>Ps 19,15</w:t>
      </w:r>
      <w:r>
        <w:rPr>
          <w:rStyle w:val="Internetverknpfung"/>
        </w:rPr>
        <w:fldChar w:fldCharType="end"/>
      </w:r>
      <w:r>
        <w:rPr/>
        <w:t xml:space="preserve"> und </w:t>
      </w:r>
      <w:r>
        <w:fldChar w:fldCharType="begin"/>
      </w:r>
      <w:r>
        <w:rPr>
          <w:rStyle w:val="Internetverknpfung"/>
        </w:rPr>
        <w:instrText> HYPERLINK "../../../../../../../../../wiki/Klagelieder_3" \l "s62"</w:instrText>
      </w:r>
      <w:r>
        <w:rPr>
          <w:rStyle w:val="Internetverknpfung"/>
        </w:rPr>
        <w:fldChar w:fldCharType="separate"/>
      </w:r>
      <w:r>
        <w:rPr>
          <w:rStyle w:val="Internetverknpfung"/>
        </w:rPr>
        <w:t>Klg 3,62</w:t>
      </w:r>
      <w:r>
        <w:rPr>
          <w:rStyle w:val="Internetverknpfung"/>
        </w:rPr>
        <w:fldChar w:fldCharType="end"/>
      </w:r>
      <w:r>
        <w:rPr/>
        <w:t xml:space="preserve">, wo es in Parallele zu „Reden“ steht, und </w:t>
      </w:r>
      <w:hyperlink r:id="rId81">
        <w:r>
          <w:rPr>
            <w:rStyle w:val="Internetverknpfung"/>
          </w:rPr>
          <w:t>Ps 92,4</w:t>
        </w:r>
      </w:hyperlink>
      <w:r>
        <w:rPr/>
        <w:t xml:space="preserve">, wo es offenbar das bezeichnet, was eine Harfe von sich gibt. Hier in Ps 9,17 ist die Funktion von </w:t>
      </w:r>
      <w:r>
        <w:rPr>
          <w:i/>
        </w:rPr>
        <w:t>higgaion</w:t>
      </w:r>
      <w:r>
        <w:rPr/>
        <w:t xml:space="preserve"> wohl die selbe wie die von </w:t>
      </w:r>
      <w:r>
        <w:rPr>
          <w:i/>
        </w:rPr>
        <w:t>selah</w:t>
      </w:r>
      <w:r>
        <w:rPr/>
        <w:t xml:space="preserve"> - und welche das ist, ist ganz unklar, s. Lexikon / Lemma </w:t>
      </w:r>
      <w:hyperlink r:id="rId82">
        <w:r>
          <w:rPr>
            <w:rStyle w:val="Internetverknpfung"/>
            <w:rtl w:val="true"/>
            <w:lang w:bidi="he-IL"/>
          </w:rPr>
          <w:t>סֶלַה</w:t>
        </w:r>
      </w:hyperlink>
      <w:r>
        <w:rPr/>
        <w:t>. In der LF sollten beide Begriffe daher besser wie in vielen Üss. ausgespart werden.</w:t>
      </w:r>
    </w:p>
  </w:footnote>
  <w:footnote w:id="1760">
    <w:p>
      <w:pPr>
        <w:pStyle w:val="Funote"/>
        <w:rPr/>
      </w:pPr>
      <w:r>
        <w:rPr>
          <w:rStyle w:val="Funotenzeichen"/>
        </w:rPr>
        <w:footnoteRef/>
      </w:r>
      <w:r>
        <w:rPr/>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61">
    <w:p>
      <w:pPr>
        <w:pStyle w:val="Funote"/>
        <w:rPr/>
      </w:pPr>
      <w:r>
        <w:rPr>
          <w:rStyle w:val="Funotenzeichen"/>
        </w:rPr>
        <w:footnoteRef/>
      </w:r>
      <w:r>
        <w:rPr>
          <w:i/>
        </w:rPr>
        <w:tab/>
        <w:t>Scheol</w:t>
      </w:r>
      <w:r>
        <w:rPr/>
        <w:t xml:space="preserve"> - Heb. Name der Unterwelt. Mit der Hölle hat die Scheol-Vorstellung sehr wenig gemein. Vermutlich stellte man sie sich vor als eine unter der Erde gelegene Stadt, deren Bewohner in der Finsternis zur Passivität und Gottferne verdammt waren (s. näher </w:t>
      </w:r>
      <w:hyperlink r:id="rId83">
        <w:r>
          <w:rPr>
            <w:rStyle w:val="Internetverknpfung"/>
          </w:rPr>
          <w:t>Jenseitsvorstellungen (AT) (WiBiLex)</w:t>
        </w:r>
      </w:hyperlink>
      <w:r>
        <w:rPr/>
        <w:t>).</w:t>
      </w:r>
    </w:p>
  </w:footnote>
  <w:footnote w:id="1762">
    <w:p>
      <w:pPr>
        <w:pStyle w:val="Funote"/>
        <w:rPr/>
      </w:pPr>
      <w:r>
        <w:rPr>
          <w:rStyle w:val="Funotenzeichen"/>
        </w:rPr>
        <w:footnoteRef/>
      </w:r>
      <w:r>
        <w:rPr/>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63">
    <w:p>
      <w:pPr>
        <w:pStyle w:val="Funote"/>
        <w:rPr/>
      </w:pPr>
      <w:r>
        <w:rPr>
          <w:rStyle w:val="Funotenzeichen"/>
        </w:rPr>
        <w:footnoteRef/>
      </w:r>
      <w:r>
        <w:rPr/>
        <w:tab/>
        <w:t>Gott vergessen [haben] = die keine JHWH-Verehrer sind (vgl THAT II, Sp. 902).</w:t>
      </w:r>
    </w:p>
  </w:footnote>
  <w:footnote w:id="1764">
    <w:p>
      <w:pPr>
        <w:pStyle w:val="Funote"/>
        <w:rPr/>
      </w:pPr>
      <w:r>
        <w:rPr>
          <w:rStyle w:val="Funotenzeichen"/>
        </w:rPr>
        <w:footnoteRef/>
      </w:r>
      <w:r>
        <w:rPr/>
        <w:tab/>
        <w:t>Zu vergessen vgl. FN y, zu der Elenden FN z. Der Beter bittet hier exakt um das, wofür er in V. 13 JHWH versprochen hat, ihn nach dessen Hilfe öffentlich zu preisen.</w:t>
      </w:r>
    </w:p>
  </w:footnote>
  <w:footnote w:id="1765">
    <w:p>
      <w:pPr>
        <w:pStyle w:val="Funote"/>
        <w:rPr/>
      </w:pPr>
      <w:r>
        <w:rPr>
          <w:rStyle w:val="Funotenzeichen"/>
        </w:rPr>
        <w:footnoteRef/>
      </w:r>
      <w:r>
        <w:rPr/>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66">
    <w:p>
      <w:pPr>
        <w:pStyle w:val="Funote"/>
        <w:rPr/>
      </w:pPr>
      <w:r>
        <w:rPr>
          <w:rStyle w:val="Funotenzeichen"/>
        </w:rPr>
        <w:footnoteRef/>
      </w:r>
      <w:r>
        <w:rPr/>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67">
    <w:p>
      <w:pPr>
        <w:pStyle w:val="Funote"/>
        <w:rPr/>
      </w:pPr>
      <w:r>
        <w:rPr>
          <w:rStyle w:val="Funotenzeichen"/>
        </w:rPr>
        <w:footnoteRef/>
      </w:r>
      <w:r>
        <w:rPr/>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68">
    <w:p>
      <w:pPr>
        <w:pStyle w:val="Funote"/>
        <w:rPr/>
      </w:pPr>
      <w:r>
        <w:rPr>
          <w:rStyle w:val="Funotenzeichen"/>
        </w:rPr>
        <w:footnoteRef/>
      </w:r>
      <w:r>
        <w:rPr/>
        <w:tab/>
        <w:t>JHWH</w:t>
      </w:r>
    </w:p>
  </w:footnote>
  <w:footnote w:id="1769">
    <w:p>
      <w:pPr>
        <w:pStyle w:val="Funote"/>
        <w:rPr/>
      </w:pPr>
      <w:r>
        <w:rPr>
          <w:rStyle w:val="Funotenzeichen"/>
        </w:rPr>
        <w:footnoteRef/>
      </w:r>
      <w:r>
        <w:rPr/>
        <w:tab/>
        <w:t>JHWH</w:t>
      </w:r>
    </w:p>
  </w:footnote>
  <w:footnote w:id="1770">
    <w:p>
      <w:pPr>
        <w:pStyle w:val="Funote"/>
        <w:rPr/>
      </w:pPr>
      <w:r>
        <w:rPr>
          <w:rStyle w:val="Funotenzeichen"/>
        </w:rPr>
        <w:footnoteRef/>
      </w:r>
      <w:r>
        <w:rPr/>
        <w:tab/>
        <w:t>JHWH</w:t>
      </w:r>
    </w:p>
  </w:footnote>
  <w:footnote w:id="1771">
    <w:p>
      <w:pPr>
        <w:pStyle w:val="Funote"/>
        <w:rPr/>
      </w:pPr>
      <w:r>
        <w:rPr>
          <w:rStyle w:val="Funotenzeichen"/>
        </w:rPr>
        <w:footnoteRef/>
      </w:r>
      <w:r>
        <w:rPr/>
        <w:tab/>
        <w:t>[Status: Zuverlässig]</w:t>
      </w:r>
    </w:p>
  </w:footnote>
  <w:footnote w:id="1772">
    <w:p>
      <w:pPr>
        <w:pStyle w:val="Funote"/>
        <w:rPr/>
      </w:pPr>
      <w:r>
        <w:rPr>
          <w:rStyle w:val="Funotenzeichen"/>
        </w:rPr>
        <w:footnoteRef/>
      </w:r>
      <w:r>
        <w:rPr/>
        <w:tab/>
        <w:t xml:space="preserve">Ps 10 ist nicht eigentlich ein eigenständiger Psalm, sondern bildet zusammen mit Ps 9 das erste sog. „Akrostichon“ in der Bibel, die Anfangsbuchstaben einiger Zeilen folgen also dem heb. Alphabet (s. die Anmerkungen zu </w:t>
      </w:r>
      <w:hyperlink r:id="rId84">
        <w:r>
          <w:rPr>
            <w:rStyle w:val="Internetverknpfung"/>
          </w:rPr>
          <w:t>Psalm 9</w:t>
        </w:r>
      </w:hyperlink>
      <w:r>
        <w:rPr/>
        <w:t>). Um das direkt sichtbar zu machen, haben wir die obigen Buchstaben gesetzt: Wo „A“ steht, findet sich im heb. Text der erste Buchstabe des heb. Alphabets, wo „B“ steht der zweite usw.</w:t>
      </w:r>
    </w:p>
  </w:footnote>
  <w:footnote w:id="1773">
    <w:p>
      <w:pPr>
        <w:pStyle w:val="Funote"/>
        <w:rPr/>
      </w:pPr>
      <w:r>
        <w:rPr>
          <w:rStyle w:val="Funotenzeichen"/>
        </w:rPr>
        <w:footnoteRef/>
      </w:r>
      <w:r>
        <w:rPr/>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74">
    <w:p>
      <w:pPr>
        <w:pStyle w:val="Funote"/>
        <w:rPr/>
      </w:pPr>
      <w:r>
        <w:rPr>
          <w:rStyle w:val="Funotenzeichen"/>
        </w:rPr>
        <w:footnoteRef/>
      </w:r>
      <w:r>
        <w:rPr/>
        <w:tab/>
        <w:t>den Elenden (Armen) - häufiger Ausdruck für JHWH-Verehrer qua hilfsbedürftige, weil bedrängte, JHWH-Verehrer (vgl. z.B. THAT II, Sp. 345f.).</w:t>
      </w:r>
    </w:p>
  </w:footnote>
  <w:footnote w:id="1775">
    <w:p>
      <w:pPr>
        <w:pStyle w:val="Funote"/>
        <w:rPr/>
      </w:pPr>
      <w:r>
        <w:rPr>
          <w:rStyle w:val="Funotenzeichen"/>
        </w:rPr>
        <w:footnoteRef/>
      </w:r>
      <w:r>
        <w:rPr/>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76">
    <w:p>
      <w:pPr>
        <w:pStyle w:val="Funote"/>
        <w:rPr/>
      </w:pPr>
      <w:r>
        <w:rPr>
          <w:rStyle w:val="Funotenzeichen"/>
        </w:rPr>
        <w:footnoteRef/>
      </w:r>
      <w:r>
        <w:rPr/>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77">
    <w:p>
      <w:pPr>
        <w:pStyle w:val="Funote"/>
        <w:rPr/>
      </w:pPr>
      <w:r>
        <w:rPr>
          <w:rStyle w:val="Funotenzeichen"/>
        </w:rPr>
        <w:footnoteRef/>
      </w:r>
      <w:r>
        <w:rPr/>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78">
    <w:p>
      <w:pPr>
        <w:pStyle w:val="Funote"/>
        <w:rPr/>
      </w:pPr>
      <w:r>
        <w:rPr>
          <w:rStyle w:val="Funotenzeichen"/>
        </w:rPr>
        <w:footnoteRef/>
      </w:r>
      <w:r>
        <w:rPr/>
        <w:tab/>
        <w:t>Abschneider = Erpresser; das Verb batsa` („abschneiden“) findet sich oft in der Bed. „erpressen“ in der Bibel. Schön Herkenne 1936: „Halsabschneider“.</w:t>
      </w:r>
    </w:p>
  </w:footnote>
  <w:footnote w:id="1779">
    <w:p>
      <w:pPr>
        <w:pStyle w:val="Funote"/>
        <w:rPr/>
      </w:pPr>
      <w:r>
        <w:rPr>
          <w:rStyle w:val="Funotenzeichen"/>
        </w:rPr>
        <w:footnoteRef/>
      </w:r>
      <w:r>
        <w:rPr/>
        <w:tab/>
        <w:t>flucht - barak hier wie oft nicht in der Bed. „segnet“, sd. „flucht“; vgl. z.B. Schorch 2000, S. 101f. So fast alle Üss.</w:t>
      </w:r>
    </w:p>
  </w:footnote>
  <w:footnote w:id="1780">
    <w:p>
      <w:pPr>
        <w:pStyle w:val="Funote"/>
        <w:rPr/>
      </w:pPr>
      <w:r>
        <w:rPr>
          <w:rStyle w:val="Funotenzeichen"/>
        </w:rPr>
        <w:footnoteRef/>
      </w:r>
      <w:r>
        <w:rPr/>
        <w:tab/>
        <w:t>flucht, verachtet (V. 3) + bricht zusammen, sinkt nieder (V. 10) - zur Konstruktion vgl. Müller 2013b, S. 62f.: Zwei Verben werden ohne Konjunktion aneinander angeschlossen, um den Ausdruck noch stärker zu machen (vgl. S. 68).</w:t>
      </w:r>
    </w:p>
  </w:footnote>
  <w:footnote w:id="1781">
    <w:p>
      <w:pPr>
        <w:pStyle w:val="Funote"/>
        <w:rPr/>
      </w:pPr>
      <w:r>
        <w:rPr>
          <w:rStyle w:val="Funotenzeichen"/>
        </w:rPr>
        <w:footnoteRef/>
      </w:r>
      <w:r>
        <w:rPr/>
        <w:tab/>
        <w:t>[denkt:] - Zu Einleitungen wörtl. Rede ohne ein verbum dicendi/sentiendi wie „sagt“ oder „denkt“ vgl. z.B. Gordis 1949, S. 174-176; zwei Bspp: Pred 8,2: „Ich [sage]:...“; Hos 14,8: „Ephraim [soll sagen:]...“</w:t>
      </w:r>
    </w:p>
  </w:footnote>
  <w:footnote w:id="1782">
    <w:p>
      <w:pPr>
        <w:pStyle w:val="Funote"/>
        <w:rPr/>
      </w:pPr>
      <w:r>
        <w:rPr>
          <w:rStyle w:val="Funotenzeichen"/>
        </w:rPr>
        <w:footnoteRef/>
      </w:r>
      <w:r>
        <w:rPr/>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83">
    <w:p>
      <w:pPr>
        <w:pStyle w:val="Funote"/>
        <w:rPr/>
      </w:pPr>
      <w:r>
        <w:rPr>
          <w:rStyle w:val="Funotenzeichen"/>
        </w:rPr>
        <w:footnoteRef/>
      </w:r>
      <w:r>
        <w:rPr/>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84">
    <w:p>
      <w:pPr>
        <w:pStyle w:val="Funote"/>
        <w:rPr/>
      </w:pPr>
      <w:r>
        <w:rPr>
          <w:rStyle w:val="Funotenzeichen"/>
        </w:rPr>
        <w:footnoteRef/>
      </w:r>
      <w:r>
        <w:rPr/>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85">
    <w:p>
      <w:pPr>
        <w:pStyle w:val="Funote"/>
        <w:rPr/>
      </w:pPr>
      <w:r>
        <w:rPr>
          <w:rStyle w:val="Funotenzeichen"/>
        </w:rPr>
        <w:footnoteRef/>
      </w:r>
      <w:r>
        <w:rPr/>
        <w:tab/>
        <w:t>Hoch [sind] deine Gesetze, fern von ihm - d.h. wieder: Um Gott und seine Weisung schert sich der Schlechte nicht im Geringsten. Schön EÜ: „Hoch droben und fern von sich wähnt er deine Gerichte.“</w:t>
      </w:r>
    </w:p>
  </w:footnote>
  <w:footnote w:id="1786">
    <w:p>
      <w:pPr>
        <w:pStyle w:val="Funote"/>
        <w:rPr/>
      </w:pPr>
      <w:r>
        <w:rPr>
          <w:rStyle w:val="Funotenzeichen"/>
        </w:rPr>
        <w:footnoteRef/>
      </w:r>
      <w:r>
        <w:rPr/>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87">
    <w:p>
      <w:pPr>
        <w:pStyle w:val="Funote"/>
        <w:rPr/>
      </w:pPr>
      <w:r>
        <w:rPr>
          <w:rStyle w:val="Funotenzeichen"/>
        </w:rPr>
        <w:footnoteRef/>
      </w:r>
      <w:r>
        <w:rPr>
          <w:i/>
        </w:rPr>
        <w:tab/>
        <w:t>wanken</w:t>
      </w:r>
      <w:r>
        <w:rPr/>
        <w:t xml:space="preserve"> - Das „Wanken“ ist in der biblischen Poesie eine häufige Metapher für eine Gefährdung, aus der direkt Vernichtung und Tod folgt. Wer dagegen „nicht wankt“ ist sicher und geschützt und wird daher ewig bestehen; s. bes. gut </w:t>
      </w:r>
      <w:hyperlink r:id="rId85">
        <w:r>
          <w:rPr>
            <w:rStyle w:val="Internetverknpfung"/>
          </w:rPr>
          <w:t>Spr 10,30</w:t>
        </w:r>
      </w:hyperlink>
      <w:r>
        <w:rPr/>
        <w:t xml:space="preserve">; </w:t>
      </w:r>
      <w:r>
        <w:fldChar w:fldCharType="begin"/>
      </w:r>
      <w:r>
        <w:rPr>
          <w:rStyle w:val="Internetverknpfung"/>
        </w:rPr>
        <w:instrText> HYPERLINK "../../../../../../../../../wiki/Sprichw%C3%B6rter_12" \l "s3"</w:instrText>
      </w:r>
      <w:r>
        <w:rPr>
          <w:rStyle w:val="Internetverknpfung"/>
        </w:rPr>
        <w:fldChar w:fldCharType="separate"/>
      </w:r>
      <w:r>
        <w:rPr>
          <w:rStyle w:val="Internetverknpfung"/>
        </w:rPr>
        <w:t>12,3</w:t>
      </w:r>
      <w:r>
        <w:rPr>
          <w:rStyle w:val="Internetverknpfung"/>
        </w:rPr>
        <w:fldChar w:fldCharType="end"/>
      </w:r>
      <w:r>
        <w:rPr/>
        <w:t xml:space="preserve">; auch </w:t>
      </w:r>
      <w:r>
        <w:fldChar w:fldCharType="begin"/>
      </w:r>
      <w:r>
        <w:rPr>
          <w:rStyle w:val="Internetverknpfung"/>
        </w:rPr>
        <w:instrText> HYPERLINK "../../../../../../../../../wiki/Psalm_16" \l "s8"</w:instrText>
      </w:r>
      <w:r>
        <w:rPr>
          <w:rStyle w:val="Internetverknpfung"/>
        </w:rPr>
        <w:fldChar w:fldCharType="separate"/>
      </w:r>
      <w:r>
        <w:rPr>
          <w:rStyle w:val="Internetverknpfung"/>
        </w:rPr>
        <w:t>Ps 16,8</w:t>
      </w:r>
      <w:r>
        <w:rPr>
          <w:rStyle w:val="Internetverknpfung"/>
        </w:rPr>
        <w:fldChar w:fldCharType="end"/>
      </w:r>
      <w:r>
        <w:rPr/>
        <w:t xml:space="preserve">; </w:t>
      </w:r>
      <w:hyperlink r:id="rId86">
        <w:r>
          <w:rPr>
            <w:rStyle w:val="Internetverknpfung"/>
          </w:rPr>
          <w:t>46,6f</w:t>
        </w:r>
      </w:hyperlink>
      <w:r>
        <w:rPr/>
        <w:t xml:space="preserve">; </w:t>
      </w:r>
      <w:hyperlink r:id="rId87">
        <w:r>
          <w:rPr>
            <w:rStyle w:val="Internetverknpfung"/>
          </w:rPr>
          <w:t>62,3.7</w:t>
        </w:r>
      </w:hyperlink>
      <w:r>
        <w:rPr/>
        <w:t xml:space="preserve">; </w:t>
      </w:r>
      <w:hyperlink r:id="rId88">
        <w:r>
          <w:rPr>
            <w:rStyle w:val="Internetverknpfung"/>
          </w:rPr>
          <w:t>112,6</w:t>
        </w:r>
      </w:hyperlink>
      <w:r>
        <w:rPr/>
        <w:t xml:space="preserve">; </w:t>
      </w:r>
      <w:hyperlink r:id="rId89">
        <w:r>
          <w:rPr>
            <w:rStyle w:val="Internetverknpfung"/>
          </w:rPr>
          <w:t>125,1</w:t>
        </w:r>
      </w:hyperlink>
      <w:r>
        <w:rPr/>
        <w:t>. Wie an den Stellen zu sehen ist, handelt es sich bei diesem nicht-Wanken meist um eine Gnadengabe Gottes; hier dagegen wird es gerade auf die Nichtexistenz Gottes zurückgeführt.</w:t>
      </w:r>
    </w:p>
  </w:footnote>
  <w:footnote w:id="1788">
    <w:p>
      <w:pPr>
        <w:pStyle w:val="Funote"/>
        <w:rPr/>
      </w:pPr>
      <w:r>
        <w:rPr>
          <w:rStyle w:val="Funotenzeichen"/>
        </w:rPr>
        <w:footnoteRef/>
      </w:r>
      <w:r>
        <w:rPr/>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89">
    <w:p>
      <w:pPr>
        <w:pStyle w:val="Funote"/>
        <w:rPr/>
      </w:pPr>
      <w:r>
        <w:rPr>
          <w:rStyle w:val="Funotenzeichen"/>
        </w:rPr>
        <w:footnoteRef/>
      </w:r>
      <w:r>
        <w:rPr/>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90">
    <w:p>
      <w:pPr>
        <w:pStyle w:val="Funote"/>
        <w:rPr/>
      </w:pPr>
      <w:r>
        <w:rPr>
          <w:rStyle w:val="Funotenzeichen"/>
        </w:rPr>
        <w:footnoteRef/>
      </w:r>
      <w:r>
        <w:rPr/>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91">
    <w:p>
      <w:pPr>
        <w:pStyle w:val="Funote"/>
        <w:rPr/>
      </w:pPr>
      <w:r>
        <w:rPr>
          <w:rStyle w:val="Funotenzeichen"/>
        </w:rPr>
        <w:footnoteRef/>
      </w:r>
      <w:r>
        <w:rPr/>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92">
    <w:p>
      <w:pPr>
        <w:pStyle w:val="Funote"/>
        <w:rPr/>
      </w:pPr>
      <w:r>
        <w:rPr>
          <w:rStyle w:val="Funotenzeichen"/>
        </w:rPr>
        <w:footnoteRef/>
      </w:r>
      <w:r>
        <w:rPr>
          <w:i/>
        </w:rPr>
        <w:tab/>
        <w:t>in sein (mit seinem) Netz zieht</w:t>
      </w:r>
      <w:r>
        <w:rPr/>
        <w:t xml:space="preserve">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w:t>
      </w:r>
      <w:hyperlink r:id="rId90">
        <w:r>
          <w:rPr>
            <w:rStyle w:val="Internetverknpfung"/>
          </w:rPr>
          <w:t>Jer 16,16</w:t>
        </w:r>
      </w:hyperlink>
      <w:r>
        <w:rPr/>
        <w:t xml:space="preserve">; </w:t>
      </w:r>
      <w:r>
        <w:fldChar w:fldCharType="begin"/>
      </w:r>
      <w:r>
        <w:rPr>
          <w:rStyle w:val="Internetverknpfung"/>
        </w:rPr>
        <w:instrText> HYPERLINK "../../../../../../../../../wiki/Amos_4" \l "s2"</w:instrText>
      </w:r>
      <w:r>
        <w:rPr>
          <w:rStyle w:val="Internetverknpfung"/>
        </w:rPr>
        <w:fldChar w:fldCharType="separate"/>
      </w:r>
      <w:r>
        <w:rPr>
          <w:rStyle w:val="Internetverknpfung"/>
        </w:rPr>
        <w:t>Am 4,2</w:t>
      </w:r>
      <w:r>
        <w:rPr>
          <w:rStyle w:val="Internetverknpfung"/>
        </w:rPr>
        <w:fldChar w:fldCharType="end"/>
      </w:r>
      <w:r>
        <w:rPr/>
        <w:t xml:space="preserve">; </w:t>
      </w:r>
      <w:hyperlink r:id="rId91">
        <w:r>
          <w:rPr>
            <w:rStyle w:val="Internetverknpfung"/>
          </w:rPr>
          <w:t>Hab 1,15f.</w:t>
        </w:r>
      </w:hyperlink>
      <w:r>
        <w:rPr/>
        <w:t>; die Fischermetapher passt in der heb. „Metaphernwelt“ besser zur Löwenmetapher als im Dt.</w:t>
      </w:r>
    </w:p>
  </w:footnote>
  <w:footnote w:id="1793">
    <w:p>
      <w:pPr>
        <w:pStyle w:val="Funote"/>
        <w:rPr/>
      </w:pPr>
      <w:r>
        <w:rPr>
          <w:rStyle w:val="Funotenzeichen"/>
        </w:rPr>
        <w:footnoteRef/>
      </w:r>
      <w:r>
        <w:rPr/>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94">
    <w:p>
      <w:pPr>
        <w:pStyle w:val="Funote"/>
        <w:rPr/>
      </w:pPr>
      <w:r>
        <w:rPr>
          <w:rStyle w:val="Funotenzeichen"/>
        </w:rPr>
        <w:footnoteRef/>
      </w:r>
      <w:r>
        <w:rPr>
          <w:i/>
        </w:rPr>
        <w:tab/>
        <w:t>Gott vergisst</w:t>
      </w:r>
      <w:r>
        <w:rPr/>
        <w:t xml:space="preserve"> (V. 11) + </w:t>
      </w:r>
      <w:r>
        <w:rPr>
          <w:i/>
        </w:rPr>
        <w:t>Vergiss</w:t>
      </w:r>
      <w:r>
        <w:rPr/>
        <w:t xml:space="preserve"> (V. 12) - Die Rede vom „Vergessen“ Gottes meint meist sein aktives sich-Abwenden von jmdn (s. z.B. </w:t>
      </w:r>
      <w:hyperlink r:id="rId92">
        <w:r>
          <w:rPr>
            <w:rStyle w:val="Internetverknpfung"/>
          </w:rPr>
          <w:t>1 Sam 1,11</w:t>
        </w:r>
      </w:hyperlink>
      <w:r>
        <w:rPr/>
        <w:t xml:space="preserve">; </w:t>
      </w:r>
      <w:r>
        <w:fldChar w:fldCharType="begin"/>
      </w:r>
      <w:r>
        <w:rPr>
          <w:rStyle w:val="Internetverknpfung"/>
        </w:rPr>
        <w:instrText> HYPERLINK "../../../../../../../../../wiki/Psalm_13" \l "s2"</w:instrText>
      </w:r>
      <w:r>
        <w:rPr>
          <w:rStyle w:val="Internetverknpfung"/>
        </w:rPr>
        <w:fldChar w:fldCharType="separate"/>
      </w:r>
      <w:r>
        <w:rPr>
          <w:rStyle w:val="Internetverknpfung"/>
        </w:rPr>
        <w:t>Ps 13,2</w:t>
      </w:r>
      <w:r>
        <w:rPr>
          <w:rStyle w:val="Internetverknpfung"/>
        </w:rPr>
        <w:fldChar w:fldCharType="end"/>
      </w:r>
      <w:r>
        <w:rPr/>
        <w:t xml:space="preserve">; </w:t>
      </w:r>
      <w:r>
        <w:fldChar w:fldCharType="begin"/>
      </w:r>
      <w:r>
        <w:rPr>
          <w:rStyle w:val="Internetverknpfung"/>
        </w:rPr>
        <w:instrText> HYPERLINK "../../../../../../../../../wiki/Psalm_42" \l "s10"</w:instrText>
      </w:r>
      <w:r>
        <w:rPr>
          <w:rStyle w:val="Internetverknpfung"/>
        </w:rPr>
        <w:fldChar w:fldCharType="separate"/>
      </w:r>
      <w:r>
        <w:rPr>
          <w:rStyle w:val="Internetverknpfung"/>
        </w:rPr>
        <w:t>42,10</w:t>
      </w:r>
      <w:r>
        <w:rPr>
          <w:rStyle w:val="Internetverknpfung"/>
        </w:rPr>
        <w:fldChar w:fldCharType="end"/>
      </w:r>
      <w:r>
        <w:rPr/>
        <w:t xml:space="preserve">; </w:t>
      </w:r>
      <w:hyperlink r:id="rId93">
        <w:r>
          <w:rPr>
            <w:rStyle w:val="Internetverknpfung"/>
          </w:rPr>
          <w:t>44,25</w:t>
        </w:r>
      </w:hyperlink>
      <w:r>
        <w:rPr/>
        <w:t xml:space="preserve">; </w:t>
      </w:r>
      <w:hyperlink r:id="rId94">
        <w:r>
          <w:rPr>
            <w:rStyle w:val="Internetverknpfung"/>
          </w:rPr>
          <w:t>Jes 49,14</w:t>
        </w:r>
      </w:hyperlink>
      <w:r>
        <w:rPr/>
        <w:t xml:space="preserve">; </w:t>
      </w:r>
      <w:hyperlink r:id="rId95">
        <w:r>
          <w:rPr>
            <w:rStyle w:val="Internetverknpfung"/>
          </w:rPr>
          <w:t>Klg 5,20</w:t>
        </w:r>
      </w:hyperlink>
      <w:r>
        <w:rPr/>
        <w:t xml:space="preserve">).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w:t>
      </w:r>
      <w:r>
        <w:rPr>
          <w:i/>
        </w:rPr>
        <w:t>Steh auf!</w:t>
      </w:r>
      <w:r>
        <w:rPr/>
        <w:t xml:space="preserve">, d.h., werde aktiv! </w:t>
      </w:r>
      <w:r>
        <w:rPr>
          <w:i/>
        </w:rPr>
        <w:t>Heb deine Hand</w:t>
      </w:r>
      <w:r>
        <w:rPr/>
        <w:t xml:space="preserve">, d.h. mach' jetzt was! </w:t>
      </w:r>
      <w:r>
        <w:rPr>
          <w:i/>
        </w:rPr>
        <w:t>Vergiss nicht!</w:t>
      </w:r>
      <w:r>
        <w:rPr/>
        <w:t>, d.h. wende dich dem Elenden gnädig zu!</w:t>
      </w:r>
    </w:p>
  </w:footnote>
  <w:footnote w:id="1795">
    <w:p>
      <w:pPr>
        <w:pStyle w:val="Funote"/>
        <w:rPr/>
      </w:pPr>
      <w:r>
        <w:rPr>
          <w:rStyle w:val="Funotenzeichen"/>
        </w:rPr>
        <w:footnoteRef/>
      </w:r>
      <w:r>
        <w:rPr/>
        <w:tab/>
        <w:t xml:space="preserve">Dass Gott </w:t>
      </w:r>
      <w:r>
        <w:rPr>
          <w:i/>
        </w:rPr>
        <w:t>sein Gesicht verbirgt</w:t>
      </w:r>
      <w:r>
        <w:rPr/>
        <w:t xml:space="preserve">, ist eine häufige Metapher für den Gnadenentzug JHWHs (s. </w:t>
      </w:r>
      <w:r>
        <w:fldChar w:fldCharType="begin"/>
      </w:r>
      <w:r>
        <w:rPr>
          <w:rStyle w:val="Internetverknpfung"/>
        </w:rPr>
        <w:instrText> HYPERLINK "http://offene-bibel.de/wiki/Psalm_30" \l "note_u"</w:instrText>
      </w:r>
      <w:r>
        <w:rPr>
          <w:rStyle w:val="Internetverknpfung"/>
        </w:rPr>
        <w:fldChar w:fldCharType="separate"/>
      </w:r>
      <w:r>
        <w:rPr>
          <w:rStyle w:val="Internetverknpfung"/>
        </w:rPr>
        <w:t>FN u</w:t>
      </w:r>
      <w:r>
        <w:rPr>
          <w:rStyle w:val="Internetverknpfung"/>
        </w:rPr>
        <w:fldChar w:fldCharType="end"/>
      </w:r>
      <w:r>
        <w:rPr/>
        <w:t xml:space="preserve"> zu </w:t>
      </w:r>
      <w:r>
        <w:fldChar w:fldCharType="begin"/>
      </w:r>
      <w:r>
        <w:rPr>
          <w:rStyle w:val="Internetverknpfung"/>
        </w:rPr>
        <w:instrText> HYPERLINK "../../../../../../../../../wiki/Psalm_30" \l "s8"</w:instrText>
      </w:r>
      <w:r>
        <w:rPr>
          <w:rStyle w:val="Internetverknpfung"/>
        </w:rPr>
        <w:fldChar w:fldCharType="separate"/>
      </w:r>
      <w:r>
        <w:rPr>
          <w:rStyle w:val="Internetverknpfung"/>
        </w:rPr>
        <w:t>Ps 30,8</w:t>
      </w:r>
      <w:r>
        <w:rPr>
          <w:rStyle w:val="Internetverknpfung"/>
        </w:rPr>
        <w:fldChar w:fldCharType="end"/>
      </w:r>
      <w:r>
        <w:rPr/>
        <w:t xml:space="preserve">); in unserem Kontext ist es aber besser nicht als Metapher zu nehmen, sondern als alternative Formulierung für den nächsten Satz: „Gott sieht nicht“. S. zu dieser Bedeutung z.B. </w:t>
      </w:r>
      <w:r>
        <w:fldChar w:fldCharType="begin"/>
      </w:r>
      <w:r>
        <w:rPr>
          <w:rStyle w:val="Internetverknpfung"/>
        </w:rPr>
        <w:instrText> HYPERLINK "../../../../../../../../../wiki/Exodus_3" \l "s6"</w:instrText>
      </w:r>
      <w:r>
        <w:rPr>
          <w:rStyle w:val="Internetverknpfung"/>
        </w:rPr>
        <w:fldChar w:fldCharType="separate"/>
      </w:r>
      <w:r>
        <w:rPr>
          <w:rStyle w:val="Internetverknpfung"/>
        </w:rPr>
        <w:t>Ex 3,6</w:t>
      </w:r>
      <w:r>
        <w:rPr>
          <w:rStyle w:val="Internetverknpfung"/>
        </w:rPr>
        <w:fldChar w:fldCharType="end"/>
      </w:r>
      <w:r>
        <w:rPr/>
        <w:t xml:space="preserve"> oder ganz ähnlich wie hier </w:t>
      </w:r>
      <w:r>
        <w:fldChar w:fldCharType="begin"/>
      </w:r>
      <w:r>
        <w:rPr>
          <w:rStyle w:val="Internetverknpfung"/>
        </w:rPr>
        <w:instrText> HYPERLINK "../../../../../../../../../wiki/Psalm_51" \l "s11"</w:instrText>
      </w:r>
      <w:r>
        <w:rPr>
          <w:rStyle w:val="Internetverknpfung"/>
        </w:rPr>
        <w:fldChar w:fldCharType="separate"/>
      </w:r>
      <w:r>
        <w:rPr>
          <w:rStyle w:val="Internetverknpfung"/>
        </w:rPr>
        <w:t>Ps 51,11</w:t>
      </w:r>
      <w:r>
        <w:rPr>
          <w:rStyle w:val="Internetverknpfung"/>
        </w:rPr>
        <w:fldChar w:fldCharType="end"/>
      </w:r>
      <w:r>
        <w:rPr/>
        <w:t>.</w:t>
      </w:r>
    </w:p>
  </w:footnote>
  <w:footnote w:id="1796">
    <w:p>
      <w:pPr>
        <w:pStyle w:val="Funote"/>
        <w:rPr/>
      </w:pPr>
      <w:r>
        <w:rPr>
          <w:rStyle w:val="Funotenzeichen"/>
        </w:rPr>
        <w:footnoteRef/>
      </w:r>
      <w:r>
        <w:rPr>
          <w:i/>
        </w:rPr>
        <w:tab/>
        <w:t>Sieht nicht auf immer</w:t>
      </w:r>
      <w:r>
        <w:rPr/>
        <w:t xml:space="preserve"> - d.h., schert sich nicht um das Geschehen auf der Welt, so dass man ihn in seinem Handeln getrost ignorieren kann.</w:t>
        <w:br/>
        <w:t xml:space="preserve">Man beachte die Häufung an Verben in </w:t>
      </w:r>
      <w:r>
        <w:rPr>
          <w:i/>
        </w:rPr>
        <w:t>Vv. 9b-11</w:t>
      </w:r>
      <w:r>
        <w:rPr/>
        <w:t>: Die Klage über das Verhalten der Schlechten kommt hier zu ihrer Klimax, die einzelnen Anklagen überstürzen sich regelrecht im Gebet des Psalmisten.</w:t>
      </w:r>
    </w:p>
  </w:footnote>
  <w:footnote w:id="1797">
    <w:p>
      <w:pPr>
        <w:pStyle w:val="Funote"/>
        <w:rPr/>
      </w:pPr>
      <w:r>
        <w:rPr>
          <w:rStyle w:val="Funotenzeichen"/>
        </w:rPr>
        <w:footnoteRef/>
      </w:r>
      <w:r>
        <w:rPr/>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98">
    <w:p>
      <w:pPr>
        <w:pStyle w:val="Funote"/>
        <w:rPr/>
      </w:pPr>
      <w:r>
        <w:rPr>
          <w:rStyle w:val="Funotenzeichen"/>
        </w:rPr>
        <w:footnoteRef/>
      </w:r>
      <w:r>
        <w:rPr/>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99">
    <w:p>
      <w:pPr>
        <w:pStyle w:val="Funote"/>
        <w:rPr/>
      </w:pPr>
      <w:r>
        <w:rPr>
          <w:rStyle w:val="Funotenzeichen"/>
        </w:rPr>
        <w:footnoteRef/>
      </w:r>
      <w:r>
        <w:rPr/>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00">
    <w:p>
      <w:pPr>
        <w:pStyle w:val="Funote"/>
        <w:rPr/>
      </w:pPr>
      <w:r>
        <w:rPr>
          <w:rStyle w:val="Funotenzeichen"/>
        </w:rPr>
        <w:footnoteRef/>
      </w:r>
      <w:r>
        <w:rPr/>
        <w:tab/>
        <w:t>Suche wieder i.S.v. „räche“, vgl. wieder FN w zu Ps 9,13. Gut Bonkamp 1949: „Räche sein Unrecht!“; Terrien 2003: „Pursue his crime!“, Weber 2001: „Ahnde seinen Frevel!“</w:t>
      </w:r>
    </w:p>
  </w:footnote>
  <w:footnote w:id="1801">
    <w:p>
      <w:pPr>
        <w:pStyle w:val="Funote"/>
        <w:rPr/>
      </w:pPr>
      <w:r>
        <w:rPr>
          <w:rStyle w:val="Funotenzeichen"/>
        </w:rPr>
        <w:footnoteRef/>
      </w:r>
      <w:r>
        <w:rPr>
          <w:i/>
        </w:rPr>
        <w:tab/>
        <w:t>sein</w:t>
      </w:r>
      <w:r>
        <w:rPr/>
        <w:t xml:space="preserve">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02">
    <w:p>
      <w:pPr>
        <w:pStyle w:val="Funote"/>
        <w:rPr/>
      </w:pPr>
      <w:r>
        <w:rPr>
          <w:rStyle w:val="Funotenzeichen"/>
        </w:rPr>
        <w:footnoteRef/>
      </w:r>
      <w:r>
        <w:rPr/>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03">
    <w:p>
      <w:pPr>
        <w:pStyle w:val="Funote"/>
        <w:rPr/>
      </w:pPr>
      <w:r>
        <w:rPr>
          <w:rStyle w:val="Funotenzeichen"/>
        </w:rPr>
        <w:footnoteRef/>
      </w:r>
      <w:r>
        <w:rPr/>
        <w:tab/>
        <w:t>Nationen - Heb. gojim, oft verwendet für Nationen qua heidnische Nationen; sinngemäßer daher „Heidenvölker“ (ähnlich z.B. Bonkamp 1949; Ehrlich 1905; Weber 2001: „Heiden“).</w:t>
      </w:r>
    </w:p>
  </w:footnote>
  <w:footnote w:id="1804">
    <w:p>
      <w:pPr>
        <w:pStyle w:val="Funote"/>
        <w:rPr/>
      </w:pPr>
      <w:r>
        <w:rPr>
          <w:rStyle w:val="Funotenzeichen"/>
        </w:rPr>
        <w:footnoteRef/>
      </w:r>
      <w:r>
        <w:rPr/>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05">
    <w:p>
      <w:pPr>
        <w:pStyle w:val="Funote"/>
        <w:rPr/>
      </w:pPr>
      <w:r>
        <w:rPr>
          <w:rStyle w:val="Funotenzeichen"/>
        </w:rPr>
        <w:footnoteRef/>
      </w:r>
      <w:r>
        <w:rPr>
          <w:i/>
        </w:rPr>
        <w:tab/>
        <w:t>Menschlein aus Erde</w:t>
      </w:r>
      <w:r>
        <w:rPr/>
        <w:t xml:space="preserve"> - Die letzte Zeile ist sehr nahe an den </w:t>
      </w:r>
      <w:r>
        <w:fldChar w:fldCharType="begin"/>
      </w:r>
      <w:r>
        <w:rPr>
          <w:rStyle w:val="Internetverknpfung"/>
        </w:rPr>
        <w:instrText> HYPERLINK "../../../../../../../../../wiki/Psalm_9" \l "s20"</w:instrText>
      </w:r>
      <w:r>
        <w:rPr>
          <w:rStyle w:val="Internetverknpfung"/>
        </w:rPr>
        <w:fldChar w:fldCharType="separate"/>
      </w:r>
      <w:r>
        <w:rPr>
          <w:rStyle w:val="Internetverknpfung"/>
        </w:rPr>
        <w:t>den letzten beiden Zeilen von Ps 9</w:t>
      </w:r>
      <w:r>
        <w:rPr>
          <w:rStyle w:val="Internetverknpfung"/>
        </w:rPr>
        <w:fldChar w:fldCharType="end"/>
      </w:r>
      <w:r>
        <w:rPr/>
        <w:t xml:space="preserve">. Wieder wählt der Dichter bewusst das Wort </w:t>
      </w:r>
      <w:r>
        <w:rPr>
          <w:i/>
        </w:rPr>
        <w:t>´enosch</w:t>
      </w:r>
      <w:r>
        <w:rPr/>
        <w:t xml:space="preserve">, mit dem oft der Mensch qua </w:t>
      </w:r>
      <w:r>
        <w:rPr>
          <w:i/>
        </w:rPr>
        <w:t>schwaches</w:t>
      </w:r>
      <w:r>
        <w:rPr/>
        <w:t xml:space="preserve"> Wesen bezeichnet wird (vgl. z.B. TWOT 136a). Das „aus der Erde“ soll dies noch zusätzlich unterstreichen.</w:t>
      </w:r>
    </w:p>
  </w:footnote>
  <w:footnote w:id="1806">
    <w:p>
      <w:pPr>
        <w:pStyle w:val="Funote"/>
        <w:rPr/>
      </w:pPr>
      <w:r>
        <w:rPr>
          <w:rStyle w:val="Funotenzeichen"/>
        </w:rPr>
        <w:footnoteRef/>
      </w:r>
      <w:r>
        <w:rPr/>
        <w:tab/>
        <w:t>JHWH</w:t>
      </w:r>
    </w:p>
  </w:footnote>
  <w:footnote w:id="1807">
    <w:p>
      <w:pPr>
        <w:pStyle w:val="Funote"/>
        <w:rPr/>
      </w:pPr>
      <w:r>
        <w:rPr>
          <w:rStyle w:val="Funotenzeichen"/>
        </w:rPr>
        <w:footnoteRef/>
      </w:r>
      <w:r>
        <w:rPr/>
        <w:tab/>
        <w:t>JHWH</w:t>
      </w:r>
    </w:p>
  </w:footnote>
  <w:footnote w:id="1808">
    <w:p>
      <w:pPr>
        <w:pStyle w:val="Funote"/>
        <w:rPr/>
      </w:pPr>
      <w:r>
        <w:rPr>
          <w:rStyle w:val="Funotenzeichen"/>
        </w:rPr>
        <w:footnoteRef/>
      </w:r>
      <w:r>
        <w:rPr/>
        <w:tab/>
        <w:t>JHWH</w:t>
      </w:r>
    </w:p>
  </w:footnote>
  <w:footnote w:id="1809">
    <w:p>
      <w:pPr>
        <w:pStyle w:val="Funote"/>
        <w:rPr/>
      </w:pPr>
      <w:r>
        <w:rPr>
          <w:rStyle w:val="Funotenzeichen"/>
        </w:rPr>
        <w:footnoteRef/>
      </w:r>
      <w:r>
        <w:rPr/>
        <w:tab/>
        <w:t>JHWH</w:t>
      </w:r>
    </w:p>
  </w:footnote>
  <w:footnote w:id="1810">
    <w:p>
      <w:pPr>
        <w:pStyle w:val="Funote"/>
        <w:rPr/>
      </w:pPr>
      <w:r>
        <w:rPr>
          <w:rStyle w:val="Funotenzeichen"/>
        </w:rPr>
        <w:footnoteRef/>
      </w:r>
      <w:r>
        <w:rPr/>
        <w:tab/>
        <w:t>JHWH</w:t>
      </w:r>
    </w:p>
  </w:footnote>
  <w:footnote w:id="1811">
    <w:p>
      <w:pPr>
        <w:pStyle w:val="Funote"/>
        <w:rPr/>
      </w:pPr>
      <w:r>
        <w:rPr>
          <w:rStyle w:val="Funotenzeichen"/>
        </w:rPr>
        <w:footnoteRef/>
      </w:r>
      <w:r>
        <w:rPr/>
        <w:tab/>
        <w:t>[Status: Zuverlässig]</w:t>
      </w:r>
    </w:p>
  </w:footnote>
  <w:footnote w:id="1812">
    <w:p>
      <w:pPr>
        <w:pStyle w:val="Funote"/>
        <w:rPr/>
      </w:pPr>
      <w:r>
        <w:rPr>
          <w:rStyle w:val="Funotenzeichen"/>
        </w:rPr>
        <w:footnoteRef/>
      </w:r>
      <w:r>
        <w:rPr/>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13">
    <w:p>
      <w:pPr>
        <w:pStyle w:val="Funote"/>
        <w:rPr/>
      </w:pPr>
      <w:r>
        <w:rPr>
          <w:rStyle w:val="Funotenzeichen"/>
        </w:rPr>
        <w:footnoteRef/>
      </w:r>
      <w:r>
        <w:rPr/>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14">
    <w:p>
      <w:pPr>
        <w:pStyle w:val="Funote"/>
        <w:rPr/>
      </w:pPr>
      <w:r>
        <w:rPr>
          <w:rStyle w:val="Funotenzeichen"/>
        </w:rPr>
        <w:footnoteRef/>
      </w:r>
      <w:r>
        <w:rPr>
          <w:i/>
        </w:rPr>
        <w:tab/>
        <w:t>zu mir (zu meiner Seele)</w:t>
      </w:r>
      <w:r>
        <w:rPr/>
        <w:t xml:space="preserve"> (V. 1) + </w:t>
      </w:r>
      <w:r>
        <w:rPr>
          <w:i/>
        </w:rPr>
        <w:t>hasst er (hasst seine Seele)</w:t>
      </w:r>
      <w:r>
        <w:rPr/>
        <w:t xml:space="preserve"> (V. 5) - Heb. „zu meiner </w:t>
      </w:r>
      <w:r>
        <w:rPr>
          <w:i/>
        </w:rPr>
        <w:t>nefesch</w:t>
      </w:r>
      <w:r>
        <w:rPr/>
        <w:t xml:space="preserve">“ bzw. „hasst seine </w:t>
      </w:r>
      <w:r>
        <w:rPr>
          <w:i/>
        </w:rPr>
        <w:t>nefesch</w:t>
      </w:r>
      <w:r>
        <w:rPr/>
        <w:t xml:space="preserve"> (‚Seele‘)“. Eine wörtl. Üs. von </w:t>
      </w:r>
      <w:r>
        <w:rPr>
          <w:i/>
        </w:rPr>
        <w:t>nefesch</w:t>
      </w:r>
      <w:r>
        <w:rPr/>
        <w:t xml:space="preserve"> ist fast nie zu empfehlen, weil es im heb. Menschenbild einen Gegensatz von Körper und Seele so nicht gab; </w:t>
      </w:r>
      <w:r>
        <w:rPr>
          <w:i/>
        </w:rPr>
        <w:t>nefesch</w:t>
      </w:r>
      <w:r>
        <w:rPr/>
        <w:t xml:space="preserve"> meint hier wie meist den </w:t>
      </w:r>
      <w:r>
        <w:rPr>
          <w:i/>
        </w:rPr>
        <w:t>ganzen</w:t>
      </w:r>
      <w:r>
        <w:rPr/>
        <w:t xml:space="preserve"> Menschen/Gott und wird daher hier wie häufig als Wechselbegriff für „Ich“/„Er“ verwendet.</w:t>
      </w:r>
    </w:p>
  </w:footnote>
  <w:footnote w:id="1815">
    <w:p>
      <w:pPr>
        <w:pStyle w:val="Funote"/>
        <w:rPr/>
      </w:pPr>
      <w:r>
        <w:rPr>
          <w:rStyle w:val="Funotenzeichen"/>
        </w:rPr>
        <w:footnoteRef/>
      </w:r>
      <w:r>
        <w:rPr>
          <w:i/>
        </w:rPr>
        <w:tab/>
        <w:t>Wie [könnt] ihr [da] zu mir sagen</w:t>
      </w:r>
      <w:r>
        <w:rPr/>
        <w:t xml:space="preserve"> - W. „Wie (</w:t>
      </w:r>
      <w:r>
        <w:rPr>
          <w:i/>
        </w:rPr>
        <w:t>´ek</w:t>
      </w:r>
      <w:r>
        <w:rPr/>
        <w:t xml:space="preserve">) sagt ihr zu mir...?“; das Fragewort </w:t>
      </w:r>
      <w:r>
        <w:rPr>
          <w:i/>
        </w:rPr>
        <w:t>´ek</w:t>
      </w:r>
      <w:r>
        <w:rPr/>
        <w:t xml:space="preserve"> dient hier wie häufig zur Einleitung eines ablehnenden Ausrufs: „Wie könnt ihr nur...!?“ (s. z.B. </w:t>
      </w:r>
      <w:r>
        <w:fldChar w:fldCharType="begin"/>
      </w:r>
      <w:r>
        <w:rPr>
          <w:rStyle w:val="Internetverknpfung"/>
        </w:rPr>
        <w:instrText> HYPERLINK "../../../../../../../../../wiki/Genesis_26" \l "s9"</w:instrText>
      </w:r>
      <w:r>
        <w:rPr>
          <w:rStyle w:val="Internetverknpfung"/>
        </w:rPr>
        <w:fldChar w:fldCharType="separate"/>
      </w:r>
      <w:r>
        <w:rPr>
          <w:rStyle w:val="Internetverknpfung"/>
        </w:rPr>
        <w:t>Gen 26,9</w:t>
      </w:r>
      <w:r>
        <w:rPr>
          <w:rStyle w:val="Internetverknpfung"/>
        </w:rPr>
        <w:fldChar w:fldCharType="end"/>
      </w:r>
      <w:r>
        <w:rPr/>
        <w:t xml:space="preserve">; </w:t>
      </w:r>
      <w:r>
        <w:fldChar w:fldCharType="begin"/>
      </w:r>
      <w:r>
        <w:rPr>
          <w:rStyle w:val="Internetverknpfung"/>
        </w:rPr>
        <w:instrText> HYPERLINK "../../../../../../../../../wiki/Genesis_39" \l "s9"</w:instrText>
      </w:r>
      <w:r>
        <w:rPr>
          <w:rStyle w:val="Internetverknpfung"/>
        </w:rPr>
        <w:fldChar w:fldCharType="separate"/>
      </w:r>
      <w:r>
        <w:rPr>
          <w:rStyle w:val="Internetverknpfung"/>
        </w:rPr>
        <w:t>39,9</w:t>
      </w:r>
      <w:r>
        <w:rPr>
          <w:rStyle w:val="Internetverknpfung"/>
        </w:rPr>
        <w:fldChar w:fldCharType="end"/>
      </w:r>
      <w:r>
        <w:rPr/>
        <w:t xml:space="preserve">; </w:t>
      </w:r>
      <w:hyperlink r:id="rId96">
        <w:r>
          <w:rPr>
            <w:rStyle w:val="Internetverknpfung"/>
          </w:rPr>
          <w:t>Ri 16,15</w:t>
        </w:r>
      </w:hyperlink>
      <w:r>
        <w:rPr/>
        <w:t xml:space="preserve"> u.ö). Die obige Übersetzung versucht, diesen Ton einzufangen. Ähnlich viele Üss.</w:t>
      </w:r>
    </w:p>
  </w:footnote>
  <w:footnote w:id="1816">
    <w:p>
      <w:pPr>
        <w:pStyle w:val="Funote"/>
        <w:rPr/>
      </w:pPr>
      <w:r>
        <w:rPr>
          <w:rStyle w:val="Funotenzeichen"/>
        </w:rPr>
        <w:footnoteRef/>
      </w:r>
      <w:r>
        <w:rPr>
          <w:i/>
        </w:rPr>
        <w:tab/>
        <w:t>auf euren Berg</w:t>
      </w:r>
      <w:r>
        <w:rPr/>
        <w:t xml:space="preserve"> - nämlich den Zion, den Berg, auf dem Gott in seinem Tempel wohnt und der daher eine sichere Zuflucht ist (vgl. z.B. </w:t>
      </w:r>
      <w:r>
        <w:fldChar w:fldCharType="begin"/>
      </w:r>
      <w:r>
        <w:rPr>
          <w:rStyle w:val="Internetverknpfung"/>
        </w:rPr>
        <w:instrText> HYPERLINK "https://www.bibelwissenschaft.de/de/stichwort/35418/" \l "h8"</w:instrText>
      </w:r>
      <w:r>
        <w:rPr>
          <w:rStyle w:val="Internetverknpfung"/>
        </w:rPr>
        <w:fldChar w:fldCharType="separate"/>
      </w:r>
      <w:r>
        <w:rPr>
          <w:rStyle w:val="Internetverknpfung"/>
        </w:rPr>
        <w:t>Zion/Zionstheologie (WiBiLex)</w:t>
      </w:r>
      <w:r>
        <w:rPr>
          <w:rStyle w:val="Internetverknpfung"/>
        </w:rPr>
        <w:fldChar w:fldCharType="end"/>
      </w:r>
      <w:r>
        <w:rPr/>
        <w:t xml:space="preserve"> und s. z.B. </w:t>
      </w:r>
      <w:hyperlink r:id="rId97">
        <w:r>
          <w:rPr>
            <w:rStyle w:val="Internetverknpfung"/>
          </w:rPr>
          <w:t>Ps 46,1-8</w:t>
        </w:r>
      </w:hyperlink>
      <w:r>
        <w:rPr/>
        <w:t xml:space="preserve">; </w:t>
      </w:r>
      <w:hyperlink r:id="rId98">
        <w:r>
          <w:rPr>
            <w:rStyle w:val="Internetverknpfung"/>
          </w:rPr>
          <w:t>48,13-15</w:t>
        </w:r>
      </w:hyperlink>
      <w:r>
        <w:rPr/>
        <w:t xml:space="preserve">; zum ähnlichen Motiv des Tempels als Zufluchtsort s. z.B. </w:t>
      </w:r>
      <w:r>
        <w:fldChar w:fldCharType="begin"/>
      </w:r>
      <w:r>
        <w:rPr>
          <w:rStyle w:val="Internetverknpfung"/>
        </w:rPr>
        <w:instrText> HYPERLINK "../../../../../../../../../wiki/Psalm_27" \l "s4"</w:instrText>
      </w:r>
      <w:r>
        <w:rPr>
          <w:rStyle w:val="Internetverknpfung"/>
        </w:rPr>
        <w:fldChar w:fldCharType="separate"/>
      </w:r>
      <w:r>
        <w:rPr>
          <w:rStyle w:val="Internetverknpfung"/>
        </w:rPr>
        <w:t>Ps 27,4f.</w:t>
      </w:r>
      <w:r>
        <w:rPr>
          <w:rStyle w:val="Internetverknpfung"/>
        </w:rPr>
        <w:fldChar w:fldCharType="end"/>
      </w:r>
      <w:r>
        <w:rPr/>
        <w:t xml:space="preserve">; </w:t>
      </w:r>
      <w:hyperlink r:id="rId99">
        <w:r>
          <w:rPr>
            <w:rStyle w:val="Internetverknpfung"/>
          </w:rPr>
          <w:t>61,4f.</w:t>
        </w:r>
      </w:hyperlink>
      <w:r>
        <w:rPr/>
        <w:t>).</w:t>
      </w:r>
    </w:p>
  </w:footnote>
  <w:footnote w:id="1817">
    <w:p>
      <w:pPr>
        <w:pStyle w:val="Funote"/>
        <w:rPr/>
      </w:pPr>
      <w:r>
        <w:rPr>
          <w:rStyle w:val="Funotenzeichen"/>
        </w:rPr>
        <w:footnoteRef/>
      </w:r>
      <w:r>
        <w:rPr/>
        <w:tab/>
        <w:t>[wie] ein Vogel, d.h. »wie ein Angsthase« (vgl. Spr 27,8; Hos 11,11). Sehr schön Delekat 1967, S. 154: »Flieh ins Gebirge wie ein Hasenfuss!«»Vogel« ist ein »generischer Singular« mit Pl.-Bed.; übersetze: »wie Vögel«.</w:t>
      </w:r>
    </w:p>
  </w:footnote>
  <w:footnote w:id="1818">
    <w:p>
      <w:pPr>
        <w:pStyle w:val="Funote"/>
        <w:rPr/>
      </w:pPr>
      <w:r>
        <w:rPr>
          <w:rStyle w:val="Funotenzeichen"/>
        </w:rPr>
        <w:footnoteRef/>
      </w:r>
      <w:r>
        <w:rPr/>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19">
    <w:p>
      <w:pPr>
        <w:pStyle w:val="Funote"/>
        <w:rPr/>
      </w:pPr>
      <w:r>
        <w:rPr>
          <w:rStyle w:val="Funotenzeichen"/>
        </w:rPr>
        <w:footnoteRef/>
      </w:r>
      <w:r>
        <w:rPr>
          <w:i/>
        </w:rPr>
        <w:tab/>
        <w:t>Denn siehe</w:t>
      </w:r>
      <w:r>
        <w:rPr/>
        <w:t xml:space="preserve"> leitet hier die Begründung der vorangehenden Aufforderung ein (s. ähnlich z.B. </w:t>
      </w:r>
      <w:hyperlink r:id="rId100">
        <w:r>
          <w:rPr>
            <w:rStyle w:val="Internetverknpfung"/>
          </w:rPr>
          <w:t>Jer 50,9</w:t>
        </w:r>
      </w:hyperlink>
      <w:r>
        <w:rPr/>
        <w:t xml:space="preserve"> auf V. 8; </w:t>
      </w:r>
      <w:hyperlink r:id="rId101">
        <w:r>
          <w:rPr>
            <w:rStyle w:val="Internetverknpfung"/>
          </w:rPr>
          <w:t>Ps 59,4</w:t>
        </w:r>
      </w:hyperlink>
      <w:r>
        <w:rPr/>
        <w:t xml:space="preserve"> auf V. 3; </w:t>
      </w:r>
      <w:hyperlink r:id="rId102">
        <w:r>
          <w:rPr>
            <w:rStyle w:val="Internetverknpfung"/>
          </w:rPr>
          <w:t>83,3</w:t>
        </w:r>
      </w:hyperlink>
      <w:r>
        <w:rPr/>
        <w:t xml:space="preserve"> auf V. 2); sinngemäßer daher: „</w:t>
      </w:r>
      <w:r>
        <w:rPr>
          <w:i/>
        </w:rPr>
        <w:t>Denn</w:t>
      </w:r>
      <w:r>
        <w:rPr/>
        <w:t xml:space="preserve"> </w:t>
      </w:r>
      <w:r>
        <w:rPr>
          <w:strike/>
        </w:rPr>
        <w:t>siehe</w:t>
      </w:r>
      <w:r>
        <w:rPr/>
        <w:t xml:space="preserve"> die Bösen wollen </w:t>
      </w:r>
      <w:r>
        <w:rPr>
          <w:i/>
        </w:rPr>
        <w:t>[ja]</w:t>
      </w:r>
      <w:r>
        <w:rPr/>
        <w:t xml:space="preserve"> den Bogen spannen“.</w:t>
      </w:r>
    </w:p>
  </w:footnote>
  <w:footnote w:id="1820">
    <w:p>
      <w:pPr>
        <w:pStyle w:val="Funote"/>
        <w:rPr/>
      </w:pPr>
      <w:r>
        <w:rPr>
          <w:rStyle w:val="Funotenzeichen"/>
        </w:rPr>
        <w:footnoteRef/>
      </w:r>
      <w:r>
        <w:rPr/>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21">
    <w:p>
      <w:pPr>
        <w:pStyle w:val="Funote"/>
        <w:rPr/>
      </w:pPr>
      <w:r>
        <w:rPr>
          <w:rStyle w:val="Funotenzeichen"/>
        </w:rPr>
        <w:footnoteRef/>
      </w:r>
      <w:r>
        <w:rPr>
          <w:i/>
        </w:rPr>
        <w:tab/>
        <w:t>im Dunkel</w:t>
      </w:r>
      <w:r>
        <w:rPr/>
        <w:t>, also feige im Schutz der Nacht.</w:t>
      </w:r>
    </w:p>
  </w:footnote>
  <w:footnote w:id="1822">
    <w:p>
      <w:pPr>
        <w:pStyle w:val="Funote"/>
        <w:rPr/>
      </w:pPr>
      <w:r>
        <w:rPr>
          <w:rStyle w:val="Funotenzeichen"/>
        </w:rPr>
        <w:footnoteRef/>
      </w:r>
      <w:r>
        <w:rPr/>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23">
    <w:p>
      <w:pPr>
        <w:pStyle w:val="Funote"/>
        <w:rPr/>
      </w:pPr>
      <w:r>
        <w:rPr>
          <w:rStyle w:val="Funotenzeichen"/>
        </w:rPr>
        <w:footnoteRef/>
      </w:r>
      <w:r>
        <w:rPr/>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24">
    <w:p>
      <w:pPr>
        <w:pStyle w:val="Funote"/>
        <w:rPr/>
      </w:pPr>
      <w:r>
        <w:rPr>
          <w:rStyle w:val="Funotenzeichen"/>
        </w:rPr>
        <w:footnoteRef/>
      </w:r>
      <w:r>
        <w:rPr/>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25">
    <w:p>
      <w:pPr>
        <w:pStyle w:val="Funote"/>
        <w:rPr/>
      </w:pPr>
      <w:r>
        <w:rPr>
          <w:rStyle w:val="Funotenzeichen"/>
        </w:rPr>
        <w:footnoteRef/>
      </w:r>
      <w:r>
        <w:rPr>
          <w:i/>
        </w:rPr>
        <w:tab/>
        <w:t>Seine Augen blicken</w:t>
      </w:r>
      <w:r>
        <w:rPr/>
        <w:t xml:space="preserve"> - das Objekt auch dieses Satzes sind die „Menschenkinder“. Die Aneinanderreihung zweier alternativer Ausdrücke für dieses blickende Prüfen soll die Aussage noch steigern und emphatischer machen.</w:t>
      </w:r>
    </w:p>
  </w:footnote>
  <w:footnote w:id="1826">
    <w:p>
      <w:pPr>
        <w:pStyle w:val="Funote"/>
        <w:rPr/>
      </w:pPr>
      <w:r>
        <w:rPr>
          <w:rStyle w:val="Funotenzeichen"/>
        </w:rPr>
        <w:footnoteRef/>
      </w:r>
      <w:r>
        <w:rPr/>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27">
    <w:p>
      <w:pPr>
        <w:pStyle w:val="Funote"/>
        <w:rPr/>
      </w:pPr>
      <w:r>
        <w:rPr>
          <w:rStyle w:val="Funotenzeichen"/>
        </w:rPr>
        <w:footnoteRef/>
      </w:r>
      <w:r>
        <w:rPr/>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28">
    <w:p>
      <w:pPr>
        <w:pStyle w:val="Funote"/>
        <w:rPr/>
      </w:pPr>
      <w:r>
        <w:rPr>
          <w:rStyle w:val="Funotenzeichen"/>
        </w:rPr>
        <w:footnoteRef/>
      </w:r>
      <w:r>
        <w:rPr/>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29">
    <w:p>
      <w:pPr>
        <w:pStyle w:val="Funote"/>
        <w:rPr/>
      </w:pPr>
      <w:r>
        <w:rPr>
          <w:rStyle w:val="Funotenzeichen"/>
        </w:rPr>
        <w:footnoteRef/>
      </w:r>
      <w:r>
        <w:rPr>
          <w:i/>
        </w:rPr>
        <w:tab/>
        <w:t>wird (soll)</w:t>
      </w:r>
      <w:r>
        <w:rPr/>
        <w:t xml:space="preserve"> - Ein Jussiv („soll“). Unzulässig daher: „Er lässt regnen“. Der Jussiv hat hier vermutlich kommissive Sinnrichtung und wird so als Drohung verwendet; im Dt. entspricht dem: „Er </w:t>
      </w:r>
      <w:r>
        <w:rPr>
          <w:i/>
        </w:rPr>
        <w:t>wird</w:t>
      </w:r>
      <w:r>
        <w:rPr/>
        <w:t xml:space="preserve"> regnen lassen.“</w:t>
      </w:r>
    </w:p>
  </w:footnote>
  <w:footnote w:id="1830">
    <w:p>
      <w:pPr>
        <w:pStyle w:val="Funote"/>
        <w:rPr/>
      </w:pPr>
      <w:r>
        <w:rPr>
          <w:rStyle w:val="Funotenzeichen"/>
        </w:rPr>
        <w:footnoteRef/>
      </w:r>
      <w:r>
        <w:rPr/>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31">
    <w:p>
      <w:pPr>
        <w:pStyle w:val="Funote"/>
        <w:rPr/>
      </w:pPr>
      <w:r>
        <w:rPr>
          <w:rStyle w:val="Funotenzeichen"/>
        </w:rPr>
        <w:footnoteRef/>
      </w:r>
      <w:r>
        <w:rPr/>
        <w:tab/>
        <w:t xml:space="preserve">Zu </w:t>
      </w:r>
      <w:r>
        <w:rPr>
          <w:i/>
        </w:rPr>
        <w:t>Feuer</w:t>
      </w:r>
      <w:r>
        <w:rPr/>
        <w:t xml:space="preserve"> und </w:t>
      </w:r>
      <w:r>
        <w:rPr>
          <w:i/>
        </w:rPr>
        <w:t>Schwefel</w:t>
      </w:r>
      <w:r>
        <w:rPr/>
        <w:t xml:space="preserve"> vgl. </w:t>
      </w:r>
      <w:r>
        <w:fldChar w:fldCharType="begin"/>
      </w:r>
      <w:r>
        <w:rPr>
          <w:rStyle w:val="Internetverknpfung"/>
        </w:rPr>
        <w:instrText> HYPERLINK "../../../../../../../../../wiki/Genesis_19" \l "s24"</w:instrText>
      </w:r>
      <w:r>
        <w:rPr>
          <w:rStyle w:val="Internetverknpfung"/>
        </w:rPr>
        <w:fldChar w:fldCharType="separate"/>
      </w:r>
      <w:r>
        <w:rPr>
          <w:rStyle w:val="Internetverknpfung"/>
        </w:rPr>
        <w:t>Gen 19,24</w:t>
      </w:r>
      <w:r>
        <w:rPr>
          <w:rStyle w:val="Internetverknpfung"/>
        </w:rPr>
        <w:fldChar w:fldCharType="end"/>
      </w:r>
      <w:r>
        <w:rPr/>
        <w:t xml:space="preserve"> und </w:t>
      </w:r>
      <w:hyperlink r:id="rId103">
        <w:r>
          <w:rPr>
            <w:rStyle w:val="Internetverknpfung"/>
          </w:rPr>
          <w:t>Ez 38,22</w:t>
        </w:r>
      </w:hyperlink>
      <w:r>
        <w:rPr/>
        <w:t xml:space="preserve">, wo Gott seine Feinde vernichtet, indem er Feuer und Schwefel vom Himmel regnen lässt. Auch „Wind“ kommt nach bibl. Vorstellung oder nach bibl. Idiom vom Himmel herab; in </w:t>
      </w:r>
      <w:r>
        <w:fldChar w:fldCharType="begin"/>
      </w:r>
      <w:r>
        <w:rPr>
          <w:rStyle w:val="Internetverknpfung"/>
        </w:rPr>
        <w:instrText> HYPERLINK "../../../../../../../../../wiki/Jona_1" \l "s4"</w:instrText>
      </w:r>
      <w:r>
        <w:rPr>
          <w:rStyle w:val="Internetverknpfung"/>
        </w:rPr>
        <w:fldChar w:fldCharType="separate"/>
      </w:r>
      <w:r>
        <w:rPr>
          <w:rStyle w:val="Internetverknpfung"/>
        </w:rPr>
        <w:t>Jon 1,4</w:t>
      </w:r>
      <w:r>
        <w:rPr>
          <w:rStyle w:val="Internetverknpfung"/>
        </w:rPr>
        <w:fldChar w:fldCharType="end"/>
      </w:r>
      <w:r>
        <w:rPr/>
        <w:t xml:space="preserve"> z.B. kann daher Gott einen Wind auf das Meer „hinabwerfen“.</w:t>
      </w:r>
    </w:p>
  </w:footnote>
  <w:footnote w:id="1832">
    <w:p>
      <w:pPr>
        <w:pStyle w:val="Funote"/>
        <w:rPr/>
      </w:pPr>
      <w:r>
        <w:rPr>
          <w:rStyle w:val="Funotenzeichen"/>
        </w:rPr>
        <w:footnoteRef/>
      </w:r>
      <w:r>
        <w:rPr/>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33">
    <w:p>
      <w:pPr>
        <w:pStyle w:val="Funote"/>
        <w:rPr/>
      </w:pPr>
      <w:r>
        <w:rPr>
          <w:rStyle w:val="Funotenzeichen"/>
        </w:rPr>
        <w:footnoteRef/>
      </w:r>
      <w:r>
        <w:rPr>
          <w:i/>
        </w:rPr>
        <w:tab/>
        <w:t>wird</w:t>
      </w:r>
      <w:r>
        <w:rPr/>
        <w:t xml:space="preserve"> - Eigentlich ein Plural-Verb, da „der Aufrechte“ ein „generischer Singular“ mit Pl.-Bed. ist. Sinngemäß also: „Werden Aufrechte sein Gesicht sehen“.</w:t>
      </w:r>
    </w:p>
  </w:footnote>
  <w:footnote w:id="1834">
    <w:p>
      <w:pPr>
        <w:pStyle w:val="Funote"/>
        <w:rPr/>
      </w:pPr>
      <w:r>
        <w:rPr>
          <w:rStyle w:val="Funotenzeichen"/>
        </w:rPr>
        <w:footnoteRef/>
      </w:r>
      <w:r>
        <w:rPr/>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35">
    <w:p>
      <w:pPr>
        <w:pStyle w:val="Funote"/>
        <w:rPr/>
      </w:pPr>
      <w:r>
        <w:rPr>
          <w:rStyle w:val="Funotenzeichen"/>
        </w:rPr>
        <w:footnoteRef/>
      </w:r>
      <w:r>
        <w:rPr/>
        <w:tab/>
        <w:t>JHWH</w:t>
      </w:r>
    </w:p>
  </w:footnote>
  <w:footnote w:id="1836">
    <w:p>
      <w:pPr>
        <w:pStyle w:val="Funote"/>
        <w:rPr/>
      </w:pPr>
      <w:r>
        <w:rPr>
          <w:rStyle w:val="Funotenzeichen"/>
        </w:rPr>
        <w:footnoteRef/>
      </w:r>
      <w:r>
        <w:rPr/>
        <w:tab/>
        <w:t>JHWH</w:t>
      </w:r>
    </w:p>
  </w:footnote>
  <w:footnote w:id="1837">
    <w:p>
      <w:pPr>
        <w:pStyle w:val="Funote"/>
        <w:rPr/>
      </w:pPr>
      <w:r>
        <w:rPr>
          <w:rStyle w:val="Funotenzeichen"/>
        </w:rPr>
        <w:footnoteRef/>
      </w:r>
      <w:r>
        <w:rPr/>
        <w:tab/>
        <w:t>JHWH</w:t>
      </w:r>
    </w:p>
  </w:footnote>
  <w:footnote w:id="1838">
    <w:p>
      <w:pPr>
        <w:pStyle w:val="Funote"/>
        <w:rPr/>
      </w:pPr>
      <w:r>
        <w:rPr>
          <w:rStyle w:val="Funotenzeichen"/>
        </w:rPr>
        <w:footnoteRef/>
      </w:r>
      <w:r>
        <w:rPr/>
        <w:tab/>
        <w:t>JHWH</w:t>
      </w:r>
    </w:p>
  </w:footnote>
  <w:footnote w:id="1839">
    <w:p>
      <w:pPr>
        <w:pStyle w:val="Funote"/>
        <w:rPr/>
      </w:pPr>
      <w:r>
        <w:rPr>
          <w:rStyle w:val="Funotenzeichen"/>
        </w:rPr>
        <w:footnoteRef/>
      </w:r>
      <w:r>
        <w:rPr/>
        <w:tab/>
        <w:t>JHWH</w:t>
      </w:r>
    </w:p>
  </w:footnote>
  <w:footnote w:id="1840">
    <w:p>
      <w:pPr>
        <w:pStyle w:val="Funote"/>
        <w:rPr/>
      </w:pPr>
      <w:r>
        <w:rPr>
          <w:rStyle w:val="Funotenzeichen"/>
        </w:rPr>
        <w:footnoteRef/>
      </w:r>
      <w:r>
        <w:rPr/>
        <w:tab/>
        <w:t>JHWH</w:t>
      </w:r>
    </w:p>
  </w:footnote>
  <w:footnote w:id="1841">
    <w:p>
      <w:pPr>
        <w:pStyle w:val="Funote"/>
        <w:rPr/>
      </w:pPr>
      <w:r>
        <w:rPr>
          <w:rStyle w:val="Funotenzeichen"/>
        </w:rPr>
        <w:footnoteRef/>
      </w:r>
      <w:r>
        <w:rPr/>
        <w:tab/>
        <w:t>[Status: Zuverlässig]</w:t>
      </w:r>
    </w:p>
  </w:footnote>
  <w:footnote w:id="1842">
    <w:p>
      <w:pPr>
        <w:pStyle w:val="Funote"/>
        <w:rPr/>
      </w:pPr>
      <w:r>
        <w:rPr>
          <w:rStyle w:val="Funotenzeichen"/>
        </w:rPr>
        <w:footnoteRef/>
      </w:r>
      <w:r>
        <w:rPr>
          <w:i/>
        </w:rPr>
        <w:tab/>
        <w:t>Chorleiter</w:t>
      </w:r>
      <w:r>
        <w:rPr/>
        <w:t xml:space="preserve"> - Heb. </w:t>
      </w:r>
      <w:r>
        <w:rPr>
          <w:i/>
        </w:rPr>
        <w:t>menatseach</w:t>
      </w:r>
      <w:r>
        <w:rPr/>
        <w:t>; genaue Bedeutung unklar. Die Primärübersetzung „Chorleiter“ ist mehr oder weniger Konvention. S. noch nächste FN.</w:t>
      </w:r>
    </w:p>
  </w:footnote>
  <w:footnote w:id="1843">
    <w:p>
      <w:pPr>
        <w:pStyle w:val="Funote"/>
        <w:rPr/>
      </w:pPr>
      <w:r>
        <w:rPr>
          <w:rStyle w:val="Funotenzeichen"/>
        </w:rPr>
        <w:footnoteRef/>
      </w:r>
      <w:r>
        <w:rPr/>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44">
    <w:p>
      <w:pPr>
        <w:pStyle w:val="Funote"/>
        <w:rPr/>
      </w:pPr>
      <w:r>
        <w:rPr>
          <w:rStyle w:val="Funotenzeichen"/>
        </w:rPr>
        <w:footnoteRef/>
      </w:r>
      <w:r>
        <w:rPr/>
        <w:tab/>
        <w:t>Hilf! - Kürzestmöglicher Hilferuf; selbst der Empfänger der Rettung Gottes wird hier nicht genannt, was so ungewöhnlich ist, dass LXX ergänzt: „Hilf mir!“. Gut daher der Vorschlag einer stiltreuen Übersetzung von Ruiz 2013, S. 129 FN 13: „Hilfe!“</w:t>
      </w:r>
    </w:p>
  </w:footnote>
  <w:footnote w:id="1845">
    <w:p>
      <w:pPr>
        <w:pStyle w:val="Funote"/>
        <w:rPr/>
      </w:pPr>
      <w:r>
        <w:rPr>
          <w:rStyle w:val="Funotenzeichen"/>
        </w:rPr>
        <w:footnoteRef/>
      </w:r>
      <w:r>
        <w:rPr/>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46">
    <w:p>
      <w:pPr>
        <w:pStyle w:val="Funote"/>
        <w:rPr/>
      </w:pPr>
      <w:r>
        <w:rPr>
          <w:rStyle w:val="Funotenzeichen"/>
        </w:rPr>
        <w:footnoteRef/>
      </w:r>
      <w:r>
        <w:rPr/>
        <w:tab/>
        <w:t>jeder seinem Nächsten - d.h. „alle lügen einander an“; zur Konstruktion vgl. Bar-Asher Siegal 2012. Gut daher HfA, NGÜ: „Jeder belügt jeden.“</w:t>
      </w:r>
    </w:p>
  </w:footnote>
  <w:footnote w:id="1847">
    <w:p>
      <w:pPr>
        <w:pStyle w:val="Funote"/>
        <w:rPr/>
      </w:pPr>
      <w:r>
        <w:rPr>
          <w:rStyle w:val="Funotenzeichen"/>
        </w:rPr>
        <w:footnoteRef/>
      </w:r>
      <w:r>
        <w:rPr/>
        <w:tab/>
        <w:t>Mit glatter Lippe - stehender Ausdruck für „heuchlerisch“, s. noch Ps 5,10; 55,22; Röm 3,13 und vgl. z.B. ThWAT II, S. 1012.</w:t>
      </w:r>
    </w:p>
  </w:footnote>
  <w:footnote w:id="1848">
    <w:p>
      <w:pPr>
        <w:pStyle w:val="Funote"/>
        <w:rPr/>
      </w:pPr>
      <w:r>
        <w:rPr>
          <w:rStyle w:val="Funotenzeichen"/>
        </w:rPr>
        <w:footnoteRef/>
      </w:r>
      <w:r>
        <w:rPr/>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49">
    <w:p>
      <w:pPr>
        <w:pStyle w:val="Funote"/>
        <w:rPr/>
      </w:pPr>
      <w:r>
        <w:rPr>
          <w:rStyle w:val="Funotenzeichen"/>
        </w:rPr>
        <w:footnoteRef/>
      </w:r>
      <w:r>
        <w:rPr>
          <w:i/>
        </w:rPr>
        <w:tab/>
        <w:t>Ich werde ich mich erheben</w:t>
      </w:r>
      <w:r>
        <w:rPr/>
        <w:t>, d.h. werde aktiv, anstatt, wie bisher, nichts gegen die Sünden der Glattlippigen und Doppelzüngigen zu unternehmen.</w:t>
      </w:r>
    </w:p>
  </w:footnote>
  <w:footnote w:id="1850">
    <w:p>
      <w:pPr>
        <w:pStyle w:val="Funote"/>
        <w:rPr/>
      </w:pPr>
      <w:r>
        <w:rPr>
          <w:rStyle w:val="Funotenzeichen"/>
        </w:rPr>
        <w:footnoteRef/>
      </w:r>
      <w:r>
        <w:rPr/>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51">
    <w:p>
      <w:pPr>
        <w:pStyle w:val="Funote"/>
        <w:rPr/>
      </w:pPr>
      <w:r>
        <w:rPr>
          <w:rStyle w:val="Funotenzeichen"/>
        </w:rPr>
        <w:footnoteRef/>
      </w:r>
      <w:r>
        <w:rPr/>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52">
    <w:p>
      <w:pPr>
        <w:pStyle w:val="Funote"/>
        <w:rPr/>
      </w:pPr>
      <w:r>
        <w:rPr>
          <w:rStyle w:val="Funotenzeichen"/>
        </w:rPr>
        <w:footnoteRef/>
      </w:r>
      <w:r>
        <w:rPr/>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53">
    <w:p>
      <w:pPr>
        <w:pStyle w:val="Funote"/>
        <w:rPr/>
      </w:pPr>
      <w:r>
        <w:rPr>
          <w:rStyle w:val="Funotenzeichen"/>
        </w:rPr>
        <w:footnoteRef/>
      </w:r>
      <w:r>
        <w:rPr/>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54">
    <w:p>
      <w:pPr>
        <w:pStyle w:val="Funote"/>
        <w:rPr/>
      </w:pPr>
      <w:r>
        <w:rPr>
          <w:rStyle w:val="Funotenzeichen"/>
        </w:rPr>
        <w:footnoteRef/>
      </w:r>
      <w:r>
        <w:rPr/>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55">
    <w:p>
      <w:pPr>
        <w:pStyle w:val="Funote"/>
        <w:rPr/>
      </w:pPr>
      <w:r>
        <w:rPr>
          <w:rStyle w:val="Funotenzeichen"/>
        </w:rPr>
        <w:footnoteRef/>
      </w:r>
      <w:r>
        <w:rPr>
          <w:i/>
        </w:rPr>
        <w:tab/>
        <w:t>hoch ist (wird)</w:t>
      </w:r>
      <w:r>
        <w:rPr/>
        <w:t xml:space="preserve"> - d.h. „hoch im Kurs steht“ oder „immer schlimmer wird“. „Verachtenswertes“ findet sich nur hier in der Bibel; die Bed. ist also etwas unsicher, heute aber recht unumstritten.</w:t>
      </w:r>
    </w:p>
  </w:footnote>
  <w:footnote w:id="1856">
    <w:p>
      <w:pPr>
        <w:pStyle w:val="Funote"/>
        <w:rPr/>
      </w:pPr>
      <w:r>
        <w:rPr>
          <w:rStyle w:val="Funotenzeichen"/>
        </w:rPr>
        <w:footnoteRef/>
      </w:r>
      <w:r>
        <w:rPr/>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57">
    <w:p>
      <w:pPr>
        <w:pStyle w:val="Funote"/>
        <w:rPr/>
      </w:pPr>
      <w:r>
        <w:rPr>
          <w:rStyle w:val="Funotenzeichen"/>
        </w:rPr>
        <w:footnoteRef/>
      </w:r>
      <w:r>
        <w:rPr/>
        <w:tab/>
        <w:t>[Status: Zuverlässig]</w:t>
      </w:r>
    </w:p>
  </w:footnote>
  <w:footnote w:id="1858">
    <w:p>
      <w:pPr>
        <w:pStyle w:val="Funote"/>
        <w:rPr/>
      </w:pPr>
      <w:r>
        <w:rPr>
          <w:rStyle w:val="Funotenzeichen"/>
        </w:rPr>
        <w:footnoteRef/>
      </w:r>
      <w:r>
        <w:rPr/>
        <w:tab/>
        <w:t>Genaue Bedeutung unklar. Die gewählte Übersetzung ist mehr oder weniger Konvention, obwohl es nicht an alternativen Übersetzungsvorschlägen mangelt.</w:t>
      </w:r>
    </w:p>
  </w:footnote>
  <w:footnote w:id="1859">
    <w:p>
      <w:pPr>
        <w:pStyle w:val="Funote"/>
        <w:rPr/>
      </w:pPr>
      <w:r>
        <w:rPr>
          <w:rStyle w:val="Funotenzeichen"/>
        </w:rPr>
        <w:footnoteRef/>
      </w:r>
      <w:r>
        <w:rPr/>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60">
    <w:p>
      <w:pPr>
        <w:pStyle w:val="Funote"/>
        <w:rPr/>
      </w:pPr>
      <w:r>
        <w:rPr>
          <w:rStyle w:val="Funotenzeichen"/>
        </w:rPr>
        <w:footnoteRef/>
      </w:r>
      <w:r>
        <w:rPr/>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61">
    <w:p>
      <w:pPr>
        <w:pStyle w:val="Funote"/>
        <w:rPr/>
      </w:pPr>
      <w:r>
        <w:rPr>
          <w:rStyle w:val="Funotenzeichen"/>
        </w:rPr>
        <w:footnoteRef/>
      </w:r>
      <w:r>
        <w:rPr/>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62">
    <w:p>
      <w:pPr>
        <w:pStyle w:val="Funote"/>
        <w:rPr/>
      </w:pPr>
      <w:r>
        <w:rPr>
          <w:rStyle w:val="Funotenzeichen"/>
        </w:rPr>
        <w:footnoteRef/>
      </w:r>
      <w:r>
        <w:rPr/>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63">
    <w:p>
      <w:pPr>
        <w:pStyle w:val="Funote"/>
        <w:rPr/>
      </w:pPr>
      <w:r>
        <w:rPr>
          <w:rStyle w:val="Funotenzeichen"/>
        </w:rPr>
        <w:footnoteRef/>
      </w:r>
      <w:r>
        <w:rPr/>
        <w:tab/>
        <w:t>Pläne (Auflehnung?, Schmerzen?, Kummer?, Sorgen?) - Bedeutung umstritten; vgl. Anmerkung zum Text b. Am Besten ist die Zeile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64">
    <w:p>
      <w:pPr>
        <w:pStyle w:val="Funote"/>
        <w:rPr/>
      </w:pPr>
      <w:r>
        <w:rPr>
          <w:rStyle w:val="Funotenzeichen"/>
        </w:rPr>
        <w:footnoteRef/>
      </w:r>
      <w:r>
        <w:rPr>
          <w:i/>
        </w:rPr>
        <w:tab/>
        <w:t>in meine Seele</w:t>
      </w:r>
      <w:r>
        <w:rPr/>
        <w:t xml:space="preserve"> - dazu s. vorige FN.</w:t>
      </w:r>
    </w:p>
  </w:footnote>
  <w:footnote w:id="1865">
    <w:p>
      <w:pPr>
        <w:pStyle w:val="Funote"/>
        <w:rPr/>
      </w:pPr>
      <w:r>
        <w:rPr>
          <w:rStyle w:val="Funotenzeichen"/>
        </w:rPr>
        <w:footnoteRef/>
      </w:r>
      <w:r>
        <w:rPr/>
        <w:tab/>
        <w:t>Wobei Kummer in meinem Herzen ist (Wie lange wird sein/muss ich legen Kummer in meinem Herz) - Beide Auflösungen sind hier gleichermaßen möglich; die eingeklammerte erfordert allerdings die Ergänzung (-&gt;Brachylogie) von „wird sein“ und „muss ich legen“ aus der vorigen Zeile, was aber nicht problematisch ist. Dass diese Zeile die einzige in Vv. 2f ist, in der das einleitende „Bis wann“ fehlt, ist aber so auffällig, dass die primäre Übersetzung doch etwas wahrscheinlicher ist.</w:t>
      </w:r>
    </w:p>
  </w:footnote>
  <w:footnote w:id="1866">
    <w:p>
      <w:pPr>
        <w:pStyle w:val="Funote"/>
        <w:rPr/>
      </w:pPr>
      <w:r>
        <w:rPr>
          <w:rStyle w:val="Funotenzeichen"/>
        </w:rPr>
        <w:footnoteRef/>
      </w:r>
      <w:r>
        <w:rPr/>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67">
    <w:p>
      <w:pPr>
        <w:pStyle w:val="Funote"/>
        <w:rPr/>
      </w:pPr>
      <w:r>
        <w:rPr>
          <w:rStyle w:val="Funotenzeichen"/>
        </w:rPr>
        <w:footnoteRef/>
      </w:r>
      <w:r>
        <w:rPr/>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68">
    <w:p>
      <w:pPr>
        <w:pStyle w:val="Funote"/>
        <w:rPr/>
      </w:pPr>
      <w:r>
        <w:rPr>
          <w:rStyle w:val="Funotenzeichen"/>
        </w:rPr>
        <w:footnoteRef/>
      </w:r>
      <w:r>
        <w:rPr/>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69">
    <w:p>
      <w:pPr>
        <w:pStyle w:val="Funote"/>
        <w:rPr/>
      </w:pPr>
      <w:r>
        <w:rPr>
          <w:rStyle w:val="Funotenzeichen"/>
        </w:rPr>
        <w:footnoteRef/>
      </w:r>
      <w:r>
        <w:rPr/>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70">
    <w:p>
      <w:pPr>
        <w:pStyle w:val="Funote"/>
        <w:rPr/>
      </w:pPr>
      <w:r>
        <w:rPr>
          <w:rStyle w:val="Funotenzeichen"/>
        </w:rPr>
        <w:footnoteRef/>
      </w:r>
      <w:r>
        <w:rPr/>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71">
    <w:p>
      <w:pPr>
        <w:pStyle w:val="Funote"/>
        <w:rPr/>
      </w:pPr>
      <w:r>
        <w:rPr>
          <w:rStyle w:val="Funotenzeichen"/>
        </w:rPr>
        <w:footnoteRef/>
      </w:r>
      <w:r>
        <w:rPr/>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72">
    <w:p>
      <w:pPr>
        <w:pStyle w:val="Funote"/>
        <w:rPr/>
      </w:pPr>
      <w:r>
        <w:rPr>
          <w:rStyle w:val="Funotenzeichen"/>
        </w:rPr>
        <w:footnoteRef/>
      </w:r>
      <w:r>
        <w:rPr>
          <w:i/>
        </w:rPr>
        <w:tab/>
        <w:t>Ich habe ihn übermocht (Ich habe ihn ausgetilgt?, Ich habe es geschafft?)</w:t>
      </w:r>
      <w:r>
        <w:rPr/>
        <w:t xml:space="preserve"> - Bedeutung umstritten; s. </w:t>
      </w:r>
      <w:r>
        <w:fldChar w:fldCharType="begin"/>
      </w:r>
      <w:r>
        <w:rPr>
          <w:rStyle w:val="Internetverknpfung"/>
        </w:rPr>
        <w:instrText> HYPERLINK "http://www.offene-bibel.de/wiki/index.php5?title=Kommentar:Psalm_13" \l "note_h"</w:instrText>
      </w:r>
      <w:r>
        <w:rPr>
          <w:rStyle w:val="Internetverknpfung"/>
        </w:rPr>
        <w:fldChar w:fldCharType="separate"/>
      </w:r>
      <w:r>
        <w:rPr>
          <w:rStyle w:val="Internetverknpfung"/>
        </w:rPr>
        <w:t>Anmerkung zum Text h</w:t>
      </w:r>
      <w:r>
        <w:rPr>
          <w:rStyle w:val="Internetverknpfung"/>
        </w:rPr>
        <w:fldChar w:fldCharType="end"/>
      </w:r>
      <w:r>
        <w:rPr/>
        <w:t xml:space="preserve">. Nach unserer Deutung ist das Wort vom Hebräischen </w:t>
      </w:r>
      <w:r>
        <w:rPr>
          <w:i/>
        </w:rPr>
        <w:t>jakal</w:t>
      </w:r>
      <w:r>
        <w:rPr/>
        <w:t xml:space="preserve"> abzuleiten, das sowohl „überlegen sein“ als auch „siegen“ bedeuten kann; die Zeile greift damit gleichzeitig den Gedanken aus Zeile 3c („Bis wann wird mein Feind mir überlegen sein?“) und Zeile 4c („damit ich nicht sterbe“) wieder auf. Im Deutschen laufen beide Bedeutungen wohl am besten zusammen im Wort „übermögen“, doch ist das vielleicht schon zu alt für die LF (?) - in diesem Fall vielleicht besser: „Ich habe ihn überwältigt“.</w:t>
      </w:r>
    </w:p>
  </w:footnote>
  <w:footnote w:id="1873">
    <w:p>
      <w:pPr>
        <w:pStyle w:val="Funote"/>
        <w:rPr/>
      </w:pPr>
      <w:r>
        <w:rPr>
          <w:rStyle w:val="Funotenzeichen"/>
        </w:rPr>
        <w:footnoteRef/>
      </w:r>
      <w:r>
        <w:rPr/>
        <w:tab/>
        <w:t xml:space="preserve">Zum </w:t>
      </w:r>
      <w:r>
        <w:rPr>
          <w:i/>
        </w:rPr>
        <w:t>Wanken</w:t>
      </w:r>
      <w:r>
        <w:rPr/>
        <w:t xml:space="preserve"> vgl. </w:t>
      </w:r>
      <w:r>
        <w:fldChar w:fldCharType="begin"/>
      </w:r>
      <w:r>
        <w:rPr>
          <w:rStyle w:val="Internetverknpfung"/>
        </w:rPr>
        <w:instrText> HYPERLINK "http://www.offene-bibel.de/wiki/index.php5?title=Psalm_30" \l "note_r"</w:instrText>
      </w:r>
      <w:r>
        <w:rPr>
          <w:rStyle w:val="Internetverknpfung"/>
        </w:rPr>
        <w:fldChar w:fldCharType="separate"/>
      </w:r>
      <w:r>
        <w:rPr>
          <w:rStyle w:val="Internetverknpfung"/>
        </w:rPr>
        <w:t>FN r</w:t>
      </w:r>
      <w:r>
        <w:rPr>
          <w:rStyle w:val="Internetverknpfung"/>
        </w:rPr>
        <w:fldChar w:fldCharType="end"/>
      </w:r>
      <w:r>
        <w:rPr/>
        <w:t xml:space="preserve"> zu </w:t>
      </w:r>
      <w:r>
        <w:fldChar w:fldCharType="begin"/>
      </w:r>
      <w:r>
        <w:rPr>
          <w:rStyle w:val="Internetverknpfung"/>
        </w:rPr>
        <w:instrText> HYPERLINK "../../../../../../../../../wiki/Psalm_30" \l "s7"</w:instrText>
      </w:r>
      <w:r>
        <w:rPr>
          <w:rStyle w:val="Internetverknpfung"/>
        </w:rPr>
        <w:fldChar w:fldCharType="separate"/>
      </w:r>
      <w:r>
        <w:rPr>
          <w:rStyle w:val="Internetverknpfung"/>
        </w:rPr>
        <w:t>Ps 30,7</w:t>
      </w:r>
      <w:r>
        <w:rPr>
          <w:rStyle w:val="Internetverknpfung"/>
        </w:rPr>
        <w:fldChar w:fldCharType="end"/>
      </w:r>
      <w:r>
        <w:rPr/>
        <w:t xml:space="preserve">: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w:t>
      </w:r>
      <w:r>
        <w:fldChar w:fldCharType="begin"/>
      </w:r>
      <w:r>
        <w:rPr>
          <w:rStyle w:val="Internetverknpfung"/>
        </w:rPr>
        <w:instrText> HYPERLINK "../../../../../../../../../wiki/Psalm_30" \l "s7"</w:instrText>
      </w:r>
      <w:r>
        <w:rPr>
          <w:rStyle w:val="Internetverknpfung"/>
        </w:rPr>
        <w:fldChar w:fldCharType="separate"/>
      </w:r>
      <w:r>
        <w:rPr>
          <w:rStyle w:val="Internetverknpfung"/>
        </w:rPr>
        <w:t>Ps 30,7f</w:t>
      </w:r>
      <w:r>
        <w:rPr>
          <w:rStyle w:val="Internetverknpfung"/>
        </w:rPr>
        <w:fldChar w:fldCharType="end"/>
      </w:r>
      <w:r>
        <w:rPr/>
        <w:t>) Gottes.</w:t>
      </w:r>
    </w:p>
  </w:footnote>
  <w:footnote w:id="1874">
    <w:p>
      <w:pPr>
        <w:pStyle w:val="Funote"/>
        <w:rPr/>
      </w:pPr>
      <w:r>
        <w:rPr>
          <w:rStyle w:val="Funotenzeichen"/>
        </w:rPr>
        <w:footnoteRef/>
      </w:r>
      <w:r>
        <w:rPr/>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75">
    <w:p>
      <w:pPr>
        <w:pStyle w:val="Funote"/>
        <w:rPr/>
      </w:pPr>
      <w:r>
        <w:rPr>
          <w:rStyle w:val="Funotenzeichen"/>
        </w:rPr>
        <w:footnoteRef/>
      </w:r>
      <w:r>
        <w:rPr>
          <w:i/>
        </w:rPr>
        <w:tab/>
        <w:t>Mein Herz (Ich)</w:t>
      </w:r>
      <w:r>
        <w:rPr/>
        <w:t xml:space="preserve"> - Das „Herz“ - wie auch viele andere „Teile“ des Menschen, z.B. seine „Seele“, sein „Kopf“ etc. - werden im Hebräischen sehr häufig fast wie reine Personalpronomen verwendet. So sicher auch hier; „Mein Herz soll jubeln“ = „Ich will jubeln“.</w:t>
      </w:r>
    </w:p>
  </w:footnote>
  <w:footnote w:id="1876">
    <w:p>
      <w:pPr>
        <w:pStyle w:val="Funote"/>
        <w:rPr/>
      </w:pPr>
      <w:r>
        <w:rPr>
          <w:rStyle w:val="Funotenzeichen"/>
        </w:rPr>
        <w:footnoteRef/>
      </w:r>
      <w:r>
        <w:rPr/>
        <w:tab/>
        <w:t>JHWH (dich) + Er hat (Du hast) - Vor allem in der biblischen Poesie kann ein hebräischer Autor ohne erkennbare Gründe von einer Zeile auf die andere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77">
    <w:p>
      <w:pPr>
        <w:pStyle w:val="Funote"/>
        <w:rPr/>
      </w:pPr>
      <w:r>
        <w:rPr>
          <w:rStyle w:val="Funotenzeichen"/>
        </w:rPr>
        <w:footnoteRef/>
      </w:r>
      <w:r>
        <w:rPr/>
        <w:tab/>
        <w:t>JHWH</w:t>
      </w:r>
    </w:p>
  </w:footnote>
  <w:footnote w:id="1878">
    <w:p>
      <w:pPr>
        <w:pStyle w:val="Funote"/>
        <w:rPr/>
      </w:pPr>
      <w:r>
        <w:rPr>
          <w:rStyle w:val="Funotenzeichen"/>
        </w:rPr>
        <w:footnoteRef/>
      </w:r>
      <w:r>
        <w:rPr/>
        <w:tab/>
        <w:t>[Status: Zuverlässig]</w:t>
      </w:r>
    </w:p>
  </w:footnote>
  <w:footnote w:id="1879">
    <w:p>
      <w:pPr>
        <w:pStyle w:val="Funote"/>
        <w:rPr/>
      </w:pPr>
      <w:r>
        <w:rPr>
          <w:rStyle w:val="Funotenzeichen"/>
        </w:rPr>
        <w:footnoteRef/>
      </w:r>
      <w:r>
        <w:rPr/>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880">
    <w:p>
      <w:pPr>
        <w:pStyle w:val="Funote"/>
        <w:rPr/>
      </w:pPr>
      <w:r>
        <w:rPr>
          <w:rStyle w:val="Funotenzeichen"/>
        </w:rPr>
        <w:footnoteRef/>
      </w:r>
      <w:r>
        <w:rPr>
          <w:i/>
        </w:rPr>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1881">
    <w:p>
      <w:pPr>
        <w:pStyle w:val="Funote"/>
        <w:rPr/>
      </w:pPr>
      <w:r>
        <w:rPr>
          <w:rStyle w:val="Funotenzeichen"/>
        </w:rPr>
        <w:footnoteRef/>
      </w:r>
      <w:r>
        <w:rPr/>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882">
    <w:p>
      <w:pPr>
        <w:pStyle w:val="Funote"/>
        <w:rPr/>
      </w:pPr>
      <w:r>
        <w:rPr>
          <w:rStyle w:val="Funotenzeichen"/>
        </w:rPr>
        <w:footnoteRef/>
      </w:r>
      <w:r>
        <w:rPr/>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883">
    <w:p>
      <w:pPr>
        <w:pStyle w:val="Funote"/>
        <w:rPr/>
      </w:pPr>
      <w:r>
        <w:rPr>
          <w:rStyle w:val="Funotenzeichen"/>
        </w:rPr>
        <w:footnoteRef/>
      </w:r>
      <w:r>
        <w:rPr/>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884">
    <w:p>
      <w:pPr>
        <w:pStyle w:val="Funote"/>
        <w:rPr/>
      </w:pPr>
      <w:r>
        <w:rPr>
          <w:rStyle w:val="Funotenzeichen"/>
        </w:rPr>
        <w:footnoteRef/>
      </w:r>
      <w:r>
        <w:rPr>
          <w:i/>
        </w:rPr>
        <w:tab/>
        <w:t>erschraken sie einen Schrecken</w:t>
      </w:r>
      <w:r>
        <w:rPr/>
        <w:t xml:space="preserve"> - Figura etymologica, die den ganzen Ausdruck noch intensiver macht: „Da erschraken sie sehr“.</w:t>
      </w:r>
    </w:p>
  </w:footnote>
  <w:footnote w:id="1885">
    <w:p>
      <w:pPr>
        <w:pStyle w:val="Funote"/>
        <w:rPr/>
      </w:pPr>
      <w:r>
        <w:rPr>
          <w:rStyle w:val="Funotenzeichen"/>
        </w:rPr>
        <w:footnoteRef/>
      </w:r>
      <w:r>
        <w:rPr>
          <w:i/>
        </w:rPr>
        <w:tab/>
        <w:t>:</w:t>
      </w:r>
      <w:r>
        <w:rPr/>
        <w:t xml:space="preserve"> - Auch V. 6 ist wahrscheinlich ein Zitat JHWHs. Erst aus diesem Vers kann ja abgeleitet werden, dass Gott mit den Armen ist, wohingegen es Vv. 3-4 noch hieß, dass die gesamte Menschheit bei Gottes Prüfung durchgefallen ist.</w:t>
      </w:r>
    </w:p>
  </w:footnote>
  <w:footnote w:id="1886">
    <w:p>
      <w:pPr>
        <w:pStyle w:val="Funote"/>
        <w:rPr/>
      </w:pPr>
      <w:r>
        <w:rPr>
          <w:rStyle w:val="Funotenzeichen"/>
        </w:rPr>
        <w:footnoteRef/>
      </w:r>
      <w:r>
        <w:rPr>
          <w:i/>
        </w:rPr>
        <w:tab/>
        <w:t>Zion</w:t>
      </w:r>
      <w:r>
        <w:rPr/>
        <w:t xml:space="preserve"> - Der Berg in Jerusalem, auf dem Gott in seinem Tempel wohnt. Hilfe von Gott kommt daher „vom Zion“ (vgl. z.B. </w:t>
      </w:r>
      <w:r>
        <w:fldChar w:fldCharType="begin"/>
      </w:r>
      <w:r>
        <w:rPr>
          <w:rStyle w:val="Internetverknpfung"/>
        </w:rPr>
        <w:instrText> HYPERLINK "https://www.bibelwissenschaft.de/de/stichwort/35418/" \l "h8"</w:instrText>
      </w:r>
      <w:r>
        <w:rPr>
          <w:rStyle w:val="Internetverknpfung"/>
        </w:rPr>
        <w:fldChar w:fldCharType="separate"/>
      </w:r>
      <w:r>
        <w:rPr>
          <w:rStyle w:val="Internetverknpfung"/>
        </w:rPr>
        <w:t>Zion/Zionstheologie (WiBiLex)</w:t>
      </w:r>
      <w:r>
        <w:rPr>
          <w:rStyle w:val="Internetverknpfung"/>
        </w:rPr>
        <w:fldChar w:fldCharType="end"/>
      </w:r>
      <w:r>
        <w:rPr/>
        <w:t>.</w:t>
      </w:r>
    </w:p>
  </w:footnote>
  <w:footnote w:id="1887">
    <w:p>
      <w:pPr>
        <w:pStyle w:val="Funote"/>
        <w:rPr/>
      </w:pPr>
      <w:r>
        <w:rPr>
          <w:rStyle w:val="Funotenzeichen"/>
        </w:rPr>
        <w:footnoteRef/>
      </w:r>
      <w:r>
        <w:rPr/>
        <w:tab/>
        <w:t>Möge es doch vom Zion Rettung für Israel geben! - W.: „Wer wird geben vom Zion Rettung für Israel!?“, die heb. Wendung „Wer wird geben X“ ist ein Idiom für „Es möge sein, dass... X“, „Oh dass doch X wäre!“ (vgl. Lande 1949, S. 90f.).</w:t>
      </w:r>
    </w:p>
  </w:footnote>
  <w:footnote w:id="1888">
    <w:p>
      <w:pPr>
        <w:pStyle w:val="Funote"/>
        <w:rPr/>
      </w:pPr>
      <w:r>
        <w:rPr>
          <w:rStyle w:val="Funotenzeichen"/>
        </w:rPr>
        <w:footnoteRef/>
      </w:r>
      <w:r>
        <w:rPr>
          <w:i/>
        </w:rPr>
        <w:tab/>
        <w:t>Jakob</w:t>
      </w:r>
      <w:r>
        <w:rPr/>
        <w:t xml:space="preserve"> - Alternativer Begriff für Israel, da Jakob nach </w:t>
      </w:r>
      <w:hyperlink r:id="rId104">
        <w:r>
          <w:rPr>
            <w:rStyle w:val="Internetverknpfung"/>
          </w:rPr>
          <w:t>Gen 25</w:t>
        </w:r>
      </w:hyperlink>
      <w:r>
        <w:rPr/>
        <w:t xml:space="preserve"> der Stammvater der Israeliten war.</w:t>
      </w:r>
    </w:p>
  </w:footnote>
  <w:footnote w:id="1889">
    <w:p>
      <w:pPr>
        <w:pStyle w:val="Funote"/>
        <w:rPr/>
      </w:pPr>
      <w:r>
        <w:rPr>
          <w:rStyle w:val="Funotenzeichen"/>
        </w:rPr>
        <w:footnoteRef/>
      </w:r>
      <w:r>
        <w:rPr/>
        <w:tab/>
        <w:t>[b.Mak 24a geht sogar noch weiter: „Wann immer Rabbi Gamaliel [den Vers Ps 15,5] erreichte, weinte er und sagte: ‚Wer all diese Gebote hält, wird nie wanken; hält er nur eins von ihnen, wird er wanken!‘ Da sagte man ihm: ‚Steht etwa geschrieben: ‚Wer all diese Gebote hält?‘ Es steht geschrieben: ‚Wer diese Gebote hält‘ – das gilt selbst für den, der nur eins von ihnen hält.‘“: Die Gebote in Ps 15 wären so fundamental, das selbst jener, der nur eins von ihnen einhält, auf ewig „nicht wanken“ wird.]</w:t>
      </w:r>
    </w:p>
  </w:footnote>
  <w:footnote w:id="1890">
    <w:p>
      <w:pPr>
        <w:pStyle w:val="Funote"/>
        <w:rPr/>
      </w:pPr>
      <w:r>
        <w:rPr>
          <w:rStyle w:val="Funotenzeichen"/>
        </w:rPr>
        <w:footnoteRef/>
      </w:r>
      <w:r>
        <w:rPr/>
        <w:tab/>
        <w:t>[Zum Gedanken vgl. z.B. Ps 1: Auch hier werden in Vv. 1f. negative und positive Bedingungen (Vv. 1-2) für Gottes Segen (V. 3) aufgezählt. Zur Formulierung vgl. die sehr nahen Parallelen Ps 24; Jes 33,14-16; Mic 6,6-8.]</w:t>
      </w:r>
    </w:p>
  </w:footnote>
  <w:footnote w:id="1891">
    <w:p>
      <w:pPr>
        <w:pStyle w:val="Funote"/>
        <w:rPr/>
      </w:pPr>
      <w:r>
        <w:rPr>
          <w:rStyle w:val="Funotenzeichen"/>
        </w:rPr>
        <w:footnoteRef/>
      </w:r>
      <w:r>
        <w:rPr/>
        <w:tab/>
        <w:t>[Status: Zuverlässig]</w:t>
      </w:r>
    </w:p>
  </w:footnote>
  <w:footnote w:id="1892">
    <w:p>
      <w:pPr>
        <w:pStyle w:val="Funote"/>
        <w:rPr/>
      </w:pPr>
      <w:r>
        <w:rPr>
          <w:rStyle w:val="Funotenzeichen"/>
        </w:rPr>
        <w:footnoteRef/>
      </w:r>
      <w:r>
        <w:rPr/>
        <w:tab/>
        <w:t>Mit dem Zelt könnte das mischkan gemeint sein, eine Art zeltförmiger transportabler Tempel, den die Israeliten mit sich durch die Wüste führten und der als „Wohnstatt“ Gottes diente (mischkan kommt von schakan, „wohnen“; zum Zelt s. z.B. Ex 25,8f.; Ex 26), oder das Zelt, das David stattdessen zum selben Zweck in Jerusalem errichtete (s. z.B. 1 Chr 15,1; 2 Chr 1,3f.). Der Tg und viele Handschriften haben wohl deshalb auch den Plural „Zelte“ statt den Singular. Später wurden diese Zelte abgelöst durch den Tempel, den Salomo auf dem „heiligen Berg“ Zion als neue Wohnstatt Gottes erbaute. Auch in Ps 27,4-6 werden „Tempel“ und „Zelt“ in einem Atemzug verwendet; vielleicht konnte „Zelt“ später also auch poetisch für den „Tempel“ stehen.</w:t>
      </w:r>
    </w:p>
  </w:footnote>
  <w:footnote w:id="1893">
    <w:p>
      <w:pPr>
        <w:pStyle w:val="Funote"/>
        <w:rPr/>
      </w:pPr>
      <w:r>
        <w:rPr>
          <w:rStyle w:val="Funotenzeichen"/>
        </w:rPr>
        <w:footnoteRef/>
      </w:r>
      <w:r>
        <w:rPr/>
        <w:tab/>
        <w:t>Textkritik: Und ({und}) - „Und“ findet sich nicht im Codex Leningradensis, aber in vielen Handschriften, LXX, Syr, VUL und Hier und ist damit wohl urprünglich.</w:t>
      </w:r>
    </w:p>
  </w:footnote>
  <w:footnote w:id="1894">
    <w:p>
      <w:pPr>
        <w:pStyle w:val="Funote"/>
        <w:rPr/>
      </w:pPr>
      <w:r>
        <w:rPr>
          <w:rStyle w:val="Funotenzeichen"/>
        </w:rPr>
        <w:footnoteRef/>
      </w:r>
      <w:r>
        <w:rPr/>
        <w:tab/>
        <w:t>Wahres sagt (denkt) in seinem Herzen (ausspricht, [was] wahrhaft in seinem Herzen [ist]) - etwas schwierige Zeile, die leider nur selten kommentiert wird. Das Herz ist in der heb. Anthropologie seltener Sitz der Emotionen als des Verstandes; einfacher könnte man also schlicht schreiben: »wer Wahres denkt«. Weil der Psalm hier ethische Regeln aufstellt, würde hier also gesagt, dass Irrtümer ethisch falsch sind. Zu dieser weisheitlichen Vorstellung s. die Anmerkungen zu Ps 14; sinngemäß richtig also Saadja: »Wer die Wahrheit bekennt in seinem Herzen«.Alternativ könnte man wie in unserer Alternativübersetzung (nach Olshausen) deuten als »Wer ausspricht, [was] wahrhaft in seinem Herzen [ist]« (so schon Raschi; auch MEN: »wer die Wahrheit redet, wie's ihm ums Herz ist«); die Rede wäre dann von der Aufrichtigkeit im Gegensatz zur Verlogenheit wie z.B. in Ps 12,3. Sprachlich liegt die erste Deutung aber näher. Viele dt. Üss. übersetzen als »wer von (ganzem) Herzen die Wahrheit sagt« (z.B. ASTADLER, BB, EÜ16, LUT17, NGÜ, STAD), doch den Ausdruck »von ganzem Herzen« gibt es mit dieser Bed. nicht im Heb.</w:t>
      </w:r>
    </w:p>
  </w:footnote>
  <w:footnote w:id="1895">
    <w:p>
      <w:pPr>
        <w:pStyle w:val="Funote"/>
        <w:rPr/>
      </w:pPr>
      <w:r>
        <w:rPr>
          <w:rStyle w:val="Funotenzeichen"/>
        </w:rPr>
        <w:footnoteRef/>
      </w:r>
      <w:r>
        <w:rPr/>
        <w:tab/>
        <w:t>Verleumdung - Wortspiel im Heb.: Das Wort kommt von heb. regel (»Fuß, Bein«), bed. meistens »(als Kundschafter) laufen« und kommt damit aus dem selben Wortfeld wie das »wandeln« in V. 2.Textkritik: Verleumdung auf seiner Zunge hat - W. nach BHS »Wer verleumdet auf seiner Zunge«; lies statt dem Verb rāgal (»verleumdet«) besser das Abstraktsubstantiv rāgāl (»Verleumdung«), da die Präposition `al (»auf«) vor »seine Zunge« nicht gut mit dem Verb zusammenpasst (so auch ZLH, S. 755; ähnlich Budde 1915, S. 182). Selbst Sir 5,14, dessen Autor sich wohl an unserem Vers orientiert, ändert daher dennoch die Präposition el (s. Sir 4,28) nach b. Zur Konstruktion mit Substantiv vgl. 2 Sam 23,2; Spr 31,26; vgl. auch Jes 53,9. So wohl auch MEN, OEB, SLT, TEX.</w:t>
      </w:r>
    </w:p>
  </w:footnote>
  <w:footnote w:id="1896">
    <w:p>
      <w:pPr>
        <w:pStyle w:val="Funote"/>
        <w:rPr/>
      </w:pPr>
      <w:r>
        <w:rPr>
          <w:rStyle w:val="Funotenzeichen"/>
        </w:rPr>
        <w:footnoteRef/>
      </w:r>
      <w:r>
        <w:rPr/>
        <w:tab/>
        <w:t>Textkritik: ([Und]) - Die Konjunktion findet sich nicht im Text der BHS, aber in wenigen Handschriften, LXX und Syr; nicht aber in VUL und Hier. Die Kolometrie des Psalms ist recht klar; in Teil 2 des Psalms wird sonst jede zweite(/dritte) Zeile eingeleitet durch eine Konjunktion – das (anders als in V. 1) nicht sehr gut bezeugte »und« lässt sich daher erklären als Angleichung an diese Struktur.</w:t>
      </w:r>
    </w:p>
  </w:footnote>
  <w:footnote w:id="1897">
    <w:p>
      <w:pPr>
        <w:pStyle w:val="Funote"/>
        <w:rPr/>
      </w:pPr>
      <w:r>
        <w:rPr>
          <w:rStyle w:val="Funotenzeichen"/>
        </w:rPr>
        <w:footnoteRef/>
      </w:r>
      <w:r>
        <w:rPr>
          <w:i/>
        </w:rPr>
        <w:tab/>
        <w:t>seinem Genossen Schaden</w:t>
      </w:r>
      <w:r>
        <w:rPr/>
        <w:t xml:space="preserve"> - Klangspiel: </w:t>
      </w:r>
      <w:r>
        <w:rPr>
          <w:i/>
        </w:rPr>
        <w:t>re`ehu ra`ah</w:t>
      </w:r>
      <w:r>
        <w:rPr/>
        <w:t>.</w:t>
      </w:r>
    </w:p>
  </w:footnote>
  <w:footnote w:id="1898">
    <w:p>
      <w:pPr>
        <w:pStyle w:val="Funote"/>
        <w:rPr/>
      </w:pPr>
      <w:r>
        <w:rPr>
          <w:rStyle w:val="Funotenzeichen"/>
        </w:rPr>
        <w:footnoteRef/>
      </w:r>
      <w:r>
        <w:rPr/>
        <w:tab/>
        <w:t>Schande nicht trug wegen seinem Nächsten (nicht lud auf seinen Nächsten?) - Nach der Alternativübersetzung übersetzen fast alle Üss. und Kommentare, was nach den Wortbedeutungen auch möglich wäre, doch ist naßah cherpah `al ein Idiom, das sonst stets »Schande tragen wegen« bedeutet (s. Ps 69,8; Jer 15,5; 31,19; Ez 36,14; Mic 6,16; auch Ps 89,51). Richtig daher Alter 2007, S. 44: »Nor bears reproach for his kin«; Ehrlich 1905, S. 26: »und auf sich keine Schmach ladet ob seines Verwandten«; R-S: »nicht Schmach ob der Verwandten auf sich nimmt«; Sarna 1993, S. 98: »or borne reproach for [his acts toward] his neighbor«. Was gemeint ist, ist unklar; sinnvoll aber Ehrlich: »Um eines Verwandten willen Schmach auf sich laden ist so viel, als einen gottlosen Verwandten vor der verdienten Strafe schützen, statt ihn ihr preiszugeben, und sich so derselben Schmach aussetzen« (ebenso R-S in den Erläuterungen): Seine Schmach mittragen. Zeile 2 spricht von den bösen Taten, die man selbst begeht, Zeile 3 von Komplizenschaft.Vv. 2f. sind chiastisch gebaut: 2ab sprechen vom rechten Handeln, 2c vom rechten Reden (im Herzen, also denken); 3a vom falschen Reden und 3bc vom falschen Handeln.</w:t>
      </w:r>
    </w:p>
  </w:footnote>
  <w:footnote w:id="1899">
    <w:p>
      <w:pPr>
        <w:pStyle w:val="Funote"/>
        <w:rPr/>
      </w:pPr>
      <w:r>
        <w:rPr>
          <w:rStyle w:val="Funotenzeichen"/>
        </w:rPr>
        <w:footnoteRef/>
      </w:r>
      <w:r>
        <w:rPr/>
        <w:tab/>
        <w:t>Also jenen, den in seinen Augen Gott vorworfen hat: den Sünder. Gut daher NGÜ: »Er wird den verachten, den Gott verworfen hat« (ähnlich GN, TEX); sinnvoll auch HER, LUT (leider nicht mehr LUT17): »der den Gottlosen verachtet«.tFN: Alternative 1 folgt dem Text der BHS (so auch die meisten Üss.); sowohl »verachtet« als auch »verworfen« sind hier Partizipien und man muss aus dem Kontext erschließen, was Subjekt und was Prädikat ist (so die meisten Üss.). Alternative 2 geht aufgrund derselben Tatsache davon aus, dass beide Wörter den selben syntaktischen Status haben, obwohl das eine am Zeilenbeginn, das andere am Zeilenende steht (ähnlich aber z.B. auch Jes 43,4), die Rede wäre hier wie in 1 Sam 15,17; 2 Sam 6,22; Ps 131; Jes 57,15; Lk 18,13f. von einer demütigen Haltung. So schon Tg und die alten jüd. Ausleger Saadja, Ibn Ezra und Kimchi; auch gerade die grammatisch sehr fähigen Kommentatoren Delitzsch 1894, S. 149; Ehrlich 1905, S. 27; Hitzig 1863, S. 77 und Zorell 1928, S. 19; auch ALB. Unsere Primärübersetzung geht mit Zuber 1986, S. 29 davon aus, dass das erste Partizip als finites Verb zu vokalisieren ist (ähnlich Dahood 1965, S. 84, der das zweite Verb, und Driver 1942, S. 152, der beide Partizipien als finite Verben vokalisieren will).</w:t>
      </w:r>
    </w:p>
  </w:footnote>
  <w:footnote w:id="1900">
    <w:p>
      <w:pPr>
        <w:pStyle w:val="Funote"/>
        <w:rPr/>
      </w:pPr>
      <w:r>
        <w:rPr>
          <w:rStyle w:val="Funotenzeichen"/>
        </w:rPr>
        <w:footnoteRef/>
      </w:r>
      <w:r>
        <w:rPr/>
        <w:tab/>
        <w:t>dem Genossen (zu schaden, zum Schaden?) - der also einen geleisteten Schwur nicht bricht. Textkritik: dem Genossen (zu schaden, zum Schaden?) - die Konsonanten lassen beide Deutungen zu. LXX, Sym, Syr und VUL vereindeutigen durch Übersetzung zur Primärübersetzung, MT, Tg, Hier, Aq, Theod durch Vokalisierung oder Übersetzung zur Alternativübersetzung. Diese Alternativübersetzung, nach der auf den ersten Blick jemand als gut bezeichnet wird, weil er etwas Böses schwört und dann auch dabei bleibt, ist entweder zu erklären als »etwas schwören, wovon sich dann herausstellt, dass es für jmdn selbst zum Schaden war, und dennoch dem Schwur treu bleiben« (HfA: »Jeder, der hält, was er geschworen hat, auch wenn ihm daraus Nachteile entstehen«; EÜ16: »Er wird nicht ändern, was er zum eigenen Schaden geschworen hat.« u.ö.) oder, sprachlich näherliegend, »der schwört, [sich] zu schädigen« (z.B. durch Fasten oder durch das Einhalten von Sabbatgeboten) und darin hart bleibt (so b.Mak 24a; Saadja; Kimchi, Ibn Ezra, Ehrlich 1905, S. 27: »schwor, sich etwas zu entsagen«).</w:t>
      </w:r>
    </w:p>
  </w:footnote>
  <w:footnote w:id="1901">
    <w:p>
      <w:pPr>
        <w:pStyle w:val="Funote"/>
        <w:rPr/>
      </w:pPr>
      <w:r>
        <w:rPr>
          <w:rStyle w:val="Funotenzeichen"/>
        </w:rPr>
        <w:footnoteRef/>
      </w:r>
      <w:r>
        <w:rPr/>
        <w:tab/>
        <w:t xml:space="preserve">Zum </w:t>
      </w:r>
      <w:r>
        <w:rPr>
          <w:i/>
        </w:rPr>
        <w:t>Zinsverbot</w:t>
      </w:r>
      <w:r>
        <w:rPr/>
        <w:t xml:space="preserve"> s. </w:t>
      </w:r>
      <w:hyperlink r:id="rId105">
        <w:r>
          <w:rPr>
            <w:rStyle w:val="Internetverknpfung"/>
          </w:rPr>
          <w:t>Ex 22,24</w:t>
        </w:r>
      </w:hyperlink>
      <w:r>
        <w:rPr/>
        <w:t xml:space="preserve">; </w:t>
      </w:r>
      <w:r>
        <w:fldChar w:fldCharType="begin"/>
      </w:r>
      <w:r>
        <w:rPr>
          <w:rStyle w:val="Internetverknpfung"/>
        </w:rPr>
        <w:instrText> HYPERLINK "../../../../../../../../../wiki/Levitikus_25" \l "s37"</w:instrText>
      </w:r>
      <w:r>
        <w:rPr>
          <w:rStyle w:val="Internetverknpfung"/>
        </w:rPr>
        <w:fldChar w:fldCharType="separate"/>
      </w:r>
      <w:r>
        <w:rPr>
          <w:rStyle w:val="Internetverknpfung"/>
        </w:rPr>
        <w:t>Lev 25,37</w:t>
      </w:r>
      <w:r>
        <w:rPr>
          <w:rStyle w:val="Internetverknpfung"/>
        </w:rPr>
        <w:fldChar w:fldCharType="end"/>
      </w:r>
      <w:r>
        <w:rPr/>
        <w:t xml:space="preserve">; </w:t>
      </w:r>
      <w:hyperlink r:id="rId106">
        <w:r>
          <w:rPr>
            <w:rStyle w:val="Internetverknpfung"/>
          </w:rPr>
          <w:t>Dtn 23,20f.</w:t>
        </w:r>
      </w:hyperlink>
      <w:r>
        <w:rPr/>
        <w:t xml:space="preserve">; </w:t>
      </w:r>
      <w:hyperlink r:id="rId107">
        <w:r>
          <w:rPr>
            <w:rStyle w:val="Internetverknpfung"/>
          </w:rPr>
          <w:t>Ez 18,8</w:t>
        </w:r>
      </w:hyperlink>
      <w:r>
        <w:rPr/>
        <w:t xml:space="preserve">, zur Bestechlichkeit </w:t>
      </w:r>
      <w:hyperlink r:id="rId108">
        <w:r>
          <w:rPr>
            <w:rStyle w:val="Internetverknpfung"/>
          </w:rPr>
          <w:t>Ex 23,8</w:t>
        </w:r>
      </w:hyperlink>
      <w:r>
        <w:rPr/>
        <w:t xml:space="preserve">; </w:t>
      </w:r>
      <w:r>
        <w:fldChar w:fldCharType="begin"/>
      </w:r>
      <w:r>
        <w:rPr>
          <w:rStyle w:val="Internetverknpfung"/>
        </w:rPr>
        <w:instrText> HYPERLINK "../../../../../../../../../wiki/Deuteronomium_16" \l "s19"</w:instrText>
      </w:r>
      <w:r>
        <w:rPr>
          <w:rStyle w:val="Internetverknpfung"/>
        </w:rPr>
        <w:fldChar w:fldCharType="separate"/>
      </w:r>
      <w:r>
        <w:rPr>
          <w:rStyle w:val="Internetverknpfung"/>
        </w:rPr>
        <w:t>Dtn 16,19</w:t>
      </w:r>
      <w:r>
        <w:rPr>
          <w:rStyle w:val="Internetverknpfung"/>
        </w:rPr>
        <w:fldChar w:fldCharType="end"/>
      </w:r>
      <w:r>
        <w:rPr/>
        <w:t xml:space="preserve">; </w:t>
      </w:r>
      <w:hyperlink r:id="rId109">
        <w:r>
          <w:rPr>
            <w:rStyle w:val="Internetverknpfung"/>
          </w:rPr>
          <w:t>27,25</w:t>
        </w:r>
      </w:hyperlink>
      <w:r>
        <w:rPr/>
        <w:t xml:space="preserve">; </w:t>
      </w:r>
      <w:r>
        <w:fldChar w:fldCharType="begin"/>
      </w:r>
      <w:r>
        <w:rPr>
          <w:rStyle w:val="Internetverknpfung"/>
        </w:rPr>
        <w:instrText> HYPERLINK "../../../../../../../../../wiki/Jesaja_1" \l "s23"</w:instrText>
      </w:r>
      <w:r>
        <w:rPr>
          <w:rStyle w:val="Internetverknpfung"/>
        </w:rPr>
        <w:fldChar w:fldCharType="separate"/>
      </w:r>
      <w:r>
        <w:rPr>
          <w:rStyle w:val="Internetverknpfung"/>
        </w:rPr>
        <w:t>Jes 1,23</w:t>
      </w:r>
      <w:r>
        <w:rPr>
          <w:rStyle w:val="Internetverknpfung"/>
        </w:rPr>
        <w:fldChar w:fldCharType="end"/>
      </w:r>
      <w:r>
        <w:rPr/>
        <w:t xml:space="preserve">; </w:t>
      </w:r>
      <w:r>
        <w:fldChar w:fldCharType="begin"/>
      </w:r>
      <w:r>
        <w:rPr>
          <w:rStyle w:val="Internetverknpfung"/>
        </w:rPr>
        <w:instrText> HYPERLINK "../../../../../../../../../wiki/Micha_3" \l "s11"</w:instrText>
      </w:r>
      <w:r>
        <w:rPr>
          <w:rStyle w:val="Internetverknpfung"/>
        </w:rPr>
        <w:fldChar w:fldCharType="separate"/>
      </w:r>
      <w:r>
        <w:rPr>
          <w:rStyle w:val="Internetverknpfung"/>
        </w:rPr>
        <w:t>Mi 3,11</w:t>
      </w:r>
      <w:r>
        <w:rPr>
          <w:rStyle w:val="Internetverknpfung"/>
        </w:rPr>
        <w:fldChar w:fldCharType="end"/>
      </w:r>
      <w:r>
        <w:rPr/>
        <w:t>.</w:t>
      </w:r>
    </w:p>
  </w:footnote>
  <w:footnote w:id="1902">
    <w:p>
      <w:pPr>
        <w:pStyle w:val="Funote"/>
        <w:rPr/>
      </w:pPr>
      <w:r>
        <w:rPr>
          <w:rStyle w:val="Funotenzeichen"/>
        </w:rPr>
        <w:footnoteRef/>
      </w:r>
      <w:r>
        <w:rPr/>
        <w:tab/>
        <w:t>Das „</w:t>
      </w:r>
      <w:r>
        <w:rPr>
          <w:i/>
        </w:rPr>
        <w:t>Wanken</w:t>
      </w:r>
      <w:r>
        <w:rPr/>
        <w:t xml:space="preserve">“ ist in der biblischen Poesie eine häufige Metapher für eine Gefährdung, aus der direkt Vernichtung und Tod folgt. Wer dagegen „nicht wankt“ ist sicher und geschützt und wird daher ewig bestehen; s. bes. gut </w:t>
      </w:r>
      <w:hyperlink r:id="rId110">
        <w:r>
          <w:rPr>
            <w:rStyle w:val="Internetverknpfung"/>
          </w:rPr>
          <w:t>Spr 10,30</w:t>
        </w:r>
      </w:hyperlink>
      <w:r>
        <w:rPr/>
        <w:t xml:space="preserve">; </w:t>
      </w:r>
      <w:r>
        <w:fldChar w:fldCharType="begin"/>
      </w:r>
      <w:r>
        <w:rPr>
          <w:rStyle w:val="Internetverknpfung"/>
        </w:rPr>
        <w:instrText> HYPERLINK "../../../../../../../../../wiki/Sprichw%C3%B6rter_12" \l "s3"</w:instrText>
      </w:r>
      <w:r>
        <w:rPr>
          <w:rStyle w:val="Internetverknpfung"/>
        </w:rPr>
        <w:fldChar w:fldCharType="separate"/>
      </w:r>
      <w:r>
        <w:rPr>
          <w:rStyle w:val="Internetverknpfung"/>
        </w:rPr>
        <w:t>12,3</w:t>
      </w:r>
      <w:r>
        <w:rPr>
          <w:rStyle w:val="Internetverknpfung"/>
        </w:rPr>
        <w:fldChar w:fldCharType="end"/>
      </w:r>
      <w:r>
        <w:rPr/>
        <w:t xml:space="preserve">; auch </w:t>
      </w:r>
      <w:r>
        <w:fldChar w:fldCharType="begin"/>
      </w:r>
      <w:r>
        <w:rPr>
          <w:rStyle w:val="Internetverknpfung"/>
        </w:rPr>
        <w:instrText> HYPERLINK "../../../../../../../../../wiki/Psalm_16" \l "s8"</w:instrText>
      </w:r>
      <w:r>
        <w:rPr>
          <w:rStyle w:val="Internetverknpfung"/>
        </w:rPr>
        <w:fldChar w:fldCharType="separate"/>
      </w:r>
      <w:r>
        <w:rPr>
          <w:rStyle w:val="Internetverknpfung"/>
        </w:rPr>
        <w:t>Ps 16,8</w:t>
      </w:r>
      <w:r>
        <w:rPr>
          <w:rStyle w:val="Internetverknpfung"/>
        </w:rPr>
        <w:fldChar w:fldCharType="end"/>
      </w:r>
      <w:r>
        <w:rPr/>
        <w:t xml:space="preserve">; </w:t>
      </w:r>
      <w:r>
        <w:fldChar w:fldCharType="begin"/>
      </w:r>
      <w:r>
        <w:rPr>
          <w:rStyle w:val="Internetverknpfung"/>
        </w:rPr>
        <w:instrText> HYPERLINK "../../../../../../../../../wiki/Psalm_30" \l "s7"</w:instrText>
      </w:r>
      <w:r>
        <w:rPr>
          <w:rStyle w:val="Internetverknpfung"/>
        </w:rPr>
        <w:fldChar w:fldCharType="separate"/>
      </w:r>
      <w:r>
        <w:rPr>
          <w:rStyle w:val="Internetverknpfung"/>
        </w:rPr>
        <w:t>30,7</w:t>
      </w:r>
      <w:r>
        <w:rPr>
          <w:rStyle w:val="Internetverknpfung"/>
        </w:rPr>
        <w:fldChar w:fldCharType="end"/>
      </w:r>
      <w:r>
        <w:rPr/>
        <w:t xml:space="preserve">; </w:t>
      </w:r>
      <w:hyperlink r:id="rId111">
        <w:r>
          <w:rPr>
            <w:rStyle w:val="Internetverknpfung"/>
          </w:rPr>
          <w:t>46,6f</w:t>
        </w:r>
      </w:hyperlink>
      <w:r>
        <w:rPr/>
        <w:t xml:space="preserve">; </w:t>
      </w:r>
      <w:hyperlink r:id="rId112">
        <w:r>
          <w:rPr>
            <w:rStyle w:val="Internetverknpfung"/>
          </w:rPr>
          <w:t>62,3.7</w:t>
        </w:r>
      </w:hyperlink>
      <w:r>
        <w:rPr/>
        <w:t xml:space="preserve">; </w:t>
      </w:r>
      <w:hyperlink r:id="rId113">
        <w:r>
          <w:rPr>
            <w:rStyle w:val="Internetverknpfung"/>
          </w:rPr>
          <w:t>112,6</w:t>
        </w:r>
      </w:hyperlink>
      <w:r>
        <w:rPr/>
        <w:t xml:space="preserve">; </w:t>
      </w:r>
      <w:hyperlink r:id="rId114">
        <w:r>
          <w:rPr>
            <w:rStyle w:val="Internetverknpfung"/>
          </w:rPr>
          <w:t>125,1</w:t>
        </w:r>
      </w:hyperlink>
      <w:r>
        <w:rPr/>
        <w:t>.</w:t>
      </w:r>
    </w:p>
  </w:footnote>
  <w:footnote w:id="1903">
    <w:p>
      <w:pPr>
        <w:pStyle w:val="Funote"/>
        <w:rPr/>
      </w:pPr>
      <w:r>
        <w:rPr>
          <w:rStyle w:val="Funotenzeichen"/>
        </w:rPr>
        <w:footnoteRef/>
      </w:r>
      <w:r>
        <w:rPr/>
        <w:tab/>
        <w:t>[In einigen Kommentaren wird der Sprecher wegen dieser Verse für einen Leviten gehalten: Die Leviten waren von der in Jos 13 erzählten Landverlosung ausgenommen; ihr „Los war JHWH“ (Num 18,20; Dtn 10,9). Dem scheint aber V. 6 zu widersprechen, wonach der Sprecher offenbar doch Land zugelost bekommen hat. Entweder ist der Dichter also Levit und spricht derart metaphorisch vom segensreichen Gott als „seinem zugelosten Land“, dass selbst V. 6 noch eine Metapher hierfür ist (dass dies möglich wäre, zeigt Dtn 32,9), oder er ist gerade kein Levit und V. 5 spricht mithilfe der Landlosmetapher davon, dass ihm ein segensreiches Leben beschieden wurde, weil JHWH es ihm beschieden hat, und zu diesem segensreichen Leben gehört tatsächlich, V. 6., auch liebliches Land.]</w:t>
      </w:r>
    </w:p>
  </w:footnote>
  <w:footnote w:id="1904">
    <w:p>
      <w:pPr>
        <w:pStyle w:val="Funote"/>
        <w:rPr/>
      </w:pPr>
      <w:r>
        <w:rPr>
          <w:rStyle w:val="Funotenzeichen"/>
        </w:rPr>
        <w:footnoteRef/>
      </w:r>
      <w:r>
        <w:rPr/>
        <w:tab/>
        <w:t>JHWH</w:t>
      </w:r>
    </w:p>
  </w:footnote>
  <w:footnote w:id="1905">
    <w:p>
      <w:pPr>
        <w:pStyle w:val="Funote"/>
        <w:rPr/>
      </w:pPr>
      <w:r>
        <w:rPr>
          <w:rStyle w:val="Funotenzeichen"/>
        </w:rPr>
        <w:footnoteRef/>
      </w:r>
      <w:r>
        <w:rPr/>
        <w:tab/>
        <w:t>[Status: Zuverlässig]</w:t>
      </w:r>
    </w:p>
  </w:footnote>
  <w:footnote w:id="1906">
    <w:p>
      <w:pPr>
        <w:pStyle w:val="Funote"/>
        <w:rPr/>
      </w:pPr>
      <w:r>
        <w:rPr>
          <w:rStyle w:val="Funotenzeichen"/>
        </w:rPr>
        <w:footnoteRef/>
      </w:r>
      <w:r>
        <w:rPr/>
        <w:tab/>
        <w:t>miktam - Unbekanntes Wort, das vermutlich als Überschrift die Gattung von Ps 16 und Ps 56-60 angeben soll; daher meist mit dem Platzhalterbegriff „Lied“ übersetzt oder einfach transkribiert; für die LF ist wohl ersteres zu empfehlen.Im Talmudhebräischen bedeutet das Wort „Dokument“, im Neuhebräischen „Epigramm“; LXX hält es für ein ebensolches, in Stein Gehauenes, und übersetzt mit steleographia („Inschrift“, so auch BB und viele Kommentare). In allen drei Fällen wird das Wort aber wohl eher mit miktab („Geschriebenes“) verbunden, das sich als Psalmüberschrift in Jes 38,9 findet (Pietersma 2010, S. 524f.), was man schön an Tg sieht: Dieser hält das Wort wohl für eine Mischbildung aus miktab und tam („aufrecht“) und übersetzt „aufrechte Inschrift“. Ähnlich verfahren auch Aq, Sym, VUL, Raschi und andernorts Tg, zerlegen das Wort in die Bestandteile mk und tm und übersetzen „vom demütigen und aufrechten David“. Dass das Wort unbekannt war, sieht man noch besser an Quinta und Sexta, die bloß transkribieren: machtham. Luther leitet das Wort ab von ketem („Gold“), daher die Üs. „gülden Kleinod“ in den Lutherbibeln. Das „Sühngedicht“ von B-R und Stier2 kommt von einer Ableitung von katam („bedecken“), das auch für das „Sühnen“ von Sünden stehen kann (so z.B. auch Sawyer 2011b, S. 294).</w:t>
      </w:r>
    </w:p>
  </w:footnote>
  <w:footnote w:id="1907">
    <w:p>
      <w:pPr>
        <w:pStyle w:val="Funote"/>
        <w:rPr/>
      </w:pPr>
      <w:r>
        <w:rPr>
          <w:rStyle w:val="Funotenzeichen"/>
        </w:rPr>
        <w:footnoteRef/>
      </w:r>
      <w:r>
        <w:rPr/>
        <w:tab/>
        <w:t>Textkritik: Vv. 2-4 gehören zu den umstrittensten Versen im Psalmenbuch überhaupt. Teilweise liegt das daran, dass sich hier eine Reihe textkritischer Probleme finden; zu diesen s. den Kommentar / Textkritik Vv. 2-4.Zu Vv. 2-4: Weiterhin sehr erschwert wird das Verständnis dieser Verse durch viele (oben im Text angezeigte oder in den folgenden FNn angegebene) Ambiguitäten, die zusammengenommen dazu führen, dass der Text auf ganz verschiedene Weisen verstanden werden könnte. Hinzu kommt v.a. noch die Problematik, dass das Hebräische keine Anführungs- und Schlusszeichen kennt und daher auch V. 3 oder sogar noch V. 4 als wörtl. Rede vom „ich sage/du sagst“ in V. 2 abhängen könnten; außerdem die Tatsache, dass V. 3b auch als unmarkierter Relativsatz verstanden werden kann. Neben der obigen (z.B. auch von ALB und MEN) gewählten Auflösung hier nur noch die drei häufigsten Alternativauflösungen, die grammatisch auch möglich sind: * [Ich (du) sagt(e) zu JHWH: „...“]. Was die Heiligen (Götter) betrifft, die im Lande sind – diese, (und) die Herrlichen –: Mein ganzes Wohlgefallen richtet sich auf sie. (z.B. LUT17) * [Ich (du) sagt(e) zu JHWH: „...“]. Was die Heiligen (Götter) betrifft, die im Lande sind – diese, (und) die Herrlichen, auf die sich mein ganzes Wohlgefallen richtet: [V. 4]. (z.B. Ridderbos 1972, S. 157) * [Ich (du) sagt(e) zu JHWH: „...“], zu den Heiligen (Götter), die im Land sind – [zu] diesen, (und) den Herrlichen, auf die sich mein ganzes Wohlgefallen richtet: „[V. 4]“ (z.B. Weber 2001, S. 96) Ein letztes und wichtiges Beispiel für eine andere Auflösung, die den Sinn der Verse völlig verändern würde, ist die von Craigie 1983, Franken 1954, Tournay 2001 und der Jerusalemer Bibel (vgl. wichtig auch Mannati 1972), die amart in V. 2a als 2. Pers. verstehen, die „Heiligen“ als Ausdruck für Götter und 2b als gegensätzliche Aussage von 3b: „Ihr sagt zu Jahwe: ‚Mein Herr! / Du bist mein Glück, über dich geht nichts!‘; zu den ‚Heiligen‘, denen, die da auf Erden sind: / ‚Ihr Prächtigen mein! Bei euch ist mein ganzes Gefallen!‘“. Der Psalmist zitierte dann also vorwurfsvoll synkretistische Gegner, die neben JHWH auch noch irdische „Götter“ anbeten. Will man bei der textkritischen Entscheidung zu 2b nicht mitgehen, wäre diese völlig andere Deutung wohl die nächstwahrscheinlichere; will man die „Heiligen“ nicht als Götter verstehen, wieder eine andere mit sehr unterschiedlicher Bedeutung usw. – Vv. 2-4 sind und bleiben sehr unsicher.</w:t>
      </w:r>
    </w:p>
  </w:footnote>
  <w:footnote w:id="1908">
    <w:p>
      <w:pPr>
        <w:pStyle w:val="Funote"/>
        <w:rPr/>
      </w:pPr>
      <w:r>
        <w:rPr>
          <w:rStyle w:val="Funotenzeichen"/>
        </w:rPr>
        <w:footnoteRef/>
      </w:r>
      <w:r>
        <w:rPr/>
        <w:tab/>
        <w:t>Heilige + die Herrlichen - Gemeint sind wohl die JHWH-Gläubigen, vgl. Ex 19,6; Dtn 33,3; Dan 7,21.25; Ps 34,10. Dass sie „im Land“ sind, ist nicht irrelevant: Im AT sind klar die Israeliten JHWHs auserwähltes Volk; auf denselben Gedanken wird auch mehrfach in Vv. 5f. angespielt. Dem Psalmisten geht es gut, weil JHWH ihm wohl tut, und er tut dies u.a. auch, weil er ganz Israelit ist, sich in aller Entschiedenheit an die „Heiligen im Land“ hält, Gottes auserwähltes Volk. Diese sind „herrlich“; ein Begriff, mit dem man im Heb. bes. würdige und mächtige Menschen bezeichnet (s. Ri 5,13: Die „Edlen des Volkes“ (//Helden); 2 Chr 23,20: „Die Obersten und die Herrlichen und die Führenden“; Ps 136,18: „herrliche Könige“); und herrlich sind sie wohl im Gegensatz zu „weltlichen Herrlichen“ qua „Heiligkeit“: Sie sind keine irdischen Würdenträger, sondern würdig durch ihr Verhältnis zu Gott: Weil JHWH sie „würdigt“.Sehr verbreitet ist aber auch das Verständnis dieser „herrlichen Heiligen“ als pagane Götter; man orientiert sich dabei an Ps 89,6-8; auch Dtn 33,2f.; Dan 4,5f..10.14f.20; Ijob 5,1; 15,15; Sach 14,5, wo aber meist vom himmlischen Hofstaat JHWHs die Rede ist.Gut Luther: „Aber zu denen will ich mich halten, die heilig und herrlich im Geist sind, wenn auch verachtet vor der Welt un vor jenen. Zu ihnen steht mein Wille, meine Sehnsucht. [...] Heilig ist, wie wir schon früher ausgeführt haben, das, was beiseit getan, verborgen und allein vor Gottes Augen vorhanden ist. Was heutzutage an Häusern, Kleidern und Klerus von den Päpsten heilig genannt wird, ist ein Profan-heiliges, womit man die Leute betrügt. Heilig aber, d.h. durch die Salbung des heiligen Geistes geheiligt, [... ist] überhaupt kein Mensch, außer wenn er durch den Glauben Gott anhangt [...].“ (Luther 1959, S. 213f.).</w:t>
      </w:r>
    </w:p>
  </w:footnote>
  <w:footnote w:id="1909">
    <w:p>
      <w:pPr>
        <w:pStyle w:val="Funote"/>
        <w:rPr/>
      </w:pPr>
      <w:r>
        <w:rPr>
          <w:rStyle w:val="Funotenzeichen"/>
        </w:rPr>
        <w:footnoteRef/>
      </w:r>
      <w:r>
        <w:rPr/>
        <w:tab/>
        <w:t>tFN: Diese, - W. übersetzt lauten die einzelnen Bestandteile dieser Zeile: »Zu den Heiligen (Was die Heiligen angeht) die im Land diese und die Herrlichen, ...«. Die meisten Üss. ziehen das »diese« mit der masoretischen Akzentuierung zum ersten Satz und teilen auf: »Die Heiligen, die im Land sind diese« und »und die Herrlichen«. »Diese« wäre dann ein sog. »resumptives Pronomen« (wie in Gen 9,3; Num 9,13; 35,31; Rut 4,15; Pred 4,2), das im Deutschen unübersetzt bleiben könnte. An dieser Satzposition stehen solche resumptiven Pronomen aber nur in negierten Sätzen (s. Gen 17,12; Num 17,5; Dtn 17,15; 20,15; 1 Kön 9,20; vgl. JM §158g). Allenfalls müsste man mit Peels 2000, S. 246 davon ausgehen, dass V. 3 bewusst als Gegen-Satz zu V. 2 formuliert ist und dies zusätzlich damit markiert werden soll, dass hemmah ungrammatisch gesetzt wird; andernfalls ist diese Auflösung nicht möglich – daher entgegen der masoret. Akzentuierung besser wie oben. Das Waw (»und«) vor den »Herrlichen« ist dann keine Konjunktion (»und«), sondern ein Waw explicativum (»Diese, d.h. die Herrlichen«).</w:t>
      </w:r>
    </w:p>
  </w:footnote>
  <w:footnote w:id="1910">
    <w:p>
      <w:pPr>
        <w:pStyle w:val="Funote"/>
        <w:rPr/>
      </w:pPr>
      <w:r>
        <w:rPr>
          <w:rStyle w:val="Funotenzeichen"/>
        </w:rPr>
        <w:footnoteRef/>
      </w:r>
      <w:r>
        <w:rPr/>
        <w:tab/>
        <w:t>Man beachte, wie sowohl in der Anrede an Gott als auch in der Anrede an die Heiligen drei Worte auf den Angesprochenen verweisen: Zu JHWH: „Mein Herr bist du, / mein Wohlergehen ist nicht außer durch dich'“; zu den Heiligen: „Diese, die Herrlichen, all mein Wohgefallen richtet sich auf sie.“</w:t>
      </w:r>
    </w:p>
  </w:footnote>
  <w:footnote w:id="1911">
    <w:p>
      <w:pPr>
        <w:pStyle w:val="Funote"/>
        <w:rPr/>
      </w:pPr>
      <w:r>
        <w:rPr>
          <w:rStyle w:val="Funotenzeichen"/>
        </w:rPr>
        <w:footnoteRef/>
      </w:r>
      <w:r>
        <w:rPr/>
        <w:tab/>
        <w:t>Es sollen sich vermehren die Schmerzen - nämlich so, wie Calvin gut erklärt: „Ungläubige, die falschen Göttern Geschenke opfern, verlieren nicht nur, was sie dafür ausgegeben haben, sondern laden auch noch Leid um Leid auf sich, weil es letzten Endes schlimm und ruinös für sie ausgehen wird.“ (Calvin 1845, S. 222)</w:t>
      </w:r>
    </w:p>
  </w:footnote>
  <w:footnote w:id="1912">
    <w:p>
      <w:pPr>
        <w:pStyle w:val="Funote"/>
        <w:rPr/>
      </w:pPr>
      <w:r>
        <w:rPr>
          <w:rStyle w:val="Funotenzeichen"/>
        </w:rPr>
        <w:footnoteRef/>
      </w:r>
      <w:r>
        <w:rPr/>
        <w:tab/>
        <w:t>nacheilen (?, umwerben?) - Textkritisch schwierige Stelle, s. den Kommentar / Textkritik Vv. 2-4. Beide häufig gewählte Alternativen sind problematisch; in die LF sollte es daher am besten unauffällig und freier übertragen werden, z.B. durch „die anderen Göttern huldigen“ (HER05), „die anderen Göttern dienen“ (ALB) o.Ä., denn dies ist hier sicher gemeint.</w:t>
      </w:r>
    </w:p>
  </w:footnote>
  <w:footnote w:id="1913">
    <w:p>
      <w:pPr>
        <w:pStyle w:val="Funote"/>
        <w:rPr/>
      </w:pPr>
      <w:r>
        <w:rPr>
          <w:rStyle w:val="Funotenzeichen"/>
        </w:rPr>
        <w:footnoteRef/>
      </w:r>
      <w:r>
        <w:rPr/>
        <w:tab/>
        <w:t>Blutlibationen (zur Alternative s. den Kommentar / Textkritik Vv. 2-4) sind im Alten Orient zwar selten, aber sicher belegt und waren nicht per se schlecht. Gemeint ist eine Opfer-„gattung“, bei der eine Flüssigkeit (häufig: vor einem oder auf einen Altar) als Opfergabe für eine Gottheit ausgegossen wurde. Für das alte Israel vgl. Ex 29,12; Lev 4,7.18.25.30.34; Dtn 12,27; auch Jes 66,3 setzt voraus, dass man auch „gutes“ Blut opfern konnte (z.B. Lammblut), ebenso Heb 10,4.10. Auch die Hethiter kannten Blutopfer: „Vor dem Altar [...] libiert er das Blut [der Schafe]“ (KUB 10, 11, 5-7, apud Liess 2004, S. 149); ebenso die Babylonier, etwa im Etana-Mythos: „Etana flehte täglich zu Schamasch: ‚Du hast verspeist, o Schamasch, das Fett meines Schafs, die Erde trank das Blut meines Lamms! Die Götter habe ich geehrt, die Geister respektiert.‘“ (COS 1.131,131-134).</w:t>
      </w:r>
    </w:p>
  </w:footnote>
  <w:footnote w:id="1914">
    <w:p>
      <w:pPr>
        <w:pStyle w:val="Funote"/>
        <w:rPr/>
      </w:pPr>
      <w:r>
        <w:rPr>
          <w:rStyle w:val="Funotenzeichen"/>
        </w:rPr>
        <w:footnoteRef/>
      </w:r>
      <w:r>
        <w:rPr/>
        <w:tab/>
        <w:t>Also nicht einmal ihre Namen aussprechen.</w:t>
      </w:r>
    </w:p>
  </w:footnote>
  <w:footnote w:id="1915">
    <w:p>
      <w:pPr>
        <w:pStyle w:val="Funote"/>
        <w:rPr/>
      </w:pPr>
      <w:r>
        <w:rPr>
          <w:rStyle w:val="Funotenzeichen"/>
        </w:rPr>
        <w:footnoteRef/>
      </w:r>
      <w:r>
        <w:rPr/>
        <w:tab/>
        <w:t>Teil, Zuteilung, Becher, Losstein - Vier Begriffe, von denen jeder für sich schon für das Schicksal eines Menschen stehen kann (zur Becher-metapher s. noch Ps 11,6; Ez 23,31-33; Hab 2,16; Mk 10,38; 14,36; wohl auch Ps 23,5.). Die sehr redundante Fügung „Teil meines Anteils“ findet sich denn auch sonst nicht mehr in der Bibel. Der heb. Text ist sogar noch redundanter als der dt., weil hier einige dt. Worte nur als Suffixe realisiert sind. In Zeile 1 stehen neben „JHWH“ nur drei „schicksalhafte“ Worte: „JHWH Teil meines-Anteils meines-Bechers“; ähnlich Zeile 2: „Zieher meines-Lossteins“. Drei dieser Begriffe („Teil“, „Anteil“ und „Losstein“) stehen häufig außerdem speziell für das Land, dass nach atl. Vorstellung durch das Schicksal jmds Eigen geworden ist (vgl. Jos 13 und Jos 14,2!; z.B. auch Ri 18,1). Dies schwingt auch hier mindestens mit, wie V. 6 deutlich macht (vgl. auch die deutliche Parallele in Dtn 32,9), könnte aber auch rein metaphorisch sein, wie es z.B. NGÜ versteht: „Was du mir für mein Leben geschenkt hast, ist wie ein fruchtbares Stück Land, das mich glücklich macht.“Zieher meines Lossteins ist w. „Halter meines Lossteins“; „der, der meinen Losstein hält“ (mit fast allen Exegeten vokalisiert als tomech statt tomich). Der Losstein hat seinen Platz in der Mantik, also der Disziplin, mit diversen Hilfsmitteln das Schicksal eines Menschen oder den Willen von Göttern zu erfragen – hier also mithilfe von Steinchen. Dass JHWH das Los des Beters „hält“, meint also wohl, dass er es wirft (R-S: „Du wirfst mein Los“) – und dabei sozusagen mogelt, weil durch das Losewerfen ja ohnehin der Wille Gottes herauskommen wird –, dass er also das Geschick des Beters lenkt (ZÜR31: „Du lenkst mein Geschick“) und zugleich „erhält“, was ihm durch dieses Los beschieden wird (Houston/Waltke 2010, S. 331). Schön FENZ: „Du hältst mein Los und wirfst es recht.“</w:t>
      </w:r>
    </w:p>
  </w:footnote>
  <w:footnote w:id="1916">
    <w:p>
      <w:pPr>
        <w:pStyle w:val="Funote"/>
        <w:rPr/>
      </w:pPr>
      <w:r>
        <w:rPr>
          <w:rStyle w:val="Funotenzeichen"/>
        </w:rPr>
        <w:footnoteRef/>
      </w:r>
      <w:r>
        <w:rPr>
          <w:i/>
        </w:rPr>
        <w:tab/>
        <w:t>Schnüre fielen mir auf Liebliches</w:t>
      </w:r>
      <w:r>
        <w:rPr/>
        <w:t xml:space="preserve"> - Auch V. 6a spricht noch von der Zulosung von Land (s. die vorige FN). Die „Schnüre“ sind die „Messschnüre“; bezeichnet werden also die Grenzen seines ererbten Landes (vgl. </w:t>
      </w:r>
      <w:r>
        <w:fldChar w:fldCharType="begin"/>
      </w:r>
      <w:r>
        <w:rPr>
          <w:rStyle w:val="Internetverknpfung"/>
        </w:rPr>
        <w:instrText> HYPERLINK "../../../../../../../../../wiki/Amos_7" \l "s17"</w:instrText>
      </w:r>
      <w:r>
        <w:rPr>
          <w:rStyle w:val="Internetverknpfung"/>
        </w:rPr>
        <w:fldChar w:fldCharType="separate"/>
      </w:r>
      <w:r>
        <w:rPr>
          <w:rStyle w:val="Internetverknpfung"/>
        </w:rPr>
        <w:t>Am 7,17</w:t>
      </w:r>
      <w:r>
        <w:rPr>
          <w:rStyle w:val="Internetverknpfung"/>
        </w:rPr>
        <w:fldChar w:fldCharType="end"/>
      </w:r>
      <w:r>
        <w:rPr/>
        <w:t xml:space="preserve">): Ihm wurde in der Tat liebliches [Land] beschieden (s. ähnlich noch </w:t>
      </w:r>
      <w:hyperlink r:id="rId115">
        <w:r>
          <w:rPr>
            <w:rStyle w:val="Internetverknpfung"/>
          </w:rPr>
          <w:t>Ps 78,55</w:t>
        </w:r>
      </w:hyperlink>
      <w:r>
        <w:rPr/>
        <w:t xml:space="preserve">; </w:t>
      </w:r>
      <w:hyperlink r:id="rId116">
        <w:r>
          <w:rPr>
            <w:rStyle w:val="Internetverknpfung"/>
          </w:rPr>
          <w:t>Mi 2,5</w:t>
        </w:r>
      </w:hyperlink>
      <w:r>
        <w:rPr/>
        <w:t>).</w:t>
      </w:r>
    </w:p>
  </w:footnote>
  <w:footnote w:id="1917">
    <w:p>
      <w:pPr>
        <w:pStyle w:val="Funote"/>
        <w:rPr/>
      </w:pPr>
      <w:r>
        <w:rPr>
          <w:rStyle w:val="Funotenzeichen"/>
        </w:rPr>
        <w:footnoteRef/>
      </w:r>
      <w:r>
        <w:rPr/>
        <w:tab/>
        <w:t>tFN: Heb. nachlat, also auf den ersten Blick „der Erbbesitz“. LXX, Syr, VUL aber übersetzen „mein Erbbesitz“. Wie in V. 2 (s. Kommentar / Textkritik Vv. 2-4) also wohl defektive Schreibung von nachlati („mein Erbbesitz“).</w:t>
      </w:r>
    </w:p>
  </w:footnote>
  <w:footnote w:id="1918">
    <w:p>
      <w:pPr>
        <w:pStyle w:val="Funote"/>
        <w:rPr/>
      </w:pPr>
      <w:r>
        <w:rPr>
          <w:rStyle w:val="Funotenzeichen"/>
        </w:rPr>
        <w:footnoteRef/>
      </w:r>
      <w:r>
        <w:rPr>
          <w:i/>
        </w:rPr>
        <w:tab/>
        <w:t>dünkt mich schön</w:t>
      </w:r>
      <w:r>
        <w:rPr/>
        <w:t xml:space="preserve"> - W. „ist schön auf mir“; die Präp. </w:t>
      </w:r>
      <w:r>
        <w:rPr>
          <w:i/>
        </w:rPr>
        <w:t>auf</w:t>
      </w:r>
      <w:r>
        <w:rPr/>
        <w:t xml:space="preserve"> wird hier wie oft verwendet, um anzuzeigen, dass etwas von jmdm </w:t>
      </w:r>
      <w:r>
        <w:rPr>
          <w:i/>
        </w:rPr>
        <w:t>empfunden</w:t>
      </w:r>
      <w:r>
        <w:rPr/>
        <w:t xml:space="preserve"> wird.</w:t>
      </w:r>
    </w:p>
  </w:footnote>
  <w:footnote w:id="1919">
    <w:p>
      <w:pPr>
        <w:pStyle w:val="Funote"/>
        <w:rPr/>
      </w:pPr>
      <w:r>
        <w:rPr>
          <w:rStyle w:val="Funotenzeichen"/>
        </w:rPr>
        <w:footnoteRef/>
      </w:r>
      <w:r>
        <w:rPr/>
        <w:tab/>
        <w:t>Nieren - In der atl. Anthropologie ist nicht das Herz Sitz der Emotionen, sondern die Nieren. Das Herz ist stattdessen Sitz des Verstandes. Geistige Qualen sind daher im AT „Nierenschmerzen“ (s. Ijob 19,27; Ps 73,21; Klg 3,13); dass Gott „Herz und Nieren prüft“ (Ps 7,10; 26,2; Jer 11,20; 17,10; 20,12), meint also im Dt., dass er „Herz und Verstand“ eines Menschen unter die Lupe nimmt. Ähnlich hier: Gott berät den Menschen, belehrt ihn also auf Verstandesebene, und selbst noch nachts „züchtigen ihn seine Nieren“, Gott belehrt ihn also z.B. durch Gewissensbisse auf emotionaler Ebene (NGÜ: „Selbst nachts weist mein Gewissen mich zurecht“; EÜ: „Auch mahnt mich mein Herz in der Nacht“).</w:t>
      </w:r>
    </w:p>
  </w:footnote>
  <w:footnote w:id="1920">
    <w:p>
      <w:pPr>
        <w:pStyle w:val="Funote"/>
        <w:rPr/>
      </w:pPr>
      <w:r>
        <w:rPr>
          <w:rStyle w:val="Funotenzeichen"/>
        </w:rPr>
        <w:footnoteRef/>
      </w:r>
      <w:r>
        <w:rPr/>
        <w:tab/>
        <w:t>Ich halte ihn mir also stets bewusst. Gut Saadja: „Und mit Überzeugung halte ich Gott mir stets gegenwärtig und da er so zu meiner Rechten steht, so werde ich gewiss nicht wanken.“</w:t>
      </w:r>
    </w:p>
  </w:footnote>
  <w:footnote w:id="1921">
    <w:p>
      <w:pPr>
        <w:pStyle w:val="Funote"/>
        <w:rPr/>
      </w:pPr>
      <w:r>
        <w:rPr>
          <w:rStyle w:val="Funotenzeichen"/>
        </w:rPr>
        <w:footnoteRef/>
      </w:r>
      <w:r>
        <w:rPr/>
        <w:tab/>
        <w:t>Das „Wanken“ ist in der biblischen Poesie eine häufige Metapher für eine Gefährdung, aus der direkt Vernichtung und Tod folgt. Wer dagegen „nicht wankt“ ist sicher und geschützt und wird daher ewig bestehen; s. bes. gut Spr 10,30; 12,3; Psalm 46,6f; 62,3.7; 112,6; 125,1.Schön ausgelegt hat diesen Vers auch Maimonides in seinem „Führer der Unschlüssigen“: „‚Lasst nicht zu, dass eure Geister vom Nachdenken über Gott ablassen!‘ Ebenso heißt es auch bei David, wenn er sagt: ‚Ich setze mir JHWH vor mich beständig; denn ist er zu meiner Rechten, werde ich nicht wanken‘, d.h., ich wende mein Denken nicht von Gott ab; er ist wie meine rechte Hand, die ich ja auch nicht auch nur für einen Moment vergesse, nur weil sie sich so einfach bewegen lässt, und aus diesem Grund werde ich nicht wanken, nicht fehlgehen.“ (III 51)</w:t>
      </w:r>
    </w:p>
  </w:footnote>
  <w:footnote w:id="1922">
    <w:p>
      <w:pPr>
        <w:pStyle w:val="Funote"/>
        <w:rPr/>
      </w:pPr>
      <w:r>
        <w:rPr>
          <w:rStyle w:val="Funotenzeichen"/>
        </w:rPr>
        <w:footnoteRef/>
      </w:r>
      <w:r>
        <w:rPr/>
        <w:tab/>
        <w:t>Textkritik: Leber (Herrlichkeit) - Beide Begriffe waren ursprünglich gleich geschrieben worden. Sehr nah verwandt ist diese Stelle mit Ps 30,13; 57,9; 108,2: An allen vier Stellen wird Gott entweder von der „Leber“ oer von der „Herrlichkeit“ des Beters besungen und die Masoreten haben sich jedes Mal für „Herrlichkeit“ entschieden. Dass es auch im Akkadischen stets entweder das Herz oder eben die „Leber“ ist, die sich freut und jubelt (vgl. Dhorme 1922, S. 509f.), spricht aber stark dafür, dass auch im Heb. md. an diesen vier Stellen „Leber“ zu lesen ist. Das Idiom der „jubelnden Leber“ gibt es auch im Gr. und Lat. nicht; LXX und VUL übersetzen daher sicher v.a. vom Verb geleitet mit „meine Zunge“. So und so würde man aber in die LF mit einer allgemeineren Formulierung übersetzen müssen, etwa „Ich kann aus tiefster Seele jubeln“ (NGÜ), „es jubelt mein Gemüt“ (PAT, R-S); „Drum bin ich voll Freude, mein Innerstes jubelt“ (STAD) o.Ä.</w:t>
      </w:r>
    </w:p>
  </w:footnote>
  <w:footnote w:id="1923">
    <w:p>
      <w:pPr>
        <w:pStyle w:val="Funote"/>
        <w:rPr/>
      </w:pPr>
      <w:r>
        <w:rPr>
          <w:rStyle w:val="Funotenzeichen"/>
        </w:rPr>
        <w:footnoteRef/>
      </w:r>
      <w:r>
        <w:rPr/>
        <w:tab/>
        <w:t>mein Fleisch wird wohnen in Sicherheit - gemeint ist sehr wahrscheinlich nicht der Zustand des Körpers zwischen Tod und leiblicher Auferstehung nach dem Tode, wie der Vers in der Geschichte seiner Auslegung häufig verstanden worden ist (s. die Anmerkungen), sondern die Zeile bedeutet das selbe wie V. 8b: Ich werde „nicht wanken“, nicht in Gefahr geraten, sondern vielmehr wird im Leben „mein Fleisch“, also ich, „sicher“ sein. Vgl. ähnlich Dtn 33,12.28; Ri 18,7; Ps 4,9; Jer 23,6; 33,16. Besagte alternative Ausdeutung findet sich aber bereits im babylonischen Talmud, wo der Vers daraufhin gedeutet wird, dass der Körper „Davids“ nicht aufgrund von Würmern und Maden verwesen wird (b.B.B. 17a; s. auch den Midrasch: „R. Jizchak hat gesagt: Daraus geht hervor, dass Wurm und Moder über sein Fleisch keine Gewalt gehabt hat.“). Ähnlich auch noch Augustinus: LXX übersetzt statt mit „in Sicherheit“ mit „in Hoffnung“ und Augustinus erklärt: „Mein Fleisch wird nicht zur Zerstörung verderben (=verwesen), sondern in der Hoffnung auf die Auferstehung schlafen.“; ebenso Thomas von Aquin und dann endgültig Bellarmin: „Mein Fleisch schläft im Tode zufrieden und sicher, in gewisser Erwartung einer schnellen Auferstehung“.</w:t>
      </w:r>
    </w:p>
  </w:footnote>
  <w:footnote w:id="1924">
    <w:p>
      <w:pPr>
        <w:pStyle w:val="Funote"/>
        <w:rPr/>
      </w:pPr>
      <w:r>
        <w:rPr>
          <w:rStyle w:val="Funotenzeichen"/>
        </w:rPr>
        <w:footnoteRef/>
      </w:r>
      <w:r>
        <w:rPr>
          <w:i/>
        </w:rPr>
        <w:tab/>
        <w:t>Scheol</w:t>
      </w:r>
      <w:r>
        <w:rPr/>
        <w:t xml:space="preserve"> - Der heb. Begriff für das Totenreich, vgl. </w:t>
      </w:r>
      <w:hyperlink r:id="rId117">
        <w:r>
          <w:rPr>
            <w:rStyle w:val="Internetverknpfung"/>
          </w:rPr>
          <w:t>Jenseitsvorstellungen (AT) (WiBiLex)</w:t>
        </w:r>
      </w:hyperlink>
      <w:r>
        <w:rPr/>
        <w:t>. Nicht zu übersetzen mit „Hölle“; die atl. Vorstellung des Scheols und die christliche Vorstellung der Hölle sind sehr unterschiedlich: Anders als letztere ist erstere kein Ort des Schreckens und der Schmerzen, an den nur Sünder kommen, sondern ähnlich wie der Hades ein Un-Ort des Schweigens und Vergessens, zu dem sämtliche Toten hinabsteigen.</w:t>
      </w:r>
    </w:p>
  </w:footnote>
  <w:footnote w:id="1925">
    <w:p>
      <w:pPr>
        <w:pStyle w:val="Funote"/>
        <w:rPr/>
      </w:pPr>
      <w:r>
        <w:rPr>
          <w:rStyle w:val="Funotenzeichen"/>
        </w:rPr>
        <w:footnoteRef/>
      </w:r>
      <w:r>
        <w:rPr>
          <w:i/>
        </w:rPr>
        <w:tab/>
        <w:t>wirst nicht erlauben, dass</w:t>
      </w:r>
      <w:r>
        <w:rPr/>
        <w:t xml:space="preserve"> - W. „wirst nicht geben deinen Frommen zu sehen...“; „X geben zu Y (Inf.)“ ist ein heb. Idiom mit der Bed. „X erlauben zu Y“ oder „zulassen, dass X Y“.</w:t>
      </w:r>
    </w:p>
  </w:footnote>
  <w:footnote w:id="1926">
    <w:p>
      <w:pPr>
        <w:pStyle w:val="Funote"/>
        <w:rPr/>
      </w:pPr>
      <w:r>
        <w:rPr>
          <w:rStyle w:val="Funotenzeichen"/>
        </w:rPr>
        <w:footnoteRef/>
      </w:r>
      <w:r>
        <w:rPr/>
        <w:tab/>
        <w:t>Textkritik: dein Frommer (deine Frommen) - im urspr. Konsonantentext als Plural geschrieben. Die Masoreten zeigen in ihrer Vokalisierung an, dass Singular zu lesen sei, und so übersetzen auch LXX, VUL, Hier, Syr. So daher auch alle Üss; eine seltene Ausnahme ist z.B. Buttenwieser 1938, S. 502: „Thou wilt not suffer thy faithful servants to see the engulfing pit.“</w:t>
      </w:r>
    </w:p>
  </w:footnote>
  <w:footnote w:id="1927">
    <w:p>
      <w:pPr>
        <w:pStyle w:val="Funote"/>
        <w:rPr/>
      </w:pPr>
      <w:r>
        <w:rPr>
          <w:rStyle w:val="Funotenzeichen"/>
        </w:rPr>
        <w:footnoteRef/>
      </w:r>
      <w:r>
        <w:rPr/>
        <w:tab/>
        <w:t>die Grube (die Verwesung) - Wegen der Auslegungsgeschichte des Psalms (s. die Anmerkungen) wurde oft recht heftig diskutiert, ob das Wort für „Grube“ auch „Verwesung“ bedeuten kann oder nicht. Das kann es, daher übersetzen hier so auch LXX, Tg, VUL, Syr, Hier. Eigentlich läuft aber ohnehin beides auf das selbe hinaus: Im atl. Totenkult wurde ein toter Körper zunächst in ein Gemeinschaftsgrab gelegt und dort verwesen gelassen. Nach der Verwesung sammelte man die Knochen ein und gab sie in eine Grube, in der sich auch die Knochen der bereits verblichenen Familienangehörigen befanden (vgl. z.B. Figueras 1984f., S. 46). Von dieser Grube ist hier wohl ursprünglich die Rede; ob mit „Grube“ oder „Verwesung“ zu übersetzen ist, ist also irrelevant: „Du wirst nicht erlauben, dass dein Frommer verwest / die Knochen deines verwesten Frommen in die Grube gegeben werden“ ist letztlich gleichbedeutend: „Du wirst nicht erlauben, dass dein Frommer stirbt“. Wichtig außerdem: Auch nach dem Tod hatte man nach antiker Vorstellung nicht einen bloßen Körper vor sich; erst im Verlaufe der Verwesung wanderte der Tote hinab in die Scheol (vgl. Leuenberger 2012, S. 327). 10a und 10b bedingen sich damit gegenseitig: Verwest jemand nicht, geht er auch nicht über in den Scheol. Will man auch schon 9b als Ausdruck für den Zustand eines Körpers nach dem Tod lesen, sind sogar 10a und 10b Ausfaltungen dieses Verses: „Mein Fleisch wird sicher wohnen“, also nicht zerstört werden, und das heißt dann zum einen, „du wirst meine Seele nicht dem Scheol überlassen“, und das ist möglich weil „du nicht erlauben wirst, dass dein Frommer verwest“.</w:t>
      </w:r>
    </w:p>
  </w:footnote>
  <w:footnote w:id="1928">
    <w:p>
      <w:pPr>
        <w:pStyle w:val="Funote"/>
        <w:rPr/>
      </w:pPr>
      <w:r>
        <w:rPr>
          <w:rStyle w:val="Funotenzeichen"/>
        </w:rPr>
        <w:footnoteRef/>
      </w:r>
      <w:r>
        <w:rPr/>
        <w:tab/>
        <w:t>Weg des Lebens (Weg zum Leben) - gelegentlich interpretiert als „Weg zum Leben“, nämlich aus dem Tode: Die Auferstehung (so schon Kimchi). Gemeint ist mit dem „Weg des Lebens“ aber ursprünglich sicher ein innerweltlicher Weg: Wer auf dem von Gott gewiesenen Weg geht, indem er sich an seine Weisung hält, wird recht und in Sicherheit wandeln und insofern ist dieser Weg dem Tod entgegengesetzt. S. bes. Spr 12,28; auch Spr 2,18f.; 5,5f.; 15,9f.; ähnlich 10,17; Ps 1. Zeilen 2 und 3 schildern dann Charakteristika dieses „Wegs des Lebens“ (richtig Thomas von Aquin: commemorat beneficium, „er erinnert an die Vorteile“; Liess 2004, S. 91: „V. 11a formuliert mit der zentralen Wendung [Weg des Lebens] den Leitgedanken, der in den beiden folgenden Kola entfaltet wird.“); gut daher nur mit Doppelpunkt und ohne „[ist]“ in Zz. 2 und 3 in ZÜR 1931. Schön wieder FENZ: „Den Weg des Lebens zeigst du mir: / zum Fest vor deinem Angesichte, / am Quell der Freuden und der Wonnen, / zu deiner Rechten ohne Ende.“ Die meisten Üss. sehen allerdings Zz. 2.3 als eigenständige Sätze.</w:t>
      </w:r>
    </w:p>
  </w:footnote>
  <w:footnote w:id="1929">
    <w:p>
      <w:pPr>
        <w:pStyle w:val="Funote"/>
        <w:rPr/>
      </w:pPr>
      <w:r>
        <w:rPr>
          <w:rStyle w:val="Funotenzeichen"/>
        </w:rPr>
        <w:footnoteRef/>
      </w:r>
      <w:r>
        <w:rPr/>
        <w:tab/>
        <w:t>Man beachte, wie hier V. 8 wieder aufgegriffen wird: Der Beter hält sich JHWH „beständig vor Augen“ und „hat JHWH zu seiner Rechten“. Dem korrespondieren die „Fülle der Freuden bei JHWHs Angesicht“ und die „Annehmlichkeiten in JHWHs Rechten“.</w:t>
      </w:r>
    </w:p>
  </w:footnote>
  <w:footnote w:id="1930">
    <w:p>
      <w:pPr>
        <w:pStyle w:val="Funote"/>
        <w:rPr/>
      </w:pPr>
      <w:r>
        <w:rPr>
          <w:rStyle w:val="Funotenzeichen"/>
        </w:rPr>
        <w:footnoteRef/>
      </w:r>
      <w:r>
        <w:rPr/>
        <w:tab/>
        <w:t>JHWH</w:t>
      </w:r>
    </w:p>
  </w:footnote>
  <w:footnote w:id="1931">
    <w:p>
      <w:pPr>
        <w:pStyle w:val="Funote"/>
        <w:rPr/>
      </w:pPr>
      <w:r>
        <w:rPr>
          <w:rStyle w:val="Funotenzeichen"/>
        </w:rPr>
        <w:footnoteRef/>
      </w:r>
      <w:r>
        <w:rPr/>
        <w:tab/>
        <w:t>200px</w:t>
      </w:r>
    </w:p>
  </w:footnote>
  <w:footnote w:id="1932">
    <w:p>
      <w:pPr>
        <w:pStyle w:val="Funote"/>
        <w:rPr/>
      </w:pPr>
      <w:r>
        <w:rPr>
          <w:rStyle w:val="Funotenzeichen"/>
        </w:rPr>
        <w:footnoteRef/>
      </w:r>
      <w:r>
        <w:rPr/>
        <w:tab/>
        <w:t>200px</w:t>
      </w:r>
    </w:p>
  </w:footnote>
  <w:footnote w:id="1933">
    <w:p>
      <w:pPr>
        <w:pStyle w:val="Funote"/>
        <w:rPr/>
      </w:pPr>
      <w:r>
        <w:rPr>
          <w:rStyle w:val="Funotenzeichen"/>
        </w:rPr>
        <w:footnoteRef/>
      </w:r>
      <w:r>
        <w:rPr/>
        <w:tab/>
        <w:t>[Status: Zuverlässig]</w:t>
      </w:r>
    </w:p>
  </w:footnote>
  <w:footnote w:id="1934">
    <w:p>
      <w:pPr>
        <w:pStyle w:val="Funote"/>
        <w:rPr/>
      </w:pPr>
      <w:r>
        <w:rPr>
          <w:rStyle w:val="Funotenzeichen"/>
        </w:rPr>
        <w:footnoteRef/>
      </w:r>
      <w:r>
        <w:rPr/>
        <w:tab/>
        <w:t>Textkritik: LXX hat „meine Gerechtigkeit“; so daher auch viele Exegeten. Doch ist dies sicher nur eine auslegende Übersetzung. Gemeint ist natürlich „meine“ Gerechtigkeit, doch hier wird JHWH allgemein aufgefordert, auf „Gerechtes“ zu lauschen. V. 1 bildet so eine kleine Inclusio mit V. 2: JHWH soll „Gerechtigkeit hören“ – und Gerechtigkeit spricht aus dem Mund des Beters, weil sein Beten geäußert wird von „Nicht-Trug-Lippen“ – und er soll „Aufrichtigkeit sehen“, nämlich wieder die des Beters, die JHWH erkennen würde, wenn er ihn denn prüfte (V. 3). „Gesehen werden“ soll gerade jene Aufrichtigkeit, die „nicht über meine Lippen kommen dürfte“ (V. 3); das „Hören“ in V. 1 bezieht sich also auf die Aufrichtigkeit des Beters im Beten, das „Schauen“ auf die unhörbare Aufrichtigkeit des Beters im Denken.</w:t>
      </w:r>
    </w:p>
  </w:footnote>
  <w:footnote w:id="1935">
    <w:p>
      <w:pPr>
        <w:pStyle w:val="Funote"/>
        <w:rPr/>
      </w:pPr>
      <w:r>
        <w:rPr>
          <w:rStyle w:val="Funotenzeichen"/>
        </w:rPr>
        <w:footnoteRef/>
      </w:r>
      <w:r>
        <w:rPr>
          <w:i/>
        </w:rPr>
        <w:tab/>
        <w:t>mein Recht ausgehen</w:t>
      </w:r>
      <w:r>
        <w:rPr/>
        <w:t xml:space="preserve"> - d.h. vor deinem Richterstuhl möge mir Gerechtigkeit widerfahren. Das heb. Verb kann auch „aufgehen“, „aufstrahlen“ bedeuten und wird oft von der Sonne gesagt, was gut zur Rechtfertigung am </w:t>
      </w:r>
      <w:r>
        <w:rPr>
          <w:i/>
        </w:rPr>
        <w:t>Morgen</w:t>
      </w:r>
      <w:r>
        <w:rPr/>
        <w:t xml:space="preserve"> in V. 15 passt (s. dort). </w:t>
      </w:r>
    </w:p>
  </w:footnote>
  <w:footnote w:id="1936">
    <w:p>
      <w:pPr>
        <w:pStyle w:val="Funote"/>
        <w:rPr/>
      </w:pPr>
      <w:r>
        <w:rPr>
          <w:rStyle w:val="Funotenzeichen"/>
        </w:rPr>
        <w:footnoteRef/>
      </w:r>
      <w:r>
        <w:rPr/>
        <w:tab/>
        <w:t>[mich (es)] - Objekt der Prüfung könnte hier entweder wieder das „Herz“ sein oder allgemein „ich“. Tg und Syr übersetzen einheitlich mit „ich“, was nicht im MT steht; vielleicht ist also sogar von Schreibern wegen der Buchstabengleichheit von „ich“ und dem Beginn von „bei Nacht“ das „ich“ übersehen worden: pqdt [lj] ljlh.</w:t>
      </w:r>
    </w:p>
  </w:footnote>
  <w:footnote w:id="1937">
    <w:p>
      <w:pPr>
        <w:pStyle w:val="Funote"/>
        <w:rPr/>
      </w:pPr>
      <w:r>
        <w:rPr>
          <w:rStyle w:val="Funotenzeichen"/>
        </w:rPr>
        <w:footnoteRef/>
      </w:r>
      <w:r>
        <w:rPr/>
        <w:tab/>
        <w:t>[selbst] - Fokuspartikeln wie „selbst“ werden im Heb. häufig auch dort nicht gesetzt, wo das Deutsche sie setzen muss. So wohl auch hier; der Gedanke ist vermutlich: Selbst Nachts, wenn ich am wenigsten auf eine Durchsuchung meiner Selbst vorbereitet bin, wirst du nichts finden (Schegg 1845, S. 166: „Denn du hast mein Herz geprüft, überrascht bei Nacht“).</w:t>
      </w:r>
    </w:p>
  </w:footnote>
  <w:footnote w:id="1938">
    <w:p>
      <w:pPr>
        <w:pStyle w:val="Funote"/>
        <w:rPr/>
      </w:pPr>
      <w:r>
        <w:rPr>
          <w:rStyle w:val="Funotenzeichen"/>
        </w:rPr>
        <w:footnoteRef/>
      </w:r>
      <w:r>
        <w:rPr/>
        <w:tab/>
        <w:t>probtest - W. „läutertest“; der Psalmist verwendet (wie z.B. auch Ijob 23,10) das Bild der Läuterprobe aus der Metallurgie, mit der durch das Schmelzen von Edelmetallen Beimengungen von anderen Stoffen gefunden und ausgeschieden werden können (NGÜ: „Du hast mich 'wie Metall im Feuer' geläutert“; StierPs: „schmelze mich aus!“). Der Fremdkörper, der in diesem Fall nicht gefunden wird, ist die „Schandtat“.Trikolon mit Klimax: Die drei Tests in V. 3 werden immer intensiver: Testen – bei Nacht prüfen – Läuterprobe durchführen.</w:t>
      </w:r>
    </w:p>
  </w:footnote>
  <w:footnote w:id="1939">
    <w:p>
      <w:pPr>
        <w:pStyle w:val="Funote"/>
        <w:rPr/>
      </w:pPr>
      <w:r>
        <w:rPr>
          <w:rStyle w:val="Funotenzeichen"/>
        </w:rPr>
        <w:footnoteRef/>
      </w:r>
      <w:r>
        <w:rPr/>
        <w:tab/>
        <w:t>Textkritik: Ränke an mir (Plan, Schandtat, ich habe geplant) - Beide Alternativen wären mit den selben Konsonanten geschrieben worden (zimati vs. zamoti); MT und die meisten dt. Üss. deuten als Variante 2, die meisten alten Üss. aber wie wir als Variante 1.</w:t>
      </w:r>
    </w:p>
  </w:footnote>
  <w:footnote w:id="1940">
    <w:p>
      <w:pPr>
        <w:pStyle w:val="Funote"/>
        <w:rPr/>
      </w:pPr>
      <w:r>
        <w:rPr>
          <w:rStyle w:val="Funotenzeichen"/>
        </w:rPr>
        <w:footnoteRef/>
      </w:r>
      <w:r>
        <w:rPr/>
        <w:tab/>
        <w:t>[die] nicht meinen Mund überschreiten dürfte - so gut als Relativsatz aufgelöst von Ehrlich 1905; Zorell 1928; R-S. Im Heb. sind die beiden Zeilen ganz parallel gebaut, was sich schwer ins Dt. übertragen lässt: „Nicht findest du Schandtat von mir, / nicht durfte [sie] überschreiten den Mund von mir.“Die meisten dt. Üss. lösen auf verschiedenste Weisen anders auf. W. übersetzt lautet MT: „nicht(s) wirst/sollst du finden ich habe geplant/mein Planen nicht(s) wird/soll überschreiten mein(en) Mund V. 4 Taten von Menschen“, was sich dann konstruieren lässt als: * Du wirst nichts finden; mein Planen wird nicht meinen Mund überschreiten, d.h. selbst, wenn ich Böses denke, kommt es mir nicht über die Lippen. (Delitzsch 1894; ALB) * Du wirst nichts finden; mein Planen wird nicht mein Mund überschreiten, d.h. ich denke nicht dies, spreche aber dann das. (Vaihinger 1856; ELB, GN, NeÜ) * Du wirst nichts finden; mein Planen soll nicht mein Mund überschreiten, d.h. ich will nicht unbedacht reden (BigS) * Du wirst nichts finden. Ich habe geplant: „Nichts [Böses] soll mir über die Lippen kommen.“ (deClaissé-Walford/Jacobson/Tanner 2014; EÜ16, LUT17 u.a.) * ... Mein Mund läuft nicht über bei dem Tun der Menschen (Kraus 1961; PAT) Die Übersetzung „Nie hat sich vergangen mein Mund“ (z.B. EÜ, H-R, ZÜR) schließlich geht fälschlicherweise davon aus, dass „überschreiten“ auch das Übertreten von Gesetzen meinen könne.</w:t>
      </w:r>
    </w:p>
  </w:footnote>
  <w:footnote w:id="1941">
    <w:p>
      <w:pPr>
        <w:pStyle w:val="Funote"/>
        <w:rPr/>
      </w:pPr>
      <w:r>
        <w:rPr>
          <w:rStyle w:val="Funotenzeichen"/>
        </w:rPr>
        <w:footnoteRef/>
      </w:r>
      <w:r>
        <w:rPr/>
        <w:tab/>
        <w:t>Z. 1 aufgelöst in Anlehnung an Köster 1837 („So oft die Menschen thun wider deiner Lippen Wort“, S. 40; auch Calvin berichtet, gelegentlich auf diese Auflösung gestoßen zu sein). Obwohl sie sich so selten findet, ist sie recht wahrscheinlich richtig: Nach den Wortsünden (V. 1) und den Gedankensünden (Vv. 2-3) werden nun in Vv. 4-5 noch die Tatsünden zurückgewiesen. Der Beter ist völlig unschuldig.Die meisten Üss. und Exegeten ziehen den Beginn der Zeile entweder zu V. 3 („Mein Mund quillt nicht über beim Tun des Menschen“) oder teilen noch häufiger diese Zeile auf in zwei Gliedsätze („Was das Tun des Menschen angeht: Beim Wort deiner Lippen...“, was dann aber schwerlich „gemäß dem Wort deiner Lippen“ hieße, wofür kidbar statt bidbar verwendet würde (so korrigieren den Text daher Bonkamp 1949 und Leveen 1961, S. 48).).Theoretisch möglich wäre allerdings die Auflösung „Was die Taten ders Menschen angeht: Durch das Wort deiner Lippen habe ich die Wege des Gebots geachtet“ (so BigS). Calvin kommentiert: „Suchen wir nach einer guten Richtlinie für unser Verhalten, wenn unsere Feinde uns dazu provozieren, ihnen Gleiches mit Gleichem zu vergelten, lasst uns am Beispiel des David lernen, über das Wort Gottes nachzudenken und unsere Augen darauf gerichtet zu halten! So nämlich wird unser Geist davon abgehalten, geblendet zu werden, und wir werden stets den Weg der Frevler meiden können, da Gott durch seine Gebote nicht nur unsere Affekte bändigt, sondern durch seine Versprechungen auch unsere Geduld befeuert.“ (Calvin 1845, S. 240).</w:t>
      </w:r>
    </w:p>
  </w:footnote>
  <w:footnote w:id="1942">
    <w:p>
      <w:pPr>
        <w:pStyle w:val="Funote"/>
        <w:rPr/>
      </w:pPr>
      <w:r>
        <w:rPr>
          <w:rStyle w:val="Funotenzeichen"/>
        </w:rPr>
        <w:footnoteRef/>
      </w:r>
      <w:r>
        <w:rPr/>
        <w:tab/>
        <w:t>tFN: Gebots (Gewalttätigen) - W. auf den ersten Blick „Ich habe geachtet die Wege des Gewalttätigen“, was dann oft erläutert wird als „achten, [um nicht darauf zu geraten]“. Doch dafür würde im Heb. nicht schamar („achten“), sondern schamar min („sich in Acht nehmen vor“) verwendet. Besser sollte man daher in Orientierung an arab. faraḍa („gebieten“) davon ausgehen, dass neben parits („Gewalttätiger“, von parats „überschreiten“) ein gleichlautendes Wort parits II („Gebot“, von parats II „gebieten“, das sich wohl auch in 1 Chr 13,2 und 2 Chr 31,5 findet, vgl. Kissane 1928, S. 90) existiert. Dieses Wort ist nicht allgemein anerkannt (und findet sich daher in DCH VI, S. 769; ZLH S. 668, nicht aber in Ges18 und KBL3), wird aber an unserer Stelle von vielen Exegeten und einigen dt. Üss. (EÜ (nicht mehr EÜ16), GUAR, H-R, HER05, PAT, StierPs) vertreten.</w:t>
      </w:r>
    </w:p>
  </w:footnote>
  <w:footnote w:id="1943">
    <w:p>
      <w:pPr>
        <w:pStyle w:val="Funote"/>
        <w:rPr/>
      </w:pPr>
      <w:r>
        <w:rPr>
          <w:rStyle w:val="Funotenzeichen"/>
        </w:rPr>
        <w:footnoteRef/>
      </w:r>
      <w:r>
        <w:rPr>
          <w:i/>
        </w:rPr>
        <w:tab/>
        <w:t>Wege des Gebots</w:t>
      </w:r>
      <w:r>
        <w:rPr/>
        <w:t xml:space="preserve">, </w:t>
      </w:r>
      <w:r>
        <w:rPr>
          <w:i/>
        </w:rPr>
        <w:t>meine Schritte</w:t>
      </w:r>
      <w:r>
        <w:rPr/>
        <w:t xml:space="preserve">, </w:t>
      </w:r>
      <w:r>
        <w:rPr>
          <w:i/>
        </w:rPr>
        <w:t>deine Spuren</w:t>
      </w:r>
      <w:r>
        <w:rPr/>
        <w:t xml:space="preserve">, </w:t>
      </w:r>
      <w:r>
        <w:rPr>
          <w:i/>
        </w:rPr>
        <w:t>meine Tritte</w:t>
      </w:r>
      <w:r>
        <w:rPr/>
        <w:t xml:space="preserve"> - Der Psalmist greift hier zurück auf die häufige Metapher des „rechten Weges“: Indem Gott den Menschen seine Gebote gab, wies er ihnen einen „Weg“. Beschreitet man diesen, ist man auf dem „rechten Weg“ und wird dafür von Gott gesegnet sein (s. z.B. </w:t>
      </w:r>
      <w:r>
        <w:fldChar w:fldCharType="begin"/>
      </w:r>
      <w:r>
        <w:rPr>
          <w:rStyle w:val="Internetverknpfung"/>
        </w:rPr>
        <w:instrText> HYPERLINK "../../../../../../../../../wiki/Sprichw%C3%B6rter_2" \l "s18"</w:instrText>
      </w:r>
      <w:r>
        <w:rPr>
          <w:rStyle w:val="Internetverknpfung"/>
        </w:rPr>
        <w:fldChar w:fldCharType="separate"/>
      </w:r>
      <w:r>
        <w:rPr>
          <w:rStyle w:val="Internetverknpfung"/>
        </w:rPr>
        <w:t>Spr 2,18f.</w:t>
      </w:r>
      <w:r>
        <w:rPr>
          <w:rStyle w:val="Internetverknpfung"/>
        </w:rPr>
        <w:fldChar w:fldCharType="end"/>
      </w:r>
      <w:r>
        <w:rPr/>
        <w:t xml:space="preserve">; </w:t>
      </w:r>
      <w:hyperlink r:id="rId118">
        <w:r>
          <w:rPr>
            <w:rStyle w:val="Internetverknpfung"/>
          </w:rPr>
          <w:t>5,5f.</w:t>
        </w:r>
      </w:hyperlink>
      <w:r>
        <w:rPr/>
        <w:t xml:space="preserve">; </w:t>
      </w:r>
      <w:r>
        <w:fldChar w:fldCharType="begin"/>
      </w:r>
      <w:r>
        <w:rPr>
          <w:rStyle w:val="Internetverknpfung"/>
        </w:rPr>
        <w:instrText> HYPERLINK "../../../../../../../../../wiki/Sprichw%C3%B6rter_12" \l "s28"</w:instrText>
      </w:r>
      <w:r>
        <w:rPr>
          <w:rStyle w:val="Internetverknpfung"/>
        </w:rPr>
        <w:fldChar w:fldCharType="separate"/>
      </w:r>
      <w:r>
        <w:rPr>
          <w:rStyle w:val="Internetverknpfung"/>
        </w:rPr>
        <w:t>12,28</w:t>
      </w:r>
      <w:r>
        <w:rPr>
          <w:rStyle w:val="Internetverknpfung"/>
        </w:rPr>
        <w:fldChar w:fldCharType="end"/>
      </w:r>
      <w:r>
        <w:rPr/>
        <w:t xml:space="preserve">; </w:t>
      </w:r>
      <w:hyperlink r:id="rId119">
        <w:r>
          <w:rPr>
            <w:rStyle w:val="Internetverknpfung"/>
          </w:rPr>
          <w:t>15,9f.</w:t>
        </w:r>
      </w:hyperlink>
      <w:r>
        <w:rPr/>
        <w:t>); „der Frevler Weg jedoch vergeht“ (</w:t>
      </w:r>
      <w:r>
        <w:fldChar w:fldCharType="begin"/>
      </w:r>
      <w:r>
        <w:rPr>
          <w:rStyle w:val="Internetverknpfung"/>
        </w:rPr>
        <w:instrText> HYPERLINK "../../../../../../../../../wiki/Psalm_1" \l "s6"</w:instrText>
      </w:r>
      <w:r>
        <w:rPr>
          <w:rStyle w:val="Internetverknpfung"/>
        </w:rPr>
        <w:fldChar w:fldCharType="separate"/>
      </w:r>
      <w:r>
        <w:rPr>
          <w:rStyle w:val="Internetverknpfung"/>
        </w:rPr>
        <w:t>Ps 1,6</w:t>
      </w:r>
      <w:r>
        <w:rPr>
          <w:rStyle w:val="Internetverknpfung"/>
        </w:rPr>
        <w:fldChar w:fldCharType="end"/>
      </w:r>
      <w:r>
        <w:rPr/>
        <w:t>).</w:t>
      </w:r>
    </w:p>
  </w:footnote>
  <w:footnote w:id="1944">
    <w:p>
      <w:pPr>
        <w:pStyle w:val="Funote"/>
        <w:rPr/>
      </w:pPr>
      <w:r>
        <w:rPr>
          <w:rStyle w:val="Funotenzeichen"/>
        </w:rPr>
        <w:footnoteRef/>
      </w:r>
      <w:r>
        <w:rPr/>
        <w:tab/>
        <w:t>Textkritik: MT hat hapleh („scheide/erweise“), so auch Tg. Einige MT-Handschriften aber haben haple´ („Wirke wunderbar“), was durch LXX, Syr, VUL und Hier gestützt wird. Die Fügung palah chesed findet sich sonst nicht mehr in der Bibel (allerdings das ähnliche palah chasid, „er hat geschieden seinen Frommen“ in Ps 4,4, wo aber ebenfalls pala´ zu lesen ist), pala´ chesed aber in Ps 31,22 und beide Wörter in engem Zhg. auch in Ps 106,7 und 107,8.15.21.31. Syr hat darüber hinaus offenbar sogar an Ps 4,4 gedacht und statt chesed chasid übersetzt, dennoch aber nicht palah, sondern pala´. Etwas wahrscheinlicher ist daher „wirke wunderbar“; letztlich trägt es sich aber nicht wesentlich auf die Bedeutung des Textes aus.</w:t>
      </w:r>
    </w:p>
  </w:footnote>
  <w:footnote w:id="1945">
    <w:p>
      <w:pPr>
        <w:pStyle w:val="Funote"/>
        <w:rPr/>
      </w:pPr>
      <w:r>
        <w:rPr>
          <w:rStyle w:val="Funotenzeichen"/>
        </w:rPr>
        <w:footnoteRef/>
      </w:r>
      <w:r>
        <w:rPr/>
        <w:tab/>
        <w:t>Textkritik: [zu dir] steht nicht in MT, Tg, Hier, aber in LXX, Syr, VUL, Saadja. Houbigant 1777 und BHS erachten es daher als ursprünglich, doch ist es wohl eher Angleichung an „deine Huld“ und „deine Hand“.</w:t>
      </w:r>
    </w:p>
  </w:footnote>
  <w:footnote w:id="1946">
    <w:p>
      <w:pPr>
        <w:pStyle w:val="Funote"/>
        <w:rPr/>
      </w:pPr>
      <w:r>
        <w:rPr>
          <w:rStyle w:val="Funotenzeichen"/>
        </w:rPr>
        <w:footnoteRef/>
      </w:r>
      <w:r>
        <w:rPr/>
        <w:tab/>
        <w:t>wider deine rechte Hand - der ungewöhnliche Ausdruck (für gewöhnlich erhebt man sich nicht gegen Hände, sondern gegen Menschen und Götter) soll wohl die Formulierung der ausgleichenden Gerechtigkeit in Vv. 13f. vorbereiten, wo Gott sich erheben und seine Hand als Waffe gegen Menschen einsetzen soll: Diese sind „sich Erhebende gegen seine rechte Hand“; sie haben es also geradezu herausgefordert.Weil der Ausdruck so ungewöhnlich ist, haben andere vorgeschlagen, dass die letzte Phrase nicht auf die „sich Erhebenden“ zu beziehen sei, sondern auf die „sich Flüchtenden“ („die sich zu deiner rechten Hand flüchten“), was noch recht ungezwungen möglich ist (z.B. HER05, EÜ 16, SLT), auf „[oh] Retter“ („oh Retter durch deine rechte Hand“; so z.B. TAF) oder gar auf „Wirke wunderbar deine Huld“ („... mit deiner rechten Hand“; so offenbar B-R). Mosca 2011 hat sogar vorgeschlagen, dass die Phrase bewusst ans Ende des Verses gestellt wurde, um sich gleichzeitig in der Tat auf all diese Phrasen beziehen zu können:„Erweise deine Huld mit,[oh] Retter durch,von sich Flüchtenden zu,vor sich Erhebenden gegendein(e) rechte(n) Hand!“</w:t>
      </w:r>
    </w:p>
  </w:footnote>
  <w:footnote w:id="1947">
    <w:p>
      <w:pPr>
        <w:pStyle w:val="Funote"/>
        <w:rPr/>
      </w:pPr>
      <w:r>
        <w:rPr>
          <w:rStyle w:val="Funotenzeichen"/>
        </w:rPr>
        <w:footnoteRef/>
      </w:r>
      <w:r>
        <w:rPr/>
        <w:tab/>
        <w:t>ein Augenmännlein (die Pupille) des Augenmädchens (, die Pupille) - Zwei (auch: in vielen Sprachen, z.B. Lat: pupus und pupilla) verbreitete Umschreibungen der Pupille folgen hier aufeinander. Die erste ist w. „das Männchen“, die zweite w. „die Tochter des Auges“. Entweder steht die „Tochter des Auges“ in Apposition zum „Männchen“ (also: „das Männchen, [d.h.] die Tochter des Auges“) oder in einem Constructus-verhältnis mit ihm (also der heb. Entsprechung des Genitivs: „das Männchen der Tochter des Auges“). Alle uns zugänglichen Auslegungen deuten als Apposition, aber es ist doch zu fragen, was der Mehrwert dieser Apposition sein soll, wenn doch beide Glieder sonst stets alleine stehen („Männchen (des Auges)“: Dnt 32,15; Spr 7,2; Sir 3,25; 17,22; „Tochter des Auges“: Klg 2,18; Sach 2,12). Vielleicht findet sich hier also ein schönes Bild: Die beiden Bezeichnungen rühren wohl daher, dass man sich als kleines „Männchen“ in der Pupille des Anderen spiegelt, wenn man ihm in die Augen sieht (Kimchi: „Es heißt ´ischon, weil man darin das Bild eines Menschen sieht.“). Dies war bereits in der Antike auffällig, vgl. Platon, Alkibiades 132e-133a („Hast du beobachtet, dass von dem, der in ein Auge blickt, das Gesicht im Auge gegenüber erscheint wie in einem Spiegel – wir nennen dies Pupille...?“); Plinius, Naturalis Historia XI 53 („So sehr gleicht das Auge einem Spiegel, dass, so klein die Pupille auch ist, sie das ganze Bild eines Menschen widergibt. Dies ist der Grund, warum die meisten Vögel in den Händen von Menschen am ehesten nach den Augen picken, weil sie ihr Bild in ihnen erkennen.“; Stellen nach Hunziker-Rodewald 2009b, S. 138). Hierauf spielt wohl das „Behüten wie jmds Augenmännlein/-mädchen“ (Dtn 32,15; Spr 7,2; Sir 17,22; ähnlich Sach 2,12) an: Nicht, dass man jmdn/etw. so behüten soll wie etwas sehr Verletzliches (Thomas von Aquin: „Die Pupille des Auges wird mit Sorgfalt bewacht, weil nichts, das sie verletzten könnte, erlaubt ist, sich ihr zu nähern.“), sondern so aufmerksam, dass man ihm mit dem Gesicht so nahe ist, dass der/das Behütete sich im Auge des Hüteres widerspiegelt (ebd., S. 140: „Garde-moi comme [...] une image pupilline!“). Deuten wir, weil wie gesagt der Mehrwert der Apposition „wie ein Männchen, eine Tochter des Auges“ nicht einzusehen ist, die Fügung als Constructus-verbindung, geht diese Abwandlung des Bildes vielleicht sogar noch einen Schritt weiter: Gott soll den Beter nicht nur so sehr behüten, dass sich dessen Bild in seinen Augen widerspiegelt, sondern sogar so sehr, dass dieses Spiegelbild sozusagen der „Angetraute“ seiner Pupille ist: „Lass mich das Augenmännlein deines Augenmädchens sein!“, „Erbaue meinem Bild ein Heim in deinem Auge!“</w:t>
      </w:r>
    </w:p>
  </w:footnote>
  <w:footnote w:id="1948">
    <w:p>
      <w:pPr>
        <w:pStyle w:val="Funote"/>
        <w:rPr/>
      </w:pPr>
      <w:r>
        <w:rPr>
          <w:rStyle w:val="Funotenzeichen"/>
        </w:rPr>
        <w:footnoteRef/>
      </w:r>
      <w:r>
        <w:rPr/>
        <w:tab/>
        <w:t>mini|x200px|rechts|Köng Chephren wird schützend von einem Horusfalken beschattet. (c) IPIAO I 120Eine weitere schöne Kompositmetapher. Sowohl der „Schatten“ als auch die „Flügel“ allein können als Metaphern für das schützende und heilsame Handeln Gottes stehen (s. Ps 121,5f und Ps 61,5; 91,4). Im Ausdruck „Schatten der Flügel“ (hier; Ps 36,8; 57,2; 63,8) werden beide Bilder kombiniert. Übrigens legt Ps 91,4 nahe, dass bei diesem Bild weniger an einen Adler oder Falken zu denken ist, der schützend über jemandem schwebt (wie öfter in Ägypten, s. rechts und vgl. entfernt Jes 31,5, wo jedoch Vögelchen fliegen und nicht Adlern beschirmen), sondern an eine Henne, die ihre Küken unter ihren Flügeln birgt (s. Mt 23,37).Eine schöne geistliche Auslegung stammt von Thomas von Aquin: „Die beiden Flügel sind die beiden Arme, die Christus am Kreuz ausbreitete, s. Dtn 32: ‚Er breitete seine Flügel aus, nahm sie auf und trug sie auf seinen Schultern‘.“</w:t>
      </w:r>
    </w:p>
  </w:footnote>
  <w:footnote w:id="1949">
    <w:p>
      <w:pPr>
        <w:pStyle w:val="Funote"/>
        <w:rPr/>
      </w:pPr>
      <w:r>
        <w:rPr>
          <w:rStyle w:val="Funotenzeichen"/>
        </w:rPr>
        <w:footnoteRef/>
      </w:r>
      <w:r>
        <w:rPr/>
        <w:tab/>
        <w:t>{wollen} - T-Shift: Heb. Stilmittel, das sich nicht ins Dt. übersetzen lässt. In Z. 1 wird das „Tempus“ Qatal verwendet, in Z. 2 dagegen Yiqtol, womit für gewöhnlich die Zukunft oder Modalität markiert wird. Hier ist der Tempuswechsel aber bedeutungslos und rein stilistisch.</w:t>
      </w:r>
    </w:p>
  </w:footnote>
  <w:footnote w:id="1950">
    <w:p>
      <w:pPr>
        <w:pStyle w:val="Funote"/>
        <w:rPr/>
      </w:pPr>
      <w:r>
        <w:rPr>
          <w:rStyle w:val="Funotenzeichen"/>
        </w:rPr>
        <w:footnoteRef/>
      </w:r>
      <w:r>
        <w:rPr/>
        <w:tab/>
        <w:t>Textkritik: [Mit] Fett verschließen sie [ihr Herz] - Heb. chlbmw sgrw, „Ihr Fett verschließen sie“, weshalb einige jüdische Ausleger den „Mund“ aus Z. 2 noch zu Z. 1 ziehen: „Mit Fett verschließen sie ihren Mund [so dass sie nur noch stolz daherreden können]“. Lies aber besser mit vielen Exegeten und allen dt. Üss. in Orientierung an Ps 119,70 (vgl. auch Jes 6,10) und an 1 Joh 3,17 chlb lbmw sgrw.Fett zu sein ist in der Bibel häufig sehr negativ konnotiert: „Fette Menschen“ glauben, Gott nicht mehr nötig zu haben, und wenden sich anderen Göttern zu (Dtn 31,20; 31,15; Ijob 15,25-27; Hos 13,6) oder sind allgemein bösartig (Ps 119,70; Jer 5,28) und hybrid (Ps 73,6-8), was auch hier aus Z. 2 spricht. Frei und sehr richtig FENZ: „Steine in der Brust statt Herzen / und den blanken Hohn im Munde...“</w:t>
      </w:r>
    </w:p>
  </w:footnote>
  <w:footnote w:id="1951">
    <w:p>
      <w:pPr>
        <w:pStyle w:val="Funote"/>
        <w:rPr/>
      </w:pPr>
      <w:r>
        <w:rPr>
          <w:rStyle w:val="Funotenzeichen"/>
        </w:rPr>
        <w:footnoteRef/>
      </w:r>
      <w:r>
        <w:rPr>
          <w:i/>
        </w:rPr>
        <w:tab/>
        <w:t>ihrem Mund</w:t>
      </w:r>
      <w:r>
        <w:rPr/>
        <w:t xml:space="preserve"> - Wortspiel: „ihr Mund“ ist im Heb. </w:t>
      </w:r>
      <w:r>
        <w:rPr>
          <w:i/>
        </w:rPr>
        <w:t>pimo</w:t>
      </w:r>
      <w:r>
        <w:rPr/>
        <w:t xml:space="preserve"> und klingt damit sehr ähnlich wie das Wort für „Speck“, </w:t>
      </w:r>
      <w:r>
        <w:rPr>
          <w:i/>
        </w:rPr>
        <w:t>pimah</w:t>
      </w:r>
      <w:r>
        <w:rPr/>
        <w:t xml:space="preserve"> (s. </w:t>
      </w:r>
      <w:hyperlink r:id="rId120">
        <w:r>
          <w:rPr>
            <w:rStyle w:val="Internetverknpfung"/>
          </w:rPr>
          <w:t>Ijob 15,27</w:t>
        </w:r>
      </w:hyperlink>
      <w:r>
        <w:rPr/>
        <w:t>).</w:t>
      </w:r>
    </w:p>
  </w:footnote>
  <w:footnote w:id="1952">
    <w:p>
      <w:pPr>
        <w:pStyle w:val="Funote"/>
        <w:rPr/>
      </w:pPr>
      <w:r>
        <w:rPr>
          <w:rStyle w:val="Funotenzeichen"/>
        </w:rPr>
        <w:footnoteRef/>
      </w:r>
      <w:r>
        <w:rPr/>
        <w:tab/>
        <w:t>Textkritik: Sie verfolgen mich (unsere Schritte, sie warfen mich hinaus, sie tadelten mich) - MT hat ´aschurenu („unsere Schritte“); ähnlich Tg. Eine MT-Handschrift hat aber ´aschruni; Syr, Sym („sie priesen mich“) und Hier („sie marschierten wider mich“) lasen ´ischruni, 11QPsc, LXX und VUL („sie warfen mich hinaus“) ´aschduni; dass das ursprüngliche Wort auf -uni endete, ist also recht sicher. ´aschduni wäre aramäisch; vorzuziehen ist daher klar ´ischruni (vgl. ähnlich Jes 1,17). So auch BB, GN, NL, ZÜR; die meisten Üss. folgen aber MT („Auf Schritt und Tritt haben sie mich umzingelt“).</w:t>
      </w:r>
    </w:p>
  </w:footnote>
  <w:footnote w:id="1953">
    <w:p>
      <w:pPr>
        <w:pStyle w:val="Funote"/>
        <w:rPr/>
      </w:pPr>
      <w:r>
        <w:rPr>
          <w:rStyle w:val="Funotenzeichen"/>
        </w:rPr>
        <w:footnoteRef/>
      </w:r>
      <w:r>
        <w:rPr/>
        <w:tab/>
        <w:t>Textkritik: Sie sinnen gegen mich (sein Aussehen ist wie das eines) - Heb. dimjono („Sein Aussehen“). Lies wohl mit BHS; Graetz 1893, S. 28; Nötscher 1959, S. 40 und ähnlich Driver 1942, S. 152 dimmuni, „sie sinnen gegen mich“ (vgl. 2 Sam 21,5). Das Wort im MT findet sich nur noch in Sir 3,24 („Einbildung“) und 1QM 6,13 („Aussehen“); wird hier aber i.d.R. für ein Synonym von demut („Ähnlichkeit“) gehalten. Dass ein Wort bei drei Belegen drei verschiedene Bedeutungen haben soll, muss ohnehin misstrauisch machen; misstrauisch macht außerdem, dass LXX, Syr und VUL ein Verb lasen (LXX und VUL: auf -uni) und Tg nicht dimjon widergibt, sd. gerade dessen hypothetisches Synonym demut. Misstrauisch macht auch der Numeruswechsel vom Plural „sie“ und „ihre“ in V. 11 zum Sg. „sein“ in V. 12, obwohl sich dies als N-Shift erklären ließe. Misstrauisch macht schließlich, dass bei vergleichbaren „pleonastischen Ausdrücken der Vergleichbarkeit“ (Jenni 1997d) die Vergleichspartikel nicht wie hier vor dem Vergeichswort steht, sondern vor dem „Synonym“ demut (s. Gen 1,26; Ps 58,58; Dan 10,6).</w:t>
      </w:r>
    </w:p>
  </w:footnote>
  <w:footnote w:id="1954">
    <w:p>
      <w:pPr>
        <w:pStyle w:val="Funote"/>
        <w:rPr/>
      </w:pPr>
      <w:r>
        <w:rPr>
          <w:rStyle w:val="Funotenzeichen"/>
        </w:rPr>
        <w:footnoteRef/>
      </w:r>
      <w:r>
        <w:rPr/>
        <w:tab/>
        <w:t>Toten (Männern) - Zum Sinn d. Verses s. die Anmerkungen. Beide Wörter können hier gelesen werden, da sie ursprünglich gleich geschrieben wurden und nur unterschiedlich zu vokalisieren waren: mimetim vs. mimetim. Entgegen der starken Mehrheit wurde hier mit Bonkamp 1949, S. 101 die Deutung „Tote“ gewählt, weil nur so die Rede vom „Teil im Leben“ in 14c und von der „Dauer“ in 14b (was eigentlich nicht „Welt [im Ggs. zu Gott]“ bedeutet) gut erklärbar ist und der Vers so übersetzt eine sehr nahe Parallele in Ps 109,13f. hat.Entscheidet man sich für die Bedeutung „Männer“, muss man anders auflösen; am sinnvollsten: „Rette meine Seele vor dem Frevler [durch] dein Schwert, vor Männern [durch] deine Hand, vor Männern, deren Teil im Leben ohne Dauer/aus der Welt (im Gegensatz zu ‚von Gott‘) [ist].“ So fast alle dt. Üss (PAT und StierPs nehmen unnötige Änderungen am Text vor). Die Deutung als „Tote“ findet sich heute nur noch sehr selten, war früher aber sogar wesentlich geläufiger als die Deutung „Männer“. Die (mittelalterliche!) Vokalisierung des MT deutet zwar als Männer und es findet sich diese Deutung schon in einigen LXX-Handschriften und dem folgend in VUL, der wesentlich ältere heb. Text in 11QPsc „vokalisiert“ dagegen als „Tote“ und diese Deutung findet sich auch in Tg, Syr, Sym, Aq und einigen VL-Versionen. Auch Hieronymus wählt für das erste Wort die Deutung „Männer“, für das zweite aber wieder „Tote“, und für beide Wörter ist diese Deutung auch belegt in b.Ber 61b, bei Chanina ben Pappa (vgl. Bacher 1896, S. 524) und bei Raschi.</w:t>
      </w:r>
    </w:p>
  </w:footnote>
  <w:footnote w:id="1955">
    <w:p>
      <w:pPr>
        <w:pStyle w:val="Funote"/>
        <w:rPr/>
      </w:pPr>
      <w:r>
        <w:rPr>
          <w:rStyle w:val="Funotenzeichen"/>
        </w:rPr>
        <w:footnoteRef/>
      </w:r>
      <w:r>
        <w:rPr>
          <w:i/>
        </w:rPr>
        <w:tab/>
        <w:t>Teil</w:t>
      </w:r>
      <w:r>
        <w:rPr/>
        <w:t xml:space="preserve"> ist urspr. das ererbte </w:t>
      </w:r>
      <w:r>
        <w:rPr>
          <w:i/>
        </w:rPr>
        <w:t>Land</w:t>
      </w:r>
      <w:r>
        <w:rPr/>
        <w:t xml:space="preserve">, das einer Familie nach bibl. Vorstellung durch das Schicksal zugefallen ist (vgl. </w:t>
      </w:r>
      <w:hyperlink r:id="rId121">
        <w:r>
          <w:rPr>
            <w:rStyle w:val="Internetverknpfung"/>
          </w:rPr>
          <w:t>Jos 13</w:t>
        </w:r>
      </w:hyperlink>
      <w:r>
        <w:rPr/>
        <w:t xml:space="preserve"> und </w:t>
      </w:r>
      <w:hyperlink r:id="rId122">
        <w:r>
          <w:rPr>
            <w:rStyle w:val="Internetverknpfung"/>
          </w:rPr>
          <w:t>Jos 14,2</w:t>
        </w:r>
      </w:hyperlink>
      <w:r>
        <w:rPr/>
        <w:t xml:space="preserve">; z.B. auch </w:t>
      </w:r>
      <w:hyperlink r:id="rId123">
        <w:r>
          <w:rPr>
            <w:rStyle w:val="Internetverknpfung"/>
          </w:rPr>
          <w:t>Ri 18,1</w:t>
        </w:r>
      </w:hyperlink>
      <w:r>
        <w:rPr/>
        <w:t xml:space="preserve">); übertragen dann auch vom Schicksal eines Menschen, das bes. hier als (auch) </w:t>
      </w:r>
      <w:r>
        <w:rPr>
          <w:i/>
        </w:rPr>
        <w:t>ererbtes</w:t>
      </w:r>
      <w:r>
        <w:rPr/>
        <w:t xml:space="preserve"> Schicksal vorgestellt ist.</w:t>
      </w:r>
    </w:p>
  </w:footnote>
  <w:footnote w:id="1956">
    <w:p>
      <w:pPr>
        <w:pStyle w:val="Funote"/>
        <w:rPr/>
      </w:pPr>
      <w:r>
        <w:rPr>
          <w:rStyle w:val="Funotenzeichen"/>
        </w:rPr>
        <w:footnoteRef/>
      </w:r>
      <w:r>
        <w:rPr>
          <w:i/>
        </w:rPr>
        <w:tab/>
        <w:t>[Mit] deinem Aufgesparten</w:t>
      </w:r>
      <w:r>
        <w:rPr/>
        <w:t xml:space="preserve"> - Zur Vorstellung vgl. </w:t>
      </w:r>
      <w:hyperlink r:id="rId124">
        <w:r>
          <w:rPr>
            <w:rStyle w:val="Internetverknpfung"/>
          </w:rPr>
          <w:t>Ijob 21,17-19</w:t>
        </w:r>
      </w:hyperlink>
      <w:r>
        <w:rPr/>
        <w:t xml:space="preserve">; </w:t>
      </w:r>
      <w:r>
        <w:fldChar w:fldCharType="begin"/>
      </w:r>
      <w:r>
        <w:rPr>
          <w:rStyle w:val="Internetverknpfung"/>
        </w:rPr>
        <w:instrText> HYPERLINK "../../../../../../../../../wiki/Psalm_31" \l "s20"</w:instrText>
      </w:r>
      <w:r>
        <w:rPr>
          <w:rStyle w:val="Internetverknpfung"/>
        </w:rPr>
        <w:fldChar w:fldCharType="separate"/>
      </w:r>
      <w:r>
        <w:rPr>
          <w:rStyle w:val="Internetverknpfung"/>
        </w:rPr>
        <w:t>Ps 31,20</w:t>
      </w:r>
      <w:r>
        <w:rPr>
          <w:rStyle w:val="Internetverknpfung"/>
        </w:rPr>
        <w:fldChar w:fldCharType="end"/>
      </w:r>
      <w:r>
        <w:rPr/>
        <w:t xml:space="preserve">; </w:t>
      </w:r>
      <w:r>
        <w:fldChar w:fldCharType="begin"/>
      </w:r>
      <w:r>
        <w:rPr>
          <w:rStyle w:val="Internetverknpfung"/>
        </w:rPr>
        <w:instrText> HYPERLINK "../../../../../../../../../wiki/Sprichw%C3%B6rter_2" \l "s7"</w:instrText>
      </w:r>
      <w:r>
        <w:rPr>
          <w:rStyle w:val="Internetverknpfung"/>
        </w:rPr>
        <w:fldChar w:fldCharType="separate"/>
      </w:r>
      <w:r>
        <w:rPr>
          <w:rStyle w:val="Internetverknpfung"/>
        </w:rPr>
        <w:t>Spr 2,7</w:t>
      </w:r>
      <w:r>
        <w:rPr>
          <w:rStyle w:val="Internetverknpfung"/>
        </w:rPr>
        <w:fldChar w:fldCharType="end"/>
      </w:r>
      <w:r>
        <w:rPr/>
        <w:t xml:space="preserve">; </w:t>
      </w:r>
      <w:hyperlink r:id="rId125">
        <w:r>
          <w:rPr>
            <w:rStyle w:val="Internetverknpfung"/>
          </w:rPr>
          <w:t>13,22</w:t>
        </w:r>
      </w:hyperlink>
      <w:r>
        <w:rPr/>
        <w:t xml:space="preserve">; </w:t>
      </w:r>
      <w:r>
        <w:fldChar w:fldCharType="begin"/>
      </w:r>
      <w:r>
        <w:rPr>
          <w:rStyle w:val="Internetverknpfung"/>
        </w:rPr>
        <w:instrText> HYPERLINK "../../../../../../../../../wiki/Hosea_13" \l "s12"</w:instrText>
      </w:r>
      <w:r>
        <w:rPr>
          <w:rStyle w:val="Internetverknpfung"/>
        </w:rPr>
        <w:fldChar w:fldCharType="separate"/>
      </w:r>
      <w:r>
        <w:rPr>
          <w:rStyle w:val="Internetverknpfung"/>
        </w:rPr>
        <w:t>Hos 13,12</w:t>
      </w:r>
      <w:r>
        <w:rPr>
          <w:rStyle w:val="Internetverknpfung"/>
        </w:rPr>
        <w:fldChar w:fldCharType="end"/>
      </w:r>
      <w:r>
        <w:rPr/>
        <w:t xml:space="preserve">; auch </w:t>
      </w:r>
      <w:hyperlink r:id="rId126">
        <w:r>
          <w:rPr>
            <w:rStyle w:val="Internetverknpfung"/>
          </w:rPr>
          <w:t>Ijob 20,26</w:t>
        </w:r>
      </w:hyperlink>
      <w:r>
        <w:rPr/>
        <w:t>: Gott vergilt jedem Menschen nach seinen Werken. Doch nicht immer sogleich; manchmal spart er dieses Entgelt auch auf, um es irgendwann auf einen Schwung loszulassen. So erst recht hier: Was Gott für die Frevler aufgespart hat, sammelt sich schon seit der Zeit ihrer Eltern in seinen Schatzkammern an. Es ist also nichts Gutes, womit Gott hier die Bäuche der Frevler füllen soll, wie das einige Üss. deuten.</w:t>
      </w:r>
    </w:p>
  </w:footnote>
  <w:footnote w:id="1957">
    <w:p>
      <w:pPr>
        <w:pStyle w:val="Funote"/>
        <w:rPr/>
      </w:pPr>
      <w:r>
        <w:rPr>
          <w:rStyle w:val="Funotenzeichen"/>
        </w:rPr>
        <w:footnoteRef/>
      </w:r>
      <w:r>
        <w:rPr>
          <w:i/>
        </w:rPr>
        <w:tab/>
        <w:t>durch Gerechtigkeit</w:t>
      </w:r>
      <w:r>
        <w:rPr/>
        <w:t xml:space="preserve"> - Auf V. 15 basiert eine der Vorschriften im Schulchan Aruch, einer sehr wichtigen jüdischen Gesetzessammlung. Im Talmud (b.B.B. 10a) wird das „als Gerechter“ gedeutet als „durch Wohltätigkeit“; darauf aufbauend führt R. Dostai aus: „Kommt und seht, dass der Heilige, gelobt sei er!, nicht aus Fleisch und Blut ist. Bringt ein Mensch [aus Fleisch und Blut] einem König ein Geschenk, ist es unsicher, ob dieser es annehmen oder abweisen wird. Und selbst, wenn er es annimmt, ist unsicher, ob er dann das Gesicht des Königs sehen wird oder nicht. Der Heilige jedoch, gelobt sei er!, handelt anders. Gibt ein Mensch einem Armen auch nur eine Peruta[, einen kleinen Geldbetrag], ist sein Gewinn der Empfang der göttlichen Gegenwart, wie es heißt in Psalm 17,15: Ich aber werde dein Gesicht durch Wohltätigkeit schauen...“, woraus dann im Schulchan Aruch abgeleitet wird: „Es ist gut, vor dem Beten Almosen zu geben, denn es heißt: ‚Ich werde durch Wohltätigkeit dein Gesicht sehen‘.“ (12,2).</w:t>
      </w:r>
    </w:p>
  </w:footnote>
  <w:footnote w:id="1958">
    <w:p>
      <w:pPr>
        <w:pStyle w:val="Funote"/>
        <w:rPr/>
      </w:pPr>
      <w:r>
        <w:rPr>
          <w:rStyle w:val="Funotenzeichen"/>
        </w:rPr>
        <w:footnoteRef/>
      </w:r>
      <w:r>
        <w:rPr>
          <w:i/>
        </w:rPr>
        <w:tab/>
        <w:t>beim Aufwachen</w:t>
      </w:r>
      <w:r>
        <w:rPr/>
        <w:t xml:space="preserve"> meint wohl „bei meinem Erwachen“; dass mit Gottes Heilshandeln die neue, heilvolle Zeit mit dem nächsten </w:t>
      </w:r>
      <w:r>
        <w:rPr>
          <w:i/>
        </w:rPr>
        <w:t>Morgen</w:t>
      </w:r>
      <w:r>
        <w:rPr/>
        <w:t xml:space="preserve"> anbricht, findet sich häufig in der Bibel (s. </w:t>
      </w:r>
      <w:r>
        <w:fldChar w:fldCharType="begin"/>
      </w:r>
      <w:r>
        <w:rPr>
          <w:rStyle w:val="Internetverknpfung"/>
        </w:rPr>
        <w:instrText> HYPERLINK "../../../../../../../../../wiki/Psalm_30" \l "s6"</w:instrText>
      </w:r>
      <w:r>
        <w:rPr>
          <w:rStyle w:val="Internetverknpfung"/>
        </w:rPr>
        <w:fldChar w:fldCharType="separate"/>
      </w:r>
      <w:r>
        <w:rPr>
          <w:rStyle w:val="Internetverknpfung"/>
        </w:rPr>
        <w:t>Ps 30,6</w:t>
      </w:r>
      <w:r>
        <w:rPr>
          <w:rStyle w:val="Internetverknpfung"/>
        </w:rPr>
        <w:fldChar w:fldCharType="end"/>
      </w:r>
      <w:r>
        <w:rPr/>
        <w:t xml:space="preserve">; </w:t>
      </w:r>
      <w:hyperlink r:id="rId127">
        <w:r>
          <w:rPr>
            <w:rStyle w:val="Internetverknpfung"/>
          </w:rPr>
          <w:t>46,6</w:t>
        </w:r>
      </w:hyperlink>
      <w:r>
        <w:rPr/>
        <w:t xml:space="preserve">; </w:t>
      </w:r>
      <w:r>
        <w:fldChar w:fldCharType="begin"/>
      </w:r>
      <w:r>
        <w:rPr>
          <w:rStyle w:val="Internetverknpfung"/>
        </w:rPr>
        <w:instrText> HYPERLINK "../../../../../../../../../wiki/Psalm_90" \l "s14"</w:instrText>
      </w:r>
      <w:r>
        <w:rPr>
          <w:rStyle w:val="Internetverknpfung"/>
        </w:rPr>
        <w:fldChar w:fldCharType="separate"/>
      </w:r>
      <w:r>
        <w:rPr>
          <w:rStyle w:val="Internetverknpfung"/>
        </w:rPr>
        <w:t>90,14</w:t>
      </w:r>
      <w:r>
        <w:rPr>
          <w:rStyle w:val="Internetverknpfung"/>
        </w:rPr>
        <w:fldChar w:fldCharType="end"/>
      </w:r>
      <w:r>
        <w:rPr/>
        <w:t xml:space="preserve">; </w:t>
      </w:r>
      <w:hyperlink r:id="rId128">
        <w:r>
          <w:rPr>
            <w:rStyle w:val="Internetverknpfung"/>
          </w:rPr>
          <w:t>143,8</w:t>
        </w:r>
      </w:hyperlink>
      <w:r>
        <w:rPr/>
        <w:t xml:space="preserve">; </w:t>
      </w:r>
      <w:r>
        <w:fldChar w:fldCharType="begin"/>
      </w:r>
      <w:r>
        <w:rPr>
          <w:rStyle w:val="Internetverknpfung"/>
        </w:rPr>
        <w:instrText> HYPERLINK "../../../../../../../../../wiki/Klagelieder_3" \l "s22"</w:instrText>
      </w:r>
      <w:r>
        <w:rPr>
          <w:rStyle w:val="Internetverknpfung"/>
        </w:rPr>
        <w:fldChar w:fldCharType="separate"/>
      </w:r>
      <w:r>
        <w:rPr>
          <w:rStyle w:val="Internetverknpfung"/>
        </w:rPr>
        <w:t>Klg 3,22f.</w:t>
      </w:r>
      <w:r>
        <w:rPr>
          <w:rStyle w:val="Internetverknpfung"/>
        </w:rPr>
        <w:fldChar w:fldCharType="end"/>
      </w:r>
      <w:r>
        <w:rPr/>
        <w:t xml:space="preserve">; </w:t>
      </w:r>
      <w:hyperlink r:id="rId129">
        <w:r>
          <w:rPr>
            <w:rStyle w:val="Internetverknpfung"/>
          </w:rPr>
          <w:t>Zef 3,5</w:t>
        </w:r>
      </w:hyperlink>
      <w:r>
        <w:rPr/>
        <w:t xml:space="preserve"> und vgl. z.St. Lindblom 1943, S. 12f.). Alternativ könnte aber auch von </w:t>
      </w:r>
      <w:r>
        <w:rPr>
          <w:i/>
        </w:rPr>
        <w:t>Gottes</w:t>
      </w:r>
      <w:r>
        <w:rPr/>
        <w:t xml:space="preserve"> Erwachen die Rede sein: Gelegentlich ist bes. in den Psalmen davon die Rede, dass Gott „schläft“ (s. </w:t>
      </w:r>
      <w:r>
        <w:fldChar w:fldCharType="begin"/>
      </w:r>
      <w:r>
        <w:rPr>
          <w:rStyle w:val="Internetverknpfung"/>
        </w:rPr>
        <w:instrText> HYPERLINK "../../../../../../../../../wiki/Psalm_7" \l "s7"</w:instrText>
      </w:r>
      <w:r>
        <w:rPr>
          <w:rStyle w:val="Internetverknpfung"/>
        </w:rPr>
        <w:fldChar w:fldCharType="separate"/>
      </w:r>
      <w:r>
        <w:rPr>
          <w:rStyle w:val="Internetverknpfung"/>
        </w:rPr>
        <w:t>Ps 7,7</w:t>
      </w:r>
      <w:r>
        <w:rPr>
          <w:rStyle w:val="Internetverknpfung"/>
        </w:rPr>
        <w:fldChar w:fldCharType="end"/>
      </w:r>
      <w:r>
        <w:rPr/>
        <w:t xml:space="preserve">; </w:t>
      </w:r>
      <w:hyperlink r:id="rId130">
        <w:r>
          <w:rPr>
            <w:rStyle w:val="Internetverknpfung"/>
          </w:rPr>
          <w:t>35,23</w:t>
        </w:r>
      </w:hyperlink>
      <w:r>
        <w:rPr/>
        <w:t xml:space="preserve">; </w:t>
      </w:r>
      <w:hyperlink r:id="rId131">
        <w:r>
          <w:rPr>
            <w:rStyle w:val="Internetverknpfung"/>
          </w:rPr>
          <w:t>Ps 44,24</w:t>
        </w:r>
      </w:hyperlink>
      <w:r>
        <w:rPr/>
        <w:t xml:space="preserve"> und vgl. </w:t>
      </w:r>
      <w:r>
        <w:fldChar w:fldCharType="begin"/>
      </w:r>
      <w:r>
        <w:rPr>
          <w:rStyle w:val="Internetverknpfung"/>
        </w:rPr>
        <w:instrText> HYPERLINK "http://www.bibelwissenschaft.de/wibilex/das-bibellexikon/lexikon/sachwort/anzeigen/details/schlaf/ch/0cdfba948f34a514c481d88023a1a586/" \l "h2"</w:instrText>
      </w:r>
      <w:r>
        <w:rPr>
          <w:rStyle w:val="Internetverknpfung"/>
        </w:rPr>
        <w:fldChar w:fldCharType="separate"/>
      </w:r>
      <w:r>
        <w:rPr>
          <w:rStyle w:val="Internetverknpfung"/>
        </w:rPr>
        <w:t>Schlaf (WiBiLex)</w:t>
      </w:r>
      <w:r>
        <w:rPr>
          <w:rStyle w:val="Internetverknpfung"/>
        </w:rPr>
        <w:fldChar w:fldCharType="end"/>
      </w:r>
      <w:r>
        <w:rPr/>
        <w:t>), deshalb kurzzeitig untätig ist, nach dem Erwachen aber wieder heilvoll am Beter handeln wird. Gerade, weil diese Vorstellung sehr gut zur Rede vom „Aufgesparten“ in V. 14 passt, ist diese Möglichkeit durchaus erwägenswert, wird aber nur sehr selten vertreten. Sicher nicht gemeint ist eine kultische Theophanie: Wäre davon die Rede, dass der Beter im Schlaf Gott selbst geschaut hätte, wäre die Zeitangabe „beim Erwachen“ falsch und ein Götterbild hätte er ja auch beim Einschlafen gesehen, wenn denn wirklich die Möglichkeit bestanden haben sollte, sich im Tempelbezirk schlafen zu legen.</w:t>
        <w:br/>
        <w:t>Ursprünglich sehr wahrscheinlich nicht gemeint ist die „Auferstehung“, viele alte Ausleger deuten das Wort aber daraufhin aus, z.B. Saadja, Raschi, Kimchi.</w:t>
      </w:r>
    </w:p>
  </w:footnote>
  <w:footnote w:id="1959">
    <w:p>
      <w:pPr>
        <w:pStyle w:val="Funote"/>
        <w:rPr/>
      </w:pPr>
      <w:r>
        <w:rPr>
          <w:rStyle w:val="Funotenzeichen"/>
        </w:rPr>
        <w:footnoteRef/>
      </w:r>
      <w:r>
        <w:rPr/>
        <w:tab/>
        <w:t>Zu diesem V. siehe die Anmerkungen.</w:t>
      </w:r>
    </w:p>
  </w:footnote>
  <w:footnote w:id="1960">
    <w:p>
      <w:pPr>
        <w:pStyle w:val="Funote"/>
        <w:rPr/>
      </w:pPr>
      <w:r>
        <w:rPr>
          <w:rStyle w:val="Funotenzeichen"/>
        </w:rPr>
        <w:footnoteRef/>
      </w:r>
      <w:r>
        <w:rPr/>
        <w:tab/>
        <w:t>[Status: Zuverlässig]</w:t>
      </w:r>
    </w:p>
  </w:footnote>
  <w:footnote w:id="1961">
    <w:p>
      <w:pPr>
        <w:pStyle w:val="Funote"/>
        <w:rPr/>
      </w:pPr>
      <w:r>
        <w:rPr>
          <w:rStyle w:val="Funotenzeichen"/>
        </w:rPr>
        <w:footnoteRef/>
      </w:r>
      <w:r>
        <w:rPr/>
        <w:tab/>
        <w:t>Textkritik: Der Text von Ps 18 findet sich in etwas anderer Form noch mal in 2 Sam 22. Die Textkritik beider Texte ist daher sehr komplex und wurde daher ausgelagert auf die Seite 2 Sam 22, Ps 18 und die Textkritik des Alten Testaments.</w:t>
      </w:r>
    </w:p>
  </w:footnote>
  <w:footnote w:id="1962">
    <w:p>
      <w:pPr>
        <w:pStyle w:val="Funote"/>
        <w:rPr/>
      </w:pPr>
      <w:r>
        <w:rPr>
          <w:rStyle w:val="Funotenzeichen"/>
        </w:rPr>
        <w:footnoteRef/>
      </w:r>
      <w:r>
        <w:rPr/>
        <w:tab/>
        <w:t>werden mich erschrecken - d.h. »erschreckten mich«, ein bedeutungsloser T-Shift.</w:t>
      </w:r>
    </w:p>
  </w:footnote>
  <w:footnote w:id="1963">
    <w:p>
      <w:pPr>
        <w:pStyle w:val="Funote"/>
        <w:rPr/>
      </w:pPr>
      <w:r>
        <w:rPr>
          <w:rStyle w:val="Funotenzeichen"/>
        </w:rPr>
        <w:footnoteRef/>
      </w:r>
      <w:r>
        <w:rPr>
          <w:i/>
        </w:rPr>
        <w:tab/>
        <w:t>Scheol</w:t>
      </w:r>
      <w:r>
        <w:rPr/>
        <w:t xml:space="preserve"> - Heb. Bezeichnung der Unterwelt; nicht identisch mit der christlichen „Hölle“. Die Metapher, dass der Scheol fast personal vorzustellen ist und jemanden gefangen nimmt, findet sich häufiger in der Bibel (z.B. </w:t>
      </w:r>
      <w:r>
        <w:fldChar w:fldCharType="begin"/>
      </w:r>
      <w:r>
        <w:rPr>
          <w:rStyle w:val="Internetverknpfung"/>
        </w:rPr>
        <w:instrText> HYPERLINK "../../../../../../../../../wiki/Numeri_16" \l "s33"</w:instrText>
      </w:r>
      <w:r>
        <w:rPr>
          <w:rStyle w:val="Internetverknpfung"/>
        </w:rPr>
        <w:fldChar w:fldCharType="separate"/>
      </w:r>
      <w:r>
        <w:rPr>
          <w:rStyle w:val="Internetverknpfung"/>
        </w:rPr>
        <w:t>Num 16,33f.</w:t>
      </w:r>
      <w:r>
        <w:rPr>
          <w:rStyle w:val="Internetverknpfung"/>
        </w:rPr>
        <w:fldChar w:fldCharType="end"/>
      </w:r>
      <w:r>
        <w:rPr/>
        <w:t xml:space="preserve">; </w:t>
      </w:r>
      <w:hyperlink r:id="rId132">
        <w:r>
          <w:rPr>
            <w:rStyle w:val="Internetverknpfung"/>
          </w:rPr>
          <w:t>Ps 69,16</w:t>
        </w:r>
      </w:hyperlink>
      <w:r>
        <w:rPr/>
        <w:t>).</w:t>
      </w:r>
    </w:p>
  </w:footnote>
  <w:footnote w:id="1964">
    <w:p>
      <w:pPr>
        <w:pStyle w:val="Funote"/>
        <w:rPr/>
      </w:pPr>
      <w:r>
        <w:rPr>
          <w:rStyle w:val="Funotenzeichen"/>
        </w:rPr>
        <w:footnoteRef/>
      </w:r>
      <w:r>
        <w:rPr>
          <w:i/>
        </w:rPr>
        <w:tab/>
        <w:t>Pfeiler der Berge</w:t>
      </w:r>
      <w:r>
        <w:rPr/>
        <w:t xml:space="preserve"> - gemeint sind also wohl ebenso wie in </w:t>
      </w:r>
      <w:r>
        <w:fldChar w:fldCharType="begin"/>
      </w:r>
      <w:r>
        <w:rPr>
          <w:rStyle w:val="Internetverknpfung"/>
        </w:rPr>
        <w:instrText> HYPERLINK "../../../../../../../../../wiki/Deuteronomium_32" \l "s22"</w:instrText>
      </w:r>
      <w:r>
        <w:rPr>
          <w:rStyle w:val="Internetverknpfung"/>
        </w:rPr>
        <w:fldChar w:fldCharType="separate"/>
      </w:r>
      <w:r>
        <w:rPr>
          <w:rStyle w:val="Internetverknpfung"/>
        </w:rPr>
        <w:t>Dtn 32,22</w:t>
      </w:r>
      <w:r>
        <w:rPr>
          <w:rStyle w:val="Internetverknpfung"/>
        </w:rPr>
        <w:fldChar w:fldCharType="end"/>
      </w:r>
      <w:r>
        <w:rPr/>
        <w:t xml:space="preserve"> (wo von unten nach oben aufgezählt wird: Der unterste Scheol - die Erde - die Pfeiler der Berge) die Berge selbst, da nach altorientalischer Vorstellung auf diesen als Pfeilern der Himmel ruhte: „Die Pfeiler, die die Berge sind“. Die „Pfeiler der Berge“ wären demnach identisch mit den „Pfeilern des Himmels“ in </w:t>
      </w:r>
      <w:hyperlink r:id="rId133">
        <w:r>
          <w:rPr>
            <w:rStyle w:val="Internetverknpfung"/>
          </w:rPr>
          <w:t>2 Sam 22,8</w:t>
        </w:r>
      </w:hyperlink>
      <w:r>
        <w:rPr/>
        <w:t>.</w:t>
      </w:r>
    </w:p>
  </w:footnote>
  <w:footnote w:id="1965">
    <w:p>
      <w:pPr>
        <w:pStyle w:val="Funote"/>
        <w:rPr/>
      </w:pPr>
      <w:r>
        <w:rPr>
          <w:rStyle w:val="Funotenzeichen"/>
        </w:rPr>
        <w:footnoteRef/>
      </w:r>
      <w:r>
        <w:rPr>
          <w:i/>
        </w:rPr>
        <w:tab/>
        <w:t>öffnete den Himmel</w:t>
      </w:r>
      <w:r>
        <w:rPr/>
        <w:t xml:space="preserve"> - Der Himmel wird hier wie noch öfter vorgestellt als festes Gebilde, das sich öffnen lässt (z.B., um durch die Öffnung die Sintflut auf die Erde zu schicken, </w:t>
      </w:r>
      <w:r>
        <w:fldChar w:fldCharType="begin"/>
      </w:r>
      <w:r>
        <w:rPr>
          <w:rStyle w:val="Internetverknpfung"/>
        </w:rPr>
        <w:instrText> HYPERLINK "../../../../../../../../../wiki/Genesis_7" \l "s11"</w:instrText>
      </w:r>
      <w:r>
        <w:rPr>
          <w:rStyle w:val="Internetverknpfung"/>
        </w:rPr>
        <w:fldChar w:fldCharType="separate"/>
      </w:r>
      <w:r>
        <w:rPr>
          <w:rStyle w:val="Internetverknpfung"/>
        </w:rPr>
        <w:t>Gen 7,11</w:t>
      </w:r>
      <w:r>
        <w:rPr>
          <w:rStyle w:val="Internetverknpfung"/>
        </w:rPr>
        <w:fldChar w:fldCharType="end"/>
      </w:r>
      <w:r>
        <w:rPr/>
        <w:t>).</w:t>
      </w:r>
    </w:p>
  </w:footnote>
  <w:footnote w:id="1966">
    <w:p>
      <w:pPr>
        <w:pStyle w:val="Funote"/>
        <w:rPr/>
      </w:pPr>
      <w:r>
        <w:rPr>
          <w:rStyle w:val="Funotenzeichen"/>
        </w:rPr>
        <w:footnoteRef/>
      </w:r>
      <w:r>
        <w:rPr>
          <w:i/>
        </w:rPr>
        <w:tab/>
        <w:t>Kerub</w:t>
      </w:r>
      <w:r>
        <w:rPr/>
        <w:t xml:space="preserve"> - altorientalisches Fabelwesen; meist dargestellt als geflügelter Löwe. S. näher </w:t>
      </w:r>
      <w:hyperlink r:id="rId134">
        <w:r>
          <w:rPr>
            <w:rStyle w:val="Internetverknpfung"/>
          </w:rPr>
          <w:t>Keruben / Kerubenthroner (WiBiLex)</w:t>
        </w:r>
      </w:hyperlink>
      <w:r>
        <w:rPr/>
        <w:t xml:space="preserve">. Im Alten Orient wurden die vier Winde (die den vier Himmelsrichtungen entsprechen) häufiger identifiziert mit oder personifiziert als geflügelte Wesen (s. zu </w:t>
      </w:r>
      <w:r>
        <w:fldChar w:fldCharType="begin"/>
      </w:r>
      <w:r>
        <w:rPr>
          <w:rStyle w:val="Internetverknpfung"/>
        </w:rPr>
        <w:instrText> HYPERLINK "../../../../../../../../../wiki/Markus_13" \l "s27"</w:instrText>
      </w:r>
      <w:r>
        <w:rPr>
          <w:rStyle w:val="Internetverknpfung"/>
        </w:rPr>
        <w:fldChar w:fldCharType="separate"/>
      </w:r>
      <w:r>
        <w:rPr>
          <w:rStyle w:val="Internetverknpfung"/>
        </w:rPr>
        <w:t>Mk 13,27</w:t>
      </w:r>
      <w:r>
        <w:rPr>
          <w:rStyle w:val="Internetverknpfung"/>
        </w:rPr>
        <w:fldChar w:fldCharType="end"/>
      </w:r>
      <w:r>
        <w:rPr/>
        <w:t>). Das scheint auch hier der Fall zu sein; s. die folgende Zeile.</w:t>
      </w:r>
    </w:p>
  </w:footnote>
  <w:footnote w:id="1967">
    <w:p>
      <w:pPr>
        <w:pStyle w:val="Funote"/>
        <w:rPr/>
      </w:pPr>
      <w:r>
        <w:rPr>
          <w:rStyle w:val="Funotenzeichen"/>
        </w:rPr>
        <w:footnoteRef/>
      </w:r>
      <w:r>
        <w:rPr/>
        <w:tab/>
        <w:t>tFN: wird geben - d.h. »gab«, ein bedeutungsloser T-Shift</w:t>
      </w:r>
    </w:p>
  </w:footnote>
  <w:footnote w:id="1968">
    <w:p>
      <w:pPr>
        <w:pStyle w:val="Funote"/>
        <w:rPr/>
      </w:pPr>
      <w:r>
        <w:rPr>
          <w:rStyle w:val="Funotenzeichen"/>
        </w:rPr>
        <w:footnoteRef/>
      </w:r>
      <w:r>
        <w:rPr>
          <w:i/>
        </w:rPr>
        <w:tab/>
        <w:t>Einen Blitz verwirrte er</w:t>
      </w:r>
      <w:r>
        <w:rPr/>
        <w:t xml:space="preserve"> - d.h. wahrscheinlich: Er gab ihm das wilde Zickzack, das für Blitze so charakteristisch ist.</w:t>
      </w:r>
    </w:p>
  </w:footnote>
  <w:footnote w:id="1969">
    <w:p>
      <w:pPr>
        <w:pStyle w:val="Funote"/>
        <w:rPr/>
      </w:pPr>
      <w:r>
        <w:rPr>
          <w:rStyle w:val="Funotenzeichen"/>
        </w:rPr>
        <w:footnoteRef/>
      </w:r>
      <w:r>
        <w:rPr/>
        <w:tab/>
        <w:t>tFN: werden bloßgelegt werden - d.h. »es wurden bloßgelegt«, ein bedeutungsloser T-Shift.</w:t>
      </w:r>
    </w:p>
  </w:footnote>
  <w:footnote w:id="1970">
    <w:p>
      <w:pPr>
        <w:pStyle w:val="Funote"/>
        <w:rPr/>
      </w:pPr>
      <w:r>
        <w:rPr>
          <w:rStyle w:val="Funotenzeichen"/>
        </w:rPr>
        <w:footnoteRef/>
      </w:r>
      <w:r>
        <w:rPr>
          <w:i/>
        </w:rPr>
        <w:tab/>
        <w:t>Fundamente der Erde</w:t>
      </w:r>
      <w:r>
        <w:rPr/>
        <w:t xml:space="preserve"> - die Pfeiler, auf denen nach dem altorientalischen Weltbild die Erde über dem Mehr ruhte.</w:t>
      </w:r>
    </w:p>
  </w:footnote>
  <w:footnote w:id="1971">
    <w:p>
      <w:pPr>
        <w:pStyle w:val="Funote"/>
        <w:rPr/>
      </w:pPr>
      <w:r>
        <w:rPr>
          <w:rStyle w:val="Funotenzeichen"/>
        </w:rPr>
        <w:footnoteRef/>
      </w:r>
      <w:r>
        <w:rPr>
          <w:i/>
        </w:rPr>
        <w:tab/>
        <w:t>Er möge senden aus der Höhe</w:t>
      </w:r>
      <w:r>
        <w:rPr/>
        <w:t xml:space="preserve"> - nämlich seine Hand, die er helfend herunterreichen möge. Das Objekt wird hier wie in </w:t>
      </w:r>
      <w:hyperlink r:id="rId135">
        <w:r>
          <w:rPr>
            <w:rStyle w:val="Internetverknpfung"/>
          </w:rPr>
          <w:t>2 Sam 6,6</w:t>
        </w:r>
      </w:hyperlink>
      <w:r>
        <w:rPr/>
        <w:t xml:space="preserve"> ausgespart.</w:t>
      </w:r>
    </w:p>
  </w:footnote>
  <w:footnote w:id="1972">
    <w:p>
      <w:pPr>
        <w:pStyle w:val="Funote"/>
        <w:rPr/>
      </w:pPr>
      <w:r>
        <w:rPr>
          <w:rStyle w:val="Funotenzeichen"/>
        </w:rPr>
        <w:footnoteRef/>
      </w:r>
      <w:r>
        <w:rPr>
          <w:i/>
        </w:rPr>
        <w:tab/>
        <w:t>Wassern</w:t>
      </w:r>
      <w:r>
        <w:rPr/>
        <w:t xml:space="preserve"> - Wie häufig wird hier die Not metaphorisch dargestellt als Wasserflut, in der der Beter zu ertrinken droht.</w:t>
      </w:r>
    </w:p>
  </w:footnote>
  <w:footnote w:id="1973">
    <w:p>
      <w:pPr>
        <w:pStyle w:val="Funote"/>
        <w:rPr/>
      </w:pPr>
      <w:r>
        <w:rPr>
          <w:rStyle w:val="Funotenzeichen"/>
        </w:rPr>
        <w:footnoteRef/>
      </w:r>
      <w:r>
        <w:rPr/>
        <w:tab/>
        <w:t>böse handeln von - das »von« ist im Heb. ebenso merkwürdig wie im Dt. Offenbar heißt das Verb hier ausnahmsweise nicht »böse handeln«, sondern speziell »durch böse Handlungen abfallen«, daher z.B. MÜN: »Ich bin nicht frevelhaft von meinem Gott gewichen«.</w:t>
      </w:r>
    </w:p>
  </w:footnote>
  <w:footnote w:id="1974">
    <w:p>
      <w:pPr>
        <w:pStyle w:val="Funote"/>
        <w:rPr/>
      </w:pPr>
      <w:r>
        <w:rPr>
          <w:rStyle w:val="Funotenzeichen"/>
        </w:rPr>
        <w:footnoteRef/>
      </w:r>
      <w:r>
        <w:rPr>
          <w:i/>
        </w:rPr>
        <w:tab/>
        <w:t>waren vor mir</w:t>
      </w:r>
      <w:r>
        <w:rPr/>
        <w:t xml:space="preserve"> - d.h., ich hielt sie mir beständig vor Augen und wich daher nicht von ihnen ab.</w:t>
      </w:r>
    </w:p>
  </w:footnote>
  <w:footnote w:id="1975">
    <w:p>
      <w:pPr>
        <w:pStyle w:val="Funote"/>
        <w:rPr/>
      </w:pPr>
      <w:r>
        <w:rPr>
          <w:rStyle w:val="Funotenzeichen"/>
        </w:rPr>
        <w:footnoteRef/>
      </w:r>
      <w:r>
        <w:rPr/>
        <w:tab/>
        <w:t>tFN: stärken - wenichat wurde hier nach Good 1985; Görg 1986 in Orientierung am äg. nḫt (»stark sein, jmdn stärken«, vgl. Erman/Grapow II 314f.) und einem evtl. ug. Kognat nḥt (»stark sein, jmdn stärken«, vgl. del Olmo Lete/Sanmartín 628) abgeleitet von nachat II (»stark sein, jmdn stärken«; vgl. DCH V 671; Ges18 808). So übersetzen bereits Tg und Syr; vgl. auch beide Vrs. zu Jes 30,30. Zur in diesem V. schwierigen Textkritik s. 2 Sam 22, Ps 18 und die Textkritik des Alten Testaments.</w:t>
      </w:r>
    </w:p>
  </w:footnote>
  <w:footnote w:id="1976">
    <w:p>
      <w:pPr>
        <w:pStyle w:val="Funote"/>
        <w:rPr/>
      </w:pPr>
      <w:r>
        <w:rPr>
          <w:rStyle w:val="Funotenzeichen"/>
        </w:rPr>
        <w:footnoteRef/>
      </w:r>
      <w:r>
        <w:rPr>
          <w:i/>
        </w:rPr>
        <w:tab/>
        <w:t>du gabst mir ihren Rücken</w:t>
      </w:r>
      <w:r>
        <w:rPr/>
        <w:t xml:space="preserve"> - d.h., du machtest, dass sie vor mir flohen.</w:t>
      </w:r>
    </w:p>
  </w:footnote>
  <w:footnote w:id="1977">
    <w:p>
      <w:pPr>
        <w:pStyle w:val="Funote"/>
        <w:rPr/>
      </w:pPr>
      <w:r>
        <w:rPr>
          <w:rStyle w:val="Funotenzeichen"/>
        </w:rPr>
        <w:footnoteRef/>
      </w:r>
      <w:r>
        <w:rPr/>
        <w:tab/>
        <w:t>Sie werden schreien ... / Zu JHWH - Zwei Stilmittel in einer Doppelzeile: Hyperbaton (Umstellung der gewöhnlichen Wortfolge) + Break up (Aufteilung eines häufigen Ausdrucks wie »Sie werden zu JHWH schreien«) auf zwei Zeilen. Hier auch noch gepaart mit dem T-Shift beim folgenden Verb; schon in der Formulierung des Verses kommt das Chaos zum Ausdruck, in das die Macht des Sprechers und die Hilfeverweigerung JHWHs die Feinde stürzt.</w:t>
      </w:r>
    </w:p>
  </w:footnote>
  <w:footnote w:id="1978">
    <w:p>
      <w:pPr>
        <w:pStyle w:val="Funote"/>
        <w:rPr/>
      </w:pPr>
      <w:r>
        <w:rPr>
          <w:rStyle w:val="Funotenzeichen"/>
        </w:rPr>
        <w:footnoteRef/>
      </w:r>
      <w:r>
        <w:rPr/>
        <w:tab/>
        <w:t>tFN: er antwortete ihnen nicht - d.h. »er wird ihnen nicht antworten«, ein bedeutungsloser T-Shift.</w:t>
      </w:r>
    </w:p>
  </w:footnote>
  <w:footnote w:id="1979">
    <w:p>
      <w:pPr>
        <w:pStyle w:val="Funote"/>
        <w:rPr/>
      </w:pPr>
      <w:r>
        <w:rPr>
          <w:rStyle w:val="Funotenzeichen"/>
        </w:rPr>
        <w:footnoteRef/>
      </w:r>
      <w:r>
        <w:rPr/>
        <w:tab/>
        <w:t>JHWH</w:t>
      </w:r>
    </w:p>
  </w:footnote>
  <w:footnote w:id="1980">
    <w:p>
      <w:pPr>
        <w:pStyle w:val="Funote"/>
        <w:rPr/>
      </w:pPr>
      <w:r>
        <w:rPr>
          <w:rStyle w:val="Funotenzeichen"/>
        </w:rPr>
        <w:footnoteRef/>
      </w:r>
      <w:r>
        <w:rPr/>
        <w:tab/>
        <w:t>JHWH</w:t>
      </w:r>
    </w:p>
  </w:footnote>
  <w:footnote w:id="1981">
    <w:p>
      <w:pPr>
        <w:pStyle w:val="Funote"/>
        <w:rPr/>
      </w:pPr>
      <w:r>
        <w:rPr>
          <w:rStyle w:val="Funotenzeichen"/>
        </w:rPr>
        <w:footnoteRef/>
      </w:r>
      <w:r>
        <w:rPr/>
        <w:tab/>
        <w:t>JHWH</w:t>
      </w:r>
    </w:p>
  </w:footnote>
  <w:footnote w:id="1982">
    <w:p>
      <w:pPr>
        <w:pStyle w:val="Funote"/>
        <w:rPr/>
      </w:pPr>
      <w:r>
        <w:rPr>
          <w:rStyle w:val="Funotenzeichen"/>
        </w:rPr>
        <w:footnoteRef/>
      </w:r>
      <w:r>
        <w:rPr/>
        <w:tab/>
        <w:t>JHWH</w:t>
      </w:r>
    </w:p>
  </w:footnote>
  <w:footnote w:id="1983">
    <w:p>
      <w:pPr>
        <w:pStyle w:val="Funote"/>
        <w:rPr/>
      </w:pPr>
      <w:r>
        <w:rPr>
          <w:rStyle w:val="Funotenzeichen"/>
        </w:rPr>
        <w:footnoteRef/>
      </w:r>
      <w:r>
        <w:rPr/>
        <w:tab/>
        <w:t>JHWH</w:t>
      </w:r>
    </w:p>
  </w:footnote>
  <w:footnote w:id="1984">
    <w:p>
      <w:pPr>
        <w:pStyle w:val="Funote"/>
        <w:rPr/>
      </w:pPr>
      <w:r>
        <w:rPr>
          <w:rStyle w:val="Funotenzeichen"/>
        </w:rPr>
        <w:footnoteRef/>
      </w:r>
      <w:r>
        <w:rPr/>
        <w:tab/>
        <w:t>JHWH</w:t>
      </w:r>
    </w:p>
  </w:footnote>
  <w:footnote w:id="1985">
    <w:p>
      <w:pPr>
        <w:pStyle w:val="Funote"/>
        <w:rPr/>
      </w:pPr>
      <w:r>
        <w:rPr>
          <w:rStyle w:val="Funotenzeichen"/>
        </w:rPr>
        <w:footnoteRef/>
      </w:r>
      <w:r>
        <w:rPr/>
        <w:tab/>
        <w:t>JHWH</w:t>
      </w:r>
    </w:p>
  </w:footnote>
  <w:footnote w:id="1986">
    <w:p>
      <w:pPr>
        <w:pStyle w:val="Funote"/>
        <w:rPr/>
      </w:pPr>
      <w:r>
        <w:rPr>
          <w:rStyle w:val="Funotenzeichen"/>
        </w:rPr>
        <w:footnoteRef/>
      </w:r>
      <w:r>
        <w:rPr/>
        <w:tab/>
        <w:t>JHWH</w:t>
      </w:r>
    </w:p>
  </w:footnote>
  <w:footnote w:id="1987">
    <w:p>
      <w:pPr>
        <w:pStyle w:val="Funote"/>
        <w:rPr/>
      </w:pPr>
      <w:r>
        <w:rPr>
          <w:rStyle w:val="Funotenzeichen"/>
        </w:rPr>
        <w:footnoteRef/>
      </w:r>
      <w:r>
        <w:rPr/>
        <w:tab/>
        <w:t>JHWH</w:t>
      </w:r>
    </w:p>
  </w:footnote>
  <w:footnote w:id="1988">
    <w:p>
      <w:pPr>
        <w:pStyle w:val="Funote"/>
        <w:rPr/>
      </w:pPr>
      <w:r>
        <w:rPr>
          <w:rStyle w:val="Funotenzeichen"/>
        </w:rPr>
        <w:footnoteRef/>
      </w:r>
      <w:r>
        <w:rPr/>
        <w:tab/>
        <w:t>JHWH</w:t>
      </w:r>
    </w:p>
  </w:footnote>
  <w:footnote w:id="1989">
    <w:p>
      <w:pPr>
        <w:pStyle w:val="Funote"/>
        <w:rPr/>
      </w:pPr>
      <w:r>
        <w:rPr>
          <w:rStyle w:val="Funotenzeichen"/>
        </w:rPr>
        <w:footnoteRef/>
      </w:r>
      <w:r>
        <w:rPr/>
        <w:tab/>
        <w:t>JHWH</w:t>
      </w:r>
    </w:p>
  </w:footnote>
  <w:footnote w:id="1990">
    <w:p>
      <w:pPr>
        <w:pStyle w:val="Funote"/>
        <w:rPr/>
      </w:pPr>
      <w:r>
        <w:rPr>
          <w:rStyle w:val="Funotenzeichen"/>
        </w:rPr>
        <w:footnoteRef/>
      </w:r>
      <w:r>
        <w:rPr/>
        <w:tab/>
        <w:t>[Status: Zuverlässig]</w:t>
      </w:r>
    </w:p>
  </w:footnote>
  <w:footnote w:id="1991">
    <w:p>
      <w:pPr>
        <w:pStyle w:val="Funote"/>
        <w:rPr/>
      </w:pPr>
      <w:r>
        <w:rPr>
          <w:rStyle w:val="Funotenzeichen"/>
        </w:rPr>
        <w:footnoteRef/>
      </w:r>
      <w:r>
        <w:rPr/>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992">
    <w:p>
      <w:pPr>
        <w:pStyle w:val="Funote"/>
        <w:rPr/>
      </w:pPr>
      <w:r>
        <w:rPr>
          <w:rStyle w:val="Funotenzeichen"/>
        </w:rPr>
        <w:footnoteRef/>
      </w:r>
      <w:r>
        <w:rPr/>
        <w:tab/>
        <w:t>verkünden - heb. safar; v.a in den Psalmen wird dieses Verb bes. dann verwendet, wenn jemand von großen Taten Gottes berichtet (vgl. THAT II, S. 168): Der Himmel wird hier vorgestellt als ein Prediger.</w:t>
      </w:r>
    </w:p>
  </w:footnote>
  <w:footnote w:id="1993">
    <w:p>
      <w:pPr>
        <w:pStyle w:val="Funote"/>
        <w:rPr/>
      </w:pPr>
      <w:r>
        <w:rPr>
          <w:rStyle w:val="Funotenzeichen"/>
        </w:rPr>
        <w:footnoteRef/>
      </w:r>
      <w:r>
        <w:rPr>
          <w:i/>
        </w:rPr>
        <w:tab/>
        <w:t>Himmel</w:t>
      </w:r>
      <w:r>
        <w:rPr/>
        <w:t xml:space="preserve"> ist im Hebräischen ein Pluralwort; damit erklärt sich der Plural „Die Himmel“, der in vielen Übersetzungen zu finden ist. Ins Deutsche muss mit Singular übertragen werden.</w:t>
      </w:r>
    </w:p>
  </w:footnote>
  <w:footnote w:id="1994">
    <w:p>
      <w:pPr>
        <w:pStyle w:val="Funote"/>
        <w:rPr/>
      </w:pPr>
      <w:r>
        <w:rPr>
          <w:rStyle w:val="Funotenzeichen"/>
        </w:rPr>
        <w:footnoteRef/>
      </w:r>
      <w:r>
        <w:rPr/>
        <w:tab/>
        <w:t xml:space="preserve">Zur Vorstellung der „Herrlichkeit“ s. die </w:t>
      </w:r>
      <w:hyperlink w:anchor="Anliegen">
        <w:r>
          <w:rPr>
            <w:rStyle w:val="Internetverknpfung"/>
          </w:rPr>
          <w:t>Anmerkungen</w:t>
        </w:r>
      </w:hyperlink>
      <w:r>
        <w:rPr/>
        <w:t>.</w:t>
      </w:r>
    </w:p>
  </w:footnote>
  <w:footnote w:id="1995">
    <w:p>
      <w:pPr>
        <w:pStyle w:val="Funote"/>
        <w:rPr/>
      </w:pPr>
      <w:r>
        <w:rPr>
          <w:rStyle w:val="Funotenzeichen"/>
        </w:rPr>
        <w:footnoteRef/>
      </w:r>
      <w:r>
        <w:rPr/>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996">
    <w:p>
      <w:pPr>
        <w:pStyle w:val="Funote"/>
        <w:rPr/>
      </w:pPr>
      <w:r>
        <w:rPr>
          <w:rStyle w:val="Funotenzeichen"/>
        </w:rPr>
        <w:footnoteRef/>
      </w:r>
      <w:r>
        <w:rPr>
          <w:i/>
        </w:rPr>
        <w:tab/>
        <w:t>das Walten seiner Hände (sein Walten)</w:t>
      </w:r>
      <w:r>
        <w:rPr/>
        <w:t xml:space="preserve"> + </w:t>
      </w:r>
      <w:r>
        <w:rPr>
          <w:i/>
        </w:rPr>
        <w:t>die Reden meines Mundes (mein Reden)</w:t>
      </w:r>
      <w:r>
        <w:rPr/>
        <w:t xml:space="preserve"> + </w:t>
      </w:r>
      <w:r>
        <w:rPr>
          <w:i/>
        </w:rPr>
        <w:t>das sich-Äußern meines Herzens (mein sich-Äußern)</w:t>
      </w:r>
      <w:r>
        <w:rPr/>
        <w:t xml:space="preserve"> + </w:t>
      </w:r>
      <w:r>
        <w:rPr>
          <w:i/>
        </w:rPr>
        <w:t>vor deinem Gesicht (vor dir)</w:t>
      </w:r>
      <w:r>
        <w:rPr/>
        <w:t xml:space="preserve">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w:t>
      </w:r>
      <w:r>
        <w:rPr>
          <w:i/>
        </w:rPr>
        <w:t>Person</w:t>
      </w:r>
      <w:r>
        <w:rPr/>
        <w:t>.</w:t>
      </w:r>
    </w:p>
  </w:footnote>
  <w:footnote w:id="1997">
    <w:p>
      <w:pPr>
        <w:pStyle w:val="Funote"/>
        <w:rPr/>
      </w:pPr>
      <w:r>
        <w:rPr>
          <w:rStyle w:val="Funotenzeichen"/>
        </w:rPr>
        <w:footnoteRef/>
      </w:r>
      <w:r>
        <w:rPr/>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98">
    <w:p>
      <w:pPr>
        <w:pStyle w:val="Funote"/>
        <w:rPr/>
      </w:pPr>
      <w:r>
        <w:rPr>
          <w:rStyle w:val="Funotenzeichen"/>
        </w:rPr>
        <w:footnoteRef/>
      </w:r>
      <w:r>
        <w:rPr/>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99">
    <w:p>
      <w:pPr>
        <w:pStyle w:val="Funote"/>
        <w:rPr/>
      </w:pPr>
      <w:r>
        <w:rPr>
          <w:rStyle w:val="Funotenzeichen"/>
        </w:rPr>
        <w:footnoteRef/>
      </w:r>
      <w:r>
        <w:rPr>
          <w:i/>
        </w:rPr>
        <w:tab/>
        <w:t>Tag für Tag äußert es (Ein Tag äußert gegenüber dem nächsten Tag)</w:t>
      </w:r>
      <w:r>
        <w:rPr/>
        <w:t xml:space="preserve"> + </w:t>
      </w:r>
      <w:r>
        <w:rPr>
          <w:i/>
        </w:rPr>
        <w:t>Nacht für Nacht lehrt es (eine Nacht lehrt der nächsten Nacht)</w:t>
      </w:r>
      <w:r>
        <w:rPr/>
        <w:t xml:space="preserve">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w:t>
        <w:br/>
        <w:t>Theoretisch außerdem möglich: Verben in der 3. Pers. sing. mask. können im Hebräischen auch als impersonale Verben verwendet werden: „</w:t>
      </w:r>
      <w:r>
        <w:rPr>
          <w:i/>
        </w:rPr>
        <w:t>Man</w:t>
      </w:r>
      <w:r>
        <w:rPr/>
        <w:t xml:space="preserve"> äußert“ (vgl. </w:t>
      </w:r>
      <w:hyperlink r:id="rId136">
        <w:r>
          <w:rPr>
            <w:rStyle w:val="Internetverknpfung"/>
          </w:rPr>
          <w:t>GKC §144d</w:t>
        </w:r>
      </w:hyperlink>
      <w:r>
        <w:rPr/>
        <w:t xml:space="preserve">); die Struktur von Vv. 2-3 würde dann der z.B. von </w:t>
      </w:r>
      <w:r>
        <w:fldChar w:fldCharType="begin"/>
      </w:r>
      <w:r>
        <w:rPr>
          <w:rStyle w:val="Internetverknpfung"/>
        </w:rPr>
        <w:instrText> HYPERLINK "../../../../../../../../../wiki/Psalm_8" \l "s2"</w:instrText>
      </w:r>
      <w:r>
        <w:rPr>
          <w:rStyle w:val="Internetverknpfung"/>
        </w:rPr>
        <w:fldChar w:fldCharType="separate"/>
      </w:r>
      <w:r>
        <w:rPr>
          <w:rStyle w:val="Internetverknpfung"/>
        </w:rPr>
        <w:t>Ps 8,2</w:t>
      </w:r>
      <w:r>
        <w:rPr>
          <w:rStyle w:val="Internetverknpfung"/>
        </w:rPr>
        <w:fldChar w:fldCharType="end"/>
      </w:r>
      <w:r>
        <w:rPr/>
        <w:t xml:space="preserve"> entprechen: „Auf der ganzen Erde wirst du verehrt, / im Himmel, da wirst du besungen!“ &lt;-&gt; hier: V. 2: Die Himmel verkünden Gott, V. 3: Auch auf der ganzen Erde spricht man über ihn. So aber m.W. bisher kein Exeget.</w:t>
      </w:r>
    </w:p>
  </w:footnote>
  <w:footnote w:id="2000">
    <w:p>
      <w:pPr>
        <w:pStyle w:val="Funote"/>
        <w:rPr/>
      </w:pPr>
      <w:r>
        <w:rPr>
          <w:rStyle w:val="Funotenzeichen"/>
        </w:rPr>
        <w:footnoteRef/>
      </w:r>
      <w:r>
        <w:rPr>
          <w:i/>
        </w:rPr>
        <w:tab/>
        <w:t>eine Nacht lehrt [der nächsten] Nacht Kenntnis, Nacht für Nacht lehrt man Kenntnis?</w:t>
      </w:r>
      <w:r>
        <w:rPr/>
        <w:t xml:space="preserve"> - s. </w:t>
      </w:r>
      <w:r>
        <w:fldChar w:fldCharType="begin"/>
      </w:r>
      <w:r>
        <w:rPr>
          <w:rStyle w:val="Internetverknpfung"/>
        </w:rPr>
        <w:instrText> HYPERLINK "http://www.offene-bibel.de/wiki/index.php5?title=Psalm_19" \l "note_i"</w:instrText>
      </w:r>
      <w:r>
        <w:rPr>
          <w:rStyle w:val="Internetverknpfung"/>
        </w:rPr>
        <w:fldChar w:fldCharType="separate"/>
      </w:r>
      <w:r>
        <w:rPr>
          <w:rStyle w:val="Internetverknpfung"/>
        </w:rPr>
        <w:t>FN i</w:t>
      </w:r>
      <w:r>
        <w:rPr>
          <w:rStyle w:val="Internetverknpfung"/>
        </w:rPr>
        <w:fldChar w:fldCharType="end"/>
      </w:r>
      <w:r>
        <w:rPr/>
        <w:t>; diese beiden Alternativen sind unwahrscheinlich, aber möglich.</w:t>
      </w:r>
    </w:p>
  </w:footnote>
  <w:footnote w:id="2001">
    <w:p>
      <w:pPr>
        <w:pStyle w:val="Funote"/>
        <w:rPr/>
      </w:pPr>
      <w:r>
        <w:rPr>
          <w:rStyle w:val="Funotenzeichen"/>
        </w:rPr>
        <w:footnoteRef/>
      </w:r>
      <w:r>
        <w:rPr/>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2002">
    <w:p>
      <w:pPr>
        <w:pStyle w:val="Funote"/>
        <w:rPr/>
      </w:pPr>
      <w:r>
        <w:rPr>
          <w:rStyle w:val="Funotenzeichen"/>
        </w:rPr>
        <w:footnoteRef/>
      </w:r>
      <w:r>
        <w:rPr/>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2003">
    <w:p>
      <w:pPr>
        <w:pStyle w:val="Funote"/>
        <w:rPr/>
      </w:pPr>
      <w:r>
        <w:rPr>
          <w:rStyle w:val="Funotenzeichen"/>
        </w:rPr>
        <w:footnoteRef/>
      </w:r>
      <w:r>
        <w:rPr/>
        <w:tab/>
        <w:t>[geht aus] - Brachylogie aus V. 5a.</w:t>
      </w:r>
    </w:p>
  </w:footnote>
  <w:footnote w:id="2004">
    <w:p>
      <w:pPr>
        <w:pStyle w:val="Funote"/>
        <w:rPr/>
      </w:pPr>
      <w:r>
        <w:rPr>
          <w:rStyle w:val="Funotenzeichen"/>
        </w:rPr>
        <w:footnoteRef/>
      </w:r>
      <w:r>
        <w:rPr/>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2005">
    <w:p>
      <w:pPr>
        <w:pStyle w:val="Funote"/>
        <w:rPr/>
      </w:pPr>
      <w:r>
        <w:rPr>
          <w:rStyle w:val="Funotenzeichen"/>
        </w:rPr>
        <w:footnoteRef/>
      </w:r>
      <w:r>
        <w:rPr/>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2006">
    <w:p>
      <w:pPr>
        <w:pStyle w:val="Funote"/>
        <w:rPr/>
      </w:pPr>
      <w:r>
        <w:rPr>
          <w:rStyle w:val="Funotenzeichen"/>
        </w:rPr>
        <w:footnoteRef/>
      </w:r>
      <w:r>
        <w:rPr/>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 Zeile in die Reihe der Texte, die betonen, dass JHWH die Sonne geschaffen habe und ihr übergeordnet sei, um so die Sonne zu depotenzieren.</w:t>
      </w:r>
    </w:p>
  </w:footnote>
  <w:footnote w:id="2007">
    <w:p>
      <w:pPr>
        <w:pStyle w:val="Funote"/>
        <w:rPr/>
      </w:pPr>
      <w:r>
        <w:rPr>
          <w:rStyle w:val="Funotenzeichen"/>
        </w:rPr>
        <w:footnoteRef/>
      </w:r>
      <w:r>
        <w:rPr/>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die Zeile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2008">
    <w:p>
      <w:pPr>
        <w:pStyle w:val="Funote"/>
        <w:rPr/>
      </w:pPr>
      <w:r>
        <w:rPr>
          <w:rStyle w:val="Funotenzeichen"/>
        </w:rPr>
        <w:footnoteRef/>
      </w:r>
      <w:r>
        <w:rPr>
          <w:i/>
        </w:rPr>
        <w:tab/>
        <w:t>Brautzelt (Zelt)</w:t>
      </w:r>
      <w:r>
        <w:rPr/>
        <w:t xml:space="preserve"> - Hierzu s. letzte FN.</w:t>
      </w:r>
    </w:p>
  </w:footnote>
  <w:footnote w:id="2009">
    <w:p>
      <w:pPr>
        <w:pStyle w:val="Funote"/>
        <w:rPr/>
      </w:pPr>
      <w:r>
        <w:rPr>
          <w:rStyle w:val="Funotenzeichen"/>
        </w:rPr>
        <w:footnoteRef/>
      </w:r>
      <w:r>
        <w:rPr/>
        <w:tab/>
        <w:t>freut sich wie ein Held [darüber] (freut sich, wie ein Held [sich darüber freut]) - Wortspiel im Hebräischen: Ebenso, wie in der vorigen Zeile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2010">
    <w:p>
      <w:pPr>
        <w:pStyle w:val="Funote"/>
        <w:rPr/>
      </w:pPr>
      <w:r>
        <w:rPr>
          <w:rStyle w:val="Funotenzeichen"/>
        </w:rPr>
        <w:footnoteRef/>
      </w:r>
      <w:r>
        <w:rPr>
          <w:i/>
        </w:rPr>
        <w:tab/>
        <w:t>Ende</w:t>
      </w:r>
      <w:r>
        <w:rPr/>
        <w:t xml:space="preserve"> - der äußerste Ort der Welt, an dem der Himmel auf den „Pfeilern des Himmels“ aufruht (für eine schöne grafische Darstellung des hebräischen Weltbildes s. </w:t>
      </w:r>
      <w:hyperlink r:id="rId137">
        <w:r>
          <w:rPr>
            <w:rStyle w:val="Internetverknpfung"/>
          </w:rPr>
          <w:t>hier</w:t>
        </w:r>
      </w:hyperlink>
      <w:r>
        <w:rPr/>
        <w:t>). Die Sonne beginnt ihre Reise entlang des Firmaments also am östlichen „Ende des Himmels“ und vollendet ihn am westlichen Ende.</w:t>
      </w:r>
    </w:p>
  </w:footnote>
  <w:footnote w:id="2011">
    <w:p>
      <w:pPr>
        <w:pStyle w:val="Funote"/>
        <w:rPr/>
      </w:pPr>
      <w:r>
        <w:rPr>
          <w:rStyle w:val="Funotenzeichen"/>
        </w:rPr>
        <w:footnoteRef/>
      </w:r>
      <w:r>
        <w:rPr>
          <w:i/>
        </w:rPr>
        <w:tab/>
        <w:t>der Himmel</w:t>
      </w:r>
      <w:r>
        <w:rPr/>
        <w:t xml:space="preserve"> - hierzu vgl. </w:t>
      </w:r>
      <w:r>
        <w:fldChar w:fldCharType="begin"/>
      </w:r>
      <w:r>
        <w:rPr>
          <w:rStyle w:val="Internetverknpfung"/>
        </w:rPr>
        <w:instrText> HYPERLINK "http://www.offene-bibel.de/wiki/index.php5?title=Psalm_19" \l "note_c"</w:instrText>
      </w:r>
      <w:r>
        <w:rPr>
          <w:rStyle w:val="Internetverknpfung"/>
        </w:rPr>
        <w:fldChar w:fldCharType="separate"/>
      </w:r>
      <w:r>
        <w:rPr>
          <w:rStyle w:val="Internetverknpfung"/>
        </w:rPr>
        <w:t>FN c</w:t>
      </w:r>
      <w:r>
        <w:rPr>
          <w:rStyle w:val="Internetverknpfung"/>
        </w:rPr>
        <w:fldChar w:fldCharType="end"/>
      </w:r>
      <w:r>
        <w:rPr/>
        <w:t>.</w:t>
      </w:r>
    </w:p>
  </w:footnote>
  <w:footnote w:id="2012">
    <w:p>
      <w:pPr>
        <w:pStyle w:val="Funote"/>
        <w:rPr/>
      </w:pPr>
      <w:r>
        <w:rPr>
          <w:rStyle w:val="Funotenzeichen"/>
        </w:rPr>
        <w:footnoteRef/>
      </w:r>
      <w:r>
        <w:rPr/>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2013">
    <w:p>
      <w:pPr>
        <w:pStyle w:val="Funote"/>
        <w:spacing w:before="0" w:after="283"/>
        <w:rPr/>
      </w:pPr>
      <w:r>
        <w:rPr>
          <w:rStyle w:val="Funotenzeichen"/>
        </w:rPr>
        <w:footnoteRef/>
      </w:r>
      <w:r>
        <w:rPr>
          <w:i/>
        </w:rPr>
        <w:tab/>
        <w:t>Gesetz</w:t>
      </w:r>
      <w:r>
        <w:rPr/>
        <w:t xml:space="preserve"> + </w:t>
      </w:r>
      <w:r>
        <w:rPr>
          <w:i/>
        </w:rPr>
        <w:t>Gebot</w:t>
      </w:r>
      <w:r>
        <w:rPr/>
        <w:t xml:space="preserve"> + </w:t>
      </w:r>
      <w:r>
        <w:rPr>
          <w:i/>
        </w:rPr>
        <w:t>Weisungen</w:t>
      </w:r>
      <w:r>
        <w:rPr/>
        <w:t xml:space="preserve"> + </w:t>
      </w:r>
      <w:r>
        <w:rPr>
          <w:i/>
        </w:rPr>
        <w:t>Satzung</w:t>
      </w:r>
      <w:r>
        <w:rPr/>
        <w:t xml:space="preserve"> + </w:t>
      </w:r>
      <w:r>
        <w:rPr>
          <w:i/>
        </w:rPr>
        <w:t>Wort</w:t>
      </w:r>
      <w:r>
        <w:rPr/>
        <w:t xml:space="preserve"> + </w:t>
      </w:r>
      <w:r>
        <w:rPr>
          <w:i/>
        </w:rPr>
        <w:t>Rechtssätze</w:t>
      </w:r>
      <w:r>
        <w:rPr/>
        <w:t xml:space="preserve"> - In den Vv. 8-10 stehen fünf Begriffe, die alle in etwa die selbe Bedeutung haben. Programmatisch beginnt die Begriffsreihe mit </w:t>
      </w:r>
      <w:r>
        <w:rPr>
          <w:i/>
        </w:rPr>
        <w:t>torah jhwh</w:t>
      </w:r>
      <w:r>
        <w:rPr/>
        <w:t>,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w:t>
      </w:r>
    </w:p>
    <w:p>
      <w:pPr>
        <w:pStyle w:val="Textkrper"/>
        <w:rPr/>
      </w:pPr>
      <w:r>
        <w:rPr/>
        <w:tab/>
        <w:t xml:space="preserve">V. 8b ist die Rede vom </w:t>
      </w:r>
      <w:r>
        <w:rPr>
          <w:i/>
        </w:rPr>
        <w:t>edut</w:t>
      </w:r>
      <w:r>
        <w:rPr/>
        <w:t xml:space="preserve"> JHWHs, was in der Bibel meist als </w:t>
      </w:r>
      <w:r>
        <w:rPr>
          <w:i/>
        </w:rPr>
        <w:t>terminus technicus</w:t>
      </w:r>
      <w:r>
        <w:rPr/>
        <w:t xml:space="preserve"> für die 10 Gebote fungiert - die Übersetzung „Zeugnisse“, die sich häufig in Üss. findet, ist zwar möglich, hier aber unpassend.</w:t>
        <w:br/>
      </w:r>
      <w:r>
        <w:rPr>
          <w:i/>
        </w:rPr>
        <w:t>piqudim</w:t>
      </w:r>
      <w:r>
        <w:rPr/>
        <w:t xml:space="preserve"> (V. 9a) als Ausdruck für die Anweisungen Gottes findet sich neben unserer Stelle nur in den späten Psalmen 103 (V. </w:t>
      </w:r>
      <w:hyperlink r:id="rId138">
        <w:r>
          <w:rPr>
            <w:rStyle w:val="Internetverknpfung"/>
          </w:rPr>
          <w:t>18</w:t>
        </w:r>
      </w:hyperlink>
      <w:r>
        <w:rPr/>
        <w:t xml:space="preserve">), Ps 111 (V. </w:t>
      </w:r>
      <w:hyperlink r:id="rId139">
        <w:r>
          <w:rPr>
            <w:rStyle w:val="Internetverknpfung"/>
          </w:rPr>
          <w:t>7</w:t>
        </w:r>
      </w:hyperlink>
      <w:r>
        <w:rPr/>
        <w:t xml:space="preserve">) und oft in </w:t>
      </w:r>
      <w:hyperlink r:id="rId140">
        <w:r>
          <w:rPr>
            <w:rStyle w:val="Internetverknpfung"/>
          </w:rPr>
          <w:t>Ps 119</w:t>
        </w:r>
      </w:hyperlink>
      <w:r>
        <w:rPr/>
        <w:t xml:space="preserve">. Auffällig ist, dass das Wort oft zusammen mit </w:t>
      </w:r>
      <w:r>
        <w:rPr>
          <w:i/>
        </w:rPr>
        <w:t>derek</w:t>
      </w:r>
      <w:r>
        <w:rPr/>
        <w:t xml:space="preserve"> („Weg“) steht und als etwas geschildert wird, dem man „folgen“ kann (s. </w:t>
      </w:r>
      <w:hyperlink r:id="rId141">
        <w:r>
          <w:rPr>
            <w:rStyle w:val="Internetverknpfung"/>
          </w:rPr>
          <w:t>Ps 119,15</w:t>
        </w:r>
      </w:hyperlink>
      <w:r>
        <w:rPr/>
        <w:t>.</w:t>
      </w:r>
      <w:hyperlink r:id="rId142">
        <w:r>
          <w:rPr>
            <w:rStyle w:val="Internetverknpfung"/>
          </w:rPr>
          <w:t>27</w:t>
        </w:r>
      </w:hyperlink>
      <w:r>
        <w:rPr/>
        <w:t>.</w:t>
      </w:r>
      <w:hyperlink r:id="rId143">
        <w:r>
          <w:rPr>
            <w:rStyle w:val="Internetverknpfung"/>
          </w:rPr>
          <w:t>45</w:t>
        </w:r>
      </w:hyperlink>
      <w:r>
        <w:rPr/>
        <w:t>.</w:t>
      </w:r>
      <w:hyperlink r:id="rId144">
        <w:r>
          <w:rPr>
            <w:rStyle w:val="Internetverknpfung"/>
          </w:rPr>
          <w:t>104</w:t>
        </w:r>
      </w:hyperlink>
      <w:r>
        <w:rPr/>
        <w:t>.</w:t>
      </w:r>
      <w:hyperlink r:id="rId145">
        <w:r>
          <w:rPr>
            <w:rStyle w:val="Internetverknpfung"/>
          </w:rPr>
          <w:t>110</w:t>
        </w:r>
      </w:hyperlink>
      <w:r>
        <w:rPr/>
        <w:t>.</w:t>
      </w:r>
      <w:hyperlink r:id="rId146">
        <w:r>
          <w:rPr>
            <w:rStyle w:val="Internetverknpfung"/>
          </w:rPr>
          <w:t>128</w:t>
        </w:r>
      </w:hyperlink>
      <w:r>
        <w:rPr/>
        <w:t>) und kontrastiert wird mit Lügen und Betrug (</w:t>
      </w:r>
      <w:hyperlink r:id="rId147">
        <w:r>
          <w:rPr>
            <w:rStyle w:val="Internetverknpfung"/>
          </w:rPr>
          <w:t>Ps 119,69</w:t>
        </w:r>
      </w:hyperlink>
      <w:r>
        <w:rPr/>
        <w:t>.</w:t>
      </w:r>
      <w:hyperlink r:id="rId148">
        <w:r>
          <w:rPr>
            <w:rStyle w:val="Internetverknpfung"/>
          </w:rPr>
          <w:t>78</w:t>
        </w:r>
      </w:hyperlink>
      <w:r>
        <w:rPr/>
        <w:t>.</w:t>
      </w:r>
      <w:hyperlink r:id="rId149">
        <w:r>
          <w:rPr>
            <w:rStyle w:val="Internetverknpfung"/>
          </w:rPr>
          <w:t>104</w:t>
        </w:r>
      </w:hyperlink>
      <w:r>
        <w:rPr/>
        <w:t xml:space="preserve">) - die </w:t>
      </w:r>
      <w:r>
        <w:rPr>
          <w:i/>
        </w:rPr>
        <w:t>piqudim</w:t>
      </w:r>
      <w:r>
        <w:rPr/>
        <w:t xml:space="preserve"> werden vorgestellt als eine Art „gute Wegbeschreibung“ (</w:t>
      </w:r>
      <w:hyperlink r:id="rId150">
        <w:r>
          <w:rPr>
            <w:rStyle w:val="Internetverknpfung"/>
          </w:rPr>
          <w:t>Ps 119,110</w:t>
        </w:r>
      </w:hyperlink>
      <w:r>
        <w:rPr/>
        <w:t>.</w:t>
      </w:r>
      <w:hyperlink r:id="rId151">
        <w:r>
          <w:rPr>
            <w:rStyle w:val="Internetverknpfung"/>
          </w:rPr>
          <w:t>128</w:t>
        </w:r>
      </w:hyperlink>
      <w:r>
        <w:rPr/>
        <w:t xml:space="preserve">!). Diese Vorstellung könnte auch hinter unserer Stelle stehen, denn die </w:t>
      </w:r>
      <w:r>
        <w:rPr>
          <w:i/>
        </w:rPr>
        <w:t>piqudim</w:t>
      </w:r>
      <w:r>
        <w:rPr/>
        <w:t xml:space="preserve"> JHWHs sind </w:t>
      </w:r>
      <w:r>
        <w:rPr>
          <w:i/>
        </w:rPr>
        <w:t>jescharim</w:t>
      </w:r>
      <w:r>
        <w:rPr/>
        <w:t>, „richtig, eben, angenehm zu befolgen“. Will man diese Vorstellung auch in der Übersetzung herauskommen lassen, empfähle sich die Übersetzung „Weisungen“.</w:t>
      </w:r>
    </w:p>
    <w:p>
      <w:pPr>
        <w:pStyle w:val="Textkrper"/>
        <w:spacing w:before="0" w:after="283"/>
        <w:rPr/>
      </w:pPr>
      <w:r>
        <w:rPr/>
        <w:tab/>
        <w:t xml:space="preserve">Die „Satzung“ (9b) und die „Rechtssätze“ (10b) dürften selbsterklärend sein; erwähnenswert ist, dass auch sie meist als satzhafte Vorgaben aufzufassen sind. Zum „Wort JHWHs“ s. </w:t>
      </w:r>
      <w:r>
        <w:rPr>
          <w:i/>
        </w:rPr>
        <w:t>ad loc</w:t>
      </w:r>
      <w:r>
        <w:rPr/>
        <w:t>.</w:t>
      </w:r>
    </w:p>
  </w:footnote>
  <w:footnote w:id="2014">
    <w:p>
      <w:pPr>
        <w:pStyle w:val="Funote"/>
        <w:rPr/>
      </w:pPr>
      <w:r>
        <w:rPr>
          <w:rStyle w:val="Funotenzeichen"/>
        </w:rPr>
        <w:footnoteRef/>
      </w:r>
      <w:r>
        <w:rPr/>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2015">
    <w:p>
      <w:pPr>
        <w:pStyle w:val="Funote"/>
        <w:rPr/>
      </w:pPr>
      <w:r>
        <w:rPr>
          <w:rStyle w:val="Funotenzeichen"/>
        </w:rPr>
        <w:footnoteRef/>
      </w:r>
      <w:r>
        <w:rPr/>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2016">
    <w:p>
      <w:pPr>
        <w:pStyle w:val="Funote"/>
        <w:rPr/>
      </w:pPr>
      <w:r>
        <w:rPr>
          <w:rStyle w:val="Funotenzeichen"/>
        </w:rPr>
        <w:footnoteRef/>
      </w:r>
      <w:r>
        <w:rPr/>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2017">
    <w:p>
      <w:pPr>
        <w:pStyle w:val="Funote"/>
        <w:rPr/>
      </w:pPr>
      <w:r>
        <w:rPr>
          <w:rStyle w:val="Funotenzeichen"/>
        </w:rPr>
        <w:footnoteRef/>
      </w:r>
      <w:r>
        <w:rPr/>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2018">
    <w:p>
      <w:pPr>
        <w:pStyle w:val="Funote"/>
        <w:rPr/>
      </w:pPr>
      <w:r>
        <w:rPr>
          <w:rStyle w:val="Funotenzeichen"/>
        </w:rPr>
        <w:footnoteRef/>
      </w:r>
      <w:r>
        <w:rPr/>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2019">
    <w:p>
      <w:pPr>
        <w:pStyle w:val="Funote"/>
        <w:rPr/>
      </w:pPr>
      <w:r>
        <w:rPr>
          <w:rStyle w:val="Funotenzeichen"/>
        </w:rPr>
        <w:footnoteRef/>
      </w:r>
      <w:r>
        <w:rPr/>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2020">
    <w:p>
      <w:pPr>
        <w:pStyle w:val="Funote"/>
        <w:rPr/>
      </w:pPr>
      <w:r>
        <w:rPr>
          <w:rStyle w:val="Funotenzeichen"/>
        </w:rPr>
        <w:footnoteRef/>
      </w:r>
      <w:r>
        <w:rPr/>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2021">
    <w:p>
      <w:pPr>
        <w:pStyle w:val="Funote"/>
        <w:rPr/>
      </w:pPr>
      <w:r>
        <w:rPr>
          <w:rStyle w:val="Funotenzeichen"/>
        </w:rPr>
        <w:footnoteRef/>
      </w:r>
      <w:r>
        <w:rPr>
          <w:i/>
        </w:rPr>
        <w:tab/>
        <w:t>Wahrheit (wahr)</w:t>
      </w:r>
      <w:r>
        <w:rPr/>
        <w:t xml:space="preserve"> - Subst. verwendet als Adj. (häufig im Heb.); übersetze: „wahr“.</w:t>
      </w:r>
    </w:p>
  </w:footnote>
  <w:footnote w:id="2022">
    <w:p>
      <w:pPr>
        <w:pStyle w:val="Funote"/>
        <w:rPr/>
      </w:pPr>
      <w:r>
        <w:rPr>
          <w:rStyle w:val="Funotenzeichen"/>
        </w:rPr>
        <w:footnoteRef/>
      </w:r>
      <w:r>
        <w:rPr/>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2023">
    <w:p>
      <w:pPr>
        <w:pStyle w:val="Funote"/>
        <w:rPr/>
      </w:pPr>
      <w:r>
        <w:rPr>
          <w:rStyle w:val="Funotenzeichen"/>
        </w:rPr>
        <w:footnoteRef/>
      </w:r>
      <w:r>
        <w:rPr>
          <w:i/>
        </w:rPr>
        <w:tab/>
        <w:t>Honig des Honigs</w:t>
      </w:r>
      <w:r>
        <w:rPr/>
        <w:t xml:space="preserve"> - Der Psalmist verwendet in Vv. 11cd drei verschiedene Wörter mit der Bedeutung „Honig“: „süßer als Honig 1, / ja, als Honig 2 des Honig 3´s“. Diese Konstruktion dient der Intensivierung der gesamten Aussage - ähnlich, wie im häufigen „der Himmel und der Himmel der Himmel“ (</w:t>
      </w:r>
      <w:hyperlink r:id="rId152">
        <w:r>
          <w:rPr>
            <w:rStyle w:val="Internetverknpfung"/>
          </w:rPr>
          <w:t>Dtn 10,14</w:t>
        </w:r>
      </w:hyperlink>
      <w:r>
        <w:rPr/>
        <w:t xml:space="preserve">; </w:t>
      </w:r>
      <w:hyperlink r:id="rId153">
        <w:r>
          <w:rPr>
            <w:rStyle w:val="Internetverknpfung"/>
          </w:rPr>
          <w:t>8,27</w:t>
        </w:r>
      </w:hyperlink>
      <w:r>
        <w:rPr/>
        <w:t xml:space="preserve">; </w:t>
      </w:r>
      <w:hyperlink r:id="rId154">
        <w:r>
          <w:rPr>
            <w:rStyle w:val="Internetverknpfung"/>
          </w:rPr>
          <w:t>2Chr 2,5</w:t>
        </w:r>
      </w:hyperlink>
      <w:r>
        <w:rPr/>
        <w:t xml:space="preserve">; </w:t>
      </w:r>
      <w:hyperlink r:id="rId155">
        <w:r>
          <w:rPr>
            <w:rStyle w:val="Internetverknpfung"/>
          </w:rPr>
          <w:t>6,18</w:t>
        </w:r>
      </w:hyperlink>
      <w:r>
        <w:rPr/>
        <w:t>)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2024">
    <w:p>
      <w:pPr>
        <w:pStyle w:val="Funote"/>
        <w:rPr/>
      </w:pPr>
      <w:r>
        <w:rPr>
          <w:rStyle w:val="Funotenzeichen"/>
        </w:rPr>
        <w:footnoteRef/>
      </w:r>
      <w:r>
        <w:rPr/>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2025">
    <w:p>
      <w:pPr>
        <w:pStyle w:val="Funote"/>
        <w:rPr/>
      </w:pPr>
      <w:r>
        <w:rPr>
          <w:rStyle w:val="Funotenzeichen"/>
        </w:rPr>
        <w:footnoteRef/>
      </w:r>
      <w:r>
        <w:rPr/>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2026">
    <w:p>
      <w:pPr>
        <w:pStyle w:val="Funote"/>
        <w:rPr/>
      </w:pPr>
      <w:r>
        <w:rPr>
          <w:rStyle w:val="Funotenzeichen"/>
        </w:rPr>
        <w:footnoteRef/>
      </w:r>
      <w:r>
        <w:rPr/>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2027">
    <w:p>
      <w:pPr>
        <w:pStyle w:val="Funote"/>
        <w:rPr/>
      </w:pPr>
      <w:r>
        <w:rPr>
          <w:rStyle w:val="Funotenzeichen"/>
        </w:rPr>
        <w:footnoteRef/>
      </w:r>
      <w:r>
        <w:rPr/>
        <w:tab/>
        <w:t>Oder: Die Zeile gibt den wörtlichen Inhalt der Warnung wieder: „Durch sie ... wird auch dein Sklave gewarnt: ‚In ihrer Befolgung liegt reichlich Lohn!‘“.</w:t>
      </w:r>
    </w:p>
  </w:footnote>
  <w:footnote w:id="2028">
    <w:p>
      <w:pPr>
        <w:pStyle w:val="Funote"/>
        <w:rPr/>
      </w:pPr>
      <w:r>
        <w:rPr>
          <w:rStyle w:val="Funotenzeichen"/>
        </w:rPr>
        <w:footnoteRef/>
      </w:r>
      <w:r>
        <w:rPr>
          <w:i/>
        </w:rPr>
        <w:tab/>
        <w:t>[Doch]</w:t>
      </w:r>
      <w:r>
        <w:rPr/>
        <w:t xml:space="preserve"> - Der Zhg. von Vv. 12.13 ist sicher adversativ; das muss man in der LF wohl besser durch die Einfügung eines „Doch“ o.Ä. ausdrücklich machen.</w:t>
      </w:r>
    </w:p>
  </w:footnote>
  <w:footnote w:id="2029">
    <w:p>
      <w:pPr>
        <w:pStyle w:val="Funote"/>
        <w:rPr/>
      </w:pPr>
      <w:r>
        <w:rPr>
          <w:rStyle w:val="Funotenzeichen"/>
        </w:rPr>
        <w:footnoteRef/>
      </w:r>
      <w:r>
        <w:rPr/>
        <w:tab/>
        <w:t>Versehen (versehentliche Fehler) - Bedeutung unsicher (-&gt; Hapax legomenon); vermutlich meint es in etwa das selbe wie das folgende „Verborgene (ungewollte Sünden)“; vgl. z.B. König 1927, S. 104; Kittel 1914, S. 78; Wagner 1999, S. 258; Nel 2004, S. 113f.</w:t>
      </w:r>
    </w:p>
  </w:footnote>
  <w:footnote w:id="2030">
    <w:p>
      <w:pPr>
        <w:pStyle w:val="Funote"/>
        <w:rPr/>
      </w:pPr>
      <w:r>
        <w:rPr>
          <w:rStyle w:val="Funotenzeichen"/>
        </w:rPr>
        <w:footnoteRef/>
      </w:r>
      <w:r>
        <w:rPr/>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2031">
    <w:p>
      <w:pPr>
        <w:pStyle w:val="Funote"/>
        <w:rPr/>
      </w:pPr>
      <w:r>
        <w:rPr>
          <w:rStyle w:val="Funotenzeichen"/>
        </w:rPr>
        <w:footnoteRef/>
      </w:r>
      <w:r>
        <w:rPr>
          <w:i/>
        </w:rPr>
        <w:tab/>
        <w:t>Verborgenen (ungewollte Sünden)</w:t>
      </w:r>
      <w:r>
        <w:rPr/>
        <w:t xml:space="preserve"> ist ein Begriff aus der israelitischen Rechtsterminologie; man bezeichnet damit Vergehen und Sünden, die ein Sünder unwissentlich begangen hat. Vgl. z.B. </w:t>
      </w:r>
      <w:hyperlink r:id="rId156">
        <w:r>
          <w:rPr>
            <w:rStyle w:val="Internetverknpfung"/>
          </w:rPr>
          <w:t>Lev 4</w:t>
        </w:r>
      </w:hyperlink>
      <w:r>
        <w:rPr/>
        <w:t>-</w:t>
      </w:r>
      <w:hyperlink r:id="rId157">
        <w:r>
          <w:rPr>
            <w:rStyle w:val="Internetverknpfung"/>
          </w:rPr>
          <w:t>5</w:t>
        </w:r>
      </w:hyperlink>
      <w:r>
        <w:rPr/>
        <w:t>.</w:t>
      </w:r>
    </w:p>
  </w:footnote>
  <w:footnote w:id="2032">
    <w:p>
      <w:pPr>
        <w:pStyle w:val="Funote"/>
        <w:rPr/>
      </w:pPr>
      <w:r>
        <w:rPr>
          <w:rStyle w:val="Funotenzeichen"/>
        </w:rPr>
        <w:footnoteRef/>
      </w:r>
      <w:r>
        <w:rPr/>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2033">
    <w:p>
      <w:pPr>
        <w:pStyle w:val="Funote"/>
        <w:rPr/>
      </w:pPr>
      <w:r>
        <w:rPr>
          <w:rStyle w:val="Funotenzeichen"/>
        </w:rPr>
        <w:footnoteRef/>
      </w:r>
      <w:r>
        <w:rPr/>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2034">
    <w:p>
      <w:pPr>
        <w:pStyle w:val="Funote"/>
        <w:rPr/>
      </w:pPr>
      <w:r>
        <w:rPr>
          <w:rStyle w:val="Funotenzeichen"/>
        </w:rPr>
        <w:footnoteRef/>
      </w:r>
      <w:r>
        <w:rPr/>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2035">
    <w:p>
      <w:pPr>
        <w:pStyle w:val="Funote"/>
        <w:rPr/>
      </w:pPr>
      <w:r>
        <w:rPr>
          <w:rStyle w:val="Funotenzeichen"/>
        </w:rPr>
        <w:footnoteRef/>
      </w:r>
      <w:r>
        <w:rPr/>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in der zweiten Zeile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2036">
    <w:p>
      <w:pPr>
        <w:pStyle w:val="Funote"/>
        <w:rPr/>
      </w:pPr>
      <w:r>
        <w:rPr>
          <w:rStyle w:val="Funotenzeichen"/>
        </w:rPr>
        <w:footnoteRef/>
      </w:r>
      <w:r>
        <w:rPr/>
        <w:tab/>
        <w:t>[Status: Zuverlässig]</w:t>
      </w:r>
    </w:p>
  </w:footnote>
  <w:footnote w:id="2037">
    <w:p>
      <w:pPr>
        <w:pStyle w:val="Funote"/>
        <w:rPr/>
      </w:pPr>
      <w:r>
        <w:rPr>
          <w:rStyle w:val="Funotenzeichen"/>
        </w:rPr>
        <w:footnoteRef/>
      </w:r>
      <w:r>
        <w:rPr>
          <w:i/>
        </w:rPr>
        <w:tab/>
        <w:t>Chorleiter</w:t>
      </w:r>
      <w:r>
        <w:rPr/>
        <w:t xml:space="preserve"> - Heb. </w:t>
      </w:r>
      <w:r>
        <w:rPr>
          <w:i/>
        </w:rPr>
        <w:t>menatseach</w:t>
      </w:r>
      <w:r>
        <w:rPr/>
        <w:t>; genaue Bedeutung unklar. Die Primärübersetzung „Chorleiter“ ist mehr oder weniger Konvention. S. noch nächste FN.</w:t>
      </w:r>
    </w:p>
  </w:footnote>
  <w:footnote w:id="2038">
    <w:p>
      <w:pPr>
        <w:pStyle w:val="Funote"/>
        <w:rPr/>
      </w:pPr>
      <w:r>
        <w:rPr>
          <w:rStyle w:val="Funotenzeichen"/>
        </w:rPr>
        <w:footnoteRef/>
      </w:r>
      <w:r>
        <w:rPr/>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2039">
    <w:p>
      <w:pPr>
        <w:pStyle w:val="Funote"/>
        <w:rPr/>
      </w:pPr>
      <w:r>
        <w:rPr>
          <w:rStyle w:val="Funotenzeichen"/>
        </w:rPr>
        <w:footnoteRef/>
      </w:r>
      <w:r>
        <w:rPr/>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2040">
    <w:p>
      <w:pPr>
        <w:pStyle w:val="Funote"/>
        <w:rPr/>
      </w:pPr>
      <w:r>
        <w:rPr>
          <w:rStyle w:val="Funotenzeichen"/>
        </w:rPr>
        <w:footnoteRef/>
      </w:r>
      <w:r>
        <w:rPr>
          <w:i/>
        </w:rPr>
        <w:tab/>
        <w:t>Antworten</w:t>
      </w:r>
      <w:r>
        <w:rPr/>
        <w:t xml:space="preserve"> ist in Zhgg. wie diesem fast stets ein stehender Begriff für die Gebetserhörungen Gottes.</w:t>
      </w:r>
    </w:p>
  </w:footnote>
  <w:footnote w:id="2041">
    <w:p>
      <w:pPr>
        <w:pStyle w:val="Funote"/>
        <w:rPr/>
      </w:pPr>
      <w:r>
        <w:rPr>
          <w:rStyle w:val="Funotenzeichen"/>
        </w:rPr>
        <w:footnoteRef/>
      </w:r>
      <w:r>
        <w:rPr/>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2042">
    <w:p>
      <w:pPr>
        <w:pStyle w:val="Funote"/>
        <w:rPr/>
      </w:pPr>
      <w:r>
        <w:rPr>
          <w:rStyle w:val="Funotenzeichen"/>
        </w:rPr>
        <w:footnoteRef/>
      </w:r>
      <w:r>
        <w:rPr/>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2043">
    <w:p>
      <w:pPr>
        <w:pStyle w:val="Funote"/>
        <w:rPr/>
      </w:pPr>
      <w:r>
        <w:rPr>
          <w:rStyle w:val="Funotenzeichen"/>
        </w:rPr>
        <w:footnoteRef/>
      </w:r>
      <w:r>
        <w:rPr/>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2044">
    <w:p>
      <w:pPr>
        <w:pStyle w:val="Funote"/>
        <w:rPr/>
      </w:pPr>
      <w:r>
        <w:rPr>
          <w:rStyle w:val="Funotenzeichen"/>
        </w:rPr>
        <w:footnoteRef/>
      </w:r>
      <w:r>
        <w:rPr>
          <w:i/>
        </w:rPr>
        <w:tab/>
        <w:t>Reißen die Lippe[n] auf, schütteln den Kopf</w:t>
      </w:r>
      <w:r>
        <w:rPr/>
        <w:t xml:space="preserve"> - Zwei Gesten der Verachtung. Zur ersten Geste s. noch </w:t>
      </w:r>
      <w:hyperlink r:id="rId158">
        <w:r>
          <w:rPr>
            <w:rStyle w:val="Internetverknpfung"/>
          </w:rPr>
          <w:t>Ijob 16,10</w:t>
        </w:r>
      </w:hyperlink>
      <w:r>
        <w:rPr/>
        <w:t xml:space="preserve">; </w:t>
      </w:r>
      <w:hyperlink r:id="rId159">
        <w:r>
          <w:rPr>
            <w:rStyle w:val="Internetverknpfung"/>
          </w:rPr>
          <w:t>Ps 35,21</w:t>
        </w:r>
      </w:hyperlink>
      <w:r>
        <w:rPr/>
        <w:t xml:space="preserve">; zur zweiten </w:t>
      </w:r>
      <w:hyperlink r:id="rId160">
        <w:r>
          <w:rPr>
            <w:rStyle w:val="Internetverknpfung"/>
          </w:rPr>
          <w:t>Ps 44,14</w:t>
        </w:r>
      </w:hyperlink>
      <w:r>
        <w:rPr/>
        <w:t xml:space="preserve">; </w:t>
      </w:r>
      <w:hyperlink r:id="rId161">
        <w:r>
          <w:rPr>
            <w:rStyle w:val="Internetverknpfung"/>
          </w:rPr>
          <w:t>64,8</w:t>
        </w:r>
      </w:hyperlink>
      <w:r>
        <w:rPr/>
        <w:t>.</w:t>
      </w:r>
    </w:p>
  </w:footnote>
  <w:footnote w:id="2045">
    <w:p>
      <w:pPr>
        <w:pStyle w:val="Funote"/>
        <w:rPr/>
      </w:pPr>
      <w:r>
        <w:rPr>
          <w:rStyle w:val="Funotenzeichen"/>
        </w:rPr>
        <w:footnoteRef/>
      </w:r>
      <w:r>
        <w:rPr/>
        <w:tab/>
        <w:t>[und spotten:] - das Folgende ist eine Spottrede der der „Leute“, die dem Psalmisten absprechen, dass Gott Wohlgefallen an ihm habe. Vgl. z.B. Gordis 1949, S. 167f.</w:t>
      </w:r>
    </w:p>
  </w:footnote>
  <w:footnote w:id="2046">
    <w:p>
      <w:pPr>
        <w:pStyle w:val="Funote"/>
        <w:rPr/>
      </w:pPr>
      <w:r>
        <w:rPr>
          <w:rStyle w:val="Funotenzeichen"/>
        </w:rPr>
        <w:footnoteRef/>
      </w:r>
      <w:r>
        <w:rPr/>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2047">
    <w:p>
      <w:pPr>
        <w:pStyle w:val="Funote"/>
        <w:rPr/>
      </w:pPr>
      <w:r>
        <w:rPr>
          <w:rStyle w:val="Funotenzeichen"/>
        </w:rPr>
        <w:footnoteRef/>
      </w:r>
      <w:r>
        <w:rPr/>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2048">
    <w:p>
      <w:pPr>
        <w:pStyle w:val="Funote"/>
        <w:rPr/>
      </w:pPr>
      <w:r>
        <w:rPr>
          <w:rStyle w:val="Funotenzeichen"/>
        </w:rPr>
        <w:footnoteRef/>
      </w:r>
      <w:r>
        <w:rPr>
          <w:i/>
        </w:rPr>
        <w:tab/>
        <w:t>aus dem Schoß hervorbrechen ließ</w:t>
      </w:r>
      <w:r>
        <w:rPr/>
        <w:t xml:space="preserve"> - d.h. der bei meiner Geburt Hebammendienst leistete. V. 10 spricht davon, wie Gott sich schon von Geburt an um den Psalmisten kümmerte, V. 11 davon, wie der Psalmist dafür schon von Geburt an Gott tief verbunden war.</w:t>
      </w:r>
    </w:p>
  </w:footnote>
  <w:footnote w:id="2049">
    <w:p>
      <w:pPr>
        <w:pStyle w:val="Funote"/>
        <w:rPr/>
      </w:pPr>
      <w:r>
        <w:rPr>
          <w:rStyle w:val="Funotenzeichen"/>
        </w:rPr>
        <w:footnoteRef/>
      </w:r>
      <w:r>
        <w:rPr/>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2050">
    <w:p>
      <w:pPr>
        <w:pStyle w:val="Funote"/>
        <w:rPr/>
      </w:pPr>
      <w:r>
        <w:rPr>
          <w:rStyle w:val="Funotenzeichen"/>
        </w:rPr>
        <w:footnoteRef/>
      </w:r>
      <w:r>
        <w:rPr/>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2051">
    <w:p>
      <w:pPr>
        <w:pStyle w:val="Funote"/>
        <w:rPr/>
      </w:pPr>
      <w:r>
        <w:rPr>
          <w:rStyle w:val="Funotenzeichen"/>
        </w:rPr>
        <w:footnoteRef/>
      </w:r>
      <w:r>
        <w:rPr>
          <w:i/>
        </w:rPr>
        <w:tab/>
        <w:t>Enge (Bedrängnis) ist nahe</w:t>
      </w:r>
      <w:r>
        <w:rPr/>
        <w:t xml:space="preserve"> - dazu s. </w:t>
      </w:r>
      <w:r>
        <w:fldChar w:fldCharType="begin"/>
      </w:r>
      <w:r>
        <w:rPr>
          <w:rStyle w:val="Internetverknpfung"/>
        </w:rPr>
        <w:instrText> HYPERLINK "../../../../../../../../../wiki/Psalm_4" \l "s2"</w:instrText>
      </w:r>
      <w:r>
        <w:rPr>
          <w:rStyle w:val="Internetverknpfung"/>
        </w:rPr>
        <w:fldChar w:fldCharType="separate"/>
      </w:r>
      <w:r>
        <w:rPr>
          <w:rStyle w:val="Internetverknpfung"/>
        </w:rPr>
        <w:t>Ps 4,2</w:t>
      </w:r>
      <w:r>
        <w:rPr>
          <w:rStyle w:val="Internetverknpfung"/>
        </w:rPr>
        <w:fldChar w:fldCharType="end"/>
      </w:r>
      <w:r>
        <w:rPr/>
        <w:t xml:space="preserve"> (dazu </w:t>
      </w:r>
      <w:r>
        <w:fldChar w:fldCharType="begin"/>
      </w:r>
      <w:r>
        <w:rPr>
          <w:rStyle w:val="Internetverknpfung"/>
        </w:rPr>
        <w:instrText> HYPERLINK "http://offene-bibel.de/wiki/Psalm_4" \l "note_f"</w:instrText>
      </w:r>
      <w:r>
        <w:rPr>
          <w:rStyle w:val="Internetverknpfung"/>
        </w:rPr>
        <w:fldChar w:fldCharType="separate"/>
      </w:r>
      <w:r>
        <w:rPr>
          <w:rStyle w:val="Internetverknpfung"/>
        </w:rPr>
        <w:t>FN f</w:t>
      </w:r>
      <w:r>
        <w:rPr>
          <w:rStyle w:val="Internetverknpfung"/>
        </w:rPr>
        <w:fldChar w:fldCharType="end"/>
      </w:r>
      <w:r>
        <w:rPr/>
        <w:t xml:space="preserve">); </w:t>
      </w:r>
      <w:hyperlink r:id="rId162">
        <w:r>
          <w:rPr>
            <w:rStyle w:val="Internetverknpfung"/>
          </w:rPr>
          <w:t>25,17</w:t>
        </w:r>
      </w:hyperlink>
      <w:r>
        <w:rPr/>
        <w:t xml:space="preserve">: Not wird in der Bibel des Öfteren mit der Metapher des Beengt-seins ausgedrückt. Hier gleich doppelt: „die </w:t>
      </w:r>
      <w:r>
        <w:rPr>
          <w:i/>
        </w:rPr>
        <w:t>Enge</w:t>
      </w:r>
      <w:r>
        <w:rPr/>
        <w:t xml:space="preserve"> ist </w:t>
      </w:r>
      <w:r>
        <w:rPr>
          <w:i/>
        </w:rPr>
        <w:t>nahe</w:t>
      </w:r>
      <w:r>
        <w:rPr/>
        <w:t>“ - ganz im Gegensatz zum „fernen“ Gott, der den Psalmisten verlassen hat.</w:t>
      </w:r>
    </w:p>
  </w:footnote>
  <w:footnote w:id="2052">
    <w:p>
      <w:pPr>
        <w:pStyle w:val="Funote"/>
        <w:rPr/>
      </w:pPr>
      <w:r>
        <w:rPr>
          <w:rStyle w:val="Funotenzeichen"/>
        </w:rPr>
        <w:footnoteRef/>
      </w:r>
      <w:r>
        <w:rPr>
          <w:i/>
        </w:rPr>
        <w:tab/>
        <w:t>Baschan[stiere]</w:t>
      </w:r>
      <w:r>
        <w:rPr/>
        <w:t xml:space="preserve"> - Baschan war eine äußerst fruchtbare Region; die „</w:t>
      </w:r>
      <w:r>
        <w:rPr>
          <w:i/>
        </w:rPr>
        <w:t>Baschan</w:t>
      </w:r>
      <w:r>
        <w:rPr/>
        <w:t xml:space="preserve">stiere“ sind daher hier noch mal als Steigerung der bloßen „Stiere“ erwähnt: als besonders gut genährte und daher besonders gefährliche Vertreter ihrer Art. Vgl. </w:t>
      </w:r>
      <w:r>
        <w:fldChar w:fldCharType="begin"/>
      </w:r>
      <w:r>
        <w:rPr>
          <w:rStyle w:val="Internetverknpfung"/>
        </w:rPr>
        <w:instrText> HYPERLINK "../../../../../../../../../wiki/Deuteronomium_32" \l "s14"</w:instrText>
      </w:r>
      <w:r>
        <w:rPr>
          <w:rStyle w:val="Internetverknpfung"/>
        </w:rPr>
        <w:fldChar w:fldCharType="separate"/>
      </w:r>
      <w:r>
        <w:rPr>
          <w:rStyle w:val="Internetverknpfung"/>
        </w:rPr>
        <w:t>Dtn 32,14</w:t>
      </w:r>
      <w:r>
        <w:rPr>
          <w:rStyle w:val="Internetverknpfung"/>
        </w:rPr>
        <w:fldChar w:fldCharType="end"/>
      </w:r>
      <w:r>
        <w:rPr/>
        <w:t xml:space="preserve"> und </w:t>
      </w:r>
      <w:hyperlink r:id="rId163">
        <w:r>
          <w:rPr>
            <w:rStyle w:val="Internetverknpfung"/>
          </w:rPr>
          <w:t>Ez 39,18</w:t>
        </w:r>
      </w:hyperlink>
      <w:r>
        <w:rPr/>
        <w:t xml:space="preserve">, wo die „Baschanstiere“ als besonders nahrhafte Vertreter ihrer Art genannt werden, und </w:t>
      </w:r>
      <w:r>
        <w:fldChar w:fldCharType="begin"/>
      </w:r>
      <w:r>
        <w:rPr>
          <w:rStyle w:val="Internetverknpfung"/>
        </w:rPr>
        <w:instrText> HYPERLINK "../../../../../../../../../wiki/Amos_4" \l "s1"</w:instrText>
      </w:r>
      <w:r>
        <w:rPr>
          <w:rStyle w:val="Internetverknpfung"/>
        </w:rPr>
        <w:fldChar w:fldCharType="separate"/>
      </w:r>
      <w:r>
        <w:rPr>
          <w:rStyle w:val="Internetverknpfung"/>
        </w:rPr>
        <w:t>Am 4,1</w:t>
      </w:r>
      <w:r>
        <w:rPr>
          <w:rStyle w:val="Internetverknpfung"/>
        </w:rPr>
        <w:fldChar w:fldCharType="end"/>
      </w:r>
      <w:r>
        <w:rPr/>
        <w:t>, wo sie gar zur Metapher für trinkfreudige Bonzen werden.</w:t>
      </w:r>
    </w:p>
  </w:footnote>
  <w:footnote w:id="2053">
    <w:p>
      <w:pPr>
        <w:pStyle w:val="Funote"/>
        <w:rPr/>
      </w:pPr>
      <w:r>
        <w:rPr>
          <w:rStyle w:val="Funotenzeichen"/>
        </w:rPr>
        <w:footnoteRef/>
      </w:r>
      <w:r>
        <w:rPr>
          <w:i/>
        </w:rPr>
        <w:tab/>
        <w:t>reißende, brüllende Löwen ([wie] ein reißender, brüllender Löwe)</w:t>
      </w:r>
      <w:r>
        <w:rPr/>
        <w:t xml:space="preserve"> steht im heb. Text im Sg. Viele denken daher, dass Subjekt des „Maul-Aufsperrens“ die (selbst schon metaphorischen) Baschanstiere wären, die danach noch einmal mit dem Vergleich „[wie] ein Löwe“ näher spezifiziert würden. Wahrscheinlicher ist, dass </w:t>
      </w:r>
      <w:r>
        <w:rPr>
          <w:i/>
        </w:rPr>
        <w:t>Löwe</w:t>
      </w:r>
      <w:r>
        <w:rPr/>
        <w:t xml:space="preserve"> hier ein sog. „kollektiver Singular“ mit Pluralbedeutung ist und als ein solcher mit dem Pluralverb „</w:t>
      </w:r>
      <w:r>
        <w:rPr>
          <w:i/>
        </w:rPr>
        <w:t>sie</w:t>
      </w:r>
      <w:r>
        <w:rPr/>
        <w:t xml:space="preserve"> sperr</w:t>
      </w:r>
      <w:r>
        <w:rPr>
          <w:i/>
        </w:rPr>
        <w:t>en ihr</w:t>
      </w:r>
      <w:r>
        <w:rPr/>
        <w:t xml:space="preserve"> Maul gegen mich auf“ konstruiert wird.</w:t>
        <w:br/>
        <w:t>Das „Maul-aufsperren“ ist hier nicht wie in V. 8 als Spottgeste zu verstehen, sondern wörtlich als Bild für die von den Löwen ausgehende Gefahr.</w:t>
      </w:r>
    </w:p>
  </w:footnote>
  <w:footnote w:id="2054">
    <w:p>
      <w:pPr>
        <w:pStyle w:val="Funote"/>
        <w:rPr/>
      </w:pPr>
      <w:r>
        <w:rPr>
          <w:rStyle w:val="Funotenzeichen"/>
        </w:rPr>
        <w:footnoteRef/>
      </w:r>
      <w:r>
        <w:rPr>
          <w:i/>
        </w:rPr>
        <w:tab/>
        <w:t>{</w:t>
      </w:r>
      <w:r>
        <w:rPr>
          <w:i/>
          <w:strike/>
        </w:rPr>
        <w:t>das</w:t>
      </w:r>
      <w:r>
        <w:rPr>
          <w:i/>
        </w:rPr>
        <w:t>}</w:t>
      </w:r>
      <w:r>
        <w:rPr/>
        <w:t xml:space="preserve"> (V. 15); </w:t>
      </w:r>
      <w:r>
        <w:rPr>
          <w:i/>
        </w:rPr>
        <w:t>{</w:t>
      </w:r>
      <w:r>
        <w:rPr>
          <w:i/>
          <w:strike/>
        </w:rPr>
        <w:t>der</w:t>
      </w:r>
      <w:r>
        <w:rPr>
          <w:i/>
        </w:rPr>
        <w:t>} [ein]</w:t>
      </w:r>
      <w:r>
        <w:rPr/>
        <w:t xml:space="preserve"> (V. 17) - Vergleiche werden im Heb. häufig auch dort mit best. Artikel konstruiert, wo das Dt. einen unbest. Artikel verwenden würde.</w:t>
      </w:r>
    </w:p>
  </w:footnote>
  <w:footnote w:id="2055">
    <w:p>
      <w:pPr>
        <w:pStyle w:val="Funote"/>
        <w:rPr/>
      </w:pPr>
      <w:r>
        <w:rPr>
          <w:rStyle w:val="Funotenzeichen"/>
        </w:rPr>
        <w:footnoteRef/>
      </w:r>
      <w:r>
        <w:rPr/>
        <w:tab/>
        <w:t>Eine Reihe starker Metaphern zur Beschreibung der Not: Aus lauter Furcht verflüssigt sich der Psalmist regelrecht.</w:t>
      </w:r>
    </w:p>
  </w:footnote>
  <w:footnote w:id="2056">
    <w:p>
      <w:pPr>
        <w:pStyle w:val="Funote"/>
        <w:rPr/>
      </w:pPr>
      <w:r>
        <w:rPr>
          <w:rStyle w:val="Funotenzeichen"/>
        </w:rPr>
        <w:footnoteRef/>
      </w:r>
      <w:r>
        <w:rPr/>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2057">
    <w:p>
      <w:pPr>
        <w:pStyle w:val="Funote"/>
        <w:rPr/>
      </w:pPr>
      <w:r>
        <w:rPr>
          <w:rStyle w:val="Funotenzeichen"/>
        </w:rPr>
        <w:footnoteRef/>
      </w:r>
      <w:r>
        <w:rPr/>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2058">
    <w:p>
      <w:pPr>
        <w:pStyle w:val="Funote"/>
        <w:rPr/>
      </w:pPr>
      <w:r>
        <w:rPr>
          <w:rStyle w:val="Funotenzeichen"/>
        </w:rPr>
        <w:footnoteRef/>
      </w:r>
      <w:r>
        <w:rPr/>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2059">
    <w:p>
      <w:pPr>
        <w:pStyle w:val="Funote"/>
        <w:rPr/>
      </w:pPr>
      <w:r>
        <w:rPr>
          <w:rStyle w:val="Funotenzeichen"/>
        </w:rPr>
        <w:footnoteRef/>
      </w:r>
      <w:r>
        <w:rPr>
          <w:i/>
        </w:rPr>
        <w:tab/>
        <w:t>Aufgegraben sind ([wie] ein Löwe, gebunden sind)</w:t>
      </w:r>
      <w:r>
        <w:rPr/>
        <w:t xml:space="preserve"> - zu diesen Alternativen s. die nächste FN.</w:t>
      </w:r>
    </w:p>
  </w:footnote>
  <w:footnote w:id="2060">
    <w:p>
      <w:pPr>
        <w:pStyle w:val="Funote"/>
        <w:rPr/>
      </w:pPr>
      <w:r>
        <w:rPr>
          <w:rStyle w:val="Funotenzeichen"/>
        </w:rPr>
        <w:footnoteRef/>
      </w:r>
      <w:r>
        <w:rPr/>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wird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2061">
    <w:p>
      <w:pPr>
        <w:pStyle w:val="Funote"/>
        <w:rPr/>
      </w:pPr>
      <w:r>
        <w:rPr>
          <w:rStyle w:val="Funotenzeichen"/>
        </w:rPr>
        <w:footnoteRef/>
      </w:r>
      <w:r>
        <w:rPr/>
        <w:tab/>
        <w:t>Das Aufteilen der Kleidung ist wohl eine Anspielung auf eine Hinrichtungsszene, s. Mk 15,24 parr., Sanh 6,3; vgl. Deissler 1981, S. 111. Der Psalmist schwebt in unmittelbarer Todesgefahr.</w:t>
      </w:r>
    </w:p>
  </w:footnote>
  <w:footnote w:id="2062">
    <w:p>
      <w:pPr>
        <w:pStyle w:val="Funote"/>
        <w:rPr/>
      </w:pPr>
      <w:r>
        <w:rPr>
          <w:rStyle w:val="Funotenzeichen"/>
        </w:rPr>
        <w:footnoteRef/>
      </w:r>
      <w:r>
        <w:rPr/>
        <w:tab/>
        <w:t xml:space="preserve">Zu </w:t>
      </w:r>
      <w:r>
        <w:rPr>
          <w:i/>
        </w:rPr>
        <w:t>sei nicht fern</w:t>
      </w:r>
      <w:r>
        <w:rPr/>
        <w:t xml:space="preserve"> s.o. </w:t>
      </w:r>
      <w:r>
        <w:fldChar w:fldCharType="begin"/>
      </w:r>
      <w:r>
        <w:rPr>
          <w:rStyle w:val="Internetverknpfung"/>
        </w:rPr>
        <w:instrText> HYPERLINK "http://offene-bibel.de/wiki/Psalm_22" \l "note_c"</w:instrText>
      </w:r>
      <w:r>
        <w:rPr>
          <w:rStyle w:val="Internetverknpfung"/>
        </w:rPr>
        <w:fldChar w:fldCharType="separate"/>
      </w:r>
      <w:r>
        <w:rPr>
          <w:rStyle w:val="Internetverknpfung"/>
        </w:rPr>
        <w:t>FN c</w:t>
      </w:r>
      <w:r>
        <w:rPr>
          <w:rStyle w:val="Internetverknpfung"/>
        </w:rPr>
        <w:fldChar w:fldCharType="end"/>
      </w:r>
      <w:r>
        <w:rPr/>
        <w:t>.</w:t>
      </w:r>
    </w:p>
  </w:footnote>
  <w:footnote w:id="2063">
    <w:p>
      <w:pPr>
        <w:pStyle w:val="Funote"/>
        <w:rPr/>
      </w:pPr>
      <w:r>
        <w:rPr>
          <w:rStyle w:val="Funotenzeichen"/>
        </w:rPr>
        <w:footnoteRef/>
      </w:r>
      <w:r>
        <w:rPr/>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2064">
    <w:p>
      <w:pPr>
        <w:pStyle w:val="Funote"/>
        <w:rPr/>
      </w:pPr>
      <w:r>
        <w:rPr>
          <w:rStyle w:val="Funotenzeichen"/>
        </w:rPr>
        <w:footnoteRef/>
      </w:r>
      <w:r>
        <w:rPr>
          <w:i/>
        </w:rPr>
        <w:tab/>
        <w:t>der Hunde</w:t>
      </w:r>
      <w:r>
        <w:rPr/>
        <w:t xml:space="preserve"> - W. „des Hundes“, kollektiver Sg. mit Pl.-Bed.</w:t>
      </w:r>
    </w:p>
  </w:footnote>
  <w:footnote w:id="2065">
    <w:p>
      <w:pPr>
        <w:pStyle w:val="Funote"/>
        <w:rPr/>
      </w:pPr>
      <w:r>
        <w:rPr>
          <w:rStyle w:val="Funotenzeichen"/>
        </w:rPr>
        <w:footnoteRef/>
      </w:r>
      <w:r>
        <w:rPr>
          <w:i/>
        </w:rPr>
        <w:tab/>
        <w:t>Einzige</w:t>
      </w:r>
      <w:r>
        <w:rPr/>
        <w:t xml:space="preserve"> - wohl poet. Wechselbegriff für „Leben“, s. ebenso </w:t>
      </w:r>
      <w:hyperlink r:id="rId164">
        <w:r>
          <w:rPr>
            <w:rStyle w:val="Internetverknpfung"/>
          </w:rPr>
          <w:t>Ps 35,17</w:t>
        </w:r>
      </w:hyperlink>
      <w:r>
        <w:rPr/>
        <w:t>.</w:t>
      </w:r>
    </w:p>
  </w:footnote>
  <w:footnote w:id="2066">
    <w:p>
      <w:pPr>
        <w:pStyle w:val="Funote"/>
        <w:rPr/>
      </w:pPr>
      <w:r>
        <w:rPr>
          <w:rStyle w:val="Funotenzeichen"/>
        </w:rPr>
        <w:footnoteRef/>
      </w:r>
      <w:r>
        <w:rPr>
          <w:i/>
        </w:rPr>
        <w:tab/>
        <w:t>der Löwen</w:t>
      </w:r>
      <w:r>
        <w:rPr/>
        <w:t xml:space="preserve"> - W. „des Löwen“, kollektiver Sg. mit Pl.-Bed.</w:t>
      </w:r>
    </w:p>
  </w:footnote>
  <w:footnote w:id="2067">
    <w:p>
      <w:pPr>
        <w:pStyle w:val="Funote"/>
        <w:rPr/>
      </w:pPr>
      <w:r>
        <w:rPr>
          <w:rStyle w:val="Funotenzeichen"/>
        </w:rPr>
        <w:footnoteRef/>
      </w:r>
      <w:r>
        <w:rPr/>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2068">
    <w:p>
      <w:pPr>
        <w:pStyle w:val="Funote"/>
        <w:rPr/>
      </w:pPr>
      <w:r>
        <w:rPr>
          <w:rStyle w:val="Funotenzeichen"/>
        </w:rPr>
        <w:footnoteRef/>
      </w:r>
      <w:r>
        <w:rPr/>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2069">
    <w:p>
      <w:pPr>
        <w:pStyle w:val="Funote"/>
        <w:rPr/>
      </w:pPr>
      <w:r>
        <w:rPr>
          <w:rStyle w:val="Funotenzeichen"/>
        </w:rPr>
        <w:footnoteRef/>
      </w:r>
      <w:r>
        <w:rPr/>
        <w:tab/>
        <w:t>Es folgt eine „Probe der Rede, ... welche der Dichter nach V. 23 zum Ruhme JHVHes im Verein seiner Gesinnungsgenossen halten will, wenn er ihn aus seiner Not gerettet hat.“ (Ehrlich 1905, S. 47)</w:t>
      </w:r>
    </w:p>
  </w:footnote>
  <w:footnote w:id="2070">
    <w:p>
      <w:pPr>
        <w:pStyle w:val="Funote"/>
        <w:rPr/>
      </w:pPr>
      <w:r>
        <w:rPr>
          <w:rStyle w:val="Funotenzeichen"/>
        </w:rPr>
        <w:footnoteRef/>
      </w:r>
      <w:r>
        <w:rPr>
          <w:i/>
        </w:rPr>
        <w:tab/>
        <w:t>Nachkommen Jakobs</w:t>
      </w:r>
      <w:r>
        <w:rPr/>
        <w:t xml:space="preserve"> - Häufiger Wechselbegriff für die „Israeliten“, die Nachfahren ihres Stammvaters Jakob/Israel (vgl. </w:t>
      </w:r>
      <w:r>
        <w:fldChar w:fldCharType="begin"/>
      </w:r>
      <w:r>
        <w:rPr>
          <w:rStyle w:val="Internetverknpfung"/>
        </w:rPr>
        <w:instrText> HYPERLINK "https://www.bibelwissenschaft.de/stichwort/22151/" \l "h3"</w:instrText>
      </w:r>
      <w:r>
        <w:rPr>
          <w:rStyle w:val="Internetverknpfung"/>
        </w:rPr>
        <w:fldChar w:fldCharType="separate"/>
      </w:r>
      <w:r>
        <w:rPr>
          <w:rStyle w:val="Internetverknpfung"/>
        </w:rPr>
        <w:t>Jakob (WiBiLex)</w:t>
      </w:r>
      <w:r>
        <w:rPr>
          <w:rStyle w:val="Internetverknpfung"/>
        </w:rPr>
        <w:fldChar w:fldCharType="end"/>
      </w:r>
      <w:r>
        <w:rPr/>
        <w:t>).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2071">
    <w:p>
      <w:pPr>
        <w:pStyle w:val="Funote"/>
        <w:rPr/>
      </w:pPr>
      <w:r>
        <w:rPr>
          <w:rStyle w:val="Funotenzeichen"/>
        </w:rPr>
        <w:footnoteRef/>
      </w:r>
      <w:r>
        <w:rPr>
          <w:i/>
        </w:rPr>
        <w:tab/>
        <w:t>Erschauert</w:t>
      </w:r>
      <w:r>
        <w:rPr/>
        <w:t>, nämlich in Ehrfurcht.</w:t>
      </w:r>
    </w:p>
  </w:footnote>
  <w:footnote w:id="2072">
    <w:p>
      <w:pPr>
        <w:pStyle w:val="Funote"/>
        <w:rPr/>
      </w:pPr>
      <w:r>
        <w:rPr>
          <w:rStyle w:val="Funotenzeichen"/>
        </w:rPr>
        <w:footnoteRef/>
      </w:r>
      <w:r>
        <w:rPr/>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2073">
    <w:p>
      <w:pPr>
        <w:pStyle w:val="Funote"/>
        <w:rPr/>
      </w:pPr>
      <w:r>
        <w:rPr>
          <w:rStyle w:val="Funotenzeichen"/>
        </w:rPr>
        <w:footnoteRef/>
      </w:r>
      <w:r>
        <w:rPr/>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2074">
    <w:p>
      <w:pPr>
        <w:pStyle w:val="Funote"/>
        <w:rPr/>
      </w:pPr>
      <w:r>
        <w:rPr>
          <w:rStyle w:val="Funotenzeichen"/>
        </w:rPr>
        <w:footnoteRef/>
      </w:r>
      <w:r>
        <w:rPr/>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2075">
    <w:p>
      <w:pPr>
        <w:pStyle w:val="Funote"/>
        <w:rPr/>
      </w:pPr>
      <w:r>
        <w:rPr>
          <w:rStyle w:val="Funotenzeichen"/>
        </w:rPr>
        <w:footnoteRef/>
      </w:r>
      <w:r>
        <w:rPr/>
        <w:tab/>
        <w:t>Elende - urspr. Bed. d. Wortes: »elend, arm«; in späteren bib. Texten auch ein terminus technicus für JHWH-Verehrer. Diese beiden Bedd. lassen sich oft nicht völlig trennen; auch hier ist wohl beides gemeint.</w:t>
      </w:r>
    </w:p>
  </w:footnote>
  <w:footnote w:id="2076">
    <w:p>
      <w:pPr>
        <w:pStyle w:val="Funote"/>
        <w:rPr/>
      </w:pPr>
      <w:r>
        <w:rPr>
          <w:rStyle w:val="Funotenzeichen"/>
        </w:rPr>
        <w:footnoteRef/>
      </w:r>
      <w:r>
        <w:rPr/>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2077">
    <w:p>
      <w:pPr>
        <w:pStyle w:val="Funote"/>
        <w:rPr/>
      </w:pPr>
      <w:r>
        <w:rPr>
          <w:rStyle w:val="Funotenzeichen"/>
        </w:rPr>
        <w:footnoteRef/>
      </w:r>
      <w:r>
        <w:rPr/>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2078">
    <w:p>
      <w:pPr>
        <w:pStyle w:val="Funote"/>
        <w:rPr/>
      </w:pPr>
      <w:r>
        <w:rPr>
          <w:rStyle w:val="Funotenzeichen"/>
        </w:rPr>
        <w:footnoteRef/>
      </w:r>
      <w:r>
        <w:rPr/>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2079">
    <w:p>
      <w:pPr>
        <w:pStyle w:val="Funote"/>
        <w:rPr/>
      </w:pPr>
      <w:r>
        <w:rPr>
          <w:rStyle w:val="Funotenzeichen"/>
        </w:rPr>
        <w:footnoteRef/>
      </w:r>
      <w:r>
        <w:rPr>
          <w:i/>
        </w:rPr>
        <w:tab/>
        <w:t>Alle Enden der Erde</w:t>
      </w:r>
      <w:r>
        <w:rPr/>
        <w:t xml:space="preserve"> = „die ganze Welt“.</w:t>
      </w:r>
    </w:p>
  </w:footnote>
  <w:footnote w:id="2080">
    <w:p>
      <w:pPr>
        <w:pStyle w:val="Funote"/>
        <w:rPr/>
      </w:pPr>
      <w:r>
        <w:rPr>
          <w:rStyle w:val="Funotenzeichen"/>
        </w:rPr>
        <w:footnoteRef/>
      </w:r>
      <w:r>
        <w:rPr/>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2081">
    <w:p>
      <w:pPr>
        <w:pStyle w:val="Funote"/>
        <w:rPr/>
      </w:pPr>
      <w:r>
        <w:rPr>
          <w:rStyle w:val="Funotenzeichen"/>
        </w:rPr>
        <w:footnoteRef/>
      </w:r>
      <w:r>
        <w:rPr>
          <w:i/>
        </w:rPr>
        <w:tab/>
        <w:t>[mit den Worten]</w:t>
      </w:r>
      <w:r>
        <w:rPr/>
        <w:t xml:space="preserve"> - Auch V. 29 ist wahrscheinlich ein Zitat; hier das Zitat von „allen Sippen der Völker“, die damit Gott als rechtmäßigen Herrscher über die Völker anerkennen. Das </w:t>
      </w:r>
      <w:r>
        <w:rPr>
          <w:i/>
        </w:rPr>
        <w:t>ki</w:t>
      </w:r>
      <w:r>
        <w:rPr/>
        <w:t xml:space="preserve"> („Ja!“, „denn“) ist dann wohl ein sog. „</w:t>
      </w:r>
      <w:r>
        <w:rPr>
          <w:i/>
        </w:rPr>
        <w:t>ki</w:t>
      </w:r>
      <w:r>
        <w:rPr/>
        <w:t xml:space="preserve"> recitativum“ und dient genau dem Zweck, das folgende als wörtliche Rede zu markieren.</w:t>
      </w:r>
    </w:p>
  </w:footnote>
  <w:footnote w:id="2082">
    <w:p>
      <w:pPr>
        <w:pStyle w:val="Funote"/>
        <w:rPr/>
      </w:pPr>
      <w:r>
        <w:rPr>
          <w:rStyle w:val="Funotenzeichen"/>
        </w:rPr>
        <w:footnoteRef/>
      </w:r>
      <w:r>
        <w:rPr/>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2083">
    <w:p>
      <w:pPr>
        <w:pStyle w:val="Funote"/>
        <w:rPr/>
      </w:pPr>
      <w:r>
        <w:rPr>
          <w:rStyle w:val="Funotenzeichen"/>
        </w:rPr>
        <w:footnoteRef/>
      </w:r>
      <w:r>
        <w:rPr>
          <w:i/>
        </w:rPr>
        <w:tab/>
        <w:t>seinem Gesicht</w:t>
      </w:r>
      <w:r>
        <w:rPr/>
        <w:t xml:space="preserve"> - d.h. „vor ihm“.</w:t>
      </w:r>
    </w:p>
  </w:footnote>
  <w:footnote w:id="2084">
    <w:p>
      <w:pPr>
        <w:pStyle w:val="Funote"/>
        <w:rPr/>
      </w:pPr>
      <w:r>
        <w:rPr>
          <w:rStyle w:val="Funotenzeichen"/>
        </w:rPr>
        <w:footnoteRef/>
      </w:r>
      <w:r>
        <w:rPr/>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2085">
    <w:p>
      <w:pPr>
        <w:pStyle w:val="Funote"/>
        <w:rPr/>
      </w:pPr>
      <w:r>
        <w:rPr>
          <w:rStyle w:val="Funotenzeichen"/>
        </w:rPr>
        <w:footnoteRef/>
      </w:r>
      <w:r>
        <w:rPr/>
        <w:tab/>
        <w:t>Textkritik: W. „sie werden kommen“; das Wort gehört wie in der LXX noch zum letzten Vers („der Generation, [die noch kommen wird]“); so fast alle Exegeten; eine neuere Ausnahme z.B. Houston/Waltke 2010, S. 396.</w:t>
      </w:r>
    </w:p>
  </w:footnote>
  <w:footnote w:id="2086">
    <w:p>
      <w:pPr>
        <w:pStyle w:val="Funote"/>
        <w:rPr/>
      </w:pPr>
      <w:r>
        <w:rPr>
          <w:rStyle w:val="Funotenzeichen"/>
        </w:rPr>
        <w:footnoteRef/>
      </w:r>
      <w:r>
        <w:rPr/>
        <w:tab/>
        <w:t>[Status: Sehr gut]</w:t>
      </w:r>
    </w:p>
  </w:footnote>
  <w:footnote w:id="2087">
    <w:p>
      <w:pPr>
        <w:pStyle w:val="Funote"/>
        <w:rPr/>
      </w:pPr>
      <w:r>
        <w:rPr>
          <w:rStyle w:val="Funotenzeichen"/>
        </w:rPr>
        <w:footnoteRef/>
      </w:r>
      <w:r>
        <w:rPr/>
        <w:tab/>
        <w:t>E. Zenger übersetzt in seinem Kommentar: „»Mein Hirte ist der Herr« (und niemand sonst)“ (Hossfeld/Zenger 1993, 153). Psalm 23 vergleicht Gottes Fürsorge mit der eines Hirten für seine Schafe.</w:t>
      </w:r>
    </w:p>
  </w:footnote>
  <w:footnote w:id="2088">
    <w:p>
      <w:pPr>
        <w:pStyle w:val="Funote"/>
        <w:rPr/>
      </w:pPr>
      <w:r>
        <w:rPr>
          <w:rStyle w:val="Funotenzeichen"/>
        </w:rPr>
        <w:footnoteRef/>
      </w:r>
      <w:r>
        <w:rPr/>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2089">
    <w:p>
      <w:pPr>
        <w:pStyle w:val="Funote"/>
        <w:rPr/>
      </w:pPr>
      <w:r>
        <w:rPr>
          <w:rStyle w:val="Funotenzeichen"/>
        </w:rPr>
        <w:footnoteRef/>
      </w:r>
      <w:r>
        <w:rPr/>
        <w:tab/>
        <w:t>so Waltke 2010, S. 434</w:t>
      </w:r>
    </w:p>
  </w:footnote>
  <w:footnote w:id="2090">
    <w:p>
      <w:pPr>
        <w:pStyle w:val="Funote"/>
        <w:rPr/>
      </w:pPr>
      <w:r>
        <w:rPr>
          <w:rStyle w:val="Funotenzeichen"/>
        </w:rPr>
        <w:footnoteRef/>
      </w:r>
      <w:r>
        <w:rPr/>
        <w:tab/>
        <w:t>Die Constructus-Verbindung hier kann verschieden aufgelöst werden. Diese Übersetzung ist wörtlicher; s.a. NGÜ, GNB.</w:t>
      </w:r>
    </w:p>
  </w:footnote>
  <w:footnote w:id="2091">
    <w:p>
      <w:pPr>
        <w:pStyle w:val="Funote"/>
        <w:rPr/>
      </w:pPr>
      <w:r>
        <w:rPr>
          <w:rStyle w:val="Funotenzeichen"/>
        </w:rPr>
        <w:footnoteRef/>
      </w:r>
      <w:r>
        <w:rPr/>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2092">
    <w:p>
      <w:pPr>
        <w:pStyle w:val="Funote"/>
        <w:rPr/>
      </w:pPr>
      <w:r>
        <w:rPr>
          <w:rStyle w:val="Funotenzeichen"/>
        </w:rPr>
        <w:footnoteRef/>
      </w:r>
      <w:r>
        <w:rPr/>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2093">
    <w:p>
      <w:pPr>
        <w:pStyle w:val="Funote"/>
        <w:rPr/>
      </w:pPr>
      <w:r>
        <w:rPr>
          <w:rStyle w:val="Funotenzeichen"/>
        </w:rPr>
        <w:footnoteRef/>
      </w:r>
      <w:r>
        <w:rPr/>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t>
      </w:r>
      <w:hyperlink r:id="rId165">
        <w:r>
          <w:rPr>
            <w:rStyle w:val="Internetverknpfung"/>
          </w:rPr>
          <w:t>Wibilex.de, Art. „Leben“</w:t>
        </w:r>
      </w:hyperlink>
      <w:r>
        <w:rPr/>
        <w:t xml:space="preserve">,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2094">
    <w:p>
      <w:pPr>
        <w:pStyle w:val="Funote"/>
        <w:rPr/>
      </w:pPr>
      <w:r>
        <w:rPr>
          <w:rStyle w:val="Funotenzeichen"/>
        </w:rPr>
        <w:footnoteRef/>
      </w:r>
      <w:r>
        <w:rPr/>
        <w:tab/>
        <w:t>Die Einheitsübersetzung hat: „Er stillt mein Verlangen.“ E. Zenger schlägt in seinem Kommentar als Alternative hierzu vor: „Er stellt meine Lebenskraft wieder her.“ (Hossfeld/Zenger 1993, 153)</w:t>
      </w:r>
    </w:p>
  </w:footnote>
  <w:footnote w:id="2095">
    <w:p>
      <w:pPr>
        <w:pStyle w:val="Funote"/>
        <w:rPr/>
      </w:pPr>
      <w:r>
        <w:rPr>
          <w:rStyle w:val="Funotenzeichen"/>
        </w:rPr>
        <w:footnoteRef/>
      </w:r>
      <w:r>
        <w:rPr/>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2096">
    <w:p>
      <w:pPr>
        <w:pStyle w:val="Funote"/>
        <w:rPr/>
      </w:pPr>
      <w:r>
        <w:rPr>
          <w:rStyle w:val="Funotenzeichen"/>
        </w:rPr>
        <w:footnoteRef/>
      </w:r>
      <w:r>
        <w:rPr/>
        <w:tab/>
        <w:t>vgl. Ehrlich 1905, S. 60: „</w:t>
      </w:r>
      <w:r>
        <w:rPr>
          <w:rtl w:val="true"/>
          <w:lang w:bidi="he-IL"/>
        </w:rPr>
        <w:t>ילך</w:t>
      </w:r>
      <w:r>
        <w:rPr/>
        <w:t xml:space="preserve"> </w:t>
      </w:r>
      <w:r>
        <w:rPr/>
        <w:t>kann nur ein Hingehen oder Hineingehen, nicht aber eine Bewegung innerhalb gegebener Grenzen bezeichnen.“</w:t>
      </w:r>
    </w:p>
  </w:footnote>
  <w:footnote w:id="2097">
    <w:p>
      <w:pPr>
        <w:pStyle w:val="Funote"/>
        <w:rPr/>
      </w:pPr>
      <w:r>
        <w:rPr>
          <w:rStyle w:val="Funotenzeichen"/>
        </w:rPr>
        <w:footnoteRef/>
      </w:r>
      <w:r>
        <w:rPr/>
        <w:tab/>
        <w:t>vgl. Sabottka 1972, S. 129</w:t>
      </w:r>
    </w:p>
  </w:footnote>
  <w:footnote w:id="2098">
    <w:p>
      <w:pPr>
        <w:pStyle w:val="Funote"/>
        <w:rPr/>
      </w:pPr>
      <w:r>
        <w:rPr>
          <w:rStyle w:val="Funotenzeichen"/>
        </w:rPr>
        <w:footnoteRef/>
      </w:r>
      <w:r>
        <w:rPr>
          <w:rtl w:val="true"/>
          <w:lang w:bidi="he-IL"/>
        </w:rPr>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99">
    <w:p>
      <w:pPr>
        <w:pStyle w:val="Funote"/>
        <w:rPr/>
      </w:pPr>
      <w:r>
        <w:rPr>
          <w:rStyle w:val="Funotenzeichen"/>
        </w:rPr>
        <w:footnoteRef/>
      </w:r>
      <w:r>
        <w:rPr/>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100">
    <w:p>
      <w:pPr>
        <w:pStyle w:val="Funote"/>
        <w:rPr/>
      </w:pPr>
      <w:r>
        <w:rPr>
          <w:rStyle w:val="Funotenzeichen"/>
        </w:rPr>
        <w:footnoteRef/>
      </w:r>
      <w:r>
        <w:rPr/>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101">
    <w:p>
      <w:pPr>
        <w:pStyle w:val="Funote"/>
        <w:rPr/>
      </w:pPr>
      <w:r>
        <w:rPr>
          <w:rStyle w:val="Funotenzeichen"/>
        </w:rPr>
        <w:footnoteRef/>
      </w:r>
      <w:r>
        <w:rPr/>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102">
    <w:p>
      <w:pPr>
        <w:pStyle w:val="Funote"/>
        <w:rPr/>
      </w:pPr>
      <w:r>
        <w:rPr>
          <w:rStyle w:val="Funotenzeichen"/>
        </w:rPr>
        <w:footnoteRef/>
      </w:r>
      <w:r>
        <w:rPr/>
        <w:tab/>
        <w:t>pluralis maiestatis / intensitatis; so Sabottka 1972, S. 129</w:t>
      </w:r>
    </w:p>
  </w:footnote>
  <w:footnote w:id="2103">
    <w:p>
      <w:pPr>
        <w:pStyle w:val="Funote"/>
        <w:rPr/>
      </w:pPr>
      <w:r>
        <w:rPr>
          <w:rStyle w:val="Funotenzeichen"/>
        </w:rPr>
        <w:footnoteRef/>
      </w:r>
      <w:r>
        <w:rPr/>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104">
    <w:p>
      <w:pPr>
        <w:pStyle w:val="Funote"/>
        <w:rPr/>
      </w:pPr>
      <w:r>
        <w:rPr>
          <w:rStyle w:val="Funotenzeichen"/>
        </w:rPr>
        <w:footnoteRef/>
      </w:r>
      <w:r>
        <w:rPr/>
        <w:tab/>
        <w:t>„</w:t>
      </w:r>
      <w:r>
        <w:rPr/>
        <w:t xml:space="preserve">randvoll (fließt über)“ ist wörtlich eigentlich ein Substantiv: „Mein Becher [ist] Überfluss“; der Einsatz von Substantiven als Adjektiven ist aber ganz gewöhnlich im Hebräischen; s. z.B. </w:t>
      </w:r>
      <w:r>
        <w:fldChar w:fldCharType="begin"/>
      </w:r>
      <w:r>
        <w:rPr>
          <w:rStyle w:val="Internetverknpfung"/>
        </w:rPr>
        <w:instrText> HYPERLINK "http://en.wikisource.org/wiki/Gesenius'_Hebrew_Grammar/141._The_Noun-clause" \l "GHGpar-141-c"</w:instrText>
      </w:r>
      <w:r>
        <w:rPr>
          <w:rStyle w:val="Internetverknpfung"/>
        </w:rPr>
        <w:fldChar w:fldCharType="separate"/>
      </w:r>
      <w:r>
        <w:rPr>
          <w:rStyle w:val="Internetverknpfung"/>
        </w:rPr>
        <w:t>GKC §141c</w:t>
      </w:r>
      <w:r>
        <w:rPr>
          <w:rStyle w:val="Internetverknpfung"/>
        </w:rPr>
        <w:fldChar w:fldCharType="end"/>
      </w:r>
      <w:r>
        <w:rPr/>
        <w:t>.</w:t>
      </w:r>
    </w:p>
  </w:footnote>
  <w:footnote w:id="2105">
    <w:p>
      <w:pPr>
        <w:pStyle w:val="Funote"/>
        <w:rPr/>
      </w:pPr>
      <w:r>
        <w:rPr>
          <w:rStyle w:val="Funotenzeichen"/>
        </w:rPr>
        <w:footnoteRef/>
      </w:r>
      <w:r>
        <w:rPr/>
        <w:tab/>
        <w:t>An dieser Stelle kann das Wort sowohl bekräftigend als auch einschränkend verstanden werden.</w:t>
      </w:r>
    </w:p>
  </w:footnote>
  <w:footnote w:id="2106">
    <w:p>
      <w:pPr>
        <w:pStyle w:val="Funote"/>
        <w:rPr/>
      </w:pPr>
      <w:r>
        <w:rPr>
          <w:rStyle w:val="Funotenzeichen"/>
        </w:rPr>
        <w:footnoteRef/>
      </w:r>
      <w:r>
        <w:rPr/>
        <w:tab/>
        <w:t>nach Knauf 2001, S. 556.</w:t>
      </w:r>
    </w:p>
  </w:footnote>
  <w:footnote w:id="2107">
    <w:p>
      <w:pPr>
        <w:pStyle w:val="Funote"/>
        <w:rPr/>
      </w:pPr>
      <w:r>
        <w:rPr>
          <w:rStyle w:val="Funotenzeichen"/>
        </w:rPr>
        <w:footnoteRef/>
      </w:r>
      <w:r>
        <w:rPr/>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108">
    <w:p>
      <w:pPr>
        <w:pStyle w:val="Funote"/>
        <w:rPr/>
      </w:pPr>
      <w:r>
        <w:rPr>
          <w:rStyle w:val="Funotenzeichen"/>
        </w:rPr>
        <w:footnoteRef/>
      </w:r>
      <w:r>
        <w:rPr/>
        <w:tab/>
        <w:t>[Status: Ungeprüft]</w:t>
      </w:r>
    </w:p>
  </w:footnote>
  <w:footnote w:id="2109">
    <w:p>
      <w:pPr>
        <w:pStyle w:val="Funote"/>
        <w:rPr/>
      </w:pPr>
      <w:r>
        <w:rPr>
          <w:rStyle w:val="Funotenzeichen"/>
        </w:rPr>
        <w:footnoteRef/>
      </w:r>
      <w:r>
        <w:rPr/>
        <w:tab/>
        <w:t xml:space="preserve">Lexikon: </w:t>
      </w:r>
      <w:hyperlink r:id="rId166">
        <w:r>
          <w:rPr>
            <w:rStyle w:val="Internetverknpfung"/>
          </w:rPr>
          <w:t>Sela</w:t>
        </w:r>
      </w:hyperlink>
    </w:p>
  </w:footnote>
  <w:footnote w:id="2110">
    <w:p>
      <w:pPr>
        <w:pStyle w:val="Funote"/>
        <w:rPr/>
      </w:pPr>
      <w:r>
        <w:rPr>
          <w:rStyle w:val="Funotenzeichen"/>
        </w:rPr>
        <w:footnoteRef/>
      </w:r>
      <w:r>
        <w:rPr/>
        <w:tab/>
        <w:t>[Status: Ungeprüft]</w:t>
      </w:r>
    </w:p>
  </w:footnote>
  <w:footnote w:id="2111">
    <w:p>
      <w:pPr>
        <w:pStyle w:val="Funote"/>
        <w:rPr/>
      </w:pPr>
      <w:r>
        <w:rPr>
          <w:rStyle w:val="Funotenzeichen"/>
        </w:rPr>
        <w:footnoteRef/>
      </w:r>
      <w:r>
        <w:rPr/>
        <w:tab/>
        <w:t>Die Einheitsübersetzung übersetzt hier frei: denn ich habe ohne Schuld gelebt.</w:t>
      </w:r>
    </w:p>
  </w:footnote>
  <w:footnote w:id="2112">
    <w:p>
      <w:pPr>
        <w:pStyle w:val="Funote"/>
        <w:rPr/>
      </w:pPr>
      <w:r>
        <w:rPr>
          <w:rStyle w:val="Funotenzeichen"/>
        </w:rPr>
        <w:footnoteRef/>
      </w:r>
      <w:r>
        <w:rPr/>
        <w:tab/>
        <w:t xml:space="preserve">Alle drei Verben drücken das Prüfen, testen, versuchen,usw. aus, eine genauere Untersuchung wäre schön. Die Verben in der Reihenfolge: </w:t>
      </w:r>
      <w:r>
        <w:rPr>
          <w:rtl w:val="true"/>
          <w:lang w:bidi="he-IL"/>
        </w:rPr>
        <w:t>בחן</w:t>
      </w:r>
      <w:r>
        <w:rPr>
          <w:rtl w:val="true"/>
        </w:rPr>
        <w:t xml:space="preserve"> </w:t>
      </w:r>
      <w:r>
        <w:rPr>
          <w:rtl w:val="true"/>
        </w:rPr>
        <w:t xml:space="preserve">- </w:t>
      </w:r>
      <w:r>
        <w:rPr>
          <w:rtl w:val="true"/>
          <w:lang w:bidi="he-IL"/>
        </w:rPr>
        <w:t>נסה</w:t>
      </w:r>
      <w:r>
        <w:rPr>
          <w:rtl w:val="true"/>
        </w:rPr>
        <w:t xml:space="preserve"> </w:t>
      </w:r>
      <w:r>
        <w:rPr>
          <w:rtl w:val="true"/>
        </w:rPr>
        <w:t xml:space="preserve">- </w:t>
      </w:r>
      <w:r>
        <w:rPr>
          <w:rtl w:val="true"/>
          <w:lang w:bidi="he-IL"/>
        </w:rPr>
        <w:t>צרף</w:t>
      </w:r>
    </w:p>
  </w:footnote>
  <w:footnote w:id="2113">
    <w:p>
      <w:pPr>
        <w:pStyle w:val="Funote"/>
        <w:rPr/>
      </w:pPr>
      <w:r>
        <w:rPr>
          <w:rStyle w:val="Funotenzeichen"/>
        </w:rPr>
        <w:footnoteRef/>
      </w:r>
      <w:r>
        <w:rPr/>
        <w:tab/>
        <w:t>Part. nif. m.</w:t>
      </w:r>
    </w:p>
  </w:footnote>
  <w:footnote w:id="2114">
    <w:p>
      <w:pPr>
        <w:pStyle w:val="Funote"/>
        <w:rPr/>
      </w:pPr>
      <w:r>
        <w:rPr>
          <w:rStyle w:val="Funotenzeichen"/>
        </w:rPr>
        <w:footnoteRef/>
      </w:r>
      <w:r>
        <w:rPr/>
        <w:tab/>
        <w:t>Oder einfacher: um dir laut Danke zu sagen/singen.</w:t>
      </w:r>
    </w:p>
  </w:footnote>
  <w:footnote w:id="2115">
    <w:p>
      <w:pPr>
        <w:pStyle w:val="Funote"/>
        <w:rPr/>
      </w:pPr>
      <w:r>
        <w:rPr>
          <w:rStyle w:val="Funotenzeichen"/>
        </w:rPr>
        <w:footnoteRef/>
      </w:r>
      <w:r>
        <w:rPr/>
        <w:tab/>
        <w:t>ELB, LUT EIN u.a. Übersetzungen übersetzen hier präsentisch, obwohl hier ein Perfekt steht.</w:t>
      </w:r>
    </w:p>
  </w:footnote>
  <w:footnote w:id="2116">
    <w:p>
      <w:pPr>
        <w:pStyle w:val="Funote"/>
        <w:rPr/>
      </w:pPr>
      <w:r>
        <w:rPr>
          <w:rStyle w:val="Funotenzeichen"/>
        </w:rPr>
        <w:footnoteRef/>
      </w:r>
      <w:r>
        <w:rPr/>
        <w:tab/>
        <w:t>[Status: Ungeprüft]</w:t>
      </w:r>
    </w:p>
  </w:footnote>
  <w:footnote w:id="2117">
    <w:p>
      <w:pPr>
        <w:pStyle w:val="Funote"/>
        <w:rPr/>
      </w:pPr>
      <w:r>
        <w:rPr>
          <w:rStyle w:val="Funotenzeichen"/>
        </w:rPr>
        <w:footnoteRef/>
      </w:r>
      <w:r>
        <w:rPr/>
        <w:tab/>
        <w:t xml:space="preserve">baqer im AT wird als terminus technicus für die Opferschau benutzt; es ist nicht klar, wie dann in diesem Kontext zu übersetzen ist. Es wird zudem vermutet, dass es verwandt mit boqer (Morgen) sein könnte. </w:t>
      </w:r>
    </w:p>
  </w:footnote>
  <w:footnote w:id="2118">
    <w:p>
      <w:pPr>
        <w:pStyle w:val="Funote"/>
        <w:rPr/>
      </w:pPr>
      <w:r>
        <w:rPr>
          <w:rStyle w:val="Funotenzeichen"/>
        </w:rPr>
        <w:footnoteRef/>
      </w:r>
      <w:r>
        <w:rPr/>
        <w:tab/>
        <w:t xml:space="preserve">Laut Gesenius meint das etwa: „In einen Zufluchtsort wird er mich sicher stellen.“ </w:t>
      </w:r>
    </w:p>
  </w:footnote>
  <w:footnote w:id="2119">
    <w:p>
      <w:pPr>
        <w:pStyle w:val="Funote"/>
        <w:rPr/>
      </w:pPr>
      <w:r>
        <w:rPr>
          <w:rStyle w:val="Funotenzeichen"/>
        </w:rPr>
        <w:footnoteRef/>
      </w:r>
      <w:r>
        <w:rPr/>
        <w:tab/>
        <w:t>JHWH Zitat aus Amos 5,6.</w:t>
      </w:r>
    </w:p>
  </w:footnote>
  <w:footnote w:id="2120">
    <w:p>
      <w:pPr>
        <w:pStyle w:val="Funote"/>
        <w:rPr/>
      </w:pPr>
      <w:r>
        <w:rPr>
          <w:rStyle w:val="Funotenzeichen"/>
        </w:rPr>
        <w:footnoteRef/>
      </w:r>
      <w:r>
        <w:rPr/>
        <w:tab/>
        <w:t>[Status: Ungeprüft]</w:t>
      </w:r>
    </w:p>
  </w:footnote>
  <w:footnote w:id="2121">
    <w:p>
      <w:pPr>
        <w:pStyle w:val="Funote"/>
        <w:rPr/>
      </w:pPr>
      <w:r>
        <w:rPr>
          <w:rStyle w:val="Funotenzeichen"/>
        </w:rPr>
        <w:footnoteRef/>
      </w:r>
      <w:r>
        <w:rPr/>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122">
    <w:p>
      <w:pPr>
        <w:pStyle w:val="Funote"/>
        <w:rPr/>
      </w:pPr>
      <w:r>
        <w:rPr>
          <w:rStyle w:val="Funotenzeichen"/>
        </w:rPr>
        <w:footnoteRef/>
      </w:r>
      <w:r>
        <w:rPr/>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123">
    <w:p>
      <w:pPr>
        <w:pStyle w:val="Funote"/>
        <w:rPr/>
      </w:pPr>
      <w:r>
        <w:rPr>
          <w:rStyle w:val="Funotenzeichen"/>
        </w:rPr>
        <w:footnoteRef/>
      </w:r>
      <w:r>
        <w:rPr/>
        <w:tab/>
        <w:t>[Status: Zuverlässig]</w:t>
      </w:r>
    </w:p>
  </w:footnote>
  <w:footnote w:id="2124">
    <w:p>
      <w:pPr>
        <w:pStyle w:val="Funote"/>
        <w:rPr/>
      </w:pPr>
      <w:r>
        <w:rPr>
          <w:rStyle w:val="Funotenzeichen"/>
        </w:rPr>
        <w:footnoteRef/>
      </w:r>
      <w:r>
        <w:rPr/>
        <w:tab/>
        <w:t xml:space="preserve">Die „Tempelweihe“ ist das seit 165 v. Chr. begangene Fest der Wiederherstellung des Tempels (vgl. </w:t>
      </w:r>
      <w:hyperlink r:id="rId167">
        <w:r>
          <w:rPr>
            <w:rStyle w:val="Internetverknpfung"/>
          </w:rPr>
          <w:t>1Makk 4,52ff</w:t>
        </w:r>
      </w:hyperlink>
      <w:r>
        <w:rPr/>
        <w:t xml:space="preserve">; </w:t>
      </w:r>
      <w:hyperlink r:id="rId168">
        <w:r>
          <w:rPr>
            <w:rStyle w:val="Internetverknpfung"/>
          </w:rPr>
          <w:t>2Makk 10,5ff</w:t>
        </w:r>
      </w:hyperlink>
      <w:r>
        <w:rPr/>
        <w:t xml:space="preserve">; </w:t>
      </w:r>
      <w:r>
        <w:fldChar w:fldCharType="begin"/>
      </w:r>
      <w:r>
        <w:rPr>
          <w:rStyle w:val="Internetverknpfung"/>
        </w:rPr>
        <w:instrText> HYPERLINK "../../../../../../../../../wiki/Johannes_10" \l "s22"</w:instrText>
      </w:r>
      <w:r>
        <w:rPr>
          <w:rStyle w:val="Internetverknpfung"/>
        </w:rPr>
        <w:fldChar w:fldCharType="separate"/>
      </w:r>
      <w:r>
        <w:rPr>
          <w:rStyle w:val="Internetverknpfung"/>
        </w:rPr>
        <w:t>Joh 10,22</w:t>
      </w:r>
      <w:r>
        <w:rPr>
          <w:rStyle w:val="Internetverknpfung"/>
        </w:rPr>
        <w:fldChar w:fldCharType="end"/>
      </w:r>
      <w:r>
        <w:rPr/>
        <w:t>). Nach Sopherim 18,2 wurde der Psalm in der Tat zu dieser Gelegenheit gesungen.</w:t>
      </w:r>
    </w:p>
  </w:footnote>
  <w:footnote w:id="2125">
    <w:p>
      <w:pPr>
        <w:pStyle w:val="Funote"/>
        <w:rPr/>
      </w:pPr>
      <w:r>
        <w:rPr>
          <w:rStyle w:val="Funotenzeichen"/>
        </w:rPr>
        <w:footnoteRef/>
      </w:r>
      <w:r>
        <w:rPr/>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126">
    <w:p>
      <w:pPr>
        <w:pStyle w:val="Funote"/>
        <w:rPr/>
      </w:pPr>
      <w:r>
        <w:rPr>
          <w:rStyle w:val="Funotenzeichen"/>
        </w:rPr>
        <w:footnoteRef/>
      </w:r>
      <w:r>
        <w:rPr/>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127">
    <w:p>
      <w:pPr>
        <w:pStyle w:val="Funote"/>
        <w:rPr/>
      </w:pPr>
      <w:r>
        <w:rPr>
          <w:rStyle w:val="Funotenzeichen"/>
        </w:rPr>
        <w:footnoteRef/>
      </w:r>
      <w:r>
        <w:rPr/>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128">
    <w:p>
      <w:pPr>
        <w:pStyle w:val="Funote"/>
        <w:rPr/>
      </w:pPr>
      <w:r>
        <w:rPr>
          <w:rStyle w:val="Funotenzeichen"/>
        </w:rPr>
        <w:footnoteRef/>
      </w:r>
      <w:r>
        <w:rPr/>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129">
    <w:p>
      <w:pPr>
        <w:pStyle w:val="Funote"/>
        <w:rPr/>
      </w:pPr>
      <w:r>
        <w:rPr>
          <w:rStyle w:val="Funotenzeichen"/>
        </w:rPr>
        <w:footnoteRef/>
      </w:r>
      <w:r>
        <w:rPr/>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130">
    <w:p>
      <w:pPr>
        <w:pStyle w:val="Funote"/>
        <w:rPr/>
      </w:pPr>
      <w:r>
        <w:rPr>
          <w:rStyle w:val="Funotenzeichen"/>
        </w:rPr>
        <w:footnoteRef/>
      </w:r>
      <w:r>
        <w:rPr/>
        <w:tab/>
        <w:t>W. „meine Seele“, doch im Hebräischen dient dies fast stets als Wechselbegriff für „mich“ (vgl. ad loc. Briggs 1906, S. 262; Terrien 2003, S. 282); übersetze durchaus wie vorgeschlagen.</w:t>
      </w:r>
    </w:p>
  </w:footnote>
  <w:footnote w:id="2131">
    <w:p>
      <w:pPr>
        <w:pStyle w:val="Funote"/>
        <w:rPr/>
      </w:pPr>
      <w:r>
        <w:rPr>
          <w:rStyle w:val="Funotenzeichen"/>
        </w:rPr>
        <w:footnoteRef/>
      </w:r>
      <w:r>
        <w:rPr/>
        <w:tab/>
        <w:t>gut verständlich ALB, HfA: „du hast mich dem Tode entrissen“</w:t>
      </w:r>
    </w:p>
  </w:footnote>
  <w:footnote w:id="2132">
    <w:p>
      <w:pPr>
        <w:pStyle w:val="Funote"/>
        <w:rPr/>
      </w:pPr>
      <w:r>
        <w:rPr>
          <w:rStyle w:val="Funotenzeichen"/>
        </w:rPr>
        <w:footnoteRef/>
      </w:r>
      <w:r>
        <w:rPr/>
        <w:tab/>
        <w:t xml:space="preserve">zu „Grube“ als Metapher für die Unterwelt vgl. </w:t>
      </w:r>
      <w:r>
        <w:fldChar w:fldCharType="begin"/>
      </w:r>
      <w:r>
        <w:rPr>
          <w:rStyle w:val="Internetverknpfung"/>
        </w:rPr>
        <w:instrText> HYPERLINK "http://www.offene-bibel.de/wiki/index.php5?title=Psalm_30" \l "note_c"</w:instrText>
      </w:r>
      <w:r>
        <w:rPr>
          <w:rStyle w:val="Internetverknpfung"/>
        </w:rPr>
        <w:fldChar w:fldCharType="separate"/>
      </w:r>
      <w:r>
        <w:rPr>
          <w:rStyle w:val="Internetverknpfung"/>
        </w:rPr>
        <w:t>FN c</w:t>
      </w:r>
      <w:r>
        <w:rPr>
          <w:rStyle w:val="Internetverknpfung"/>
        </w:rPr>
        <w:fldChar w:fldCharType="end"/>
      </w:r>
    </w:p>
  </w:footnote>
  <w:footnote w:id="2133">
    <w:p>
      <w:pPr>
        <w:pStyle w:val="Funote"/>
        <w:rPr/>
      </w:pPr>
      <w:r>
        <w:rPr>
          <w:rStyle w:val="Funotenzeichen"/>
        </w:rPr>
        <w:footnoteRef/>
      </w:r>
      <w:r>
        <w:rPr/>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134">
    <w:p>
      <w:pPr>
        <w:pStyle w:val="Funote"/>
        <w:rPr/>
      </w:pPr>
      <w:r>
        <w:rPr>
          <w:rStyle w:val="Funotenzeichen"/>
        </w:rPr>
        <w:footnoteRef/>
      </w:r>
      <w:r>
        <w:rPr/>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135">
    <w:p>
      <w:pPr>
        <w:pStyle w:val="Funote"/>
        <w:rPr/>
      </w:pPr>
      <w:r>
        <w:rPr>
          <w:rStyle w:val="Funotenzeichen"/>
        </w:rPr>
        <w:footnoteRef/>
      </w:r>
      <w:r>
        <w:rPr/>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136">
    <w:p>
      <w:pPr>
        <w:pStyle w:val="Funote"/>
        <w:rPr/>
      </w:pPr>
      <w:r>
        <w:rPr>
          <w:rStyle w:val="Funotenzeichen"/>
        </w:rPr>
        <w:footnoteRef/>
      </w:r>
      <w:r>
        <w:rPr/>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137">
    <w:p>
      <w:pPr>
        <w:pStyle w:val="Funote"/>
        <w:rPr/>
      </w:pPr>
      <w:r>
        <w:rPr>
          <w:rStyle w:val="Funotenzeichen"/>
        </w:rPr>
        <w:footnoteRef/>
      </w:r>
      <w:r>
        <w:rPr/>
        <w:tab/>
        <w:t xml:space="preserve">emphatisches </w:t>
      </w:r>
      <w:r>
        <w:rPr>
          <w:rtl w:val="true"/>
          <w:lang w:bidi="he-IL"/>
        </w:rPr>
        <w:t>כי</w:t>
      </w:r>
      <w:r>
        <w:rPr/>
        <w:t>, so auch Deissler 1989; Kraus 1961. Im Deutschen nicht zu übersetzen.</w:t>
      </w:r>
    </w:p>
  </w:footnote>
  <w:footnote w:id="2138">
    <w:p>
      <w:pPr>
        <w:pStyle w:val="Funote"/>
        <w:rPr/>
      </w:pPr>
      <w:r>
        <w:rPr>
          <w:rStyle w:val="Funotenzeichen"/>
        </w:rPr>
        <w:footnoteRef/>
      </w:r>
      <w:r>
        <w:rPr/>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139">
    <w:p>
      <w:pPr>
        <w:pStyle w:val="Funote"/>
        <w:rPr/>
      </w:pPr>
      <w:r>
        <w:rPr>
          <w:rStyle w:val="Funotenzeichen"/>
        </w:rPr>
        <w:footnoteRef/>
      </w:r>
      <w:r>
        <w:rPr/>
        <w:tab/>
        <w:t>verbringt man die Nacht auch weinend - so sinnvoll Buttenwieser 1938. Wegen des Parallelismus ist aber doch die Standard-Deutung vorzuziehen.</w:t>
      </w:r>
    </w:p>
  </w:footnote>
  <w:footnote w:id="2140">
    <w:p>
      <w:pPr>
        <w:pStyle w:val="Funote"/>
        <w:rPr/>
      </w:pPr>
      <w:r>
        <w:rPr>
          <w:rStyle w:val="Funotenzeichen"/>
        </w:rPr>
        <w:footnoteRef/>
      </w:r>
      <w:r>
        <w:rPr/>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141">
    <w:p>
      <w:pPr>
        <w:pStyle w:val="Funote"/>
        <w:rPr/>
      </w:pPr>
      <w:r>
        <w:rPr>
          <w:rStyle w:val="Funotenzeichen"/>
        </w:rPr>
        <w:footnoteRef/>
      </w:r>
      <w:r>
        <w:rPr/>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142">
    <w:p>
      <w:pPr>
        <w:pStyle w:val="Funote"/>
        <w:rPr/>
      </w:pPr>
      <w:r>
        <w:rPr>
          <w:rStyle w:val="Funotenzeichen"/>
        </w:rPr>
        <w:footnoteRef/>
      </w:r>
      <w:r>
        <w:rPr/>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143">
    <w:p>
      <w:pPr>
        <w:pStyle w:val="Funote"/>
        <w:rPr/>
      </w:pPr>
      <w:r>
        <w:rPr>
          <w:rStyle w:val="Funotenzeichen"/>
        </w:rPr>
        <w:footnoteRef/>
      </w:r>
      <w:r>
        <w:rPr/>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144">
    <w:p>
      <w:pPr>
        <w:pStyle w:val="Funote"/>
        <w:rPr/>
      </w:pPr>
      <w:r>
        <w:rPr>
          <w:rStyle w:val="Funotenzeichen"/>
        </w:rPr>
        <w:footnoteRef/>
      </w:r>
      <w:r>
        <w:rPr/>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145">
    <w:p>
      <w:pPr>
        <w:pStyle w:val="Funote"/>
        <w:rPr/>
      </w:pPr>
      <w:r>
        <w:rPr>
          <w:rStyle w:val="Funotenzeichen"/>
        </w:rPr>
        <w:footnoteRef/>
      </w:r>
      <w:r>
        <w:rPr/>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146">
    <w:p>
      <w:pPr>
        <w:pStyle w:val="Funote"/>
        <w:rPr/>
      </w:pPr>
      <w:r>
        <w:rPr>
          <w:rStyle w:val="Funotenzeichen"/>
        </w:rPr>
        <w:footnoteRef/>
      </w:r>
      <w:r>
        <w:rPr/>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147">
    <w:p>
      <w:pPr>
        <w:pStyle w:val="Funote"/>
        <w:rPr/>
      </w:pPr>
      <w:r>
        <w:rPr>
          <w:rStyle w:val="Funotenzeichen"/>
        </w:rPr>
        <w:footnoteRef/>
      </w:r>
      <w:r>
        <w:rPr/>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148">
    <w:p>
      <w:pPr>
        <w:pStyle w:val="Funote"/>
        <w:rPr/>
      </w:pPr>
      <w:r>
        <w:rPr>
          <w:rStyle w:val="Funotenzeichen"/>
        </w:rPr>
        <w:footnoteRef/>
      </w:r>
      <w:r>
        <w:rPr/>
        <w:tab/>
        <w:t xml:space="preserve">zu „Schacht“ als Metapher für die Unterwelt vgl. </w:t>
      </w:r>
      <w:r>
        <w:fldChar w:fldCharType="begin"/>
      </w:r>
      <w:r>
        <w:rPr>
          <w:rStyle w:val="Internetverknpfung"/>
        </w:rPr>
        <w:instrText> HYPERLINK "http://www.offene-bibel.de/wiki/index.php5?title=Psalm_30" \l "note_c"</w:instrText>
      </w:r>
      <w:r>
        <w:rPr>
          <w:rStyle w:val="Internetverknpfung"/>
        </w:rPr>
        <w:fldChar w:fldCharType="separate"/>
      </w:r>
      <w:r>
        <w:rPr>
          <w:rStyle w:val="Internetverknpfung"/>
        </w:rPr>
        <w:t>FN c</w:t>
      </w:r>
      <w:r>
        <w:rPr>
          <w:rStyle w:val="Internetverknpfung"/>
        </w:rPr>
        <w:fldChar w:fldCharType="end"/>
      </w:r>
      <w:r>
        <w:rPr/>
        <w:t>.</w:t>
      </w:r>
    </w:p>
  </w:footnote>
  <w:footnote w:id="2149">
    <w:p>
      <w:pPr>
        <w:pStyle w:val="Funote"/>
        <w:rPr/>
      </w:pPr>
      <w:r>
        <w:rPr>
          <w:rStyle w:val="Funotenzeichen"/>
        </w:rPr>
        <w:footnoteRef/>
      </w:r>
      <w:r>
        <w:rPr/>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150">
    <w:p>
      <w:pPr>
        <w:pStyle w:val="Funote"/>
        <w:rPr/>
      </w:pPr>
      <w:r>
        <w:rPr>
          <w:rStyle w:val="Funotenzeichen"/>
        </w:rPr>
        <w:footnoteRef/>
      </w:r>
      <w:r>
        <w:rPr/>
        <w:tab/>
        <w:t xml:space="preserve">W. </w:t>
      </w:r>
      <w:r>
        <w:rPr>
          <w:i/>
        </w:rPr>
        <w:t>hören</w:t>
      </w:r>
      <w:r>
        <w:rPr/>
        <w:t xml:space="preserve">, ein häufiger </w:t>
      </w:r>
      <w:r>
        <w:rPr>
          <w:i/>
        </w:rPr>
        <w:t>term. tech.</w:t>
      </w:r>
      <w:r>
        <w:rPr/>
        <w:t xml:space="preserve"> für die Gebetserhörung; so wohl auch hier.</w:t>
      </w:r>
    </w:p>
  </w:footnote>
  <w:footnote w:id="2151">
    <w:p>
      <w:pPr>
        <w:pStyle w:val="Funote"/>
        <w:rPr/>
      </w:pPr>
      <w:r>
        <w:rPr>
          <w:rStyle w:val="Funotenzeichen"/>
        </w:rPr>
        <w:footnoteRef/>
      </w:r>
      <w:r>
        <w:rPr/>
        <w:tab/>
        <w:t>Da hast du gut nach EÜ; Gerstenberger 1972; GUAR; Schmidt 1934; Zenger 1987; ZÜR: V. 12 schildert die Reaktion Gottes auf den Flehruf des Psalmisten.</w:t>
      </w:r>
    </w:p>
  </w:footnote>
  <w:footnote w:id="2152">
    <w:p>
      <w:pPr>
        <w:pStyle w:val="Funote"/>
        <w:rPr/>
      </w:pPr>
      <w:r>
        <w:rPr>
          <w:rStyle w:val="Funotenzeichen"/>
        </w:rPr>
        <w:footnoteRef/>
      </w:r>
      <w:r>
        <w:rPr/>
        <w:tab/>
        <w:t xml:space="preserve">meist: „gegürtet“, aber </w:t>
      </w:r>
      <w:r>
        <w:rPr>
          <w:rtl w:val="true"/>
          <w:lang w:bidi="he-IL"/>
        </w:rPr>
        <w:t>אור</w:t>
      </w:r>
      <w:r>
        <w:rPr/>
        <w:t xml:space="preserve"> </w:t>
      </w:r>
      <w:r>
        <w:rPr/>
        <w:t>kann auch allgemein „Kleiden“ bedeuten, was hier sehr viel besser passt.</w:t>
      </w:r>
    </w:p>
  </w:footnote>
  <w:footnote w:id="2153">
    <w:p>
      <w:pPr>
        <w:pStyle w:val="Funote"/>
        <w:rPr/>
      </w:pPr>
      <w:r>
        <w:rPr>
          <w:rStyle w:val="Funotenzeichen"/>
        </w:rPr>
        <w:footnoteRef/>
      </w:r>
      <w:r>
        <w:rPr/>
        <w:tab/>
        <w:t xml:space="preserve">zu kausalem </w:t>
      </w:r>
      <w:r>
        <w:rPr>
          <w:rtl w:val="true"/>
          <w:lang w:bidi="he-IL"/>
        </w:rPr>
        <w:t>לְמַעַן</w:t>
      </w:r>
      <w:r>
        <w:rPr/>
        <w:t xml:space="preserve"> </w:t>
      </w:r>
      <w:r>
        <w:rPr/>
        <w:t>vgl. Fürst 847; Ges18 713; Kön 237.</w:t>
      </w:r>
    </w:p>
  </w:footnote>
  <w:footnote w:id="2154">
    <w:p>
      <w:pPr>
        <w:pStyle w:val="Funote"/>
        <w:rPr/>
      </w:pPr>
      <w:r>
        <w:rPr>
          <w:rStyle w:val="Funotenzeichen"/>
        </w:rPr>
        <w:footnoteRef/>
      </w:r>
      <w:r>
        <w:rPr/>
        <w:tab/>
        <w:t>Textkritik: Leber (Herrlichkeit, Seele) - „Leber“ und „Herrlichkeit“ waren ursprünglich gleich geschrieben worden. Sehr nah verwandt ist diese Stelle mit Ps 16,9; 57,9; 108,2: An allen vier Stellen wird Gott entweder von der „Leber“ oder von der „Herrlichkeit“ des Beters besungen und die Masoreten haben sich jedes Mal für „Herrlichkeit“ entschieden. Einige Hebraisten glauben deshalb, dass „Herrlichkeit“ auch „Seele“ bedeuten und als solche Gott besingen kann. Dass es auch im Akkadischen stets entweder das Herz oder eben die „Leber“ ist, die sich freut und jubelt (vgl. Dhorme 1922, S. 509f.), spricht aber stark dafür, dass auch im Heb. md. an diesen vier Stellen „Leber“ zu lesen ist.W.: „Darum will Leber dich besingen“; wohl mit double duty-Suffix (-&gt;Brachylogie) aus V. 12: „[meine] Leber“ (alternativ ergänzen fast alle Exegeten ein Suffix).</w:t>
      </w:r>
    </w:p>
  </w:footnote>
  <w:footnote w:id="2155">
    <w:p>
      <w:pPr>
        <w:pStyle w:val="Funote"/>
        <w:rPr/>
      </w:pPr>
      <w:r>
        <w:rPr>
          <w:rStyle w:val="Funotenzeichen"/>
        </w:rPr>
        <w:footnoteRef/>
      </w:r>
      <w:r>
        <w:rPr/>
        <w:tab/>
        <w:t>[Status: Ungeprüft]</w:t>
      </w:r>
    </w:p>
  </w:footnote>
  <w:footnote w:id="2156">
    <w:p>
      <w:pPr>
        <w:pStyle w:val="Funote"/>
        <w:rPr/>
      </w:pPr>
      <w:r>
        <w:rPr>
          <w:rStyle w:val="Funotenzeichen"/>
        </w:rPr>
        <w:footnoteRef/>
      </w:r>
      <w:r>
        <w:rPr/>
        <w:tab/>
        <w:t>od. „eitle Nichtse“ = Götzen</w:t>
      </w:r>
    </w:p>
  </w:footnote>
  <w:footnote w:id="2157">
    <w:p>
      <w:pPr>
        <w:pStyle w:val="Funote"/>
        <w:rPr/>
      </w:pPr>
      <w:r>
        <w:rPr>
          <w:rStyle w:val="Funotenzeichen"/>
        </w:rPr>
        <w:footnoteRef/>
      </w:r>
      <w:r>
        <w:rPr/>
        <w:tab/>
        <w:t xml:space="preserve">Die inhaltliche Aussage der vorangestellten Überschrift ist unklar. Die Bezeichnung „Söhne des Korach“ stellt eine Verbindung zu den sprachlich verwandten Psalmen der „Korachitenpsalmengruppen“ 42–49 und 84–85.87–88 her (Hossfeld/Zenger </w:t>
      </w:r>
      <w:r>
        <w:rPr>
          <w:position w:val="7"/>
          <w:sz w:val="16"/>
        </w:rPr>
        <w:t>3</w:t>
      </w:r>
      <w:r>
        <w:rPr/>
        <w:t>2000, 520).</w:t>
      </w:r>
    </w:p>
  </w:footnote>
  <w:footnote w:id="2158">
    <w:p>
      <w:pPr>
        <w:pStyle w:val="Funote"/>
        <w:rPr/>
      </w:pPr>
      <w:r>
        <w:rPr>
          <w:rStyle w:val="Funotenzeichen"/>
        </w:rPr>
        <w:footnoteRef/>
      </w:r>
      <w:r>
        <w:rPr/>
        <w:tab/>
        <w:t>Im hebräischen Text steht eine weibliche Verbform, aber das Wort für einen männlichen Hirschen.</w:t>
      </w:r>
    </w:p>
  </w:footnote>
  <w:footnote w:id="2159">
    <w:p>
      <w:pPr>
        <w:pStyle w:val="Funote"/>
        <w:rPr/>
      </w:pPr>
      <w:r>
        <w:rPr>
          <w:rStyle w:val="Funotenzeichen"/>
        </w:rPr>
        <w:footnoteRef/>
      </w:r>
      <w:r>
        <w:rPr/>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t>
      </w:r>
      <w:hyperlink r:id="rId169">
        <w:r>
          <w:rPr>
            <w:rStyle w:val="Internetverknpfung"/>
          </w:rPr>
          <w:t>Wibilex.de, Art. „Leben“</w:t>
        </w:r>
      </w:hyperlink>
      <w:r>
        <w:rPr/>
        <w:t xml:space="preserve">, und Genesius, Art. </w:t>
      </w:r>
      <w:r>
        <w:rPr>
          <w:rtl w:val="true"/>
          <w:lang w:bidi="he-IL"/>
        </w:rPr>
        <w:t>נֶפֶשׁ</w:t>
      </w:r>
      <w:r>
        <w:rPr/>
        <w:t>)</w:t>
      </w:r>
    </w:p>
  </w:footnote>
  <w:footnote w:id="2160">
    <w:p>
      <w:pPr>
        <w:pStyle w:val="Funote"/>
        <w:rPr/>
      </w:pPr>
      <w:r>
        <w:rPr>
          <w:rStyle w:val="Funotenzeichen"/>
        </w:rPr>
        <w:footnoteRef/>
      </w:r>
      <w:r>
        <w:rPr/>
        <w:tab/>
        <w:t xml:space="preserve">Wörtlich: </w:t>
      </w:r>
      <w:r>
        <w:rPr>
          <w:i/>
        </w:rPr>
        <w:t>dass ich mich [vor] Gottes Angesicht sehen lasse</w:t>
      </w:r>
      <w:r>
        <w:rPr/>
        <w:t xml:space="preserve"> oder </w:t>
      </w:r>
      <w:r>
        <w:rPr>
          <w:i/>
        </w:rPr>
        <w:t>dass ich Gottes Angesicht sehe</w:t>
      </w:r>
      <w:r>
        <w:rPr/>
        <w:t xml:space="preserve"> (unterschiedliche Textüberlieferungen)</w:t>
      </w:r>
    </w:p>
  </w:footnote>
  <w:footnote w:id="2161">
    <w:p>
      <w:pPr>
        <w:pStyle w:val="Funote"/>
        <w:rPr/>
      </w:pPr>
      <w:r>
        <w:rPr>
          <w:rStyle w:val="Funotenzeichen"/>
        </w:rPr>
        <w:footnoteRef/>
      </w:r>
      <w:r>
        <w:rPr/>
        <w:tab/>
        <w:t xml:space="preserve">Wörtlich: </w:t>
      </w:r>
      <w:r>
        <w:rPr>
          <w:i/>
        </w:rPr>
        <w:t>ich will meine Lebenskraft (meine ganze Existenz, meine Seele) in mich ausschütten</w:t>
      </w:r>
      <w:r>
        <w:rPr/>
        <w:t xml:space="preserve"> (als Ausdruck der Trauer)</w:t>
      </w:r>
    </w:p>
  </w:footnote>
  <w:footnote w:id="2162">
    <w:p>
      <w:pPr>
        <w:pStyle w:val="Funote"/>
        <w:rPr/>
      </w:pPr>
      <w:r>
        <w:rPr>
          <w:rStyle w:val="Funotenzeichen"/>
        </w:rPr>
        <w:footnoteRef/>
      </w:r>
      <w:r>
        <w:rPr/>
        <w:tab/>
        <w:t xml:space="preserve">Nach Grammatik müsste </w:t>
      </w:r>
      <w:r>
        <w:rPr>
          <w:i/>
        </w:rPr>
        <w:t>ich werde gehen</w:t>
      </w:r>
      <w:r>
        <w:rPr/>
        <w:t xml:space="preserve"> oder </w:t>
      </w:r>
      <w:r>
        <w:rPr>
          <w:i/>
        </w:rPr>
        <w:t>ich will gehen</w:t>
      </w:r>
      <w:r>
        <w:rPr/>
        <w:t xml:space="preserve"> übersetzen werden, aber der Textzusammenhang legt eher </w:t>
      </w:r>
      <w:r>
        <w:rPr>
          <w:i/>
        </w:rPr>
        <w:t>ich ging</w:t>
      </w:r>
      <w:r>
        <w:rPr/>
        <w:t xml:space="preserve"> nahe. Die Übersetzung als Präsens soll diese Mehrdeutigkeit des poetischen Textes bewahren.</w:t>
      </w:r>
    </w:p>
  </w:footnote>
  <w:footnote w:id="2163">
    <w:p>
      <w:pPr>
        <w:pStyle w:val="Funote"/>
        <w:rPr/>
      </w:pPr>
      <w:r>
        <w:rPr>
          <w:rStyle w:val="Funotenzeichen"/>
        </w:rPr>
        <w:footnoteRef/>
      </w:r>
      <w:r>
        <w:rPr/>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164">
    <w:p>
      <w:pPr>
        <w:pStyle w:val="Funote"/>
        <w:rPr/>
      </w:pPr>
      <w:r>
        <w:rPr>
          <w:rStyle w:val="Funotenzeichen"/>
        </w:rPr>
        <w:footnoteRef/>
      </w:r>
      <w:r>
        <w:rPr/>
        <w:tab/>
        <w:t>Wörtlich steht dort: „el elohim“; eine Übersetzung mit „Gott der Götter“ wäre jedoch nicht angemessen.</w:t>
      </w:r>
    </w:p>
  </w:footnote>
  <w:footnote w:id="2165">
    <w:p>
      <w:pPr>
        <w:pStyle w:val="Funote"/>
        <w:rPr/>
      </w:pPr>
      <w:r>
        <w:rPr>
          <w:rStyle w:val="Funotenzeichen"/>
        </w:rPr>
        <w:footnoteRef/>
      </w:r>
      <w:r>
        <w:rPr/>
        <w:tab/>
        <w:t>[Status: Ungeprüft]</w:t>
      </w:r>
    </w:p>
  </w:footnote>
  <w:footnote w:id="2166">
    <w:p>
      <w:pPr>
        <w:pStyle w:val="Funote"/>
        <w:rPr/>
      </w:pPr>
      <w:r>
        <w:rPr>
          <w:rStyle w:val="Funotenzeichen"/>
        </w:rPr>
        <w:footnoteRef/>
      </w:r>
      <w:r>
        <w:rPr/>
        <w:tab/>
        <w:t>JHWH</w:t>
      </w:r>
    </w:p>
  </w:footnote>
  <w:footnote w:id="2167">
    <w:p>
      <w:pPr>
        <w:pStyle w:val="Funote"/>
        <w:rPr/>
      </w:pPr>
      <w:r>
        <w:rPr>
          <w:rStyle w:val="Funotenzeichen"/>
        </w:rPr>
        <w:footnoteRef/>
      </w:r>
      <w:r>
        <w:rPr/>
        <w:tab/>
        <w:t>[Status: Zuverlässig]</w:t>
      </w:r>
    </w:p>
  </w:footnote>
  <w:footnote w:id="2168">
    <w:p>
      <w:pPr>
        <w:pStyle w:val="Funote"/>
        <w:rPr/>
      </w:pPr>
      <w:r>
        <w:rPr>
          <w:rStyle w:val="Funotenzeichen"/>
        </w:rPr>
        <w:footnoteRef/>
      </w:r>
      <w:r>
        <w:rPr>
          <w:i/>
        </w:rPr>
        <w:tab/>
        <w:t>Chorleiter</w:t>
      </w:r>
      <w:r>
        <w:rPr/>
        <w:t xml:space="preserve"> - Heb. </w:t>
      </w:r>
      <w:r>
        <w:rPr>
          <w:i/>
        </w:rPr>
        <w:t>menatseach</w:t>
      </w:r>
      <w:r>
        <w:rPr/>
        <w:t>; genaue Bedeutung unklar. Die Primärübersetzung „Chorleiter“ ist mehr oder weniger Konvention. S. noch nächste FN.</w:t>
      </w:r>
    </w:p>
  </w:footnote>
  <w:footnote w:id="2169">
    <w:p>
      <w:pPr>
        <w:pStyle w:val="Funote"/>
        <w:rPr/>
      </w:pPr>
      <w:r>
        <w:rPr>
          <w:rStyle w:val="Funotenzeichen"/>
        </w:rPr>
        <w:footnoteRef/>
      </w:r>
      <w:r>
        <w:rPr/>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170">
    <w:p>
      <w:pPr>
        <w:pStyle w:val="Funote"/>
        <w:rPr/>
      </w:pPr>
      <w:r>
        <w:rPr>
          <w:rStyle w:val="Funotenzeichen"/>
        </w:rPr>
        <w:footnoteRef/>
      </w:r>
      <w:r>
        <w:rPr>
          <w:i/>
        </w:rPr>
        <w:tab/>
        <w:t>Es gibt keinen Gott</w:t>
      </w:r>
      <w:r>
        <w:rPr/>
        <w:t xml:space="preserve"> - Gemeint ist kein theoretischer Atheismus, der im Alten Israel schwerlich vorstellbar ist. Der „Narr“ vertritt einen </w:t>
      </w:r>
      <w:r>
        <w:rPr>
          <w:i/>
        </w:rPr>
        <w:t>praktischen</w:t>
      </w:r>
      <w:r>
        <w:rPr/>
        <w:t xml:space="preserve"> Atheismus: Er lebt und handelt so, als gäbe es keinen Gott, wie dann auch in den nächsten Zeilen näher ausgeführt wird.</w:t>
      </w:r>
    </w:p>
  </w:footnote>
  <w:footnote w:id="2171">
    <w:p>
      <w:pPr>
        <w:pStyle w:val="Funote"/>
        <w:rPr/>
      </w:pPr>
      <w:r>
        <w:rPr>
          <w:rStyle w:val="Funotenzeichen"/>
        </w:rPr>
        <w:footnoteRef/>
      </w:r>
      <w:r>
        <w:rPr/>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172">
    <w:p>
      <w:pPr>
        <w:pStyle w:val="Funote"/>
        <w:rPr/>
      </w:pPr>
      <w:r>
        <w:rPr>
          <w:rStyle w:val="Funotenzeichen"/>
        </w:rPr>
        <w:footnoteRef/>
      </w:r>
      <w:r>
        <w:rPr/>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173">
    <w:p>
      <w:pPr>
        <w:pStyle w:val="Funote"/>
        <w:rPr/>
      </w:pPr>
      <w:r>
        <w:rPr>
          <w:rStyle w:val="Funotenzeichen"/>
        </w:rPr>
        <w:footnoteRef/>
      </w:r>
      <w:r>
        <w:rPr/>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174">
    <w:p>
      <w:pPr>
        <w:pStyle w:val="Funote"/>
        <w:rPr/>
      </w:pPr>
      <w:r>
        <w:rPr>
          <w:rStyle w:val="Funotenzeichen"/>
        </w:rPr>
        <w:footnoteRef/>
      </w:r>
      <w:r>
        <w:rPr/>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175">
    <w:p>
      <w:pPr>
        <w:pStyle w:val="Funote"/>
        <w:rPr/>
      </w:pPr>
      <w:r>
        <w:rPr>
          <w:rStyle w:val="Funotenzeichen"/>
        </w:rPr>
        <w:footnoteRef/>
      </w:r>
      <w:r>
        <w:rPr/>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176">
    <w:p>
      <w:pPr>
        <w:pStyle w:val="Funote"/>
        <w:rPr/>
      </w:pPr>
      <w:r>
        <w:rPr>
          <w:rStyle w:val="Funotenzeichen"/>
        </w:rPr>
        <w:footnoteRef/>
      </w:r>
      <w:r>
        <w:rPr>
          <w:i/>
        </w:rPr>
        <w:tab/>
        <w:t>Zion</w:t>
      </w:r>
      <w:r>
        <w:rPr/>
        <w:t xml:space="preserve"> - Der Berg in Jerusalem, auf dem Gott in seinem Tempel wohnt. Hilfe von Gott kommt daher „vom Zion“ (vgl. z.B. </w:t>
      </w:r>
      <w:r>
        <w:fldChar w:fldCharType="begin"/>
      </w:r>
      <w:r>
        <w:rPr>
          <w:rStyle w:val="Internetverknpfung"/>
        </w:rPr>
        <w:instrText> HYPERLINK "https://www.bibelwissenschaft.de/de/stichwort/35418/" \l "h8"</w:instrText>
      </w:r>
      <w:r>
        <w:rPr>
          <w:rStyle w:val="Internetverknpfung"/>
        </w:rPr>
        <w:fldChar w:fldCharType="separate"/>
      </w:r>
      <w:r>
        <w:rPr>
          <w:rStyle w:val="Internetverknpfung"/>
        </w:rPr>
        <w:t>Zion/Zionstheologie (WiBiLex)</w:t>
      </w:r>
      <w:r>
        <w:rPr>
          <w:rStyle w:val="Internetverknpfung"/>
        </w:rPr>
        <w:fldChar w:fldCharType="end"/>
      </w:r>
      <w:r>
        <w:rPr/>
        <w:t>.</w:t>
      </w:r>
    </w:p>
  </w:footnote>
  <w:footnote w:id="2177">
    <w:p>
      <w:pPr>
        <w:pStyle w:val="Funote"/>
        <w:rPr/>
      </w:pPr>
      <w:r>
        <w:rPr>
          <w:rStyle w:val="Funotenzeichen"/>
        </w:rPr>
        <w:footnoteRef/>
      </w:r>
      <w:r>
        <w:rPr>
          <w:i/>
        </w:rPr>
        <w:tab/>
        <w:t>Möge es doch vom Zion Rettung für Israel geben!</w:t>
      </w:r>
      <w:r>
        <w:rPr/>
        <w:t xml:space="preserve"> - W.: „Wer wird geben vom Zion Rettung für Israel!?“, die heb. Wendung „Wer wird geben X“ ist ein Idiom für „Es möge sein, dass... X“.</w:t>
      </w:r>
    </w:p>
  </w:footnote>
  <w:footnote w:id="2178">
    <w:p>
      <w:pPr>
        <w:pStyle w:val="Funote"/>
        <w:rPr/>
      </w:pPr>
      <w:r>
        <w:rPr>
          <w:rStyle w:val="Funotenzeichen"/>
        </w:rPr>
        <w:footnoteRef/>
      </w:r>
      <w:r>
        <w:rPr>
          <w:i/>
        </w:rPr>
        <w:tab/>
        <w:t>Jakob</w:t>
      </w:r>
      <w:r>
        <w:rPr/>
        <w:t xml:space="preserve"> - Alternativer Begriff für Israel, da Jakob nach </w:t>
      </w:r>
      <w:hyperlink r:id="rId170">
        <w:r>
          <w:rPr>
            <w:rStyle w:val="Internetverknpfung"/>
          </w:rPr>
          <w:t>Gen 25</w:t>
        </w:r>
      </w:hyperlink>
      <w:r>
        <w:rPr/>
        <w:t xml:space="preserve"> der Stammvater der Israeliten war.</w:t>
      </w:r>
    </w:p>
  </w:footnote>
  <w:footnote w:id="2179">
    <w:p>
      <w:pPr>
        <w:pStyle w:val="Funote"/>
        <w:rPr/>
      </w:pPr>
      <w:r>
        <w:rPr>
          <w:rStyle w:val="Funotenzeichen"/>
        </w:rPr>
        <w:footnoteRef/>
      </w:r>
      <w:r>
        <w:rPr/>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180">
    <w:p>
      <w:pPr>
        <w:pStyle w:val="Funote"/>
        <w:rPr/>
      </w:pPr>
      <w:r>
        <w:rPr>
          <w:rStyle w:val="Funotenzeichen"/>
        </w:rPr>
        <w:footnoteRef/>
      </w:r>
      <w:r>
        <w:rPr/>
        <w:tab/>
        <w:t>[Status: Sehr gut]</w:t>
      </w:r>
    </w:p>
  </w:footnote>
  <w:footnote w:id="2181">
    <w:p>
      <w:pPr>
        <w:pStyle w:val="Funote"/>
        <w:rPr/>
      </w:pPr>
      <w:r>
        <w:rPr>
          <w:rStyle w:val="Funotenzeichen"/>
        </w:rPr>
        <w:footnoteRef/>
      </w:r>
      <w:r>
        <w:rPr/>
        <w:tab/>
        <w:t>Für den obersten Musiker Manche Übersetzungen verstehen dieses Wort als Anweisung, den Psalm vorzusingen (LUT, GNB).</w:t>
      </w:r>
    </w:p>
  </w:footnote>
  <w:footnote w:id="2182">
    <w:p>
      <w:pPr>
        <w:pStyle w:val="Funote"/>
        <w:rPr/>
      </w:pPr>
      <w:r>
        <w:rPr>
          <w:rStyle w:val="Funotenzeichen"/>
        </w:rPr>
        <w:footnoteRef/>
      </w:r>
      <w:r>
        <w:rPr>
          <w:i/>
        </w:rPr>
        <w:tab/>
        <w:t>Mit Saiteninstrumenten (fröhlicher Musik, Zupfinstrumenten)</w:t>
      </w:r>
      <w:r>
        <w:rPr/>
        <w:t xml:space="preserve"> Das Wort heißt etwa „fröhliche (in anderen Kontexten: spottende) Musik, die auf zu zupfenden Saiteninstrumenten gespielt wird“, bezeichnet in Psalmentiteln aber die Instrumente an sich (BDB 618.3; TWOT 1292.1; DBLH 5593; Kraus </w:t>
      </w:r>
      <w:r>
        <w:rPr>
          <w:position w:val="7"/>
          <w:sz w:val="16"/>
        </w:rPr>
        <w:t>2</w:t>
      </w:r>
      <w:r>
        <w:rPr/>
        <w:t>1962, XXIV).</w:t>
      </w:r>
    </w:p>
  </w:footnote>
  <w:footnote w:id="2183">
    <w:p>
      <w:pPr>
        <w:pStyle w:val="Funote"/>
        <w:rPr/>
      </w:pPr>
      <w:r>
        <w:rPr>
          <w:rStyle w:val="Funotenzeichen"/>
        </w:rPr>
        <w:footnoteRef/>
      </w:r>
      <w:r>
        <w:rPr/>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184">
    <w:p>
      <w:pPr>
        <w:pStyle w:val="Funote"/>
        <w:rPr/>
      </w:pPr>
      <w:r>
        <w:rPr>
          <w:rStyle w:val="Funotenzeichen"/>
        </w:rPr>
        <w:footnoteRef/>
      </w:r>
      <w:r>
        <w:rPr/>
        <w:tab/>
        <w:t xml:space="preserve">Vers 2 ist eine freie Wiedergabe des "aaronitischen Segens" aus </w:t>
      </w:r>
      <w:r>
        <w:fldChar w:fldCharType="begin"/>
      </w:r>
      <w:r>
        <w:rPr>
          <w:rStyle w:val="Internetverknpfung"/>
        </w:rPr>
        <w:instrText> HYPERLINK "../../../../../../../../../wiki/Numeri_6" \l "s24"</w:instrText>
      </w:r>
      <w:r>
        <w:rPr>
          <w:rStyle w:val="Internetverknpfung"/>
        </w:rPr>
        <w:fldChar w:fldCharType="separate"/>
      </w:r>
      <w:r>
        <w:rPr>
          <w:rStyle w:val="Internetverknpfung"/>
        </w:rPr>
        <w:t>Num 6,24-26</w:t>
      </w:r>
      <w:r>
        <w:rPr>
          <w:rStyle w:val="Internetverknpfung"/>
        </w:rPr>
        <w:fldChar w:fldCharType="end"/>
      </w:r>
      <w:r>
        <w:rPr/>
        <w:t xml:space="preserve">. Dieses bekannte Gebet wurde vermutlich beim Gottesdienst im Tempel häufig vorgetragen (Talstra/Bosma, </w:t>
      </w:r>
      <w:r>
        <w:rPr>
          <w:i/>
        </w:rPr>
        <w:t>Psalm 67. Blessing, Harvest and History</w:t>
      </w:r>
      <w:r>
        <w:rPr/>
        <w:t xml:space="preserve">, 311). Der Autor gibt hier nur die Teile des Gebets wieder, die Gottes Segen für den Betenden einfordern. </w:t>
      </w:r>
    </w:p>
  </w:footnote>
  <w:footnote w:id="2185">
    <w:p>
      <w:pPr>
        <w:pStyle w:val="Funote"/>
        <w:rPr/>
      </w:pPr>
      <w:r>
        <w:rPr>
          <w:rStyle w:val="Funotenzeichen"/>
        </w:rPr>
        <w:footnoteRef/>
      </w:r>
      <w:r>
        <w:rPr/>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186">
    <w:p>
      <w:pPr>
        <w:pStyle w:val="Funote"/>
        <w:rPr/>
      </w:pPr>
      <w:r>
        <w:rPr>
          <w:rStyle w:val="Funotenzeichen"/>
        </w:rPr>
        <w:footnoteRef/>
      </w:r>
      <w:r>
        <w:rPr/>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187">
    <w:p>
      <w:pPr>
        <w:pStyle w:val="Funote"/>
        <w:rPr/>
      </w:pPr>
      <w:r>
        <w:rPr>
          <w:rStyle w:val="Funotenzeichen"/>
        </w:rPr>
        <w:footnoteRef/>
      </w:r>
      <w:r>
        <w:rPr>
          <w:i/>
        </w:rPr>
        <w:tab/>
        <w:t>deine rettende Kraft (Hilfe, Rettung, dein Eingeifen, Heil)</w:t>
      </w:r>
      <w:r>
        <w:rPr/>
        <w:t xml:space="preserve"> So wie V. 5 Gottes „Weg“ (3a) genauer beschreibt, erklärt der Verfasser in V. 7-8 Aspekte von Gottes „rettender Kraft“. Sein Heilshandeln kommt einerseits in Form der ertragreichen Ernte zum Ausdruck. Sie war im Bund zwischen Gott und Israel ein konkretes Zeichen von Gottes Wohlwollen. In </w:t>
      </w:r>
      <w:r>
        <w:fldChar w:fldCharType="begin"/>
      </w:r>
      <w:r>
        <w:rPr>
          <w:rStyle w:val="Internetverknpfung"/>
        </w:rPr>
        <w:instrText> HYPERLINK "../../../../../../../../../wiki/Levitikus_26" \l "s4"</w:instrText>
      </w:r>
      <w:r>
        <w:rPr>
          <w:rStyle w:val="Internetverknpfung"/>
        </w:rPr>
        <w:fldChar w:fldCharType="separate"/>
      </w:r>
      <w:r>
        <w:rPr>
          <w:rStyle w:val="Internetverknpfung"/>
        </w:rPr>
        <w:t>Lev 26,4-5</w:t>
      </w:r>
      <w:r>
        <w:rPr>
          <w:rStyle w:val="Internetverknpfung"/>
        </w:rPr>
        <w:fldChar w:fldCharType="end"/>
      </w:r>
      <w:r>
        <w:rPr/>
        <w:t>.</w:t>
      </w:r>
      <w:r>
        <w:fldChar w:fldCharType="begin"/>
      </w:r>
      <w:r>
        <w:rPr>
          <w:rStyle w:val="Internetverknpfung"/>
        </w:rPr>
        <w:instrText> HYPERLINK "../../../../../../../../../wiki/Levitikus_26" \l "s10"</w:instrText>
      </w:r>
      <w:r>
        <w:rPr>
          <w:rStyle w:val="Internetverknpfung"/>
        </w:rPr>
        <w:fldChar w:fldCharType="separate"/>
      </w:r>
      <w:r>
        <w:rPr>
          <w:rStyle w:val="Internetverknpfung"/>
        </w:rPr>
        <w:t>10</w:t>
      </w:r>
      <w:r>
        <w:rPr>
          <w:rStyle w:val="Internetverknpfung"/>
        </w:rPr>
        <w:fldChar w:fldCharType="end"/>
      </w:r>
      <w:r>
        <w:rPr/>
        <w:t xml:space="preserve">; </w:t>
      </w:r>
      <w:hyperlink r:id="rId171">
        <w:r>
          <w:rPr>
            <w:rStyle w:val="Internetverknpfung"/>
          </w:rPr>
          <w:t>Dtn 28,4</w:t>
        </w:r>
      </w:hyperlink>
      <w:r>
        <w:rPr/>
        <w:t>.</w:t>
      </w:r>
      <w:hyperlink r:id="rId172">
        <w:r>
          <w:rPr>
            <w:rStyle w:val="Internetverknpfung"/>
          </w:rPr>
          <w:t>11-12</w:t>
        </w:r>
      </w:hyperlink>
      <w:r>
        <w:rPr/>
        <w:t xml:space="preserve"> ist sie Teil des Segens, den Gott für Israels Bundesgehorsam verspricht. Andererseits äußert sich Gottes Heilshandeln darin, dass auch die anderen Völker ihn erkennen werden. Israel </w:t>
      </w:r>
      <w:r>
        <w:rPr>
          <w:i/>
        </w:rPr>
        <w:t>als Folge</w:t>
      </w:r>
      <w:r>
        <w:rPr/>
        <w:t xml:space="preserve"> der Segnung Israels, als der höchsten Form des geistlichen Segens. </w:t>
      </w:r>
    </w:p>
  </w:footnote>
  <w:footnote w:id="2188">
    <w:p>
      <w:pPr>
        <w:pStyle w:val="Funote"/>
        <w:rPr/>
      </w:pPr>
      <w:r>
        <w:rPr>
          <w:rStyle w:val="Funotenzeichen"/>
        </w:rPr>
        <w:footnoteRef/>
      </w:r>
      <w:r>
        <w:rPr/>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189">
    <w:p>
      <w:pPr>
        <w:pStyle w:val="Funote"/>
        <w:rPr/>
      </w:pPr>
      <w:r>
        <w:rPr>
          <w:rStyle w:val="Funotenzeichen"/>
        </w:rPr>
        <w:footnoteRef/>
      </w:r>
      <w:r>
        <w:rPr/>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190">
    <w:p>
      <w:pPr>
        <w:pStyle w:val="Funote"/>
        <w:rPr/>
      </w:pPr>
      <w:r>
        <w:rPr>
          <w:rStyle w:val="Funotenzeichen"/>
        </w:rPr>
        <w:footnoteRef/>
      </w:r>
      <w:r>
        <w:rPr/>
        <w:tab/>
        <w:t>Die zweite und dritte Zeile des Verses (5bc) stellen zwei Aspekte von Gottes „Weg“ (</w:t>
      </w:r>
      <w:r>
        <w:fldChar w:fldCharType="begin"/>
      </w:r>
      <w:r>
        <w:rPr>
          <w:rStyle w:val="Internetverknpfung"/>
        </w:rPr>
        <w:instrText> HYPERLINK "../../../../../../../../../wiki/Psalm_67" \l "s3"</w:instrText>
      </w:r>
      <w:r>
        <w:rPr>
          <w:rStyle w:val="Internetverknpfung"/>
        </w:rPr>
        <w:fldChar w:fldCharType="separate"/>
      </w:r>
      <w:r>
        <w:rPr>
          <w:rStyle w:val="Internetverknpfung"/>
        </w:rPr>
        <w:t>3a</w:t>
      </w:r>
      <w:r>
        <w:rPr>
          <w:rStyle w:val="Internetverknpfung"/>
        </w:rPr>
        <w:fldChar w:fldCharType="end"/>
      </w:r>
      <w:r>
        <w:rPr/>
        <w:t xml:space="preserve">) dar – sie erklären also, warum Gott Lobpreis zusteht, nachdem die Völker seine Herrschaft erkannt haben. Dieses Anliegen durchzieht den ganzen Psalm. Vgl. </w:t>
      </w:r>
      <w:r>
        <w:fldChar w:fldCharType="begin"/>
      </w:r>
      <w:r>
        <w:rPr>
          <w:rStyle w:val="Internetverknpfung"/>
        </w:rPr>
        <w:instrText> HYPERLINK "../../../../../../../../../wiki/Psalm_67" \l "note_f"</w:instrText>
      </w:r>
      <w:r>
        <w:rPr>
          <w:rStyle w:val="Internetverknpfung"/>
        </w:rPr>
        <w:fldChar w:fldCharType="separate"/>
      </w:r>
      <w:r>
        <w:rPr>
          <w:rStyle w:val="Internetverknpfung"/>
        </w:rPr>
        <w:t>Fußnote f</w:t>
      </w:r>
      <w:r>
        <w:rPr>
          <w:rStyle w:val="Internetverknpfung"/>
        </w:rPr>
        <w:fldChar w:fldCharType="end"/>
      </w:r>
      <w:r>
        <w:rPr/>
        <w:t>.</w:t>
      </w:r>
    </w:p>
  </w:footnote>
  <w:footnote w:id="2191">
    <w:p>
      <w:pPr>
        <w:pStyle w:val="Funote"/>
        <w:rPr/>
      </w:pPr>
      <w:r>
        <w:rPr>
          <w:rStyle w:val="Funotenzeichen"/>
        </w:rPr>
        <w:footnoteRef/>
      </w:r>
      <w:r>
        <w:rPr/>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192">
    <w:p>
      <w:pPr>
        <w:pStyle w:val="Funote"/>
        <w:rPr/>
      </w:pPr>
      <w:r>
        <w:rPr>
          <w:rStyle w:val="Funotenzeichen"/>
        </w:rPr>
        <w:footnoteRef/>
      </w:r>
      <w:r>
        <w:rPr>
          <w:i/>
        </w:rPr>
        <w:tab/>
        <w:t>fürchten</w:t>
      </w:r>
      <w:r>
        <w:rPr/>
        <w:t xml:space="preserve"> (Hebr. </w:t>
      </w:r>
      <w:r>
        <w:rPr>
          <w:rtl w:val="true"/>
          <w:lang w:bidi="he-IL"/>
        </w:rPr>
        <w:t>יָרֵא</w:t>
      </w:r>
      <w:r>
        <w:rPr/>
        <w:t xml:space="preserve"> </w:t>
      </w:r>
      <w:r>
        <w:rPr/>
        <w:t xml:space="preserve">steht hier für religiöse Verehrung (vgl. </w:t>
      </w:r>
      <w:r>
        <w:fldChar w:fldCharType="begin"/>
      </w:r>
      <w:r>
        <w:rPr>
          <w:rStyle w:val="Internetverknpfung"/>
        </w:rPr>
        <w:instrText> HYPERLINK "../../../../../../../../../wiki/Psalm_33" \l "s8"</w:instrText>
      </w:r>
      <w:r>
        <w:rPr>
          <w:rStyle w:val="Internetverknpfung"/>
        </w:rPr>
        <w:fldChar w:fldCharType="separate"/>
      </w:r>
      <w:r>
        <w:rPr>
          <w:rStyle w:val="Internetverknpfung"/>
        </w:rPr>
        <w:t>Ps 33,8</w:t>
      </w:r>
      <w:r>
        <w:rPr>
          <w:rStyle w:val="Internetverknpfung"/>
        </w:rPr>
        <w:fldChar w:fldCharType="end"/>
      </w:r>
      <w:r>
        <w:rPr/>
        <w:t xml:space="preserve">; </w:t>
      </w:r>
      <w:hyperlink r:id="rId173">
        <w:r>
          <w:rPr>
            <w:rStyle w:val="Internetverknpfung"/>
          </w:rPr>
          <w:t>34,10</w:t>
        </w:r>
      </w:hyperlink>
      <w:r>
        <w:rPr/>
        <w:t xml:space="preserve">; </w:t>
      </w:r>
      <w:hyperlink r:id="rId174">
        <w:r>
          <w:rPr>
            <w:rStyle w:val="Internetverknpfung"/>
          </w:rPr>
          <w:t>47,3</w:t>
        </w:r>
      </w:hyperlink>
      <w:r>
        <w:rPr/>
        <w:t xml:space="preserve">; </w:t>
      </w:r>
      <w:hyperlink r:id="rId175">
        <w:r>
          <w:rPr>
            <w:rStyle w:val="Internetverknpfung"/>
          </w:rPr>
          <w:t>64,10</w:t>
        </w:r>
      </w:hyperlink>
      <w:r>
        <w:rPr/>
        <w:t xml:space="preserve">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w:t>
        <w:br/>
        <w:t xml:space="preserve">Die zweite Zeile des Verses könnte man auch so übersetzen: „und alle Enden der Erde sollen (mögen, werden) ihn fürchten“ </w:t>
      </w:r>
    </w:p>
  </w:footnote>
  <w:footnote w:id="2193">
    <w:p>
      <w:pPr>
        <w:pStyle w:val="Funote"/>
        <w:rPr/>
      </w:pPr>
      <w:r>
        <w:rPr>
          <w:rStyle w:val="Funotenzeichen"/>
        </w:rPr>
        <w:footnoteRef/>
      </w:r>
      <w:r>
        <w:rPr/>
        <w:tab/>
        <w:t>Im Hebräischen: Plural!</w:t>
      </w:r>
    </w:p>
  </w:footnote>
  <w:footnote w:id="2194">
    <w:p>
      <w:pPr>
        <w:pStyle w:val="Funote"/>
        <w:rPr/>
      </w:pPr>
      <w:r>
        <w:rPr>
          <w:rStyle w:val="Funotenzeichen"/>
        </w:rPr>
        <w:footnoteRef/>
      </w:r>
      <w:r>
        <w:rPr/>
        <w:tab/>
        <w:t xml:space="preserve">Diese Form, das Nomen fem. pl. abs. des Verbums </w:t>
      </w:r>
      <w:r>
        <w:rPr>
          <w:rtl w:val="true"/>
          <w:lang w:bidi="he-IL"/>
        </w:rPr>
        <w:t>׳שׁע</w:t>
      </w:r>
      <w:r>
        <w:rPr/>
        <w:t xml:space="preserve"> </w:t>
      </w:r>
      <w:r>
        <w:rPr/>
        <w:t>ist im AT singulär und kommt nur an dieser Stelle vor.</w:t>
      </w:r>
    </w:p>
  </w:footnote>
  <w:footnote w:id="2195">
    <w:p>
      <w:pPr>
        <w:pStyle w:val="Funote"/>
        <w:rPr/>
      </w:pPr>
      <w:r>
        <w:rPr>
          <w:rStyle w:val="Funotenzeichen"/>
        </w:rPr>
        <w:footnoteRef/>
      </w:r>
      <w:r>
        <w:rPr/>
        <w:tab/>
        <w:t>Ganz wörtlich könnte man vllt. auch übersetzen: „[...] bei JHWH Adonai sind für den Tod die Endpunkte.“</w:t>
      </w:r>
    </w:p>
  </w:footnote>
  <w:footnote w:id="2196">
    <w:p>
      <w:pPr>
        <w:pStyle w:val="Funote"/>
        <w:rPr/>
      </w:pPr>
      <w:r>
        <w:rPr>
          <w:rStyle w:val="Funotenzeichen"/>
        </w:rPr>
        <w:footnoteRef/>
      </w:r>
      <w:r>
        <w:rPr/>
        <w:tab/>
        <w:t>[Status: Ungeprüft]</w:t>
      </w:r>
    </w:p>
  </w:footnote>
  <w:footnote w:id="2197">
    <w:p>
      <w:pPr>
        <w:pStyle w:val="Funote"/>
        <w:rPr/>
      </w:pPr>
      <w:r>
        <w:rPr>
          <w:rStyle w:val="Funotenzeichen"/>
        </w:rPr>
        <w:footnoteRef/>
      </w:r>
      <w:r>
        <w:rPr/>
        <w:tab/>
        <w:t>[Status: Ungeprüft]</w:t>
      </w:r>
    </w:p>
  </w:footnote>
  <w:footnote w:id="2198">
    <w:p>
      <w:pPr>
        <w:pStyle w:val="Funote"/>
        <w:rPr/>
      </w:pPr>
      <w:r>
        <w:rPr>
          <w:rStyle w:val="Funotenzeichen"/>
        </w:rPr>
        <w:footnoteRef/>
      </w:r>
      <w:r>
        <w:rPr/>
        <w:tab/>
        <w:t>Lexikon: Sela</w:t>
      </w:r>
    </w:p>
  </w:footnote>
  <w:footnote w:id="2199">
    <w:p>
      <w:pPr>
        <w:pStyle w:val="Funote"/>
        <w:rPr/>
      </w:pPr>
      <w:r>
        <w:rPr>
          <w:rStyle w:val="Funotenzeichen"/>
        </w:rPr>
        <w:footnoteRef/>
      </w:r>
      <w:r>
        <w:rPr/>
        <w:tab/>
        <w:t>[Status: Ungeprüft]</w:t>
      </w:r>
    </w:p>
  </w:footnote>
  <w:footnote w:id="2200">
    <w:p>
      <w:pPr>
        <w:pStyle w:val="Funote"/>
        <w:rPr/>
      </w:pPr>
      <w:r>
        <w:rPr>
          <w:rStyle w:val="Funotenzeichen"/>
        </w:rPr>
        <w:footnoteRef/>
      </w:r>
      <w:r>
        <w:rPr/>
        <w:tab/>
        <w:t>Bedeutung unklar. Vielleicht eine bestimmte Liedart oder ein Instrument.</w:t>
      </w:r>
    </w:p>
  </w:footnote>
  <w:footnote w:id="2201">
    <w:p>
      <w:pPr>
        <w:pStyle w:val="Funote"/>
        <w:rPr/>
      </w:pPr>
      <w:r>
        <w:rPr>
          <w:rStyle w:val="Funotenzeichen"/>
        </w:rPr>
        <w:footnoteRef/>
      </w:r>
      <w:r>
        <w:rPr/>
        <w:tab/>
        <w:t>Eine Psalmenart, genauere Bedeutung ist unbekannt.</w:t>
      </w:r>
    </w:p>
  </w:footnote>
  <w:footnote w:id="2202">
    <w:p>
      <w:pPr>
        <w:pStyle w:val="Funote"/>
        <w:rPr/>
      </w:pPr>
      <w:r>
        <w:rPr>
          <w:rStyle w:val="Funotenzeichen"/>
        </w:rPr>
        <w:footnoteRef/>
      </w:r>
      <w:r>
        <w:rPr/>
        <w:tab/>
        <w:t>Das hebräische Wort ist ein Plural.</w:t>
      </w:r>
    </w:p>
  </w:footnote>
  <w:footnote w:id="2203">
    <w:p>
      <w:pPr>
        <w:pStyle w:val="Funote"/>
        <w:rPr/>
      </w:pPr>
      <w:r>
        <w:rPr>
          <w:rStyle w:val="Funotenzeichen"/>
        </w:rPr>
        <w:footnoteRef/>
      </w:r>
      <w:r>
        <w:rPr/>
        <w:tab/>
        <w:t>Hier bewusst die Übersetzung „Grube“ gewählt, da in V. 6, anders als hier, explizit die Vokabel für Grab benutzt wird. Vgl. V. 7, dort ist es das gleiche Wort wie hier.</w:t>
      </w:r>
    </w:p>
  </w:footnote>
  <w:footnote w:id="2204">
    <w:p>
      <w:pPr>
        <w:pStyle w:val="Funote"/>
        <w:rPr/>
      </w:pPr>
      <w:r>
        <w:rPr>
          <w:rStyle w:val="Funotenzeichen"/>
        </w:rPr>
        <w:footnoteRef/>
      </w:r>
      <w:r>
        <w:rPr/>
        <w:tab/>
        <w:t>Das hebräische Wort hier ist singulär im Alten Testament, die Übersetzung deshalb nicht ganz eindeutig.</w:t>
      </w:r>
    </w:p>
  </w:footnote>
  <w:footnote w:id="2205">
    <w:p>
      <w:pPr>
        <w:pStyle w:val="Funote"/>
        <w:rPr/>
      </w:pPr>
      <w:r>
        <w:rPr>
          <w:rStyle w:val="Funotenzeichen"/>
        </w:rPr>
        <w:footnoteRef/>
      </w:r>
      <w:r>
        <w:rPr/>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206">
    <w:p>
      <w:pPr>
        <w:pStyle w:val="Funote"/>
        <w:rPr/>
      </w:pPr>
      <w:r>
        <w:rPr>
          <w:rStyle w:val="Funotenzeichen"/>
        </w:rPr>
        <w:footnoteRef/>
      </w:r>
      <w:r>
        <w:rPr/>
        <w:tab/>
        <w:t>„</w:t>
      </w:r>
      <w:r>
        <w:rPr/>
        <w:t>Grube“, „Finsternisse“ (vgl. V. 19) und „Tiefen“ sind hier wohl als Metaphern für die Unterwelt gemeint.</w:t>
      </w:r>
    </w:p>
  </w:footnote>
  <w:footnote w:id="2207">
    <w:p>
      <w:pPr>
        <w:pStyle w:val="Funote"/>
        <w:rPr/>
      </w:pPr>
      <w:r>
        <w:rPr>
          <w:rStyle w:val="Funotenzeichen"/>
        </w:rPr>
        <w:footnoteRef/>
      </w:r>
      <w:r>
        <w:rPr/>
        <w:tab/>
        <w:t>Das hebräische Verb steht in im Part. Pass. m. Sg. abs.</w:t>
      </w:r>
    </w:p>
  </w:footnote>
  <w:footnote w:id="2208">
    <w:p>
      <w:pPr>
        <w:pStyle w:val="Funote"/>
        <w:rPr/>
      </w:pPr>
      <w:r>
        <w:rPr>
          <w:rStyle w:val="Funotenzeichen"/>
        </w:rPr>
        <w:footnoteRef/>
      </w:r>
      <w:r>
        <w:rPr/>
        <w:tab/>
        <w:t>Im Hebräischen wie auch im Griechischen gibt es kein eigenes Wort für die Auferstehung oder auferstehen, sondern es wird das selbe Verb wie für „vom Boden aufstehen“ verwendet.</w:t>
      </w:r>
    </w:p>
  </w:footnote>
  <w:footnote w:id="2209">
    <w:p>
      <w:pPr>
        <w:pStyle w:val="Funote"/>
        <w:rPr/>
      </w:pPr>
      <w:r>
        <w:rPr>
          <w:rStyle w:val="Funotenzeichen"/>
        </w:rPr>
        <w:footnoteRef/>
      </w:r>
      <w:r>
        <w:rPr/>
        <w:tab/>
        <w:t>wörtlich: „ersterbend, verscheidend“</w:t>
      </w:r>
    </w:p>
  </w:footnote>
  <w:footnote w:id="2210">
    <w:p>
      <w:pPr>
        <w:pStyle w:val="Funote"/>
        <w:rPr/>
      </w:pPr>
      <w:r>
        <w:rPr>
          <w:rStyle w:val="Funotenzeichen"/>
        </w:rPr>
        <w:footnoteRef/>
      </w:r>
      <w:r>
        <w:rPr/>
        <w:tab/>
        <w:t>Die hebräische Verbform im masoretischen Text ist hier fehlerhaft überliefert, da sie unmöglich gebildet werden kann. Übersetzung unter der Annahme, dass es sich um ein Piel Perf. 3. Pers. Pl. com. mit Suffix 1 Sg. com. handelt.</w:t>
      </w:r>
    </w:p>
  </w:footnote>
  <w:footnote w:id="2211">
    <w:p>
      <w:pPr>
        <w:pStyle w:val="Funote"/>
        <w:rPr/>
      </w:pPr>
      <w:r>
        <w:rPr>
          <w:rStyle w:val="Funotenzeichen"/>
        </w:rPr>
        <w:footnoteRef/>
      </w:r>
      <w:r>
        <w:rPr/>
        <w:tab/>
        <w:t>vgl. Vers 9.</w:t>
      </w:r>
    </w:p>
  </w:footnote>
  <w:footnote w:id="2212">
    <w:p>
      <w:pPr>
        <w:pStyle w:val="Funote"/>
        <w:rPr/>
      </w:pPr>
      <w:r>
        <w:rPr>
          <w:rStyle w:val="Funotenzeichen"/>
        </w:rPr>
        <w:footnoteRef/>
      </w:r>
      <w:r>
        <w:rPr/>
        <w:tab/>
        <w:t>vgl. auch hier Vers 9.</w:t>
      </w:r>
    </w:p>
  </w:footnote>
  <w:footnote w:id="2213">
    <w:p>
      <w:pPr>
        <w:pStyle w:val="Funote"/>
        <w:rPr/>
      </w:pPr>
      <w:r>
        <w:rPr>
          <w:rStyle w:val="Funotenzeichen"/>
        </w:rPr>
        <w:footnoteRef/>
      </w:r>
      <w:r>
        <w:rPr/>
        <w:tab/>
        <w:t>[Vgl. Hossfeld/Zenger 2000, S. 604 und 606]</w:t>
      </w:r>
    </w:p>
  </w:footnote>
  <w:footnote w:id="2214">
    <w:p>
      <w:pPr>
        <w:pStyle w:val="Funote"/>
        <w:rPr/>
      </w:pPr>
      <w:r>
        <w:rPr>
          <w:rStyle w:val="Funotenzeichen"/>
        </w:rPr>
        <w:footnoteRef/>
      </w:r>
      <w:r>
        <w:rPr/>
        <w:tab/>
        <w:t>[Vgl. Hossfeld/Zenger 2000, S. 609]</w:t>
      </w:r>
    </w:p>
  </w:footnote>
  <w:footnote w:id="2215">
    <w:p>
      <w:pPr>
        <w:pStyle w:val="Funote"/>
        <w:rPr/>
      </w:pPr>
      <w:r>
        <w:rPr>
          <w:rStyle w:val="Funotenzeichen"/>
        </w:rPr>
        <w:footnoteRef/>
      </w:r>
      <w:r>
        <w:rPr/>
        <w:tab/>
        <w:t>[Vgl. Hossfeld/Zenger 2000, S. 610f.]</w:t>
      </w:r>
    </w:p>
  </w:footnote>
  <w:footnote w:id="2216">
    <w:p>
      <w:pPr>
        <w:pStyle w:val="Funote"/>
        <w:rPr/>
      </w:pPr>
      <w:r>
        <w:rPr>
          <w:rStyle w:val="Funotenzeichen"/>
        </w:rPr>
        <w:footnoteRef/>
      </w:r>
      <w:r>
        <w:rPr/>
        <w:tab/>
        <w:t>[Vgl. Hossfeld/Zenger 2000, S. 612]</w:t>
      </w:r>
    </w:p>
  </w:footnote>
  <w:footnote w:id="2217">
    <w:p>
      <w:pPr>
        <w:pStyle w:val="Funote"/>
        <w:rPr/>
      </w:pPr>
      <w:r>
        <w:rPr>
          <w:rStyle w:val="Funotenzeichen"/>
        </w:rPr>
        <w:footnoteRef/>
      </w:r>
      <w:r>
        <w:rPr/>
        <w:tab/>
        <w:t>[Vgl. Hossfeld/Zenger 2000, S. 604]</w:t>
      </w:r>
    </w:p>
  </w:footnote>
  <w:footnote w:id="2218">
    <w:p>
      <w:pPr>
        <w:pStyle w:val="Funote"/>
        <w:rPr/>
      </w:pPr>
      <w:r>
        <w:rPr>
          <w:rStyle w:val="Funotenzeichen"/>
        </w:rPr>
        <w:footnoteRef/>
      </w:r>
      <w:r>
        <w:rPr/>
        <w:tab/>
        <w:t>[Status: Zuverlässig]</w:t>
      </w:r>
    </w:p>
  </w:footnote>
  <w:footnote w:id="2219">
    <w:p>
      <w:pPr>
        <w:pStyle w:val="Funote"/>
        <w:rPr/>
      </w:pPr>
      <w:r>
        <w:rPr>
          <w:rStyle w:val="Funotenzeichen"/>
        </w:rPr>
        <w:footnoteRef/>
      </w:r>
      <w:r>
        <w:rPr/>
        <w:tab/>
        <w:t>D.h. wahrscheinlich „in allen Generationen“</w:t>
      </w:r>
    </w:p>
  </w:footnote>
  <w:footnote w:id="2220">
    <w:p>
      <w:pPr>
        <w:pStyle w:val="Funote"/>
        <w:rPr/>
      </w:pPr>
      <w:r>
        <w:rPr>
          <w:rStyle w:val="Funotenzeichen"/>
        </w:rPr>
        <w:footnoteRef/>
      </w:r>
      <w:r>
        <w:rPr/>
        <w:tab/>
        <w:t xml:space="preserve">Dieses Wort hat keinen allumfassenden Sinn wie „Kosmos“, sondern ist i.d.R. mit „Erde“ Synonym – hier klar ein Hendiadyoin. </w:t>
      </w:r>
    </w:p>
  </w:footnote>
  <w:footnote w:id="2221">
    <w:p>
      <w:pPr>
        <w:pStyle w:val="Funote"/>
        <w:rPr/>
      </w:pPr>
      <w:r>
        <w:rPr>
          <w:rStyle w:val="Funotenzeichen"/>
        </w:rPr>
        <w:footnoteRef/>
      </w:r>
      <w:r>
        <w:rPr/>
        <w:tab/>
        <w:t xml:space="preserve">Das Verb heißt eigentlich „sich (in Schmerzen) winden“ und steht oft in Zusammenhang mit der Geburt. Hier wird es bildhaft verwendet. Die Grenzen der deutschen Sprache machen eine genauere Übersetzung nicht möglich. </w:t>
      </w:r>
    </w:p>
  </w:footnote>
  <w:footnote w:id="2222">
    <w:p>
      <w:pPr>
        <w:pStyle w:val="Funote"/>
        <w:rPr/>
      </w:pPr>
      <w:r>
        <w:rPr>
          <w:rStyle w:val="Funotenzeichen"/>
        </w:rPr>
        <w:footnoteRef/>
      </w:r>
      <w:r>
        <w:rPr/>
        <w:tab/>
        <w:t>Nach der LXX und anderen Zeugen kein Polel, sondern Polal → Passiv: „Bevor … die Erde und die Welt hervorgebracht waren“ (NET Ps 90,2 Fußnote 3)</w:t>
      </w:r>
    </w:p>
  </w:footnote>
  <w:footnote w:id="2223">
    <w:p>
      <w:pPr>
        <w:pStyle w:val="Funote"/>
        <w:rPr/>
      </w:pPr>
      <w:r>
        <w:rPr>
          <w:rStyle w:val="Funotenzeichen"/>
        </w:rPr>
        <w:footnoteRef/>
      </w:r>
      <w:r>
        <w:rPr/>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224">
    <w:p>
      <w:pPr>
        <w:pStyle w:val="Funote"/>
        <w:rPr/>
      </w:pPr>
      <w:r>
        <w:rPr>
          <w:rStyle w:val="Funotenzeichen"/>
        </w:rPr>
        <w:footnoteRef/>
      </w:r>
      <w:r>
        <w:rPr/>
        <w:tab/>
        <w:t>LXX: „Du lässt nicht zurückkehren“ (vgl. letzte Fußnote V. 5)</w:t>
      </w:r>
    </w:p>
  </w:footnote>
  <w:footnote w:id="2225">
    <w:p>
      <w:pPr>
        <w:pStyle w:val="Funote"/>
        <w:rPr/>
      </w:pPr>
      <w:r>
        <w:rPr>
          <w:rStyle w:val="Funotenzeichen"/>
        </w:rPr>
        <w:footnoteRef/>
      </w:r>
      <w:r>
        <w:rPr/>
        <w:tab/>
        <w:t>Kehrt zurück wird meistens als Wiederholung und Verstärkung der ersten Vershälfte verstanden: Keht zurück [zu Staub]! = Werdet wieder zu Staub! (vgl. Hossfeld/Zenger 2000, S. 608). Denkbar ist aber auch die Deutung: Kehrt zurück ins Leben!</w:t>
      </w:r>
    </w:p>
  </w:footnote>
  <w:footnote w:id="2226">
    <w:p>
      <w:pPr>
        <w:pStyle w:val="Funote"/>
        <w:rPr/>
      </w:pPr>
      <w:r>
        <w:rPr>
          <w:rStyle w:val="Funotenzeichen"/>
        </w:rPr>
        <w:footnoteRef/>
      </w:r>
      <w:r>
        <w:rPr/>
        <w:tab/>
        <w:t xml:space="preserve">Eigentlich ein (zeitloses) Imperfekt. Im Kontext des gestrigen Tages als Vergangenheit übersetzt. </w:t>
      </w:r>
    </w:p>
  </w:footnote>
  <w:footnote w:id="2227">
    <w:p>
      <w:pPr>
        <w:pStyle w:val="Funote"/>
        <w:rPr/>
      </w:pPr>
      <w:r>
        <w:rPr>
          <w:rStyle w:val="Funotenzeichen"/>
        </w:rPr>
        <w:footnoteRef/>
      </w:r>
      <w:r>
        <w:rPr/>
        <w:tab/>
        <w:t>Kann sich auf die israelitische Nachtzeiteinheit „Nachtwache“ beziehen (NET Ps 90,4 Fußnote 8).</w:t>
      </w:r>
    </w:p>
  </w:footnote>
  <w:footnote w:id="2228">
    <w:p>
      <w:pPr>
        <w:pStyle w:val="Funote"/>
        <w:rPr/>
      </w:pPr>
      <w:r>
        <w:rPr>
          <w:rStyle w:val="Funotenzeichen"/>
        </w:rPr>
        <w:footnoteRef/>
      </w:r>
      <w:r>
        <w:rPr/>
        <w:tab/>
        <w:t>Die genaue Bedeutung des Verbs ist unklar. NET: „beendest ihr Leben“</w:t>
      </w:r>
    </w:p>
  </w:footnote>
  <w:footnote w:id="2229">
    <w:p>
      <w:pPr>
        <w:pStyle w:val="Funote"/>
        <w:rPr/>
      </w:pPr>
      <w:r>
        <w:rPr>
          <w:rStyle w:val="Funotenzeichen"/>
        </w:rPr>
        <w:footnoteRef/>
      </w:r>
      <w:r>
        <w:rPr/>
        <w:tab/>
        <w:t>Oder: „[wie] Schlaf am Morgen, wie Gras“</w:t>
      </w:r>
    </w:p>
  </w:footnote>
  <w:footnote w:id="2230">
    <w:p>
      <w:pPr>
        <w:pStyle w:val="Funote"/>
        <w:rPr/>
      </w:pPr>
      <w:r>
        <w:rPr>
          <w:rStyle w:val="Funotenzeichen"/>
        </w:rPr>
        <w:footnoteRef/>
      </w:r>
      <w:r>
        <w:rPr/>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231">
    <w:p>
      <w:pPr>
        <w:pStyle w:val="Funote"/>
        <w:rPr/>
      </w:pPr>
      <w:r>
        <w:rPr>
          <w:rStyle w:val="Funotenzeichen"/>
        </w:rPr>
        <w:footnoteRef/>
      </w:r>
      <w:r>
        <w:rPr/>
        <w:tab/>
        <w:t>EÜ: „wird es geschnitten“</w:t>
      </w:r>
    </w:p>
  </w:footnote>
  <w:footnote w:id="2232">
    <w:p>
      <w:pPr>
        <w:pStyle w:val="Funote"/>
        <w:rPr/>
      </w:pPr>
      <w:r>
        <w:rPr>
          <w:rStyle w:val="Funotenzeichen"/>
        </w:rPr>
        <w:footnoteRef/>
      </w:r>
      <w:r>
        <w:rPr/>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233">
    <w:p>
      <w:pPr>
        <w:pStyle w:val="Funote"/>
        <w:rPr/>
      </w:pPr>
      <w:r>
        <w:rPr>
          <w:rStyle w:val="Funotenzeichen"/>
        </w:rPr>
        <w:footnoteRef/>
      </w:r>
      <w:r>
        <w:rPr/>
        <w:tab/>
        <w:t>So Hossfeld/Zenger 2000, S. 602. Die meisten deutschen Übersetzungen halten es hier mit Luther: „wenn es hoch kommt“</w:t>
      </w:r>
    </w:p>
  </w:footnote>
  <w:footnote w:id="2234">
    <w:p>
      <w:pPr>
        <w:pStyle w:val="Funote"/>
        <w:rPr/>
      </w:pPr>
      <w:r>
        <w:rPr>
          <w:rStyle w:val="Funotenzeichen"/>
        </w:rPr>
        <w:footnoteRef/>
      </w:r>
      <w:r>
        <w:rPr/>
        <w:tab/>
        <w:t>D.h. der Stolz der Jahre → die Blüte des Lebens.</w:t>
      </w:r>
    </w:p>
  </w:footnote>
  <w:footnote w:id="2235">
    <w:p>
      <w:pPr>
        <w:pStyle w:val="Funote"/>
        <w:rPr/>
      </w:pPr>
      <w:r>
        <w:rPr>
          <w:rStyle w:val="Funotenzeichen"/>
        </w:rPr>
        <w:footnoteRef/>
      </w:r>
      <w:r>
        <w:rPr/>
        <w:tab/>
        <w:t>Die parallele Satzstruktur weist darauf hin, dass aus der einen vergleichenden Präposition (vor „Tage“) weitere ergänzt werden müssen. In hebräischer Dichtung ist das nicht ungewöhnlich (vgl. V. 5).</w:t>
      </w:r>
    </w:p>
  </w:footnote>
  <w:footnote w:id="2236">
    <w:p>
      <w:pPr>
        <w:pStyle w:val="Funote"/>
        <w:rPr/>
      </w:pPr>
      <w:r>
        <w:rPr>
          <w:rStyle w:val="Funotenzeichen"/>
        </w:rPr>
        <w:footnoteRef/>
      </w:r>
      <w:r>
        <w:rPr/>
        <w:tab/>
        <w:t>REB: „Lass an deinen Knechten sichtbar werden“</w:t>
      </w:r>
    </w:p>
  </w:footnote>
  <w:footnote w:id="2237">
    <w:p>
      <w:pPr>
        <w:pStyle w:val="Funote"/>
        <w:rPr/>
      </w:pPr>
      <w:r>
        <w:rPr>
          <w:rStyle w:val="Funotenzeichen"/>
        </w:rPr>
        <w:footnoteRef/>
      </w:r>
      <w:r>
        <w:rPr/>
        <w:tab/>
        <w:t>SLT: „fördere“, EÜ: „lass gedeihen“</w:t>
      </w:r>
    </w:p>
  </w:footnote>
  <w:footnote w:id="2238">
    <w:p>
      <w:pPr>
        <w:pStyle w:val="Funote"/>
        <w:rPr/>
      </w:pPr>
      <w:r>
        <w:rPr>
          <w:rStyle w:val="Funotenzeichen"/>
        </w:rPr>
        <w:footnoteRef/>
      </w:r>
      <w:r>
        <w:rPr/>
        <w:tab/>
        <w:t>[Status: Ungeprüft]</w:t>
      </w:r>
    </w:p>
  </w:footnote>
  <w:footnote w:id="2239">
    <w:p>
      <w:pPr>
        <w:pStyle w:val="Funote"/>
        <w:rPr/>
      </w:pPr>
      <w:r>
        <w:rPr>
          <w:rStyle w:val="Funotenzeichen"/>
        </w:rPr>
        <w:footnoteRef/>
      </w:r>
      <w:r>
        <w:rPr/>
        <w:tab/>
        <w:t xml:space="preserve">Aufgelöstes attr. </w:t>
      </w:r>
      <w:hyperlink r:id="rId176">
        <w:r>
          <w:rPr>
            <w:rStyle w:val="Internetverknpfung"/>
          </w:rPr>
          <w:t>Ptz.</w:t>
        </w:r>
      </w:hyperlink>
      <w:r>
        <w:rPr/>
        <w:t xml:space="preserve"> passiv.</w:t>
      </w:r>
    </w:p>
  </w:footnote>
  <w:footnote w:id="2240">
    <w:p>
      <w:pPr>
        <w:pStyle w:val="Funote"/>
        <w:rPr/>
      </w:pPr>
      <w:r>
        <w:rPr>
          <w:rStyle w:val="Funotenzeichen"/>
        </w:rPr>
        <w:footnoteRef/>
      </w:r>
      <w:r>
        <w:rPr/>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241">
    <w:p>
      <w:pPr>
        <w:pStyle w:val="Funote"/>
        <w:rPr/>
      </w:pPr>
      <w:r>
        <w:rPr>
          <w:rStyle w:val="Funotenzeichen"/>
        </w:rPr>
        <w:footnoteRef/>
      </w:r>
      <w:r>
        <w:rPr/>
        <w:tab/>
        <w:t>Denkbar wäre auch: „Deinem Haus gebührt Heiligkeit“ o.ä.</w:t>
      </w:r>
    </w:p>
  </w:footnote>
  <w:footnote w:id="2242">
    <w:p>
      <w:pPr>
        <w:pStyle w:val="Funote"/>
        <w:rPr/>
      </w:pPr>
      <w:r>
        <w:rPr>
          <w:rStyle w:val="Funotenzeichen"/>
        </w:rPr>
        <w:footnoteRef/>
      </w:r>
      <w:r>
        <w:rPr/>
        <w:tab/>
        <w:t>Dieser Vers beschreibt durch den status constructus und das darus resultierende Gen. Obj. laut E. Zenger (Psalmen Auslegungen 4, S. 139) keinen Wesenzug Gottes, sondern die Wirkweise Gottes.</w:t>
      </w:r>
    </w:p>
  </w:footnote>
  <w:footnote w:id="2243">
    <w:p>
      <w:pPr>
        <w:pStyle w:val="Funote"/>
        <w:rPr/>
      </w:pPr>
      <w:r>
        <w:rPr>
          <w:rStyle w:val="Funotenzeichen"/>
        </w:rPr>
        <w:footnoteRef/>
      </w:r>
      <w:r>
        <w:rPr/>
        <w:tab/>
        <w:t>Das „Zurück“zahlen von Lohn entspringt dem israelitischen Vergeltungsprinzip (das positiv wie negativ greift).</w:t>
      </w:r>
    </w:p>
  </w:footnote>
  <w:footnote w:id="2244">
    <w:p>
      <w:pPr>
        <w:pStyle w:val="Funote"/>
        <w:rPr/>
      </w:pPr>
      <w:r>
        <w:rPr>
          <w:rStyle w:val="Funotenzeichen"/>
        </w:rPr>
        <w:footnoteRef/>
      </w:r>
      <w:r>
        <w:rPr/>
        <w:tab/>
        <w:t>[Status: Zuverlässig]</w:t>
      </w:r>
    </w:p>
  </w:footnote>
  <w:footnote w:id="2245">
    <w:p>
      <w:pPr>
        <w:pStyle w:val="Funote"/>
        <w:rPr/>
      </w:pPr>
      <w:r>
        <w:rPr>
          <w:rStyle w:val="Funotenzeichen"/>
        </w:rPr>
        <w:footnoteRef/>
      </w:r>
      <w:r>
        <w:rPr/>
        <w:tab/>
        <w:t>Wechselgesang - so kürzlich Amzallag 2014, doch ist das eher unwahrscheinlich.</w:t>
      </w:r>
    </w:p>
  </w:footnote>
  <w:footnote w:id="2246">
    <w:p>
      <w:pPr>
        <w:pStyle w:val="Funote"/>
        <w:rPr/>
      </w:pPr>
      <w:r>
        <w:rPr>
          <w:rStyle w:val="Funotenzeichen"/>
        </w:rPr>
        <w:footnoteRef/>
      </w:r>
      <w:r>
        <w:rPr>
          <w:rtl w:val="true"/>
          <w:lang w:bidi="he-IL"/>
        </w:rPr>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247">
    <w:p>
      <w:pPr>
        <w:pStyle w:val="Funote"/>
        <w:rPr/>
      </w:pPr>
      <w:r>
        <w:rPr>
          <w:rStyle w:val="Funotenzeichen"/>
        </w:rPr>
        <w:footnoteRef/>
      </w:r>
      <w:r>
        <w:rPr/>
        <w:tab/>
        <w:t xml:space="preserve">Im Hebräischen Plural, da natürlich „ganze Erde“ - gleich, wie es genau zu deuten ist (s. nächste FN) - auf die </w:t>
      </w:r>
      <w:r>
        <w:rPr>
          <w:i/>
        </w:rPr>
        <w:t>Bewohner</w:t>
      </w:r>
      <w:r>
        <w:rPr/>
        <w:t xml:space="preserve"> dieser Erde zu beziehen ist.</w:t>
      </w:r>
    </w:p>
  </w:footnote>
  <w:footnote w:id="2248">
    <w:p>
      <w:pPr>
        <w:pStyle w:val="Funote"/>
        <w:rPr/>
      </w:pPr>
      <w:r>
        <w:rPr>
          <w:rStyle w:val="Funotenzeichen"/>
        </w:rPr>
        <w:footnoteRef/>
      </w:r>
      <w:r>
        <w:rPr/>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249">
    <w:p>
      <w:pPr>
        <w:pStyle w:val="Funote"/>
        <w:rPr/>
      </w:pPr>
      <w:r>
        <w:rPr>
          <w:rStyle w:val="Funotenzeichen"/>
        </w:rPr>
        <w:footnoteRef/>
      </w:r>
      <w:r>
        <w:rPr>
          <w:rtl w:val="true"/>
          <w:lang w:bidi="he-IL"/>
        </w:rPr>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250">
    <w:p>
      <w:pPr>
        <w:pStyle w:val="Funote"/>
        <w:rPr/>
      </w:pPr>
      <w:r>
        <w:rPr>
          <w:rStyle w:val="Funotenzeichen"/>
        </w:rPr>
        <w:footnoteRef/>
      </w:r>
      <w:r>
        <w:rPr>
          <w:rtl w:val="true"/>
          <w:lang w:bidi="he-IL"/>
        </w:rPr>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251">
    <w:p>
      <w:pPr>
        <w:pStyle w:val="Funote"/>
        <w:rPr/>
      </w:pPr>
      <w:r>
        <w:rPr>
          <w:rStyle w:val="Funotenzeichen"/>
        </w:rPr>
        <w:footnoteRef/>
      </w:r>
      <w:r>
        <w:rPr>
          <w:rtl w:val="true"/>
          <w:lang w:bidi="he-IL"/>
        </w:rPr>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252">
    <w:p>
      <w:pPr>
        <w:pStyle w:val="Funote"/>
        <w:rPr/>
      </w:pPr>
      <w:r>
        <w:rPr>
          <w:rStyle w:val="Funotenzeichen"/>
        </w:rPr>
        <w:footnoteRef/>
      </w:r>
      <w:r>
        <w:rPr/>
        <w:tab/>
        <w:t xml:space="preserve">Nicht: JHWH, er [ist] Gott - </w:t>
      </w:r>
      <w:r>
        <w:rPr>
          <w:rtl w:val="true"/>
          <w:lang w:bidi="he-IL"/>
        </w:rPr>
        <w:t>הוּא</w:t>
      </w:r>
      <w:r>
        <w:rPr/>
        <w:t xml:space="preserve"> </w:t>
      </w:r>
      <w:r>
        <w:rPr/>
        <w:t>verwendet als Pro-Kopula; vgl. dazu z.B. zuletzt wieder Holmstedt/Jones 2013.</w:t>
      </w:r>
    </w:p>
  </w:footnote>
  <w:footnote w:id="2253">
    <w:p>
      <w:pPr>
        <w:pStyle w:val="Funote"/>
        <w:rPr/>
      </w:pPr>
      <w:r>
        <w:rPr>
          <w:rStyle w:val="Funotenzeichen"/>
        </w:rPr>
        <w:footnoteRef/>
      </w:r>
      <w:r>
        <w:rPr/>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254">
    <w:p>
      <w:pPr>
        <w:pStyle w:val="Funote"/>
        <w:rPr/>
      </w:pPr>
      <w:r>
        <w:rPr>
          <w:rStyle w:val="Funotenzeichen"/>
        </w:rPr>
        <w:footnoteRef/>
      </w:r>
      <w:r>
        <w:rPr/>
        <w:tab/>
        <w:t>Zu ergänzen aus Sticho 3b (-&gt;Brachylogie).</w:t>
      </w:r>
    </w:p>
  </w:footnote>
  <w:footnote w:id="2255">
    <w:p>
      <w:pPr>
        <w:pStyle w:val="Funote"/>
        <w:rPr/>
      </w:pPr>
      <w:r>
        <w:rPr>
          <w:rStyle w:val="Funotenzeichen"/>
        </w:rPr>
        <w:footnoteRef/>
      </w:r>
      <w:r>
        <w:rPr/>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256">
    <w:p>
      <w:pPr>
        <w:pStyle w:val="Funote"/>
        <w:rPr/>
      </w:pPr>
      <w:r>
        <w:rPr>
          <w:rStyle w:val="Funotenzeichen"/>
        </w:rPr>
        <w:footnoteRef/>
      </w:r>
      <w:r>
        <w:rPr/>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257">
    <w:p>
      <w:pPr>
        <w:pStyle w:val="Funote"/>
        <w:rPr/>
      </w:pPr>
      <w:r>
        <w:rPr>
          <w:rStyle w:val="Funotenzeichen"/>
        </w:rPr>
        <w:footnoteRef/>
      </w:r>
      <w:r>
        <w:rPr/>
        <w:tab/>
        <w:t xml:space="preserve">s. zur Alternative </w:t>
      </w:r>
      <w:r>
        <w:fldChar w:fldCharType="begin"/>
      </w:r>
      <w:r>
        <w:rPr>
          <w:rStyle w:val="Internetverknpfung"/>
        </w:rPr>
        <w:instrText> HYPERLINK "http://www.offene-bibel.de/wiki/index.php5?title=Psalm_100" \l "note_f"</w:instrText>
      </w:r>
      <w:r>
        <w:rPr>
          <w:rStyle w:val="Internetverknpfung"/>
        </w:rPr>
        <w:fldChar w:fldCharType="separate"/>
      </w:r>
      <w:r>
        <w:rPr>
          <w:rStyle w:val="Internetverknpfung"/>
        </w:rPr>
        <w:t>FN f</w:t>
      </w:r>
      <w:r>
        <w:rPr>
          <w:rStyle w:val="Internetverknpfung"/>
        </w:rPr>
        <w:fldChar w:fldCharType="end"/>
      </w:r>
    </w:p>
  </w:footnote>
  <w:footnote w:id="2258">
    <w:p>
      <w:pPr>
        <w:pStyle w:val="Funote"/>
        <w:rPr/>
      </w:pPr>
      <w:r>
        <w:rPr>
          <w:rStyle w:val="Funotenzeichen"/>
        </w:rPr>
        <w:footnoteRef/>
      </w:r>
      <w:r>
        <w:rPr/>
        <w:tab/>
        <w:t>Hier wird das selbe Wort wie in der Überschrift wiederholt; zu den Übersetzungsvarianten vgl. die erste FN.</w:t>
      </w:r>
    </w:p>
  </w:footnote>
  <w:footnote w:id="2259">
    <w:p>
      <w:pPr>
        <w:pStyle w:val="Funote"/>
        <w:rPr/>
      </w:pPr>
      <w:r>
        <w:rPr>
          <w:rStyle w:val="Funotenzeichen"/>
        </w:rPr>
        <w:footnoteRef/>
      </w:r>
      <w:r>
        <w:rPr/>
        <w:tab/>
        <w:t>Zu ergänzen aus Sticho 4a (-&gt;Brachylogie).</w:t>
      </w:r>
    </w:p>
  </w:footnote>
  <w:footnote w:id="2260">
    <w:p>
      <w:pPr>
        <w:pStyle w:val="Funote"/>
        <w:rPr/>
      </w:pPr>
      <w:r>
        <w:rPr>
          <w:rStyle w:val="Funotenzeichen"/>
        </w:rPr>
        <w:footnoteRef/>
      </w:r>
      <w:r>
        <w:rPr/>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261">
    <w:p>
      <w:pPr>
        <w:pStyle w:val="Funote"/>
        <w:rPr/>
      </w:pPr>
      <w:r>
        <w:rPr>
          <w:rStyle w:val="Funotenzeichen"/>
        </w:rPr>
        <w:footnoteRef/>
      </w:r>
      <w:r>
        <w:rPr/>
        <w:tab/>
        <w:t>Besonders im Kontext von Aussagen über JHWH steht sein „Name“ meist metonymisch für JHWH selbst; man bezeichnet so JHWH „im Menschenmund“.</w:t>
      </w:r>
    </w:p>
  </w:footnote>
  <w:footnote w:id="2262">
    <w:p>
      <w:pPr>
        <w:pStyle w:val="Funote"/>
        <w:rPr/>
      </w:pPr>
      <w:r>
        <w:rPr>
          <w:rStyle w:val="Funotenzeichen"/>
        </w:rPr>
        <w:footnoteRef/>
      </w:r>
      <w:r>
        <w:rPr/>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263">
    <w:p>
      <w:pPr>
        <w:pStyle w:val="Funote"/>
        <w:rPr/>
      </w:pPr>
      <w:r>
        <w:rPr>
          <w:rStyle w:val="Funotenzeichen"/>
        </w:rPr>
        <w:footnoteRef/>
      </w:r>
      <w:r>
        <w:rPr/>
        <w:tab/>
        <w:t>[Status: Zuverlässig]</w:t>
      </w:r>
    </w:p>
  </w:footnote>
  <w:footnote w:id="2264">
    <w:p>
      <w:pPr>
        <w:pStyle w:val="Funote"/>
        <w:rPr/>
      </w:pPr>
      <w:r>
        <w:rPr>
          <w:rStyle w:val="Funotenzeichen"/>
        </w:rPr>
        <w:footnoteRef/>
      </w:r>
      <w:r>
        <w:rPr/>
        <w:tab/>
        <w:t>Textkritik: Die in Psalmen häufige, den angeblichen Verfasser angebende Überschrift „von David“ findet sich nicht in allen Überlieferungen des Textes – u.a. nicht Grundtext der BHS / BHQ –, dafür aber gerade in den sehr alten Textzeugen 11QPsa, LXX, Aq und evt. (vgl. Flint 1997, S. 96) in 4QPse. Das ist eine sehr starke Bezeugung; Goldingay 2008, S. 178 etwa sieht diese Überschrift daher als ursprünglich an. Die unterschiedliche Überlieferung lässt sich aber leichter erklären als Ergänzung (statt Streichung) zwecks einer Angleichung der sog. „anonymen“ Psalmen an die häufigeren Psalmen mit Autorenangabe. LXX allein hat wohl aus diesem Grund bei 13 anonymen Psalmen eine solche Angabe, wo der Codex Leningradensis sie nicht hat.</w:t>
      </w:r>
    </w:p>
  </w:footnote>
  <w:footnote w:id="2265">
    <w:p>
      <w:pPr>
        <w:pStyle w:val="Funote"/>
        <w:rPr/>
      </w:pPr>
      <w:r>
        <w:rPr>
          <w:rStyle w:val="Funotenzeichen"/>
        </w:rPr>
        <w:footnoteRef/>
      </w:r>
      <w:r>
        <w:rPr/>
        <w:tab/>
        <w:t>Preise, meine Seele, JHWH - Eine Selbtermunterung zum Gebet; ähnliches findet sich z.B. auch in Ps 34,2; Ps 42,5.11; 43,5; 103,1.22; 116,7; 145,21. Zur wohl dahinterstehenden Vorstellung vgl. am besten Ps 77,2 („Meine Seele weigerte sich, sich trösten zu lassen“); 131,2 („Ich habe meine Seele besänftigt und beruhigt“): Wie jeder Beter weiß, hat das Herz manchmal seine eigene Dynamik und ist nicht von vornherein dazu bereit(et), beten zu können - daher muss der Beter bewusst Einfluss auf die Stimmung seines Herzens nehmen. Das selbe Motiv findet sich übrigens auch in deutschen Kirchenliedern; man vergleiche etwa Paul Gerhards Lieder „Du meine Seele, singe“ und „Auf, auf, mein Herz, mit Freuden / nimm wahr, was heut geschieht“.</w:t>
      </w:r>
    </w:p>
  </w:footnote>
  <w:footnote w:id="2266">
    <w:p>
      <w:pPr>
        <w:pStyle w:val="Funote"/>
        <w:rPr/>
      </w:pPr>
      <w:r>
        <w:rPr>
          <w:rStyle w:val="Funotenzeichen"/>
        </w:rPr>
        <w:footnoteRef/>
      </w:r>
      <w:r>
        <w:rPr/>
        <w:tab/>
        <w:t>Textkritik - Die auffällige Aneinanderreihung dreier Gottesbezeichnungen (2x JHWH, 1x mein-Gott) hat in der Textüberlieferung für etwas Verwirrung gesorgt: In einigen heb. Handschriften fehlt eines der beiden JHWH, in einer Handschrift der LXX finden sich drei davon. 11QPsa hat statt „mein Gott“ die Variante „unser Gott“, 4QPsd die Variante „Gott“. Ursprünglich ist sicher die Variante im Fließtext.</w:t>
      </w:r>
    </w:p>
  </w:footnote>
  <w:footnote w:id="2267">
    <w:p>
      <w:pPr>
        <w:pStyle w:val="Funote"/>
        <w:rPr/>
      </w:pPr>
      <w:r>
        <w:rPr>
          <w:rStyle w:val="Funotenzeichen"/>
        </w:rPr>
        <w:footnoteRef/>
      </w:r>
      <w:r>
        <w:rPr>
          <w:i/>
        </w:rPr>
        <w:tab/>
        <w:t>Majestät und Herrlichkeit</w:t>
      </w:r>
      <w:r>
        <w:rPr/>
        <w:t xml:space="preserve"> - Zwei häufigere Züge bei der Beschreibung Gottes: „Bei ihm“ ist Majestät und Herrlichkeit und er selbst ist majestätisch und herrlich (vgl. </w:t>
      </w:r>
      <w:hyperlink r:id="rId177">
        <w:r>
          <w:rPr>
            <w:rStyle w:val="Internetverknpfung"/>
          </w:rPr>
          <w:t>1 Chr 16,27</w:t>
        </w:r>
      </w:hyperlink>
      <w:r>
        <w:rPr/>
        <w:t xml:space="preserve">; </w:t>
      </w:r>
      <w:hyperlink r:id="rId178">
        <w:r>
          <w:rPr>
            <w:rStyle w:val="Internetverknpfung"/>
          </w:rPr>
          <w:t>96,6</w:t>
        </w:r>
      </w:hyperlink>
      <w:r>
        <w:rPr/>
        <w:t xml:space="preserve">; </w:t>
      </w:r>
      <w:hyperlink r:id="rId179">
        <w:r>
          <w:rPr>
            <w:rStyle w:val="Internetverknpfung"/>
          </w:rPr>
          <w:t>111,3</w:t>
        </w:r>
      </w:hyperlink>
      <w:r>
        <w:rPr/>
        <w:t xml:space="preserve">; </w:t>
      </w:r>
      <w:r>
        <w:fldChar w:fldCharType="begin"/>
      </w:r>
      <w:r>
        <w:rPr>
          <w:rStyle w:val="Internetverknpfung"/>
        </w:rPr>
        <w:instrText> HYPERLINK "../../../../../../../../../wiki/Psalm_145" \l "s5"</w:instrText>
      </w:r>
      <w:r>
        <w:rPr>
          <w:rStyle w:val="Internetverknpfung"/>
        </w:rPr>
        <w:fldChar w:fldCharType="separate"/>
      </w:r>
      <w:r>
        <w:rPr>
          <w:rStyle w:val="Internetverknpfung"/>
        </w:rPr>
        <w:t>145,5</w:t>
      </w:r>
      <w:r>
        <w:rPr>
          <w:rStyle w:val="Internetverknpfung"/>
        </w:rPr>
        <w:fldChar w:fldCharType="end"/>
      </w:r>
      <w:r>
        <w:rPr/>
        <w:t xml:space="preserve">), daher kann auch einzig er einzelnen Menschen diese Eigenschaften gewähren (vgl. </w:t>
      </w:r>
      <w:hyperlink r:id="rId180">
        <w:r>
          <w:rPr>
            <w:rStyle w:val="Internetverknpfung"/>
          </w:rPr>
          <w:t>Ps 21,5</w:t>
        </w:r>
      </w:hyperlink>
      <w:r>
        <w:rPr/>
        <w:t xml:space="preserve">; </w:t>
      </w:r>
      <w:hyperlink r:id="rId181">
        <w:r>
          <w:rPr>
            <w:rStyle w:val="Internetverknpfung"/>
          </w:rPr>
          <w:t>45,2f.</w:t>
        </w:r>
      </w:hyperlink>
      <w:r>
        <w:rPr/>
        <w:t xml:space="preserve">; sarkastisch in </w:t>
      </w:r>
      <w:hyperlink r:id="rId182">
        <w:r>
          <w:rPr>
            <w:rStyle w:val="Internetverknpfung"/>
          </w:rPr>
          <w:t>Ijob 40,10</w:t>
        </w:r>
      </w:hyperlink>
      <w:r>
        <w:rPr/>
        <w:t xml:space="preserve">). Das zweite Wort, </w:t>
      </w:r>
      <w:r>
        <w:rPr>
          <w:i/>
        </w:rPr>
        <w:t>hadar</w:t>
      </w:r>
      <w:r>
        <w:rPr/>
        <w:t xml:space="preserve">, kann auch konkret den Schmuck bezeichnen; entsprechend ist es auch in </w:t>
      </w:r>
      <w:hyperlink r:id="rId183">
        <w:r>
          <w:rPr>
            <w:rStyle w:val="Internetverknpfung"/>
          </w:rPr>
          <w:t>Ijob 40,10</w:t>
        </w:r>
      </w:hyperlink>
      <w:r>
        <w:rPr/>
        <w:t xml:space="preserve">; </w:t>
      </w:r>
      <w:hyperlink r:id="rId184">
        <w:r>
          <w:rPr>
            <w:rStyle w:val="Internetverknpfung"/>
          </w:rPr>
          <w:t>Spr 31,25</w:t>
        </w:r>
      </w:hyperlink>
      <w:r>
        <w:rPr/>
        <w:t xml:space="preserve">; </w:t>
      </w:r>
      <w:hyperlink r:id="rId185">
        <w:r>
          <w:rPr>
            <w:rStyle w:val="Internetverknpfung"/>
          </w:rPr>
          <w:t>Jes 63,1</w:t>
        </w:r>
      </w:hyperlink>
      <w:r>
        <w:rPr/>
        <w:t xml:space="preserve">; </w:t>
      </w:r>
      <w:r>
        <w:fldChar w:fldCharType="begin"/>
      </w:r>
      <w:r>
        <w:rPr>
          <w:rStyle w:val="Internetverknpfung"/>
        </w:rPr>
        <w:instrText> HYPERLINK "../../../../../../../../../wiki/Ezechiel_16" \l "s14"</w:instrText>
      </w:r>
      <w:r>
        <w:rPr>
          <w:rStyle w:val="Internetverknpfung"/>
        </w:rPr>
        <w:fldChar w:fldCharType="separate"/>
      </w:r>
      <w:r>
        <w:rPr>
          <w:rStyle w:val="Internetverknpfung"/>
        </w:rPr>
        <w:t>Ez 16,14</w:t>
      </w:r>
      <w:r>
        <w:rPr>
          <w:rStyle w:val="Internetverknpfung"/>
        </w:rPr>
        <w:fldChar w:fldCharType="end"/>
      </w:r>
      <w:r>
        <w:rPr/>
        <w:t xml:space="preserve"> (vgl. ähnlich </w:t>
      </w:r>
      <w:r>
        <w:fldChar w:fldCharType="begin"/>
      </w:r>
      <w:r>
        <w:rPr>
          <w:rStyle w:val="Internetverknpfung"/>
        </w:rPr>
        <w:instrText> HYPERLINK "../../../../../../../../../wiki/Psalm_93" \l "s1"</w:instrText>
      </w:r>
      <w:r>
        <w:rPr>
          <w:rStyle w:val="Internetverknpfung"/>
        </w:rPr>
        <w:fldChar w:fldCharType="separate"/>
      </w:r>
      <w:r>
        <w:rPr>
          <w:rStyle w:val="Internetverknpfung"/>
        </w:rPr>
        <w:t>Ps 93,1</w:t>
      </w:r>
      <w:r>
        <w:rPr>
          <w:rStyle w:val="Internetverknpfung"/>
        </w:rPr>
        <w:fldChar w:fldCharType="end"/>
      </w:r>
      <w:r>
        <w:rPr/>
        <w:t>) etwas, womit man sich „kleiden“ kann.</w:t>
      </w:r>
    </w:p>
  </w:footnote>
  <w:footnote w:id="2268">
    <w:p>
      <w:pPr>
        <w:pStyle w:val="Funote"/>
        <w:rPr/>
      </w:pPr>
      <w:r>
        <w:rPr>
          <w:rStyle w:val="Funotenzeichen"/>
        </w:rPr>
        <w:footnoteRef/>
      </w:r>
      <w:r>
        <w:rPr>
          <w:i/>
        </w:rPr>
        <w:tab/>
        <w:t>Mit Licht umhüllt</w:t>
      </w:r>
      <w:r>
        <w:rPr/>
        <w:t xml:space="preserve"> + </w:t>
      </w:r>
      <w:r>
        <w:rPr>
          <w:i/>
        </w:rPr>
        <w:t>Himmel ausgespannt</w:t>
      </w:r>
      <w:r>
        <w:rPr/>
        <w:t xml:space="preserve"> - Binnenreim der beiden Partizipien: </w:t>
      </w:r>
      <w:r>
        <w:rPr>
          <w:b/>
          <w:i/>
        </w:rPr>
        <w:t>`oteh</w:t>
      </w:r>
      <w:r>
        <w:rPr>
          <w:i/>
        </w:rPr>
        <w:t>-´or</w:t>
      </w:r>
      <w:r>
        <w:rPr/>
        <w:t xml:space="preserve"> + </w:t>
      </w:r>
      <w:r>
        <w:rPr>
          <w:b/>
          <w:i/>
        </w:rPr>
        <w:t>noteh</w:t>
      </w:r>
      <w:r>
        <w:rPr>
          <w:i/>
        </w:rPr>
        <w:t xml:space="preserve"> schamajim</w:t>
      </w:r>
      <w:r>
        <w:rPr/>
        <w:t>.</w:t>
      </w:r>
    </w:p>
  </w:footnote>
  <w:footnote w:id="2269">
    <w:p>
      <w:pPr>
        <w:pStyle w:val="Funote"/>
        <w:rPr/>
      </w:pPr>
      <w:r>
        <w:rPr>
          <w:rStyle w:val="Funotenzeichen"/>
        </w:rPr>
        <w:footnoteRef/>
      </w:r>
      <w:r>
        <w:rPr>
          <w:i/>
        </w:rPr>
        <w:tab/>
        <w:t>mit Licht umhüllt</w:t>
      </w:r>
      <w:r>
        <w:rPr/>
        <w:t xml:space="preserve"> - Ps 104 hat viele Anklänge an die Schöpfungserzählung in </w:t>
      </w:r>
      <w:hyperlink r:id="rId186">
        <w:r>
          <w:rPr>
            <w:rStyle w:val="Internetverknpfung"/>
          </w:rPr>
          <w:t>Genesis 1</w:t>
        </w:r>
      </w:hyperlink>
      <w:r>
        <w:rPr/>
        <w:t>; die Rede vom „sich mit Licht umhüllen“ spielt daher wohl auf die auch dort geschilderte Schöpfung des Lichts an.</w:t>
      </w:r>
    </w:p>
  </w:footnote>
  <w:footnote w:id="2270">
    <w:p>
      <w:pPr>
        <w:pStyle w:val="Funote"/>
        <w:rPr/>
      </w:pPr>
      <w:r>
        <w:rPr>
          <w:rStyle w:val="Funotenzeichen"/>
        </w:rPr>
        <w:footnoteRef/>
      </w:r>
      <w:r>
        <w:rPr/>
        <w:tab/>
        <w:t>[Oh, du] - rein funktionale Übersetzung: Die folgenden Verben stehen im Partizip und es ist nicht einmal offensichtlich, dass Gott hier tatsächlich angesprochen ist. Derartige Aneinanderreihungen von Partizipien finden sich aber häufig in hymnischen Psalmen; ihre Funktion ist es, Wesenszüge Gottes aufzuzählen, um ihn damit zu preisen (vgl. z.B. Seybold 1990, S. 114).</w:t>
      </w:r>
    </w:p>
  </w:footnote>
  <w:footnote w:id="2271">
    <w:p>
      <w:pPr>
        <w:pStyle w:val="Funote"/>
        <w:rPr/>
      </w:pPr>
      <w:r>
        <w:rPr>
          <w:rStyle w:val="Funotenzeichen"/>
        </w:rPr>
        <w:footnoteRef/>
      </w:r>
      <w:r>
        <w:rPr>
          <w:i/>
        </w:rPr>
        <w:tab/>
        <w:t>Himmel wie eine Zeltdecke ausspannte</w:t>
      </w:r>
      <w:r>
        <w:rPr/>
        <w:t xml:space="preserve"> - Nach biblischer Vorstellung ist der Himmel ein festes Gebilde (vgl. z.B. </w:t>
      </w:r>
      <w:hyperlink r:id="rId187">
        <w:r>
          <w:rPr>
            <w:rStyle w:val="Internetverknpfung"/>
          </w:rPr>
          <w:t>Ijob 37,18</w:t>
        </w:r>
      </w:hyperlink>
      <w:r>
        <w:rPr/>
        <w:t xml:space="preserve">; </w:t>
      </w:r>
      <w:hyperlink r:id="rId188">
        <w:r>
          <w:rPr>
            <w:rStyle w:val="Internetverknpfung"/>
          </w:rPr>
          <w:t>Ez 1,22</w:t>
        </w:r>
      </w:hyperlink>
      <w:r>
        <w:rPr/>
        <w:t xml:space="preserve">), das „ausgebreitet“ oder „ausgespannt“ (vgl. </w:t>
      </w:r>
      <w:hyperlink r:id="rId189">
        <w:r>
          <w:rPr>
            <w:rStyle w:val="Internetverknpfung"/>
          </w:rPr>
          <w:t>Ijob 9,8</w:t>
        </w:r>
      </w:hyperlink>
      <w:r>
        <w:rPr/>
        <w:t xml:space="preserve">; </w:t>
      </w:r>
      <w:hyperlink r:id="rId190">
        <w:r>
          <w:rPr>
            <w:rStyle w:val="Internetverknpfung"/>
          </w:rPr>
          <w:t>42,5</w:t>
        </w:r>
      </w:hyperlink>
      <w:r>
        <w:rPr/>
        <w:t xml:space="preserve">; </w:t>
      </w:r>
      <w:r>
        <w:fldChar w:fldCharType="begin"/>
      </w:r>
      <w:r>
        <w:rPr>
          <w:rStyle w:val="Internetverknpfung"/>
        </w:rPr>
        <w:instrText> HYPERLINK "../../../../../../../../../wiki/Jesaja_44" \l "s24"</w:instrText>
      </w:r>
      <w:r>
        <w:rPr>
          <w:rStyle w:val="Internetverknpfung"/>
        </w:rPr>
        <w:fldChar w:fldCharType="separate"/>
      </w:r>
      <w:r>
        <w:rPr>
          <w:rStyle w:val="Internetverknpfung"/>
        </w:rPr>
        <w:t>44,24</w:t>
      </w:r>
      <w:r>
        <w:rPr>
          <w:rStyle w:val="Internetverknpfung"/>
        </w:rPr>
        <w:fldChar w:fldCharType="end"/>
      </w:r>
      <w:r>
        <w:rPr/>
        <w:t xml:space="preserve">) wurde, um die Wasser über der Erde vom Überfluten der Erde zurückzuhalten (vgl. z.B. </w:t>
      </w:r>
      <w:hyperlink r:id="rId191">
        <w:r>
          <w:rPr>
            <w:rStyle w:val="Internetverknpfung"/>
          </w:rPr>
          <w:t>Ijob 37,11</w:t>
        </w:r>
      </w:hyperlink>
      <w:r>
        <w:rPr/>
        <w:t>). Sehr häufig ist er außerdem vorgestellt als die „Wohnstatt Gottes“. Beides wird hier kombiniert zur Vorstellung des Himmels als dem „Zelt Gottes“, das nach seinem ausgespannt-Werden dann in V. 3 noch weiter ausgebaut wird.</w:t>
      </w:r>
    </w:p>
  </w:footnote>
  <w:footnote w:id="2272">
    <w:p>
      <w:pPr>
        <w:pStyle w:val="Funote"/>
        <w:rPr/>
      </w:pPr>
      <w:r>
        <w:rPr>
          <w:rStyle w:val="Funotenzeichen"/>
        </w:rPr>
        <w:footnoteRef/>
      </w:r>
      <w:r>
        <w:rPr/>
        <w:tab/>
        <w:t>im Wasser bälkte - D.h. JHWH hat im Himmel sein Obergemach errichtet, indem er im oder mit Wasser - nämlich dem, aus dem der Himmel besteht und das vom Firmament davon zurückgehalten wird, die Erde zu überfluten - seine Wohnung „zimmert“. Die Rede vom Himmel als „Obergemach“ ist schön und sehr treffend - impliziert sie doch, dass Gott zu diesem Obergemach auch ein „Erdgeschoss“ hat, was den Rest des Psalms vorbereitet.</w:t>
      </w:r>
    </w:p>
  </w:footnote>
  <w:footnote w:id="2273">
    <w:p>
      <w:pPr>
        <w:pStyle w:val="Funote"/>
        <w:rPr/>
      </w:pPr>
      <w:r>
        <w:rPr>
          <w:rStyle w:val="Funotenzeichen"/>
        </w:rPr>
        <w:footnoteRef/>
      </w:r>
      <w:r>
        <w:rPr>
          <w:i/>
        </w:rPr>
        <w:tab/>
        <w:t>Dort</w:t>
      </w:r>
      <w:r>
        <w:rPr/>
        <w:t xml:space="preserve"> - nämlich im himmlischen Obergemach.</w:t>
      </w:r>
    </w:p>
  </w:footnote>
  <w:footnote w:id="2274">
    <w:p>
      <w:pPr>
        <w:pStyle w:val="Funote"/>
        <w:rPr/>
      </w:pPr>
      <w:r>
        <w:rPr>
          <w:rStyle w:val="Funotenzeichen"/>
        </w:rPr>
        <w:footnoteRef/>
      </w:r>
      <w:r>
        <w:rPr>
          <w:i/>
        </w:rPr>
        <w:tab/>
        <w:t>Wolken [als] seinen Wagen</w:t>
      </w:r>
      <w:r>
        <w:rPr/>
        <w:t xml:space="preserve"> - Eine alte Vorstellung; auch der altorientalische Gott Baal wird häufig als „Wolkenreiter“ bezeichnet (vgl. z.B. DDD, S. 704).</w:t>
      </w:r>
    </w:p>
  </w:footnote>
  <w:footnote w:id="2275">
    <w:p>
      <w:pPr>
        <w:pStyle w:val="Funote"/>
        <w:rPr/>
      </w:pPr>
      <w:r>
        <w:rPr>
          <w:rStyle w:val="Funotenzeichen"/>
        </w:rPr>
        <w:footnoteRef/>
      </w:r>
      <w:r>
        <w:rPr/>
        <w:tab/>
        <w:t>Wind (Vv. 3f.); Feuer (V. 4); fliehendes Wasser (Vv. 6f.) - man beachte, wie hier der Wind etwas Reitbares (s. nächste FN), das Feuer etwas Dienstbares und das Wasser etwas zur Flucht Fähiges ist - die Natur wird durchgehend personifiziert oder wenigstens „semi-personal“ (Andersen 1972, S. 720) gedacht. Von einer „Entmythisierung der Natur“ kann ins Ps 104 nicht die Rede sein.</w:t>
      </w:r>
    </w:p>
  </w:footnote>
  <w:footnote w:id="2276">
    <w:p>
      <w:pPr>
        <w:pStyle w:val="Funote"/>
        <w:rPr/>
      </w:pPr>
      <w:r>
        <w:rPr>
          <w:rStyle w:val="Funotenzeichen"/>
        </w:rPr>
        <w:footnoteRef/>
      </w:r>
      <w:r>
        <w:rPr/>
        <w:tab/>
        <w:t>&lt;center&gt;miniatur&lt;/center&gt;Flügel des Windes - Die Winde werden in vielen alten Kulturen als geflügelte Gestalten vorgestellt. Im babylonischen Adapa-mythos etwa bricht der Held Adapa die Flügel des Südwindes Šûtu. Zusammen mit einem ihrer drei Brüdern ist sie oben links zu sehen; auf dem ganzen Siegel (s. Wiggermann 2007, S. 142; hier auch weitere Darstellungen der personifizierten vier Winde im Alten Orient) sind auch die anderen beiden Brüder abgebildet. In der ägyptischen Bilderwelt sind die personifizierten Winde mal als geflügelte Humanoide, mal als geflügelte Tierwesen dargestellt; in den beiden unteren Bildausschnitten (zu finden an der Decke des Hathor-Tempels in Dendera; Foto: Olaf Tausch) etwa ist der Südwind ein geflügelter Widder und der Westwind ein widderköpfiger Sperber. Eine schöne Rekonstruktion einer weiteren ägyptischen Darstellung mit allen vier Winden lässt sich hier betrachten. Sehr bekannt sind auch die griechischen personifizierten Winde Boreas, Apheliotes, Notos und Zephyros; oben rechts z.B. ein Bronzerelief von Boreas (Grafik aus Richter 1915, S. 30).In der Bibel scheinen die Winde personifiziert durch die geflügelten Cheruben gedacht zu sein (vgl. Offb 7,1 („Danach sah ich vier Engel, die auf den vier Ecken der Erde standen und die vier Winde der Erde festhielten...“)), auf denen Gott gelegentlich auch reitet (vgl. Ps 18,11 („Er ritt auf einem Cherub und flog und schwebte auf den Flügeln des Windes“) und die anderen Parallelstellen). Die beiden Zeilen sprechen also von zwei unterschiedlichen Fortbewegungsmitteln: JHWH ist sowohl Wolken- als auch Wind-/Cherubenreiter.</w:t>
      </w:r>
    </w:p>
  </w:footnote>
  <w:footnote w:id="2277">
    <w:p>
      <w:pPr>
        <w:pStyle w:val="Funote"/>
        <w:rPr/>
      </w:pPr>
      <w:r>
        <w:rPr>
          <w:rStyle w:val="Funotenzeichen"/>
        </w:rPr>
        <w:footnoteRef/>
      </w:r>
      <w:r>
        <w:rPr/>
        <w:tab/>
        <w:t>Winde - Das selbe Wort findet sich in der Zeile zuvor im Sg., hier im Pl. Eine solche Sg-Pl-Variation ist ein häufigeres Stilmittel in der heb. Lyrik (ad loc. vgl. Yona 2005, S. 157).</w:t>
      </w:r>
    </w:p>
  </w:footnote>
  <w:footnote w:id="2278">
    <w:p>
      <w:pPr>
        <w:pStyle w:val="Funote"/>
        <w:rPr/>
      </w:pPr>
      <w:r>
        <w:rPr>
          <w:rStyle w:val="Funotenzeichen"/>
        </w:rPr>
        <w:footnoteRef/>
      </w:r>
      <w:r>
        <w:rPr/>
        <w:tab/>
        <w:t>Zu seinen Boten Winde (seine Boten zu Winden) - Diese und die nächste Zeile lässt sich auf vier verschiedene Weisen verstehen; wegen V. 3 ist die wahrscheinlichste Deutung die vierte. # „Er macht seine Boten zu Winden (und Flammen)“, d.h. er lässt seine Engel unter anderem in der Gestalt dieser Elementen erscheinen. Von der Wortstellung liegt diese Auflösung am nächsten; es ist dies auch die Deutung des Verses in Heb 1,7 und es finden sich dafür auch deutliche Parallelen in der frühjüdischen Literatur; s. etwa 4 Esr 8,21f.: „[...] das Heer der Engel [...], deren dienende Schar sich in Wind und Feuer wandelt [...]“. So ist unser Vers auch klar im Midrasch Exodus Rabba verstanden worden: „[JHWH heißt] ‚Der Gott der Heerschaaren,‘ denn er thut den Willen an seinen Engeln. Wenn er will, lässt er sie sitzen, s. Ri 7,11 [...] und zuweilen lässt er sie stehen, s. Jes 6,2 [...], zuweilen lässt er sie in weiblicher Gestalt erscheinen, s. [Sach] 5,9 [...], zuweilen aber in männlicher Gestalt s. Gen 18,2 [...], zuweilen macht er sie zu Winden, wie es heisst Ps 104,4 [...], zuweilen aber auch zu Feuer, s. das. [...].“ (ExR 25,2; Üs.: Wünsche 1882, S. 188f.). So heute noch z.B. Loretz 1979, S. 105: „Der seine Boten zu Winden macht...“ # „Er macht seine Boten zu Winden (und Flammen)“ als Metapher für „schnell wie Wind“ und „gefährlich (?) wie Feuer“. So übersetzt den Vers z.B. der Targum; es ist auch die Deutung des Kirchenvaters Athanasius in seinen Expositiones in Psalmos und noch Edel 1966, S. 139 schlägt diese Deutung vor. # „Er macht zu seinen Boten Winde (und Flammen)“, d.h. er erschafft sie aus Wind und Feuer (entsprechend den arabischen Dschinn, die ebenfalls aus Feuer erschaffen sind; ähnlich vgl. z.B. ApkAbr 19,6, wo die „Feuerengel“ die höchste und über die „geistigen Engel“ gebietende Engelgattung ist.). Auch hierfür gibt es Parallelen in der frühjüdischen Literatur; vgl. z.B. 2 Hen 29,3: „Aus dem Fels schnitt ich [= Gott] ein großes Feuer, und aus dem Feuer schuf ich die Reihen der körperlosen Armeen - zehn Myriaden Engel - und ihre Waffen sind feuerig und ihre Kleider brennende Flammen.“ (Üs. nach Kaduri 2015, S. 140; ähnlich versteht unseren Vers z.B. noch Delitzsch 1894: „Machend seine Boten aus Winden...“). # „Er macht zu seinen Boten Winde (und Flammen)“, d.h.: Gott ist Herr auch über Wind und Feuer, die er daher „in seinen Dienst“ nehmen und über die er gebieten kann: Winde sind seine „Dienstboten“, Feuerflammen seine „Diener“. Das ist hier durchaus die wahrscheinlichste Deutung, denn inwiefern Gott z.B. die (Personifikationen der) Winde „in Dienst nehmen“ kann, sieht man ja exemplarisch im vorigen Vers: Als Reittiere.</w:t>
      </w:r>
    </w:p>
  </w:footnote>
  <w:footnote w:id="2279">
    <w:p>
      <w:pPr>
        <w:pStyle w:val="Funote"/>
        <w:rPr/>
      </w:pPr>
      <w:r>
        <w:rPr>
          <w:rStyle w:val="Funotenzeichen"/>
        </w:rPr>
        <w:footnoteRef/>
      </w:r>
      <w:r>
        <w:rPr/>
        <w:tab/>
        <w:t>tFN: zu Dienern flammendes Feuer (Flamme [und] Feuer) - Etwas schwierige Stelle. Der heb. Text wirkt auf den ersten Blick so, als müsste er klar wie im Fließtext übersetzt werden. Im Heb. wäre dann aber zu erwarten, dass Diener, flammend und Feuer alle im selben Numerus und Genus stünden. Hier allerdings ist „Diener“ Maskulin Plural, „Feuer“ Feminin Singular und „flammend“ Maskulin Singular (4QPsa verändert daher das letzte Wort nach Feminin). Gunkel 1926, S. 454; Herkenne 1936, S. 334 und Kraus 1966, S. 708 wollen daher korrigieren von „flammendes Feuer“ zu „Flamme und Feuer“, so dass das vorangehende Pluralpartizip „Diener“ sich auf beide beziehen würde und damit Plural und auch Maskulin sein könnte.Vermutlich ist dies aber gar nicht nötig: ´esch findet sich bisweilen auch als maskulines Nomen und gehört damit zu jenen, die beide Genera haben können. Es könnte also auch hier als maskulines Nomen aufgefasst werden, womit sich das „flammend“ problemlos auf es beziehen könnte. In der heb. Grammatik findet sich außerdem häufig der Fall, dass ein „kollektives“ Nomen (wie z.B. „Menschenmasse“, in dessen Wortsinn es liegt, dass mehrere Menschen damit bezeichnet werden) trotz grammatischem Singular ein Pluralprädikat erhält (vgl. z.B. JM §148a), was dann hier das Plural von „Diener“ erklären würde.</w:t>
      </w:r>
    </w:p>
  </w:footnote>
  <w:footnote w:id="2280">
    <w:p>
      <w:pPr>
        <w:pStyle w:val="Funote"/>
        <w:rPr/>
      </w:pPr>
      <w:r>
        <w:rPr>
          <w:rStyle w:val="Funotenzeichen"/>
        </w:rPr>
        <w:footnoteRef/>
      </w:r>
      <w:r>
        <w:rPr/>
        <w:tab/>
        <w:t>Textkritik: [Bists,] der gründete (er gründete) - Im MT und ähnlich bei 4QPsI&lt;span style="color:#FFFFFF"&gt;_&lt;/span&gt;jasad („Er gründete“) in der Verbform Qatal; in 4QPsd, nach einigen LXX-Handschriften, Hier, Tg und einigen MT-Handschriften aber als Partizip jo(w)sed („[bists,] der gründete“). Im ursprünglichen Text wären beide Varianten gleich geschrieben worden; 4QPsI hätte dann durch nicht-Einfügung des w und MT durch die Vokalisierung vereindeutigt zur Variante 1, die anderen Versionen durch Einfügung des w, durch Vokalisierung oder durch Übersetzung zu Variante 2. Der Wechsel von der zweiten Pers. in V. 2 zur dritten hier (und dann in V. 7 wieder zurück zur zweiten Pers.) ist so schwer erklärlich und so überflüssig , dass die zweite Deutung des ursprünglichen Textes viel besser passt. So auch viele Exegeten (z.B. Clifford 1981, S. 87; deClaissé-Walford/Jacobson/Tanner 2014, S. 771; Kraus 1966, S. 225; anders aber z.B. Hossfeld/Zenger 2008, S. 70 und Krüger 2010, S. 33).</w:t>
      </w:r>
    </w:p>
  </w:footnote>
  <w:footnote w:id="2281">
    <w:p>
      <w:pPr>
        <w:pStyle w:val="Funote"/>
        <w:rPr/>
      </w:pPr>
      <w:r>
        <w:rPr>
          <w:rStyle w:val="Funotenzeichen"/>
        </w:rPr>
        <w:footnoteRef/>
      </w:r>
      <w:r>
        <w:rPr/>
        <w:tab/>
        <w:t>miniatur|Das biblische Weltbild (Grafik von www.religionsunterricht-pfalz.de)Fundamente - Gemeint sind die Säulen, auf denen nach biblischer Vorstellung die Erde über dem Urmeer aufruht; s. die Grafik rechts und vgl. z.B. noch Ijob 38,6; Ps 24,2. Dass die Erde „wankt“, ist ein häufigeres Motiv in der Bibel; vgl. z.B. Ps 46,2; 60,2; 82,5; Jes 24,19</w:t>
      </w:r>
    </w:p>
  </w:footnote>
  <w:footnote w:id="2282">
    <w:p>
      <w:pPr>
        <w:pStyle w:val="Funote"/>
        <w:rPr/>
      </w:pPr>
      <w:r>
        <w:rPr>
          <w:rStyle w:val="Funotenzeichen"/>
        </w:rPr>
        <w:footnoteRef/>
      </w:r>
      <w:r>
        <w:rPr>
          <w:i/>
        </w:rPr>
        <w:tab/>
        <w:t>wie mit einem</w:t>
      </w:r>
      <w:r>
        <w:rPr/>
        <w:t xml:space="preserve"> - W. „wie mit dem“; Vergleiche sind im Heb. oft determiniert, wo sie das im Dt. nicht wären. Vgl. ähnlich z.B. </w:t>
      </w:r>
      <w:r>
        <w:fldChar w:fldCharType="begin"/>
      </w:r>
      <w:r>
        <w:rPr>
          <w:rStyle w:val="Internetverknpfung"/>
        </w:rPr>
        <w:instrText> HYPERLINK "../../../../../../../../../wiki/Psalm_33" \l "s7"</w:instrText>
      </w:r>
      <w:r>
        <w:rPr>
          <w:rStyle w:val="Internetverknpfung"/>
        </w:rPr>
        <w:fldChar w:fldCharType="separate"/>
      </w:r>
      <w:r>
        <w:rPr>
          <w:rStyle w:val="Internetverknpfung"/>
        </w:rPr>
        <w:t>Ps 33,7</w:t>
      </w:r>
      <w:r>
        <w:rPr>
          <w:rStyle w:val="Internetverknpfung"/>
        </w:rPr>
        <w:fldChar w:fldCharType="end"/>
      </w:r>
      <w:r>
        <w:rPr/>
        <w:t xml:space="preserve">; </w:t>
      </w:r>
      <w:r>
        <w:fldChar w:fldCharType="begin"/>
      </w:r>
      <w:r>
        <w:rPr>
          <w:rStyle w:val="Internetverknpfung"/>
        </w:rPr>
        <w:instrText> HYPERLINK "../../../../../../../../../wiki/Obadja" \l "s4"</w:instrText>
      </w:r>
      <w:r>
        <w:rPr>
          <w:rStyle w:val="Internetverknpfung"/>
        </w:rPr>
        <w:fldChar w:fldCharType="separate"/>
      </w:r>
      <w:r>
        <w:rPr>
          <w:rStyle w:val="Internetverknpfung"/>
        </w:rPr>
        <w:t>Ob 4</w:t>
      </w:r>
      <w:r>
        <w:rPr>
          <w:rStyle w:val="Internetverknpfung"/>
        </w:rPr>
        <w:fldChar w:fldCharType="end"/>
      </w:r>
      <w:r>
        <w:rPr/>
        <w:t>.</w:t>
      </w:r>
    </w:p>
  </w:footnote>
  <w:footnote w:id="2283">
    <w:p>
      <w:pPr>
        <w:pStyle w:val="Funote"/>
        <w:rPr/>
      </w:pPr>
      <w:r>
        <w:rPr>
          <w:rStyle w:val="Funotenzeichen"/>
        </w:rPr>
        <w:footnoteRef/>
      </w:r>
      <w:r>
        <w:rPr/>
        <w:tab/>
        <w:t>Das Urmeer bedecktest du wie mit einem Gewand - nämlich eben mit dem Himmel, der wie ein Zelttuch über die Welt gebreitet ist (vgl. Ijob 38,9: „Als ich Wolken zu seinem (=des Meeres) Gewand machte...“). Ganz recht B-R: „Der Urwirbel, wie mit einem Kleid bedecktest du ihn“.Textkritik: Die verschiedenen alternativen Übersetzungsvarianten, die sich in fast allen Übersetzungen und Kommentaren finden, basieren sämtlich auf Korrekturen des heb. Textes, die aber nicht nötig sind (nämlich statt kisito („du bedecktest es“) meist kisita(h) („du bedecktest sie“, also die Erde; vgl. hierzu am besten Seidl 1984, S. 46f.), kisata(h) („es (=das Urmeer) bedeckte sie (=die Erde)“) oder kesuto („es (= das Urmeer) war seine (=JHWHs) Bedeckung“). Wie in Gen 1 ist also auch hier das Urmeer anders als Himmel und Erde keine der Schöpfungen Gottes, sondern seinem Schaffen schon vorgegeben (vgl. 2 Pet 3,5).</w:t>
      </w:r>
    </w:p>
  </w:footnote>
  <w:footnote w:id="2284">
    <w:p>
      <w:pPr>
        <w:pStyle w:val="Funote"/>
        <w:rPr/>
      </w:pPr>
      <w:r>
        <w:rPr>
          <w:rStyle w:val="Funotenzeichen"/>
        </w:rPr>
        <w:footnoteRef/>
      </w:r>
      <w:r>
        <w:rPr/>
        <w:tab/>
        <w:t>tFN: V. 6. Unsere Aufteilung von V. 6 und die Übersetzung des ersten Wortes von 6b mit „auf“ statt „über“ ist ungewöhnlich. Für gewöhnlich zieht man 6a und 6b zu einer Doppelzeile zusammen und übersetzt: „Mit dem Urmeer bedecktest du [die Erde] wie mit einem Gewand / Über den Bergen standen die Wasser“, die beiden Zeilen würden dann beide aussagen, dass Gott zu Beginn der Schöpfung die Erde und selbst die Berge komplett von Wasser bedeckt sein lassen habe. Dagegen spricht aber, dass dafür erstens eine Korrektur des heb. Textes in 6a nötig ist (s. vorige FN), dass zweitens 6a klar zu 2b-5 zu ziehen ist, da 5a.6a eine sehr deutliche Inclusio mit 2b.3a bilden: Gott spannt den Himmel wie eine Zeltdecke aus (2b) und bedeckt das Urmeer wie mit einem Gewand (6a); er bälkt den Himmel im (oberen) Wasser als sein Obergemach (3a) und gründet die Erde auf ihren Fundamenten (gemeint sind die Säulen der Erde im unteren Wasser, s. die Grafik oben). Drittens ist die nätürlichste Bedeutung von V. 8, dass die Wasser auf die Berge hinaufziehen sollen (s. dort), also in V. 6 eher nicht schon über den Bergen stehen. Viertens verwenden 6a und 6b unterschiedliche Verbformen, berichten also offenbar von unterschiedlichen zeitlichen Abschnitten im Handeln Gottes.V. 6 ist dann besser so aufzulösen: 6a ist wegen der Inclusio zu 1b-5 zu ziehen; 1b-6a berichten dann von der Errichtung der kosmischen Grundarchitektur. 6b-8 leiten dann mit Yiqtol-Verben ein, zu beschreiben, wie die Wasser, mit denen Strophe 1 schloss, dem Willen Gottes gemäß zu handeln hatten (vgl. Weber 2003, S. 182): Sie sollten auf den Bergen stehen (6b), darum sollten sie vor seinem Befehl (7) unter anderem auch dort hin (8a) fliehen, um von dort aus dann als Gebirgsbäche in die Täler fließen zu können (10).</w:t>
      </w:r>
    </w:p>
  </w:footnote>
  <w:footnote w:id="2285">
    <w:p>
      <w:pPr>
        <w:pStyle w:val="Funote"/>
        <w:rPr/>
      </w:pPr>
      <w:r>
        <w:rPr>
          <w:rStyle w:val="Funotenzeichen"/>
        </w:rPr>
        <w:footnoteRef/>
      </w:r>
      <w:r>
        <w:rPr/>
        <w:tab/>
        <w:t>hinaufziehen [auf] Berge, hinabsteigen [in] Täler - Gott verlagert also die Wasser von der „ganzen Erde“ an zwei Orte, nämlich auf die Berge, von wo sie dann als Gebirtsbäche wieder hinabfließen, und ins in „den Tälern“ gelegene Meer (vgl. Ehrlich 1905, S. 247; Sutcliffe 1952). Dass hier von zwei verschiedenen Zielorten die Rede ist, macht die alte Handschrift 2QPs deutlich, indem sie einfügt: „zu[ jede]m Ort“.tFN: Die häufige Übersetzung „Es hoben sich Berge, es senkten sich Täler“ ist klar falsch. „Täler“ ist im Heb. feminin, das Verb „sie stiegen hinab“ / „es senkten sich“ aber maskulin. Subjekt sind also sicher die Wasser (vgl. Spieckermann 1989, S. 22 FN 5).</w:t>
      </w:r>
    </w:p>
  </w:footnote>
  <w:footnote w:id="2286">
    <w:p>
      <w:pPr>
        <w:pStyle w:val="Funote"/>
        <w:rPr/>
      </w:pPr>
      <w:r>
        <w:rPr>
          <w:rStyle w:val="Funotenzeichen"/>
        </w:rPr>
        <w:footnoteRef/>
      </w:r>
      <w:r>
        <w:rPr/>
        <w:tab/>
        <w:t xml:space="preserve">Sie - Gemeint sind die „Quellen“, wobei das Wort wie in Joel 4,18 sowohl die Quelle der Bäche als auch ihren Verlauf bezeichnet (so richtig Alexander 1856, S. 35).Textkritik: LXX hält für das Subjekt immer noch die „Wasser“ aus V. 6b (da das Wort i.d.R. eben nur die tatsächliche Quelle bezeichnet) und erwähnt daher diese Wasser (heb.: </w:t>
      </w:r>
      <w:r>
        <w:rPr>
          <w:rtl w:val="true"/>
          <w:lang w:bidi="he-IL"/>
        </w:rPr>
        <w:t>מים</w:t>
      </w:r>
      <w:r>
        <w:rPr/>
        <w:t xml:space="preserve">) hier noch einmal explizit. Ursprünglich ist eher die Version ohne „Wasser“ (anders Kissane 1954 und Loretz 1979); ein Schreibfehler ließe sich auch grafisch leicht erlären (Haplographie wg. der Doppelung von </w:t>
      </w:r>
      <w:r>
        <w:rPr>
          <w:rtl w:val="true"/>
          <w:lang w:bidi="he-IL"/>
        </w:rPr>
        <w:t>ים</w:t>
      </w:r>
      <w:r>
        <w:rPr/>
        <w:t xml:space="preserve"> </w:t>
      </w:r>
      <w:r>
        <w:rPr/>
        <w:t xml:space="preserve">(jm) in </w:t>
      </w:r>
      <w:r>
        <w:rPr>
          <w:rtl w:val="true"/>
          <w:lang w:bidi="he-IL"/>
        </w:rPr>
        <w:t>הרים מים</w:t>
      </w:r>
      <w:r>
        <w:rPr/>
        <w:t xml:space="preserve"> </w:t>
      </w:r>
      <w:r>
        <w:rPr/>
        <w:t>(hrjm mjm).</w:t>
      </w:r>
    </w:p>
  </w:footnote>
  <w:footnote w:id="2287">
    <w:p>
      <w:pPr>
        <w:pStyle w:val="Funote"/>
        <w:rPr/>
      </w:pPr>
      <w:r>
        <w:rPr>
          <w:rStyle w:val="Funotenzeichen"/>
        </w:rPr>
        <w:footnoteRef/>
      </w:r>
      <w:r>
        <w:rPr/>
        <w:tab/>
        <w:t>Textkritik: + [den] nach 4QPsd, LXX: Die Rede ist von den Bergen aus V. 8.</w:t>
      </w:r>
    </w:p>
  </w:footnote>
  <w:footnote w:id="2288">
    <w:p>
      <w:pPr>
        <w:pStyle w:val="Funote"/>
        <w:rPr/>
      </w:pPr>
      <w:r>
        <w:rPr>
          <w:rStyle w:val="Funotenzeichen"/>
        </w:rPr>
        <w:footnoteRef/>
      </w:r>
      <w:r>
        <w:rPr/>
        <w:tab/>
        <w:t xml:space="preserve">Textkritik / tFN: alle wilden Tiere ist w. „alles Getier des Feldes“; das letzte Wort ist geschrieben mit der selteneren Schreibweise </w:t>
      </w:r>
      <w:r>
        <w:rPr>
          <w:rtl w:val="true"/>
          <w:lang w:bidi="he-IL"/>
        </w:rPr>
        <w:t>שדי</w:t>
      </w:r>
      <w:r>
        <w:rPr/>
        <w:t xml:space="preserve"> </w:t>
      </w:r>
      <w:r>
        <w:rPr/>
        <w:t xml:space="preserve">statt </w:t>
      </w:r>
      <w:r>
        <w:rPr>
          <w:rtl w:val="true"/>
          <w:lang w:bidi="he-IL"/>
        </w:rPr>
        <w:t>השדה</w:t>
      </w:r>
      <w:r>
        <w:rPr/>
        <w:t xml:space="preserve"> </w:t>
      </w:r>
      <w:r>
        <w:rPr/>
        <w:t>(wie in Jes 56,9; s. auch Dtn 32,13; Ps 8,8; 50,11; 80,14; 96,12; Jer 4,17; 18,14; Klg 4,9; Hos 10,4; 12,12; Joel 2,22). In der alten Handschrift 4QPsd findet sich stattdessen „alles Getier Ws (=JHWHs)“; statt „Feldes“ haben die Schreiber dieser Handschrift das Wort also wohl wegen der selteneren Schreibweise offenbar für die ebenso geschriebene Bezeichnung Gottes schaddaj („der vom Berge“) gehalten und durch den Gottesnamen JHWH ersetzt (vgl. Nebe 1981). Angezielt war sicher die Bedeutung „alles Getier des Feldes“.</w:t>
      </w:r>
    </w:p>
  </w:footnote>
  <w:footnote w:id="2289">
    <w:p>
      <w:pPr>
        <w:pStyle w:val="Funote"/>
        <w:rPr/>
      </w:pPr>
      <w:r>
        <w:rPr>
          <w:rStyle w:val="Funotenzeichen"/>
        </w:rPr>
        <w:footnoteRef/>
      </w:r>
      <w:r>
        <w:rPr>
          <w:i/>
        </w:rPr>
        <w:tab/>
        <w:t>sollen</w:t>
      </w:r>
      <w:r>
        <w:rPr/>
        <w:t xml:space="preserve"> - Assonanz der beiden ersten Worte in 11a und 11b: </w:t>
      </w:r>
      <w:r>
        <w:rPr>
          <w:i/>
        </w:rPr>
        <w:t>jischqu</w:t>
      </w:r>
      <w:r>
        <w:rPr/>
        <w:t xml:space="preserve"> und </w:t>
      </w:r>
      <w:r>
        <w:rPr>
          <w:i/>
        </w:rPr>
        <w:t>jischb</w:t>
      </w:r>
      <w:r>
        <w:rPr>
          <w:i/>
          <w:position w:val="7"/>
          <w:sz w:val="16"/>
        </w:rPr>
        <w:t>e</w:t>
      </w:r>
      <w:r>
        <w:rPr>
          <w:i/>
        </w:rPr>
        <w:t>ru</w:t>
      </w:r>
      <w:r>
        <w:rPr/>
        <w:t>.</w:t>
      </w:r>
    </w:p>
  </w:footnote>
  <w:footnote w:id="2290">
    <w:p>
      <w:pPr>
        <w:pStyle w:val="Funote"/>
        <w:rPr/>
      </w:pPr>
      <w:r>
        <w:rPr>
          <w:rStyle w:val="Funotenzeichen"/>
        </w:rPr>
        <w:footnoteRef/>
      </w:r>
      <w:r>
        <w:rPr/>
        <w:tab/>
        <w:t>[Selbst] - Fokuspartikel wie „nur“, „selbst“ usw. werden im Heb. oft nicht gesetzt, wo das Dt. sie setzen würde; im Dt. muss man sie sich daher dazudenken. Ähnlich z.B. Rut 1,17; Ps 9,21; Ps 13,3; Ob 5.6. Die Wildesel sind deshalb ein Sonderfall, weil diese in den 30er Jahren ausgestorbenen Tiere Einzelgänger in der israelitischen Wüste waren (s. Ijob 24,5; Jes 32,14; Jer 2,24; Hos 8,9) und im Alten Orient daher für ungezügelte Freiheit stehen konnten (Mustafa 1983, S. 64 und vgl. Krüger 2010, S. 168-70).</w:t>
      </w:r>
    </w:p>
  </w:footnote>
  <w:footnote w:id="2291">
    <w:p>
      <w:pPr>
        <w:pStyle w:val="Funote"/>
        <w:rPr/>
      </w:pPr>
      <w:r>
        <w:rPr>
          <w:rStyle w:val="Funotenzeichen"/>
        </w:rPr>
        <w:footnoteRef/>
      </w:r>
      <w:r>
        <w:rPr/>
        <w:tab/>
        <w:t>brechen - d.h. „stillen“; das Idiom „den Durst brechen“ als „dem Durst seinen Stachel nehmen“, d.h. „ihn stillen“ findet sich auch im Lateinischen (frangere sitim) und im Arabischen (vgl. Driver 1943, S. 19). Der in der Bibel einmalige Ausdruck wird gestützt durch die Handschrift 2QPs; 4QPsd allerdings hat statt jšbrw die Konsonanten jškjrw („sie betranken sich“); Syr setzt voraus: jßb`w („sie wurden satt“; dem folgen deClaissé-Walford/Jacobson/Tanner 2014, S. 771).</w:t>
      </w:r>
    </w:p>
  </w:footnote>
  <w:footnote w:id="2292">
    <w:p>
      <w:pPr>
        <w:pStyle w:val="Funote"/>
        <w:rPr/>
      </w:pPr>
      <w:r>
        <w:rPr>
          <w:rStyle w:val="Funotenzeichen"/>
        </w:rPr>
        <w:footnoteRef/>
      </w:r>
      <w:r>
        <w:rPr/>
        <w:tab/>
        <w:t>miniatur|Felsenbrütende Tauben in einem sog. "Columbarium"Textkritik: Felsen (Zweigen) - Heb. `opha´im (</w:t>
      </w:r>
      <w:r>
        <w:rPr>
          <w:rtl w:val="true"/>
          <w:lang w:bidi="he-IL"/>
        </w:rPr>
        <w:t>עפאים</w:t>
      </w:r>
      <w:r>
        <w:rPr/>
        <w:t>). Ursprünglich wäre dies geschrieben worden als `ophaim (</w:t>
      </w:r>
      <w:r>
        <w:rPr>
          <w:rtl w:val="true"/>
          <w:lang w:bidi="he-IL"/>
        </w:rPr>
        <w:t>עפים</w:t>
      </w:r>
      <w:r>
        <w:rPr/>
        <w:t>); Qere punktiert auch so, als stünden im Ketiv nur diese Buchstaben. LXX, Syr und VUL übersetzen alle mit „Felsen“, setzen also für den ursprünglichen Text das grafisch sehr ähnlliche kephim (</w:t>
      </w:r>
      <w:r>
        <w:rPr>
          <w:rtl w:val="true"/>
          <w:lang w:bidi="he-IL"/>
        </w:rPr>
        <w:t>כפים</w:t>
      </w:r>
      <w:r>
        <w:rPr/>
        <w:t>; s. in der Bibel noch in Ijob 30,6; Jer 4,29. Das Wort im MT dagegen findet sich in der Bibel nur noch dreimal in Dan 4 und ist damit aramäisch, nicht hebräisch, vgl. Wagner 1966, s. 92f.) voraus. Viele Vögel in Israel bauen ihre Nester nicht in Bäume, sondern sind Felsenbrüter. Rechts etwa ein Bild von Tauben, für die wegen ihres „Felsenbrütertums“ eigene Niststationen namens „Columbarien“ erbaut wurden. Die vorgestellte Szenerie ist also die, dass Gebirgsbäche auf Bergen entspringen und zwischen Felsen, in deren Klüften Vögel brüten, in die Täler hinabfließen.</w:t>
      </w:r>
    </w:p>
  </w:footnote>
  <w:footnote w:id="2293">
    <w:p>
      <w:pPr>
        <w:pStyle w:val="Funote"/>
        <w:rPr/>
      </w:pPr>
      <w:r>
        <w:rPr>
          <w:rStyle w:val="Funotenzeichen"/>
        </w:rPr>
        <w:footnoteRef/>
      </w:r>
      <w:r>
        <w:rPr/>
        <w:tab/>
        <w:t>geben sie - Plural, da das Kollektivnomen `oph („Gevögel“) in Zeile 1 Sg. ist, aber als Kollektivnomen auch mehrere Tiere bezeichnen kann. Die Variation von Sg. mit Pl. in zwei aufeinanderfolgenden Zeilen ist ein häufiges Stilmittel in heb. Texten („N-Shift“).</w:t>
      </w:r>
    </w:p>
  </w:footnote>
  <w:footnote w:id="2294">
    <w:p>
      <w:pPr>
        <w:pStyle w:val="Funote"/>
        <w:rPr/>
      </w:pPr>
      <w:r>
        <w:rPr>
          <w:rStyle w:val="Funotenzeichen"/>
        </w:rPr>
        <w:footnoteRef/>
      </w:r>
      <w:r>
        <w:rPr/>
        <w:tab/>
        <w:t>Textkritik: Lies mit einer MT-Handschrift und einigen alten Üss. qolam („ihre Stimme“) statt qol („Stimme“) (so z.B. Alter 2007, S. 364; König 1927, S. 159). Grafisch ist der Schreibfehler leicht erklärlich: Haplographie des Mem am Ende dieses und am Anfang des nächsten Wortes (vgl. ähnlich Dahood 1970, S. 39).</w:t>
      </w:r>
    </w:p>
  </w:footnote>
  <w:footnote w:id="2295">
    <w:p>
      <w:pPr>
        <w:pStyle w:val="Funote"/>
        <w:rPr/>
      </w:pPr>
      <w:r>
        <w:rPr>
          <w:rStyle w:val="Funotenzeichen"/>
        </w:rPr>
        <w:footnoteRef/>
      </w:r>
      <w:r>
        <w:rPr/>
        <w:tab/>
        <w:t xml:space="preserve">Frucht deiner Werke - Sehr umstrittener Ausdruck; viele verschiedene Korrekturen des heb. Textes sind vorgeschlagen worden (s.u.). Vermutlich sind sie aber nicht notwendig. Die Frucht von Gottes Arbeit (s. nächster Absatz) ist wohl der Regen, der hier die Berge „tränkt“ und die Erde „sitt macht“, wie er in V. 16 die Bäume „sitt macht“ (das Wort im Heb. kann sowohl „sitt machen/werden“ als auch „satt machen/werden“ bedeuten; zu „sitt werden“ vgl. z.B. noch Sir 12,16). Der Parallelismus mit „du tränkst die Berge“ macht das sehr wahrscheinlich; alternativ müsste man als die Frucht seiner Regenmacher-Arbeit die Pflanzen betrachten, von denen im Folgenden die Rede sein wird (so z.B. Allen 1983; Delitzsch 1894; Kissane 1954; vgl. die ähnliche Parallelisierung von Regen und Sättigung der Lebewesen in PsSal 5,9 („Du sättigst die Vögel und die Fische, / indem du der Steppe Regen giebst, damit das Gras sprossen kann.“) und den Parallelstellen zu 13b). „Die Erde“ stünde dann metonymisch für alle Bewohner der Erde. Auch V. 16 lässt sich so verstehen, dass nicht die Bäume „sitt werden“, sondern „sättigen“, nämlich die Vögel in ihren Zweigen.Gottes „Arbeit“ ist wahrscheinlich mehr als ein bloßes Befehlen und Gebieten. Nach Ijob 38,37 lässt Gott es etwa regnen, indem er „die im Himmel [gelagerten Wasser-]schläuche ausleert“. Nach b.Taan 9b z.B. muss das (Salz-)Wasser des Urmeeres, das Gott wieder herabregnen lässt, in den Wolken erst noch „gesüßt“ werden. In b.Taan 2ab ist außerdem zu lesen vom „Schlüssel des Regens“, über den (mit Ausnahme Elijas, b.San 113a) einzig Gott gebietet und mit dem er die Schleusen seiner in Dtn 28,12 erwähnten himmlischen Speicher öffnen muss, um es regnen zu lassen (vgl. auch Gen 8,2; Sir 43,14). Gottes Arbeit am Regen wird also häufiger als tatsächliche Handarbeit vorgestellt.Textkritik: Weil sie sämtlich grafisch nicht sehr nahe am heb. Text sind und auch nicht von alten Handschriften oder Üss. gedeckt werden, seien die wichtigeren Korrekturvorschläge hier bloß aus Gründen der Vollständigkeit angeführt. Das zweite Wort von </w:t>
      </w:r>
      <w:r>
        <w:rPr>
          <w:rtl w:val="true"/>
          <w:lang w:bidi="he-IL"/>
        </w:rPr>
        <w:t>מפרי מעשיך</w:t>
      </w:r>
      <w:r>
        <w:rPr/>
        <w:t xml:space="preserve"> </w:t>
      </w:r>
      <w:r>
        <w:rPr/>
        <w:t xml:space="preserve">wollen Nötscher 1953 nach </w:t>
      </w:r>
      <w:r>
        <w:rPr>
          <w:rtl w:val="true"/>
          <w:lang w:bidi="he-IL"/>
        </w:rPr>
        <w:t>נשאיך</w:t>
      </w:r>
      <w:r>
        <w:rPr/>
        <w:t xml:space="preserve"> </w:t>
      </w:r>
      <w:r>
        <w:rPr/>
        <w:t xml:space="preserve">(„von der Frucht deiner Wolken“) und Weiser 1959 nach </w:t>
      </w:r>
      <w:r>
        <w:rPr>
          <w:rtl w:val="true"/>
          <w:lang w:bidi="he-IL"/>
        </w:rPr>
        <w:t>שמיך</w:t>
      </w:r>
      <w:r>
        <w:rPr/>
        <w:t xml:space="preserve"> </w:t>
      </w:r>
      <w:r>
        <w:rPr/>
        <w:t xml:space="preserve">(„von der Frucht deines Himmels“) korrigieren. Als Alternativen für den ganzen Ausdruck schlägt mit Kraus 1966 </w:t>
      </w:r>
      <w:r>
        <w:rPr>
          <w:rtl w:val="true"/>
          <w:lang w:bidi="he-IL"/>
        </w:rPr>
        <w:t>מרי אסמיך</w:t>
      </w:r>
      <w:r>
        <w:rPr/>
        <w:t xml:space="preserve"> </w:t>
      </w:r>
      <w:r>
        <w:rPr/>
        <w:t xml:space="preserve">(„Vom Nass deiner Kammern“) vor; ähnlich Loretz 1979 mit </w:t>
      </w:r>
      <w:r>
        <w:rPr>
          <w:rtl w:val="true"/>
          <w:lang w:bidi="he-IL"/>
        </w:rPr>
        <w:t>מרי אסמיו</w:t>
      </w:r>
      <w:r>
        <w:rPr/>
        <w:t xml:space="preserve"> </w:t>
      </w:r>
      <w:r>
        <w:rPr/>
        <w:t xml:space="preserve">(„Vom Nass seiner Speicher“). EÜ ersetzt den ganzen Ausdruck durch </w:t>
      </w:r>
      <w:r>
        <w:rPr>
          <w:rtl w:val="true"/>
          <w:lang w:bidi="he-IL"/>
        </w:rPr>
        <w:t>מנשאיך</w:t>
      </w:r>
      <w:r>
        <w:rPr/>
        <w:t xml:space="preserve"> </w:t>
      </w:r>
      <w:r>
        <w:rPr/>
        <w:t>(„aus deinen Wolken“); dem folgt wohl ASTADLER. Nach jeder dieser Korrekturen wäre also auch in Zeile 2 vom Regen die Rede.</w:t>
      </w:r>
    </w:p>
  </w:footnote>
  <w:footnote w:id="2296">
    <w:p>
      <w:pPr>
        <w:pStyle w:val="Funote"/>
        <w:rPr/>
      </w:pPr>
      <w:r>
        <w:rPr>
          <w:rStyle w:val="Funotenzeichen"/>
        </w:rPr>
        <w:footnoteRef/>
      </w:r>
      <w:r>
        <w:rPr>
          <w:i/>
        </w:rPr>
        <w:tab/>
        <w:t>sitt werden (sättigen)</w:t>
      </w:r>
      <w:r>
        <w:rPr/>
        <w:t xml:space="preserve"> - s. zu den beiden verschiedenen möglichen Üss. s. </w:t>
      </w:r>
      <w:r>
        <w:fldChar w:fldCharType="begin"/>
      </w:r>
      <w:r>
        <w:rPr>
          <w:rStyle w:val="Internetverknpfung"/>
        </w:rPr>
        <w:instrText> HYPERLINK "https://offene-bibel.de/mediawiki/index.php?title=Psalm_104&amp;action=submit" \l "note_af"</w:instrText>
      </w:r>
      <w:r>
        <w:rPr>
          <w:rStyle w:val="Internetverknpfung"/>
        </w:rPr>
        <w:fldChar w:fldCharType="separate"/>
      </w:r>
      <w:r>
        <w:rPr>
          <w:rStyle w:val="Internetverknpfung"/>
        </w:rPr>
        <w:t>FN af</w:t>
      </w:r>
      <w:r>
        <w:rPr>
          <w:rStyle w:val="Internetverknpfung"/>
        </w:rPr>
        <w:fldChar w:fldCharType="end"/>
      </w:r>
      <w:r>
        <w:rPr/>
        <w:t>.</w:t>
      </w:r>
    </w:p>
  </w:footnote>
  <w:footnote w:id="2297">
    <w:p>
      <w:pPr>
        <w:pStyle w:val="Funote"/>
        <w:rPr/>
      </w:pPr>
      <w:r>
        <w:rPr>
          <w:rStyle w:val="Funotenzeichen"/>
        </w:rPr>
        <w:footnoteRef/>
      </w:r>
      <w:r>
        <w:rPr/>
        <w:tab/>
        <w:t xml:space="preserve">Textkritik: des Feldes (JHWHs) - Im MT: „JHWHs“. LXX hat hier „Bäume des Feldes“ (wie es sich z.B. auch in Lev 26,4; Dtn 20,19; Jes 55,12 u.ö. findet; zur Schreibweise s. zu V. 11). Wahrscheinlich liegt also die selbe Textgeschichte vor wie in V. 11 (s. FN y): Im ursprünglichen Text war die Rede vom „Feld“, ein alter Schreiber verwechselte dies wegen der seltenen Schreibweise </w:t>
      </w:r>
      <w:r>
        <w:rPr>
          <w:rtl w:val="true"/>
          <w:lang w:bidi="he-IL"/>
        </w:rPr>
        <w:t>שדי</w:t>
      </w:r>
      <w:r>
        <w:rPr/>
        <w:t xml:space="preserve"> </w:t>
      </w:r>
      <w:r>
        <w:rPr/>
        <w:t>mit der ebenso geschriebenen Gottesbezeichnung schaddaj („der vom Berge“) und ersetzte dies durch den Gottesnamen JHWH (zur Stelle vgl. Sparks 1947, S. 57).</w:t>
      </w:r>
    </w:p>
  </w:footnote>
  <w:footnote w:id="2298">
    <w:p>
      <w:pPr>
        <w:pStyle w:val="Funote"/>
        <w:rPr/>
      </w:pPr>
      <w:r>
        <w:rPr>
          <w:rStyle w:val="Funotenzeichen"/>
        </w:rPr>
        <w:footnoteRef/>
      </w:r>
      <w:r>
        <w:rPr>
          <w:i/>
        </w:rPr>
        <w:tab/>
        <w:t>Libanon-zedern</w:t>
      </w:r>
      <w:r>
        <w:rPr/>
        <w:t xml:space="preserve"> - Bäume, sprichwörtlich für ihre Größe und Majestät. S. z.B. bes. klar </w:t>
      </w:r>
      <w:hyperlink r:id="rId192">
        <w:r>
          <w:rPr>
            <w:rStyle w:val="Internetverknpfung"/>
          </w:rPr>
          <w:t>Ez 31,3</w:t>
        </w:r>
      </w:hyperlink>
      <w:r>
        <w:rPr/>
        <w:t xml:space="preserve">, auch </w:t>
      </w:r>
      <w:hyperlink r:id="rId193">
        <w:r>
          <w:rPr>
            <w:rStyle w:val="Internetverknpfung"/>
          </w:rPr>
          <w:t>1 Kön 4,33</w:t>
        </w:r>
      </w:hyperlink>
      <w:r>
        <w:rPr/>
        <w:t xml:space="preserve">; </w:t>
      </w:r>
      <w:hyperlink r:id="rId194">
        <w:r>
          <w:rPr>
            <w:rStyle w:val="Internetverknpfung"/>
          </w:rPr>
          <w:t>Jes 2,13</w:t>
        </w:r>
      </w:hyperlink>
      <w:r>
        <w:rPr/>
        <w:t xml:space="preserve">; </w:t>
      </w:r>
      <w:hyperlink r:id="rId195">
        <w:r>
          <w:rPr>
            <w:rStyle w:val="Internetverknpfung"/>
          </w:rPr>
          <w:t>37,24</w:t>
        </w:r>
      </w:hyperlink>
      <w:r>
        <w:rPr/>
        <w:t>.</w:t>
      </w:r>
    </w:p>
  </w:footnote>
  <w:footnote w:id="2299">
    <w:p>
      <w:pPr>
        <w:pStyle w:val="Funote"/>
        <w:rPr/>
      </w:pPr>
      <w:r>
        <w:rPr>
          <w:rStyle w:val="Funotenzeichen"/>
        </w:rPr>
        <w:footnoteRef/>
      </w:r>
      <w:r>
        <w:rPr/>
        <w:tab/>
        <w:t>Textkritik: Dort (, auf denen) - Im Heb. mit Relativpartikel ´ascher eingeleiteter Relativsatz. Diese Relativpartikel wird gestützt von Tg und Sym, nicht aber von LXX, Aq, Syr, Hier und VUL. Am einfachsten ließe sich das damit erklären, dass die Relativpartikel, die auch schon das vorletzte Wort in V. 16 ist, hier von einem Schreiber fälschlicherweise ein zweites Mal geschrieben worden ist. So z.B. EÜ, H-R, HER05, PAT, TAF.</w:t>
      </w:r>
    </w:p>
  </w:footnote>
  <w:footnote w:id="2300">
    <w:p>
      <w:pPr>
        <w:pStyle w:val="Funote"/>
        <w:rPr/>
      </w:pPr>
      <w:r>
        <w:rPr>
          <w:rStyle w:val="Funotenzeichen"/>
        </w:rPr>
        <w:footnoteRef/>
      </w:r>
      <w:r>
        <w:rPr/>
        <w:tab/>
        <w:t>miniatur|Storch, Reiher und GleitaarHabicht (Storch?, Reiher?) - Trad. übersetzt mit „Storch“, und in der Tat können Störche trotz ihrer bis zu zwei Tonnen schwerer Horste sowohl in weniger stabilen Bäumen wie „Zypressen“ als auch auf „Wipfeln“, also den schwächsten Stellen von Bäumen, nisten; s. das linke Bild. Für die Übersetzung des Wortes mit „Storch“ gibt es aber fast keine Indizien. Syr übersetzt mit chorba´, was sowohl den Storch als auch den Reiher bezeichnen kann (so an jeder Stelle; s. noch Lev 11,19; Dtn 14,18; Ijob 39,13; Jer 8,7). Mit „Reiher“ übersetzen auch Sym, Theod und VUL bisweilen; wenn, sollte man von diesen Üss. also eher auf Reiher schließen.Sein Name (chasidah) leitet sich außerdem her von chesed („Treue“). Aristoteles berichtet in HA VIII 615b einmal davon, dass alte Störche von den jungen gefüttert würden, und deshalb (!) denken einige, dieser Name passe besonders gut zum Storch. Diese Parallele ist jedoch sehr weit hergeholt. Viel näher ist die talmudische Parallelstelle b.Chul 63a: „Die ‚chasidah‘ ist eine weiße dajjah. Warum lautet ihr Name chasidah? Weil sie Treue (‚chasidot‘) gegenüber ihren Gefährten zeigt.“ dajjah nun bezeichnet, wie Dalman in AuS VI, S. 97 richtig anmerkt, einen kleinen Greifvogel (in b.Mez 24b z.B. raubt eine dajjah Fleisch vom Marktplatz und verspeist es auf einem Baum), und entsprechend ist dies die zweite verbreitete alte Üs.: „Habicht“ (so nämlich bisweilen Tg, Hier, VUL, Sym, Sexta). Weitere Indizien sind dann die weiße Farbe (s. eben b.Chul 63a; ebenso TgO Dtn 14,18; TgPsJ Lev 11,19; TgN Lev 11,19; TgPs 104,17: „weiße dajjah“ u.Ä.), die Tatsache, dass er ein Zugvogel ist (vgl. Jer 8,7) und seine Nennung zusammen mit Taube, Schwalbe, Drossel (Jer 8,7), Wiedehopf, Fledermaus und ´anapah (TgPsJ, TgN, FTV, b.Chul 63a: „schwarze dajjah“, also wohl Mohrenweihe, Schieferfalke o.Ä.) (Lev 11,19; Dtn 14,18), sämtlich also eher kleinen Vögeln. Gemeint sein könnte also zum Beispiel der habichtartige Gleitaar, s. rechtes Bild. Dahin weist auch Folgendes: Auf diesen Vogelabschnitt folgt ein Abschnitt über Landtiere (Vv. 18-22) und einer über Meerestiere (Vv. 25f.); in beiden Abschnitten steht an zweiter Stelle ein gefährliches Tier: Auf Steinbock und Klippdachs (Vv. 18-20) folgt der Löwe (Vv. 20f.), auf die kleinen und großen Meerestiere (V. 25) der Leviathan (V. 26). Es machte Sinn, wenn auch hier auf die Vögel (tsipporim, also speziell „kleine Vögel“, statt allgemein `oph, „Vögel“!) eine für dese gefährliche Tierart folgte.</w:t>
      </w:r>
    </w:p>
  </w:footnote>
  <w:footnote w:id="2301">
    <w:p>
      <w:pPr>
        <w:pStyle w:val="Funote"/>
        <w:rPr/>
      </w:pPr>
      <w:r>
        <w:rPr>
          <w:rStyle w:val="Funotenzeichen"/>
        </w:rPr>
        <w:footnoteRef/>
      </w:r>
      <w:r>
        <w:rPr/>
        <w:tab/>
        <w:t>Textkritik: in ihren Wipfeln (auf Zypressen) - Im Heb. beroschim („auf den Zedern“). LXX setzt aber sinnvoller voraus, dass der Urtext beroscham („auf ihrem Haupt“, d.h. „in ihren Wipfeln“) lautete. Dem folgen z.B. auch CTAT; Deissler 1989, S. 407; Kissane 1954, S. 154; Krüger 2010, S. 26: Die Einführung einer zweiten speziellen Baumart liegt poetisch nicht sehr nahe und eine Verlesung der beiden (ursprünglich wohl ohnehin gleich geschriebenen) Worte ließe sich leicht damit erklären, dass „Zedern“ und „Zypressen“ als zwei Edelhölzer häufig in Kombination erwähnt werden, s. etwa 1 Kön 5,8.10; Jes 14,8; Jes 37,24; Ez 27,5 u.ö.</w:t>
      </w:r>
    </w:p>
  </w:footnote>
  <w:footnote w:id="2302">
    <w:p>
      <w:pPr>
        <w:pStyle w:val="Funote"/>
        <w:rPr/>
      </w:pPr>
      <w:r>
        <w:rPr>
          <w:rStyle w:val="Funotenzeichen"/>
        </w:rPr>
        <w:footnoteRef/>
      </w:r>
      <w:r>
        <w:rPr/>
        <w:tab/>
        <w:t>für Festzeiten - nämlich zum Anzeigen derselben: Noch heute orientiert man sich im Judentum zur Bestimmung der Festzeiten an einem Mondkalender. Zur Bed. „Festzeiten“ vgl. Rudolph 2003.</w:t>
      </w:r>
    </w:p>
  </w:footnote>
  <w:footnote w:id="2303">
    <w:p>
      <w:pPr>
        <w:pStyle w:val="Funote"/>
        <w:rPr/>
      </w:pPr>
      <w:r>
        <w:rPr>
          <w:rStyle w:val="Funotenzeichen"/>
        </w:rPr>
        <w:footnoteRef/>
      </w:r>
      <w:r>
        <w:rPr>
          <w:i/>
        </w:rPr>
        <w:tab/>
        <w:t>kennt ihren Untergang</w:t>
      </w:r>
      <w:r>
        <w:rPr/>
        <w:t xml:space="preserve"> - d.h. sie weiß, wann oder wo sie unterzugehen hat.</w:t>
      </w:r>
    </w:p>
  </w:footnote>
  <w:footnote w:id="2304">
    <w:p>
      <w:pPr>
        <w:pStyle w:val="Funote"/>
        <w:rPr/>
      </w:pPr>
      <w:r>
        <w:rPr>
          <w:rStyle w:val="Funotenzeichen"/>
        </w:rPr>
        <w:footnoteRef/>
      </w:r>
      <w:r>
        <w:rPr/>
        <w:tab/>
        <w:t>tFN: 20ab - Häufig nach JM §167a als temporales Satzgefüge übersetzt: „Setzt du Finsternis, wird es Nacht“; „und es soll werden“ für „dann wird es“ soll eine „seltene und poetische“ Konstruktion für solche Satzgefüge sein (ebd.). Das ist aber bei keiner von Joüons Parallelen (notwendig) so: Mic 7,10; Sach 9,5 sprechen klar üble Wünsche aus; ähnlich Ps 146,4. In Ijob 19,18; Ps 40,6; Ps 139,8f. sollen die Kohortativ nur ähnlich wie ein historisches Präsens die Dramatik stärken, z.B.: „Ich will mir die Unterwelt betten - doch du bist da!“Auch das Jussiv lässt sich aber ja problemlos so verstehen wie die vorigen Yiqtols: Sie sollen anzeigen, dass auch die Nacht (ebenso wie der Tag, V. 22) und das Wimmeln von Waldtieren Gottes Willen unterliegt. Von 20a auf 20b liegt dann zusätzlich zum P-Shift also auch ein D(iathesen)-Shift vor.</w:t>
      </w:r>
    </w:p>
  </w:footnote>
  <w:footnote w:id="2305">
    <w:p>
      <w:pPr>
        <w:pStyle w:val="Funote"/>
        <w:rPr/>
      </w:pPr>
      <w:r>
        <w:rPr>
          <w:rStyle w:val="Funotenzeichen"/>
        </w:rPr>
        <w:footnoteRef/>
      </w:r>
      <w:r>
        <w:rPr/>
        <w:tab/>
        <w:t>Löwen sind in der Antike noch häufiger als nachtaktive, in (Gebirgs-)höhlen wohnende Tiere vorgestellt; vgl. für die Bibel noch Ijob 38,40; Hld 4,8; Am 3,4; Nah 2,13. Auch in einem ägyptischen Spruch zum Schutz des Horus heißt es: „Der Schutz des Horus ist der Löwe in der Nacht, der im Westgebirge umherzieht“ (TUAT II/3, S. 369). Ähnlich auch in Griechenland, z.B. bei Herodot (Hdt 7.125f: „Nachts [vom Gebirge] herabkommend und ihr Reich zurücklassend fielen sie (=die Löwen) weder Mensch noch Vieh an; nur die Kamele raubten sie).“ und in der Sage vom nemeischen Löwen, der nach Diod 4.11.3f. in einer Höhle haust. Jensen 2016, S. 79 erwägt daher gar, ob zu dieser Zeit der schon lange ausgestorbene Höhlenlöwe vielleicht noch lebte. Zur Verortung des Löwen in den Wald vgl. noch Jer 5,6; Am 3,4.</w:t>
      </w:r>
    </w:p>
  </w:footnote>
  <w:footnote w:id="2306">
    <w:p>
      <w:pPr>
        <w:pStyle w:val="Funote"/>
        <w:rPr/>
      </w:pPr>
      <w:r>
        <w:rPr>
          <w:rStyle w:val="Funotenzeichen"/>
        </w:rPr>
        <w:footnoteRef/>
      </w:r>
      <w:r>
        <w:rPr/>
        <w:tab/>
        <w:t>tFN: So auch (Dies – das, dort [ist]) - schwer erklärliche Verwendung des Demonstrativpronomens zeh. LXX, Syr, Hier, VUL und Tg übersetzen schlicht mit „Dieses Meer (ist)...“ (wofür im Heb. der Artikel ganz ausgereicht hätte), eine rein automatische Übersetzungen des Pronomens. 11QPsa streicht das Pronomen; vielleicht ein Indiz dafür, dass es dem Schreiber ebenfalls überflüssig schien.Zur Üs. mit „dort“ vgl. Ges18, S. 294; so die meisten Üss., z.B. EÜ, LUT17. Warum hier aber ein Deiktikum kommen sollte, ist ebenso wenig erklärlich. Zu „so [auch]“ vgl. HALOT, S. 264; Berlin 2005, S. 81; z.B. auch Zorell 1928, S. 181 („item mare magnum...“); ähnlich offenbar die Verwendung z.B. in Ps 24,6. Trotz der wenigen Belege für diese Verwendung wird man sich hier notgedrungen wohl hieran anschließen müssen.</w:t>
      </w:r>
    </w:p>
  </w:footnote>
  <w:footnote w:id="2307">
    <w:p>
      <w:pPr>
        <w:pStyle w:val="Funote"/>
        <w:rPr/>
      </w:pPr>
      <w:r>
        <w:rPr>
          <w:rStyle w:val="Funotenzeichen"/>
        </w:rPr>
        <w:footnoteRef/>
      </w:r>
      <w:r>
        <w:rPr/>
        <w:tab/>
        <w:t>groß und weit {die Seiten} - d.h. „groß und weit [nach allen] Seiten“, vgl. Ges18, S. 438. Das selbe Idiom findet sich auch in Gen 34,21; Jes 22,18; Jes 33,21.</w:t>
      </w:r>
    </w:p>
  </w:footnote>
  <w:footnote w:id="2308">
    <w:p>
      <w:pPr>
        <w:pStyle w:val="Funote"/>
        <w:rPr/>
      </w:pPr>
      <w:r>
        <w:rPr>
          <w:rStyle w:val="Funotenzeichen"/>
        </w:rPr>
        <w:footnoteRef/>
      </w:r>
      <w:r>
        <w:rPr>
          <w:i/>
        </w:rPr>
        <w:tab/>
        <w:t>Gewürm</w:t>
      </w:r>
      <w:r>
        <w:rPr/>
        <w:t xml:space="preserve"> - Heb. </w:t>
      </w:r>
      <w:r>
        <w:rPr>
          <w:i/>
        </w:rPr>
        <w:t>remeß</w:t>
      </w:r>
      <w:r>
        <w:rPr/>
        <w:t xml:space="preserve">. Das Nomen und das dazugehörige Verb bezeichnen eigentlich speziell Kriechtiere und Gewürm auf der Erde; von Wassertieren aber auch in </w:t>
      </w:r>
      <w:r>
        <w:fldChar w:fldCharType="begin"/>
      </w:r>
      <w:r>
        <w:rPr>
          <w:rStyle w:val="Internetverknpfung"/>
        </w:rPr>
        <w:instrText> HYPERLINK "../../../../../../../../../wiki/Genesis_1" \l "s21"</w:instrText>
      </w:r>
      <w:r>
        <w:rPr>
          <w:rStyle w:val="Internetverknpfung"/>
        </w:rPr>
        <w:fldChar w:fldCharType="separate"/>
      </w:r>
      <w:r>
        <w:rPr>
          <w:rStyle w:val="Internetverknpfung"/>
        </w:rPr>
        <w:t>Gen 1,21</w:t>
      </w:r>
      <w:r>
        <w:rPr>
          <w:rStyle w:val="Internetverknpfung"/>
        </w:rPr>
        <w:fldChar w:fldCharType="end"/>
      </w:r>
      <w:r>
        <w:rPr/>
        <w:t xml:space="preserve">; </w:t>
      </w:r>
      <w:hyperlink r:id="rId196">
        <w:r>
          <w:rPr>
            <w:rStyle w:val="Internetverknpfung"/>
          </w:rPr>
          <w:t>Lev 11,46</w:t>
        </w:r>
      </w:hyperlink>
      <w:r>
        <w:rPr/>
        <w:t xml:space="preserve">; </w:t>
      </w:r>
      <w:hyperlink r:id="rId197">
        <w:r>
          <w:rPr>
            <w:rStyle w:val="Internetverknpfung"/>
          </w:rPr>
          <w:t>Ps 69,35</w:t>
        </w:r>
      </w:hyperlink>
      <w:r>
        <w:rPr/>
        <w:t xml:space="preserve">. Gemeint sind hier also wohl Meerwürmer, Seeschnecken etc. und in Vv. 25f. steigert sich derart nach und nach die Größe der genannten Tiere: Gewürm - kleine Tiere - große Tiere - Leviathan. </w:t>
      </w:r>
    </w:p>
  </w:footnote>
  <w:footnote w:id="2309">
    <w:p>
      <w:pPr>
        <w:pStyle w:val="Funote"/>
        <w:rPr/>
      </w:pPr>
      <w:r>
        <w:rPr>
          <w:rStyle w:val="Funotenzeichen"/>
        </w:rPr>
        <w:footnoteRef/>
      </w:r>
      <w:r>
        <w:rPr/>
        <w:tab/>
        <w:t>schwimmen Schiffe (schwimmen dort gleich Schiffen.) - die umstrittenste Stelle des Psalms. Auf den ersten Blick scheint wegen dieser Zeile in Vv. 27f. gesagt zu werden, dass Gott Schiffe füttere, und in V. 29, dass Gott nicht nur Lebewesen, sondern auch den Schiffen den Atem geben und auch nehmen könne, in welchem Falle dann die Schiffe erschrecken und sterben würden. Hinzu kommt die grammatische Schwierigkeit, dass „Schiffe“ Feminin Plural ist, das Verb „schwimmen“ aber Maskulin Plural. Die einfachste Erklärung ist die, dass die Schiffe hier metonymisch für die (vielen) Menschen auf diesen Schiffen stehen, was sich auch im Maskulinum des Verbs niederschlägt. Vermöge seiner Schiffe ist der Mensch auch ein „Wassertier“, vermöge der Größe seiner Schiffe nach dem Leviathan sogar das größte von ihnen.Alternativ ließen sich die „Schiffe“ mit Ehrlich 1905, S. 251f. als adverbialer Akkusativ des Vergleichs erklären (vgl. GKC §118r; z.B. auch Psalm 11,1; Ps 21,8; mit ähnlicher Syntax Ijob 24,4: „[Wie] Wildesel in der Wüste arbeiten [sie] in der Früh“): „Die kleinen Tiere und die großen schwimmen dort [wie] Schiffe“. Einige ältere Exegeten haben außerdem unwahrscheinliche Textkorrekturen vorgeschlagen, nämlich für onijot („Schiffe“) entweder emoth („Schrecknisse“, so z.B. Gunkel 1926; Herkenne 1936) oder taninim („Tiefe“; so z.B. Schlögl 1915; Weiser 1959), zwei Bezeichnungen für weitere Meeresungeheuer neben dem Leviathan.</w:t>
      </w:r>
    </w:p>
  </w:footnote>
  <w:footnote w:id="2310">
    <w:p>
      <w:pPr>
        <w:pStyle w:val="Funote"/>
        <w:rPr/>
      </w:pPr>
      <w:r>
        <w:rPr>
          <w:rStyle w:val="Funotenzeichen"/>
        </w:rPr>
        <w:footnoteRef/>
      </w:r>
      <w:r>
        <w:rPr/>
        <w:tab/>
        <w:t>um mit ihm Spaß zu haben (damit er darinnen Spaß habe) - Das mythische Meeresungeheuer Leviathan (vgl. Jer 27,1) wird hier degradiert zum Schoßhündchen Gottes.Grammatisch sind beide Auflösungen möglich; nach der Parallelstelle Ijob 40,29 liegt aber die Deutung im Fließtext wesentlich näher. Vgl. auch b.AZ 3b, wo Rabbi Aricha Gottes zwölfstündiger Tagesablauf schildert: Die ersten drei Stunden studiert er die Torah, die zweiten drei Stunden beurteilt er die Welt (und weil er dabei stets erkennt, dass er sie eigentlich zerstören müsste, entscheidet er jeden Tag von Neuem, gnädig zu sein), die dritten drei Stunden ernährt er sie und die vierten drei Stunden vergnügt er sich mit dem Leviathan.Gemeint ist nicht „um ihn zu verspotten“ (Grill 1959, S. 102; so schon Athanasius); vgl. richtig Kwakkel 2017, S. 83. Ohnehin stünde dafür im Heb. das Verb im Qal statt im Piel.</w:t>
      </w:r>
    </w:p>
  </w:footnote>
  <w:footnote w:id="2311">
    <w:p>
      <w:pPr>
        <w:pStyle w:val="Funote"/>
        <w:rPr/>
      </w:pPr>
      <w:r>
        <w:rPr>
          <w:rStyle w:val="Funotenzeichen"/>
        </w:rPr>
        <w:footnoteRef/>
      </w:r>
      <w:r>
        <w:rPr/>
        <w:tab/>
        <w:t>Textkritik: [ihnen] (wie in V. 28) findet sich zusätzlich in 11QPsa und LXX. Dass „sie“ es sind, die gesättigt werden sollen, ist aber auch so klar und das „ihnen“ aus V. 28 wirkt auch im MT zurück auf V. 27 („backward gapping“); 11QPsa und LXX explizieren also wohl nur das „ihnen“ aus V. 28 und man muss nicht von zwei unterschiedlichen Textversionen ausgehen.</w:t>
      </w:r>
    </w:p>
  </w:footnote>
  <w:footnote w:id="2312">
    <w:p>
      <w:pPr>
        <w:pStyle w:val="Funote"/>
        <w:rPr/>
      </w:pPr>
      <w:r>
        <w:rPr>
          <w:rStyle w:val="Funotenzeichen"/>
        </w:rPr>
        <w:footnoteRef/>
      </w:r>
      <w:r>
        <w:rPr>
          <w:i/>
        </w:rPr>
        <w:tab/>
        <w:t>zur rechten Zeit</w:t>
      </w:r>
      <w:r>
        <w:rPr/>
        <w:t xml:space="preserve"> - W. „zu ihrer (d.i. der Nahrung) Zeit“; ähnlich in </w:t>
      </w:r>
      <w:r>
        <w:fldChar w:fldCharType="begin"/>
      </w:r>
      <w:r>
        <w:rPr>
          <w:rStyle w:val="Internetverknpfung"/>
        </w:rPr>
        <w:instrText> HYPERLINK "../../../../../../../../../wiki/Psalm_1" \l "s3"</w:instrText>
      </w:r>
      <w:r>
        <w:rPr>
          <w:rStyle w:val="Internetverknpfung"/>
        </w:rPr>
        <w:fldChar w:fldCharType="separate"/>
      </w:r>
      <w:r>
        <w:rPr>
          <w:rStyle w:val="Internetverknpfung"/>
        </w:rPr>
        <w:t>Ps 1,3</w:t>
      </w:r>
      <w:r>
        <w:rPr>
          <w:rStyle w:val="Internetverknpfung"/>
        </w:rPr>
        <w:fldChar w:fldCharType="end"/>
      </w:r>
    </w:p>
  </w:footnote>
  <w:footnote w:id="2313">
    <w:p>
      <w:pPr>
        <w:pStyle w:val="Funote"/>
        <w:rPr/>
      </w:pPr>
      <w:r>
        <w:rPr>
          <w:rStyle w:val="Funotenzeichen"/>
        </w:rPr>
        <w:footnoteRef/>
      </w:r>
      <w:r>
        <w:rPr>
          <w:i/>
        </w:rPr>
        <w:tab/>
        <w:t>Nahrung</w:t>
      </w:r>
      <w:r>
        <w:rPr/>
        <w:t xml:space="preserve"> / </w:t>
      </w:r>
      <w:r>
        <w:rPr>
          <w:i/>
        </w:rPr>
        <w:t>sie</w:t>
      </w:r>
      <w:r>
        <w:rPr/>
        <w:t xml:space="preserve"> aus V. 27 steht hier nicht mehr explizit, ist aber klar mitgemeint. Eine ähnliche Verschränkung von backward gapping und forward gapping findet sich z.B. auch in </w:t>
      </w:r>
      <w:r>
        <w:fldChar w:fldCharType="begin"/>
      </w:r>
      <w:r>
        <w:rPr>
          <w:rStyle w:val="Internetverknpfung"/>
        </w:rPr>
        <w:instrText> HYPERLINK "../../../../../../../../../wiki/Obadja" \l "s18"</w:instrText>
      </w:r>
      <w:r>
        <w:rPr>
          <w:rStyle w:val="Internetverknpfung"/>
        </w:rPr>
        <w:fldChar w:fldCharType="separate"/>
      </w:r>
      <w:r>
        <w:rPr>
          <w:rStyle w:val="Internetverknpfung"/>
        </w:rPr>
        <w:t>Ob 18</w:t>
      </w:r>
      <w:r>
        <w:rPr>
          <w:rStyle w:val="Internetverknpfung"/>
        </w:rPr>
        <w:fldChar w:fldCharType="end"/>
      </w:r>
      <w:r>
        <w:rPr/>
        <w:t>.</w:t>
      </w:r>
    </w:p>
  </w:footnote>
  <w:footnote w:id="2314">
    <w:p>
      <w:pPr>
        <w:pStyle w:val="Funote"/>
        <w:rPr/>
      </w:pPr>
      <w:r>
        <w:rPr>
          <w:rStyle w:val="Funotenzeichen"/>
        </w:rPr>
        <w:footnoteRef/>
      </w:r>
      <w:r>
        <w:rPr>
          <w:i/>
        </w:rPr>
        <w:tab/>
        <w:t>sie werden gesättigt mit Gutem</w:t>
      </w:r>
      <w:r>
        <w:rPr/>
        <w:t>, wie in Vv. 13.16 die Erde von Gott „gesättigt“ wird. Eine ähnliche Gedankenverbindung findet sich explizit in PsSal 5,9f.: „Vögel und Fische sättigst du, indem du der Wüste Regen gibst, so dass grünes Gras wächst, um in der Wüste Futter für alles Lebendige zu bereiten.“</w:t>
      </w:r>
    </w:p>
  </w:footnote>
  <w:footnote w:id="2315">
    <w:p>
      <w:pPr>
        <w:pStyle w:val="Funote"/>
        <w:rPr/>
      </w:pPr>
      <w:r>
        <w:rPr>
          <w:rStyle w:val="Funotenzeichen"/>
        </w:rPr>
        <w:footnoteRef/>
      </w:r>
      <w:r>
        <w:rPr/>
        <w:tab/>
        <w:t>verbirgst dein Gesicht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30,8; 44,25; 69,18; 88,15; 102,3; 143,7; Jes 8,17; 54,8; 59,2; 64,6; Jer 33,5; Ez 39,23f.29; Mic 3,4): JHWH verbirgt sein Gesicht vor jemandem = JHWH schaut jemanden nicht mehr gnädig an (und lässt so zu, dass Unheil über ihn hereinbricht).</w:t>
      </w:r>
    </w:p>
  </w:footnote>
  <w:footnote w:id="2316">
    <w:p>
      <w:pPr>
        <w:pStyle w:val="Funote"/>
        <w:rPr/>
      </w:pPr>
      <w:r>
        <w:rPr>
          <w:rStyle w:val="Funotenzeichen"/>
        </w:rPr>
        <w:footnoteRef/>
      </w:r>
      <w:r>
        <w:rPr/>
        <w:tab/>
        <w:t>Zu Zeilen 2 und 3 vgl. Gen 2,7: Der Mensch ist aus Erde/Staub gebildet (Gen 3,19, 18,27; Ps 103,14) und wird erst durch die Einhauchung von Gottes Atem zum lebendigen Wesen (Pred 12,7; Jes 57,16; Jer 38,16; LXX hat daher hier wie in V. 30 „deinen Atem“ statt „ihren Atem“). Stirbt er, wird er daher nach dem Tod wieder zu „Staub“ (Gen 3,19, Ijob 10,9; 34,15; Pred 3,20), aus dem dann wieder andere Menschen entstehen können (Ijob 8,19) – der alttestamentliche „Circle of Life“, der auch in der Ringkomposition von Vv. 29f. (vgl. Renaud 1981, S. 16) zum Ausdruck kommt: „Du verbirgst dein Gesicht, sie erschrecken; : Du nimmst ihren Atem, sie sterben :: Und zu ihrem Staub kehren sie zurück. : Du sendest deinen Atem, sie werden geschaffen; Du erneuerst das Gesicht der Erde.“</w:t>
      </w:r>
    </w:p>
  </w:footnote>
  <w:footnote w:id="2317">
    <w:p>
      <w:pPr>
        <w:pStyle w:val="Funote"/>
        <w:rPr/>
      </w:pPr>
      <w:r>
        <w:rPr>
          <w:rStyle w:val="Funotenzeichen"/>
        </w:rPr>
        <w:footnoteRef/>
      </w:r>
      <w:r>
        <w:rPr/>
        <w:tab/>
        <w:t>Der auf die Erde blickt, so dass sie bebt – Das Heb. hat in 32a andere Verbformen als sonst in 27-30.32b, nämlich ein Partizip („anblicken“) und ein Wayyiqtol („beben“). 32 gehört daher nicht in die Reihung in diesen Versen, wie die meisten Üss. übersetzen, sondern ist eine Umschreibung Gottes (Er ist „der, der auf die Erde blickt“) und das Wayyiqtol gibt die logische Folge dieses Blickens an („so dass sie bebt“; vgl. JM §118h). Richtig daher FREE: „Der die Erde anschaut, und sie bebt; er rührt die Berge an, und sie rauchen.“ V. 32 ist damit der exakte Gegenvers zu V. 5.</w:t>
      </w:r>
    </w:p>
  </w:footnote>
  <w:footnote w:id="2318">
    <w:p>
      <w:pPr>
        <w:pStyle w:val="Funote"/>
        <w:rPr/>
      </w:pPr>
      <w:r>
        <w:rPr>
          <w:rStyle w:val="Funotenzeichen"/>
        </w:rPr>
        <w:footnoteRef/>
      </w:r>
      <w:r>
        <w:rPr/>
        <w:tab/>
        <w:t>Das bekannte Hallelujah findet sich hier das erste Mal in der Bibel und auch sonst nur im Psalter. Es kann sowohl am Ende vom Psalmen stehen (z.B. Ps 106,48) als auch am Anfang (z.B. Ps 111,1). LXX verschiebt es an den Anfang von Ps 105; dem folgen grundlos z.B. Dahood 1970; deClaissé-Walford/Jacobson/Tanner 2014; Herkenne 1936.</w:t>
      </w:r>
    </w:p>
  </w:footnote>
  <w:footnote w:id="2319">
    <w:p>
      <w:pPr>
        <w:pStyle w:val="Funote"/>
        <w:rPr/>
      </w:pPr>
      <w:r>
        <w:rPr>
          <w:rStyle w:val="Funotenzeichen"/>
        </w:rPr>
        <w:footnoteRef/>
      </w:r>
      <w:r>
        <w:rPr/>
        <w:tab/>
        <w:t>Auch: „Statt meiner Liebe...“ oder „Unter meiner Liebe...“</w:t>
      </w:r>
    </w:p>
  </w:footnote>
  <w:footnote w:id="2320">
    <w:p>
      <w:pPr>
        <w:pStyle w:val="Funote"/>
        <w:rPr/>
      </w:pPr>
      <w:r>
        <w:rPr>
          <w:rStyle w:val="Funotenzeichen"/>
        </w:rPr>
        <w:footnoteRef/>
      </w:r>
      <w:r>
        <w:rPr/>
        <w:tab/>
        <w:t xml:space="preserve">Kal Impf. mit Suff. von </w:t>
      </w:r>
      <w:r>
        <w:rPr>
          <w:rtl w:val="true"/>
          <w:lang w:bidi="he-IL"/>
        </w:rPr>
        <w:t>שׂטן</w:t>
      </w:r>
      <w:r>
        <w:rPr/>
        <w:t>.</w:t>
      </w:r>
    </w:p>
  </w:footnote>
  <w:footnote w:id="2321">
    <w:p>
      <w:pPr>
        <w:pStyle w:val="Funote"/>
        <w:rPr/>
      </w:pPr>
      <w:r>
        <w:rPr>
          <w:rStyle w:val="Funotenzeichen"/>
        </w:rPr>
        <w:footnoteRef/>
      </w:r>
      <w:r>
        <w:rPr/>
        <w:tab/>
        <w:t>Gesenius</w:t>
      </w:r>
      <w:r>
        <w:rPr>
          <w:position w:val="7"/>
          <w:sz w:val="16"/>
        </w:rPr>
        <w:t>17</w:t>
      </w:r>
      <w:r>
        <w:rPr/>
        <w:t xml:space="preserve">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322">
    <w:p>
      <w:pPr>
        <w:pStyle w:val="Funote"/>
        <w:rPr/>
      </w:pPr>
      <w:r>
        <w:rPr>
          <w:rStyle w:val="Funotenzeichen"/>
        </w:rPr>
        <w:footnoteRef/>
      </w:r>
      <w:r>
        <w:rPr/>
        <w:tab/>
        <w:t>Chiastischer Satzaufbau, der die Widersprüche in der Erfahrung des Psalms betont. In den folgenden Versen könnte es sich um die Wiedergabe der konkreten Anfeindungen handeln.</w:t>
      </w:r>
    </w:p>
  </w:footnote>
  <w:footnote w:id="2323">
    <w:p>
      <w:pPr>
        <w:pStyle w:val="Funote"/>
        <w:rPr/>
      </w:pPr>
      <w:r>
        <w:rPr>
          <w:rStyle w:val="Funotenzeichen"/>
        </w:rPr>
        <w:footnoteRef/>
      </w:r>
      <w:r>
        <w:rPr/>
        <w:tab/>
        <w:t xml:space="preserve">Hif'il Imp. Sg. von </w:t>
      </w:r>
      <w:r>
        <w:rPr>
          <w:rtl w:val="true"/>
          <w:lang w:bidi="he-IL"/>
        </w:rPr>
        <w:t>פקד</w:t>
      </w:r>
      <w:r>
        <w:rPr/>
        <w:t>.</w:t>
      </w:r>
    </w:p>
  </w:footnote>
  <w:footnote w:id="2324">
    <w:p>
      <w:pPr>
        <w:pStyle w:val="Funote"/>
        <w:rPr/>
      </w:pPr>
      <w:r>
        <w:rPr>
          <w:rStyle w:val="Funotenzeichen"/>
        </w:rPr>
        <w:footnoteRef/>
      </w:r>
      <w:r>
        <w:rPr/>
        <w:tab/>
        <w:t xml:space="preserve">Das Wort </w:t>
      </w:r>
      <w:r>
        <w:rPr>
          <w:rtl w:val="true"/>
          <w:lang w:bidi="he-IL"/>
        </w:rPr>
        <w:t>שׇׂטָן</w:t>
      </w:r>
      <w:r>
        <w:rPr/>
        <w:t xml:space="preserve"> </w:t>
      </w:r>
      <w:r>
        <w:rPr/>
        <w:t>(Satan) wird hier nicht als Eigenname wiedergegeben.</w:t>
      </w:r>
    </w:p>
  </w:footnote>
  <w:footnote w:id="2325">
    <w:p>
      <w:pPr>
        <w:pStyle w:val="Funote"/>
        <w:rPr/>
      </w:pPr>
      <w:r>
        <w:rPr>
          <w:rStyle w:val="Funotenzeichen"/>
        </w:rPr>
        <w:footnoteRef/>
      </w:r>
      <w:r>
        <w:rPr/>
        <w:tab/>
        <w:t xml:space="preserve">Kal Jussiv von </w:t>
      </w:r>
      <w:r>
        <w:rPr>
          <w:rtl w:val="true"/>
          <w:lang w:bidi="he-IL"/>
        </w:rPr>
        <w:t>עמד</w:t>
      </w:r>
      <w:r>
        <w:rPr/>
        <w:t>.</w:t>
      </w:r>
    </w:p>
  </w:footnote>
  <w:footnote w:id="2326">
    <w:p>
      <w:pPr>
        <w:pStyle w:val="Funote"/>
        <w:rPr/>
      </w:pPr>
      <w:r>
        <w:rPr>
          <w:rStyle w:val="Funotenzeichen"/>
        </w:rPr>
        <w:footnoteRef/>
      </w:r>
      <w:r>
        <w:rPr/>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327">
    <w:p>
      <w:pPr>
        <w:pStyle w:val="Funote"/>
        <w:rPr/>
      </w:pPr>
      <w:r>
        <w:rPr>
          <w:rStyle w:val="Funotenzeichen"/>
        </w:rPr>
        <w:footnoteRef/>
      </w:r>
      <w:r>
        <w:rPr/>
        <w:tab/>
        <w:t>Kal Jussiv, ebenso beim nächsten Verb.</w:t>
      </w:r>
    </w:p>
  </w:footnote>
  <w:footnote w:id="2328">
    <w:p>
      <w:pPr>
        <w:pStyle w:val="Funote"/>
        <w:rPr/>
      </w:pPr>
      <w:r>
        <w:rPr>
          <w:rStyle w:val="Funotenzeichen"/>
        </w:rPr>
        <w:footnoteRef/>
      </w:r>
      <w:r>
        <w:rPr/>
        <w:tab/>
        <w:t>[Status: Ungeprüft]</w:t>
      </w:r>
    </w:p>
  </w:footnote>
  <w:footnote w:id="2329">
    <w:p>
      <w:pPr>
        <w:pStyle w:val="Funote"/>
        <w:rPr/>
      </w:pPr>
      <w:r>
        <w:rPr>
          <w:rStyle w:val="Funotenzeichen"/>
        </w:rPr>
        <w:footnoteRef/>
      </w:r>
      <w:r>
        <w:rPr/>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330">
    <w:p>
      <w:pPr>
        <w:pStyle w:val="Funote"/>
        <w:rPr/>
      </w:pPr>
      <w:r>
        <w:rPr>
          <w:rStyle w:val="Funotenzeichen"/>
        </w:rPr>
        <w:footnoteRef/>
      </w:r>
      <w:r>
        <w:rPr/>
        <w:tab/>
        <w:t>Adonai könnte auf den weltlichen Herren bezogen sein, der sich in Vers 1 zur Rechten JHWHs setzen soll. JHWH sitzt demnach zur Linken und dürfte inhaltlich nicht gemeint sein. Das Wort Adonai lässt dies aber offen.</w:t>
      </w:r>
    </w:p>
  </w:footnote>
  <w:footnote w:id="2331">
    <w:p>
      <w:pPr>
        <w:pStyle w:val="Funote"/>
        <w:rPr/>
      </w:pPr>
      <w:r>
        <w:rPr>
          <w:rStyle w:val="Funotenzeichen"/>
        </w:rPr>
        <w:footnoteRef/>
      </w:r>
      <w:r>
        <w:rPr/>
        <w:tab/>
        <w:t>[Status: Ungeprüft]</w:t>
      </w:r>
    </w:p>
  </w:footnote>
  <w:footnote w:id="2332">
    <w:p>
      <w:pPr>
        <w:pStyle w:val="Funote"/>
        <w:rPr/>
      </w:pPr>
      <w:r>
        <w:rPr>
          <w:rStyle w:val="Funotenzeichen"/>
        </w:rPr>
        <w:footnoteRef/>
      </w:r>
      <w:r>
        <w:rPr/>
        <w:tab/>
        <w:t>[Status: Ungeprüft]</w:t>
      </w:r>
    </w:p>
  </w:footnote>
  <w:footnote w:id="2333">
    <w:p>
      <w:pPr>
        <w:pStyle w:val="Funote"/>
        <w:rPr/>
      </w:pPr>
      <w:r>
        <w:rPr>
          <w:rStyle w:val="Funotenzeichen"/>
        </w:rPr>
        <w:footnoteRef/>
      </w:r>
      <w:r>
        <w:rPr/>
        <w:tab/>
        <w:t>Unerklärlicher Subjektswechsel; LXX übersetzt Niph'al: „Ich bin gestoßen worden“</w:t>
      </w:r>
    </w:p>
  </w:footnote>
  <w:footnote w:id="2334">
    <w:p>
      <w:pPr>
        <w:pStyle w:val="Funote"/>
        <w:rPr/>
      </w:pPr>
      <w:r>
        <w:rPr>
          <w:rStyle w:val="Funotenzeichen"/>
        </w:rPr>
        <w:footnoteRef/>
      </w:r>
      <w:r>
        <w:rPr/>
        <w:tab/>
        <w:t>[Status: Ungeprüft]</w:t>
      </w:r>
    </w:p>
  </w:footnote>
  <w:footnote w:id="2335">
    <w:p>
      <w:pPr>
        <w:pStyle w:val="Funote"/>
        <w:rPr/>
      </w:pPr>
      <w:r>
        <w:rPr>
          <w:rStyle w:val="Funotenzeichen"/>
        </w:rPr>
        <w:footnoteRef/>
      </w:r>
      <w:r>
        <w:rPr/>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br/>
        <w:t xml:space="preserve">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 </w:t>
      </w:r>
    </w:p>
  </w:footnote>
  <w:footnote w:id="2336">
    <w:p>
      <w:pPr>
        <w:pStyle w:val="Funote"/>
        <w:rPr/>
      </w:pPr>
      <w:r>
        <w:rPr>
          <w:rStyle w:val="Funotenzeichen"/>
        </w:rPr>
        <w:footnoteRef/>
      </w:r>
      <w:r>
        <w:rPr>
          <w:i/>
        </w:rPr>
        <w:tab/>
        <w:t>lügenden Lippen</w:t>
      </w:r>
      <w:r>
        <w:rPr/>
        <w:t xml:space="preserve"> Ein Constructus (Genitiv), der eine Eigenschaft ausdrückt, daher gewöhnlich als attributives Adjektiv übersetzt. </w:t>
      </w:r>
    </w:p>
  </w:footnote>
  <w:footnote w:id="2337">
    <w:p>
      <w:pPr>
        <w:pStyle w:val="Funote"/>
        <w:rPr/>
      </w:pPr>
      <w:r>
        <w:rPr>
          <w:rStyle w:val="Funotenzeichen"/>
        </w:rPr>
        <w:footnoteRef/>
      </w:r>
      <w:r>
        <w:rPr>
          <w:i/>
        </w:rPr>
        <w:tab/>
        <w:t>brennende Kohlen aus Ginster</w:t>
      </w:r>
      <w:r>
        <w:rPr/>
        <w:t xml:space="preserve"> Hier verstanden als Constructus (Genitiv), der das Material bezeichnet. Vielleicht sind die Reste eines verkohlten Ginsterbusches als Symbol für das Ergebnis von Gottes eingreifendem Gericht im Blick. </w:t>
      </w:r>
    </w:p>
  </w:footnote>
  <w:footnote w:id="2338">
    <w:p>
      <w:pPr>
        <w:pStyle w:val="Funote"/>
        <w:rPr/>
      </w:pPr>
      <w:r>
        <w:rPr>
          <w:rStyle w:val="Funotenzeichen"/>
        </w:rPr>
        <w:footnoteRef/>
      </w:r>
      <w:r>
        <w:rPr>
          <w:i/>
        </w:rPr>
        <w:tab/>
        <w:t>Meschech</w:t>
      </w:r>
      <w:r>
        <w:rPr/>
        <w:t xml:space="preserve"> und </w:t>
      </w:r>
      <w:r>
        <w:rPr>
          <w:i/>
        </w:rPr>
        <w:t>Kedar</w:t>
      </w:r>
      <w:r>
        <w:rPr/>
        <w:t xml:space="preserve">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 </w:t>
      </w:r>
    </w:p>
  </w:footnote>
  <w:footnote w:id="2339">
    <w:p>
      <w:pPr>
        <w:pStyle w:val="Funote"/>
        <w:rPr/>
      </w:pPr>
      <w:r>
        <w:rPr>
          <w:rStyle w:val="Funotenzeichen"/>
        </w:rPr>
        <w:footnoteRef/>
      </w:r>
      <w:r>
        <w:rPr>
          <w:i/>
        </w:rPr>
        <w:tab/>
        <w:t>Friedensverächtern</w:t>
      </w:r>
      <w:r>
        <w:rPr/>
        <w:t xml:space="preserve"> W. „Verächtern/Hassern des Friedens“, ein objektiver Constructus (Genitiv), als zusammengesetztes Nomen übersetzt. </w:t>
      </w:r>
    </w:p>
  </w:footnote>
  <w:footnote w:id="2340">
    <w:p>
      <w:pPr>
        <w:pStyle w:val="Funote"/>
        <w:rPr/>
      </w:pPr>
      <w:r>
        <w:rPr>
          <w:rStyle w:val="Funotenzeichen"/>
        </w:rPr>
        <w:footnoteRef/>
      </w:r>
      <w:r>
        <w:rPr/>
        <w:tab/>
        <w:t xml:space="preserve">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 </w:t>
      </w:r>
    </w:p>
  </w:footnote>
  <w:footnote w:id="2341">
    <w:p>
      <w:pPr>
        <w:pStyle w:val="Funote"/>
        <w:rPr/>
      </w:pPr>
      <w:r>
        <w:rPr>
          <w:rStyle w:val="Funotenzeichen"/>
        </w:rPr>
        <w:footnoteRef/>
      </w:r>
      <w:r>
        <w:rPr/>
        <w:tab/>
        <w:t>[Status: Ungeprüft]</w:t>
      </w:r>
    </w:p>
  </w:footnote>
  <w:footnote w:id="2342">
    <w:p>
      <w:pPr>
        <w:pStyle w:val="Funote"/>
        <w:rPr/>
      </w:pPr>
      <w:r>
        <w:rPr>
          <w:rStyle w:val="Funotenzeichen"/>
        </w:rPr>
        <w:footnoteRef/>
      </w:r>
      <w:r>
        <w:rPr/>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343">
    <w:p>
      <w:pPr>
        <w:pStyle w:val="Funote"/>
        <w:rPr/>
      </w:pPr>
      <w:r>
        <w:rPr>
          <w:rStyle w:val="Funotenzeichen"/>
        </w:rPr>
        <w:footnoteRef/>
      </w:r>
      <w:r>
        <w:rPr/>
        <w:tab/>
        <w:t>In der Lutherübersetzung von 1545 lautet dieser Vers: HErr, wende unser Gefängnis, wie du die Wasser gegen Mittag trocknest!</w:t>
      </w:r>
    </w:p>
  </w:footnote>
  <w:footnote w:id="2344">
    <w:p>
      <w:pPr>
        <w:pStyle w:val="Funote"/>
        <w:rPr/>
      </w:pPr>
      <w:r>
        <w:rPr>
          <w:rStyle w:val="Funotenzeichen"/>
        </w:rPr>
        <w:footnoteRef/>
      </w:r>
      <w:r>
        <w:rPr/>
        <w:tab/>
        <w:t>Wörtlich: Er geht ein Gehen.</w:t>
      </w:r>
    </w:p>
  </w:footnote>
  <w:footnote w:id="2345">
    <w:p>
      <w:pPr>
        <w:pStyle w:val="Funote"/>
        <w:rPr/>
      </w:pPr>
      <w:r>
        <w:rPr>
          <w:rStyle w:val="Funotenzeichen"/>
        </w:rPr>
        <w:footnoteRef/>
      </w:r>
      <w:r>
        <w:rPr/>
        <w:tab/>
        <w:t>Eigentlich Infinitivs absolutus.</w:t>
      </w:r>
    </w:p>
  </w:footnote>
  <w:footnote w:id="2346">
    <w:p>
      <w:pPr>
        <w:pStyle w:val="Funote"/>
        <w:rPr/>
      </w:pPr>
      <w:r>
        <w:rPr>
          <w:rStyle w:val="Funotenzeichen"/>
        </w:rPr>
        <w:footnoteRef/>
      </w:r>
      <w:r>
        <w:rPr/>
        <w:tab/>
        <w:t>Partizip Qal maskulin Singular im Status Absolutus.</w:t>
      </w:r>
    </w:p>
  </w:footnote>
  <w:footnote w:id="2347">
    <w:p>
      <w:pPr>
        <w:pStyle w:val="Funote"/>
        <w:rPr/>
      </w:pPr>
      <w:r>
        <w:rPr>
          <w:rStyle w:val="Funotenzeichen"/>
        </w:rPr>
        <w:footnoteRef/>
      </w:r>
      <w:r>
        <w:rPr/>
        <w:tab/>
        <w:t>Wörtlich: Er kommt ein Kommen.</w:t>
      </w:r>
    </w:p>
  </w:footnote>
  <w:footnote w:id="2348">
    <w:p>
      <w:pPr>
        <w:pStyle w:val="Funote"/>
        <w:rPr/>
      </w:pPr>
      <w:r>
        <w:rPr>
          <w:rStyle w:val="Funotenzeichen"/>
        </w:rPr>
        <w:footnoteRef/>
      </w:r>
      <w:r>
        <w:rPr/>
        <w:tab/>
        <w:t>[Status: Zuverlässig]</w:t>
      </w:r>
    </w:p>
  </w:footnote>
  <w:footnote w:id="2349">
    <w:p>
      <w:pPr>
        <w:pStyle w:val="Funote"/>
        <w:rPr/>
      </w:pPr>
      <w:r>
        <w:rPr>
          <w:rStyle w:val="Funotenzeichen"/>
        </w:rPr>
        <w:footnoteRef/>
      </w:r>
      <w:r>
        <w:rPr/>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350">
    <w:p>
      <w:pPr>
        <w:pStyle w:val="Funote"/>
        <w:rPr/>
      </w:pPr>
      <w:r>
        <w:rPr>
          <w:rStyle w:val="Funotenzeichen"/>
        </w:rPr>
        <w:footnoteRef/>
      </w:r>
      <w:r>
        <w:rPr/>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351">
    <w:p>
      <w:pPr>
        <w:pStyle w:val="Funote"/>
        <w:rPr/>
      </w:pPr>
      <w:r>
        <w:rPr>
          <w:rStyle w:val="Funotenzeichen"/>
        </w:rPr>
        <w:footnoteRef/>
      </w:r>
      <w:r>
        <w:rPr/>
        <w:tab/>
        <w:t>W. „Mein Herz ist“, aber übersetze „Ich bin“ (so auch HfA, GN): das „Herz“ ist in der Bibel häufig Wechselbegriff für das Ich; bes. in Zhgg., in denen dieses Ich als „fühlende, gestimmte Person“ vorgestellt wird (s. z.B. Wolff 1973, S. 74f).</w:t>
      </w:r>
    </w:p>
  </w:footnote>
  <w:footnote w:id="2352">
    <w:p>
      <w:pPr>
        <w:pStyle w:val="Funote"/>
        <w:rPr/>
      </w:pPr>
      <w:r>
        <w:rPr>
          <w:rStyle w:val="Funotenzeichen"/>
        </w:rPr>
        <w:footnoteRef/>
      </w:r>
      <w:r>
        <w:rPr/>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353">
    <w:p>
      <w:pPr>
        <w:pStyle w:val="Funote"/>
        <w:rPr/>
      </w:pPr>
      <w:r>
        <w:rPr>
          <w:rStyle w:val="Funotenzeichen"/>
        </w:rPr>
        <w:footnoteRef/>
      </w:r>
      <w:r>
        <w:rPr/>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354">
    <w:p>
      <w:pPr>
        <w:pStyle w:val="Funote"/>
        <w:rPr/>
      </w:pPr>
      <w:r>
        <w:rPr>
          <w:rStyle w:val="Funotenzeichen"/>
        </w:rPr>
        <w:footnoteRef/>
      </w:r>
      <w:r>
        <w:rPr/>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355">
    <w:p>
      <w:pPr>
        <w:pStyle w:val="Funote"/>
        <w:rPr/>
      </w:pPr>
      <w:r>
        <w:rPr>
          <w:rStyle w:val="Funotenzeichen"/>
        </w:rPr>
        <w:footnoteRef/>
      </w:r>
      <w:r>
        <w:rPr>
          <w:rtl w:val="true"/>
          <w:lang w:bidi="he-IL"/>
        </w:rPr>
        <w:tab/>
        <w:t>מִמֶּֽנִּי</w:t>
      </w:r>
      <w:r>
        <w:rPr/>
        <w:t xml:space="preserve"> </w:t>
      </w:r>
      <w:r>
        <w:rPr>
          <w:i/>
        </w:rPr>
        <w:t>zu ... für mich</w:t>
      </w:r>
      <w:r>
        <w:rPr/>
        <w:t xml:space="preserve">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356">
    <w:p>
      <w:pPr>
        <w:pStyle w:val="Funote"/>
        <w:rPr/>
      </w:pPr>
      <w:r>
        <w:rPr>
          <w:rStyle w:val="Funotenzeichen"/>
        </w:rPr>
        <w:footnoteRef/>
      </w:r>
      <w:r>
        <w:rPr/>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357">
    <w:p>
      <w:pPr>
        <w:pStyle w:val="Funote"/>
        <w:rPr/>
      </w:pPr>
      <w:r>
        <w:rPr>
          <w:rStyle w:val="Funotenzeichen"/>
        </w:rPr>
        <w:footnoteRef/>
      </w:r>
      <w:r>
        <w:rPr/>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358">
    <w:p>
      <w:pPr>
        <w:pStyle w:val="Funote"/>
        <w:rPr/>
      </w:pPr>
      <w:r>
        <w:rPr>
          <w:rStyle w:val="Funotenzeichen"/>
        </w:rPr>
        <w:footnoteRef/>
      </w:r>
      <w:r>
        <w:rPr/>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359">
    <w:p>
      <w:pPr>
        <w:pStyle w:val="Funote"/>
        <w:rPr/>
      </w:pPr>
      <w:r>
        <w:rPr>
          <w:rStyle w:val="Funotenzeichen"/>
        </w:rPr>
        <w:footnoteRef/>
      </w:r>
      <w:r>
        <w:rPr/>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360">
    <w:p>
      <w:pPr>
        <w:pStyle w:val="Funote"/>
        <w:rPr/>
      </w:pPr>
      <w:r>
        <w:rPr>
          <w:rStyle w:val="Funotenzeichen"/>
        </w:rPr>
        <w:footnoteRef/>
      </w:r>
      <w:r>
        <w:rPr/>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361">
    <w:p>
      <w:pPr>
        <w:pStyle w:val="Funote"/>
        <w:rPr/>
      </w:pPr>
      <w:r>
        <w:rPr>
          <w:rStyle w:val="Funotenzeichen"/>
        </w:rPr>
        <w:footnoteRef/>
      </w:r>
      <w:r>
        <w:rPr/>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362">
    <w:p>
      <w:pPr>
        <w:pStyle w:val="Funote"/>
        <w:rPr/>
      </w:pPr>
      <w:r>
        <w:rPr>
          <w:rStyle w:val="Funotenzeichen"/>
        </w:rPr>
        <w:footnoteRef/>
      </w:r>
      <w:r>
        <w:rPr/>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363">
    <w:p>
      <w:pPr>
        <w:pStyle w:val="Funote"/>
        <w:rPr/>
      </w:pPr>
      <w:r>
        <w:rPr>
          <w:rStyle w:val="Funotenzeichen"/>
        </w:rPr>
        <w:footnoteRef/>
      </w:r>
      <w:r>
        <w:rPr/>
        <w:tab/>
        <w:t>[Status: Ungeprüft]</w:t>
      </w:r>
    </w:p>
  </w:footnote>
  <w:footnote w:id="2364">
    <w:p>
      <w:pPr>
        <w:pStyle w:val="Funote"/>
        <w:rPr/>
      </w:pPr>
      <w:r>
        <w:rPr>
          <w:rStyle w:val="Funotenzeichen"/>
        </w:rPr>
        <w:footnoteRef/>
      </w:r>
      <w:r>
        <w:rPr/>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365">
    <w:p>
      <w:pPr>
        <w:pStyle w:val="Funote"/>
        <w:rPr/>
      </w:pPr>
      <w:r>
        <w:rPr>
          <w:rStyle w:val="Funotenzeichen"/>
        </w:rPr>
        <w:footnoteRef/>
      </w:r>
      <w:r>
        <w:rPr/>
        <w:tab/>
        <w:t>[Status: Ungeprüft]</w:t>
      </w:r>
    </w:p>
  </w:footnote>
  <w:footnote w:id="2366">
    <w:p>
      <w:pPr>
        <w:pStyle w:val="Funote"/>
        <w:rPr/>
      </w:pPr>
      <w:r>
        <w:rPr>
          <w:rStyle w:val="Funotenzeichen"/>
        </w:rPr>
        <w:footnoteRef/>
      </w:r>
      <w:r>
        <w:rPr/>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367">
    <w:p>
      <w:pPr>
        <w:pStyle w:val="Funote"/>
        <w:rPr/>
      </w:pPr>
      <w:r>
        <w:rPr>
          <w:rStyle w:val="Funotenzeichen"/>
        </w:rPr>
        <w:footnoteRef/>
      </w:r>
      <w:r>
        <w:rPr/>
        <w:tab/>
        <w:t>Hier steht nur das Substantiv, das sowohl Heiligkeit, als auch Heiligtum bedeuten kann - ohne Artikel und ohne Präposition, die eine eindeutigere Übersetzung ermöglichen würde.</w:t>
      </w:r>
    </w:p>
  </w:footnote>
  <w:footnote w:id="2368">
    <w:p>
      <w:pPr>
        <w:pStyle w:val="Funote"/>
        <w:rPr/>
      </w:pPr>
      <w:r>
        <w:rPr>
          <w:rStyle w:val="Funotenzeichen"/>
        </w:rPr>
        <w:footnoteRef/>
      </w:r>
      <w:r>
        <w:rPr/>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369">
    <w:p>
      <w:pPr>
        <w:pStyle w:val="Funote"/>
        <w:rPr/>
      </w:pPr>
      <w:r>
        <w:rPr>
          <w:rStyle w:val="Funotenzeichen"/>
        </w:rPr>
        <w:footnoteRef/>
      </w:r>
      <w:r>
        <w:rPr/>
        <w:tab/>
        <w:t>[Status: Zuverlässig]</w:t>
      </w:r>
    </w:p>
  </w:footnote>
  <w:footnote w:id="2370">
    <w:p>
      <w:pPr>
        <w:pStyle w:val="Funote"/>
        <w:rPr/>
      </w:pPr>
      <w:r>
        <w:rPr>
          <w:rStyle w:val="Funotenzeichen"/>
        </w:rPr>
        <w:footnoteRef/>
      </w:r>
      <w:r>
        <w:rPr/>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371">
    <w:p>
      <w:pPr>
        <w:pStyle w:val="Funote"/>
        <w:rPr/>
      </w:pPr>
      <w:r>
        <w:rPr>
          <w:rStyle w:val="Funotenzeichen"/>
        </w:rPr>
        <w:footnoteRef/>
      </w:r>
      <w:r>
        <w:rPr>
          <w:rtl w:val="true"/>
          <w:lang w:bidi="he-IL"/>
        </w:rPr>
        <w:tab/>
        <w:t>אֶל</w:t>
      </w:r>
      <w:r>
        <w:rPr/>
        <w:t xml:space="preserve"> </w:t>
      </w:r>
      <w:r>
        <w:rPr/>
        <w:t>hat nicht nur direktionale, sondern auch lokale Bedeutung; vgl. z.B. CDCH, S. 18; ad loc. auch Buttenwieser 1938, S. 686; Ehrlich 1905, S. 359; Grünewalder</w:t>
      </w:r>
    </w:p>
  </w:footnote>
  <w:footnote w:id="2372">
    <w:p>
      <w:pPr>
        <w:pStyle w:val="Funote"/>
        <w:rPr/>
      </w:pPr>
      <w:r>
        <w:rPr>
          <w:rStyle w:val="Funotenzeichen"/>
        </w:rPr>
        <w:footnoteRef/>
      </w:r>
      <w:r>
        <w:rPr/>
        <w:tab/>
        <w:t>Besonders im Kontext von Aussagen über JHWH steht sein „Name“ meist metonymisch für JHWH selbst; man bezeichnet so JHWH „im Menschenmund“.</w:t>
      </w:r>
    </w:p>
  </w:footnote>
  <w:footnote w:id="2373">
    <w:p>
      <w:pPr>
        <w:pStyle w:val="Funote"/>
        <w:rPr/>
      </w:pPr>
      <w:r>
        <w:rPr>
          <w:rStyle w:val="Funotenzeichen"/>
        </w:rPr>
        <w:footnoteRef/>
      </w:r>
      <w:r>
        <w:rPr/>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374">
    <w:p>
      <w:pPr>
        <w:pStyle w:val="Funote"/>
        <w:rPr/>
      </w:pPr>
      <w:r>
        <w:rPr>
          <w:rStyle w:val="Funotenzeichen"/>
        </w:rPr>
        <w:footnoteRef/>
      </w:r>
      <w:r>
        <w:rPr/>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375">
    <w:p>
      <w:pPr>
        <w:pStyle w:val="Funote"/>
        <w:rPr/>
      </w:pPr>
      <w:r>
        <w:rPr>
          <w:rStyle w:val="Funotenzeichen"/>
        </w:rPr>
        <w:footnoteRef/>
      </w:r>
      <w:r>
        <w:rPr>
          <w:i/>
        </w:rPr>
        <w:tab/>
        <w:t>Als</w:t>
      </w:r>
      <w:r>
        <w:rPr/>
        <w:t xml:space="preserve"> W. eher </w:t>
      </w:r>
      <w:r>
        <w:rPr>
          <w:i/>
        </w:rPr>
        <w:t>An [dem] Tag, [an dem]</w:t>
      </w:r>
      <w:r>
        <w:rPr/>
        <w:t xml:space="preserve">. </w:t>
      </w:r>
      <w:r>
        <w:rPr>
          <w:rtl w:val="true"/>
          <w:lang w:bidi="he-IL"/>
        </w:rPr>
        <w:t>בּיוֹם</w:t>
      </w:r>
      <w:r>
        <w:rPr/>
        <w:t xml:space="preserve"> </w:t>
      </w:r>
      <w:r>
        <w:rPr/>
        <w:t>bezieht sich meist nicht auf einen tatsächlichen „Tag“, sondern fungiert als unbestimmte Zeitangabe.</w:t>
      </w:r>
    </w:p>
  </w:footnote>
  <w:footnote w:id="2376">
    <w:p>
      <w:pPr>
        <w:pStyle w:val="Funote"/>
        <w:rPr/>
      </w:pPr>
      <w:r>
        <w:rPr>
          <w:rStyle w:val="Funotenzeichen"/>
        </w:rPr>
        <w:footnoteRef/>
      </w:r>
      <w:r>
        <w:rPr/>
        <w:tab/>
        <w:t>Wenn von JHWH's „Antworten“ in Folge auf ein „Anrufen“ die Rede ist, hat es fast durchgehend die Bedeutung „erhören“.</w:t>
      </w:r>
    </w:p>
  </w:footnote>
  <w:footnote w:id="2377">
    <w:p>
      <w:pPr>
        <w:pStyle w:val="Funote"/>
        <w:rPr/>
      </w:pPr>
      <w:r>
        <w:rPr>
          <w:rStyle w:val="Funotenzeichen"/>
        </w:rPr>
        <w:footnoteRef/>
      </w:r>
      <w:r>
        <w:rPr/>
        <w:tab/>
        <w:t xml:space="preserve">hast mich ermutigt mit Seelenkraft (hast mir in meiner Seele Kraft gegeben)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378">
    <w:p>
      <w:pPr>
        <w:pStyle w:val="Funote"/>
        <w:rPr/>
      </w:pPr>
      <w:r>
        <w:rPr>
          <w:rStyle w:val="Funotenzeichen"/>
        </w:rPr>
        <w:footnoteRef/>
      </w:r>
      <w:r>
        <w:rPr/>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379">
    <w:p>
      <w:pPr>
        <w:pStyle w:val="Funote"/>
        <w:rPr/>
      </w:pPr>
      <w:r>
        <w:rPr>
          <w:rStyle w:val="Funotenzeichen"/>
        </w:rPr>
        <w:footnoteRef/>
      </w:r>
      <w:r>
        <w:rPr>
          <w:i/>
        </w:rPr>
        <w:tab/>
        <w:t>Walten (Wegen)</w:t>
      </w:r>
      <w:r>
        <w:rPr/>
        <w:t xml:space="preserve"> Dass JHWHs „Wege“ sein herrschendes Walten bezeichnen, geht nicht nur aus ähnlichen Formulierungen im AT hervor. Dahood (1970, 278) sieht diese Deutung auch aus ugaritischen Texten (einer dem Hebräischen verwandten Sprache) bestätigt, dort im Zusammenhang mit Königen. </w:t>
      </w:r>
    </w:p>
  </w:footnote>
  <w:footnote w:id="2380">
    <w:p>
      <w:pPr>
        <w:pStyle w:val="Funote"/>
        <w:rPr/>
      </w:pPr>
      <w:r>
        <w:rPr>
          <w:rStyle w:val="Funotenzeichen"/>
        </w:rPr>
        <w:footnoteRef/>
      </w:r>
      <w:r>
        <w:rPr/>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381">
    <w:p>
      <w:pPr>
        <w:pStyle w:val="Funote"/>
        <w:rPr/>
      </w:pPr>
      <w:r>
        <w:rPr>
          <w:rStyle w:val="Funotenzeichen"/>
        </w:rPr>
        <w:footnoteRef/>
      </w:r>
      <w:r>
        <w:rPr>
          <w:i/>
        </w:rPr>
        <w:tab/>
        <w:t>Waw apodoseos</w:t>
      </w:r>
      <w:r>
        <w:rPr/>
        <w:t xml:space="preserve">, es dient nur dazu, den Hauptsatz nach einem Vordersatz zu markieren und muss im Deutschen gestrichen werden; vgl. vgl. Lexikon / </w:t>
      </w:r>
      <w:hyperlink r:id="rId198">
        <w:r>
          <w:rPr>
            <w:rStyle w:val="Internetverknpfung"/>
          </w:rPr>
          <w:t xml:space="preserve">Lemma </w:t>
        </w:r>
        <w:r>
          <w:rPr>
            <w:rStyle w:val="Internetverknpfung"/>
            <w:rtl w:val="true"/>
            <w:lang w:bidi="he-IL"/>
          </w:rPr>
          <w:t>וְ</w:t>
        </w:r>
      </w:hyperlink>
      <w:r>
        <w:rPr/>
        <w:t>.</w:t>
      </w:r>
    </w:p>
  </w:footnote>
  <w:footnote w:id="2382">
    <w:p>
      <w:pPr>
        <w:pStyle w:val="Funote"/>
        <w:rPr/>
      </w:pPr>
      <w:r>
        <w:rPr>
          <w:rStyle w:val="Funotenzeichen"/>
        </w:rPr>
        <w:footnoteRef/>
      </w:r>
      <w:r>
        <w:rPr/>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383">
    <w:p>
      <w:pPr>
        <w:pStyle w:val="Funote"/>
        <w:rPr/>
      </w:pPr>
      <w:r>
        <w:rPr>
          <w:rStyle w:val="Funotenzeichen"/>
        </w:rPr>
        <w:footnoteRef/>
      </w:r>
      <w:r>
        <w:rPr/>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384">
    <w:p>
      <w:pPr>
        <w:pStyle w:val="Funote"/>
        <w:rPr/>
      </w:pPr>
      <w:r>
        <w:rPr>
          <w:rStyle w:val="Funotenzeichen"/>
        </w:rPr>
        <w:footnoteRef/>
      </w:r>
      <w:r>
        <w:rPr/>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385">
    <w:p>
      <w:pPr>
        <w:pStyle w:val="Funote"/>
        <w:rPr/>
      </w:pPr>
      <w:r>
        <w:rPr>
          <w:rStyle w:val="Funotenzeichen"/>
        </w:rPr>
        <w:footnoteRef/>
      </w:r>
      <w:r>
        <w:rPr/>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386">
    <w:p>
      <w:pPr>
        <w:pStyle w:val="Funote"/>
        <w:rPr/>
      </w:pPr>
      <w:r>
        <w:rPr>
          <w:rStyle w:val="Funotenzeichen"/>
        </w:rPr>
        <w:footnoteRef/>
      </w:r>
      <w:r>
        <w:rPr/>
        <w:tab/>
        <w:t>meine Sache führen Nach Hossfeld 2008, 704. es für mich vollbringen nach SLT, mich rächen nach NET/HALAT. Dahood 1970, 282 punktiert das etwas um und übersetzt „möge mich rächen, solange ich lebe“.</w:t>
      </w:r>
    </w:p>
  </w:footnote>
  <w:footnote w:id="2387">
    <w:p>
      <w:pPr>
        <w:pStyle w:val="Funote"/>
        <w:rPr/>
      </w:pPr>
      <w:r>
        <w:rPr>
          <w:rStyle w:val="Funotenzeichen"/>
        </w:rPr>
        <w:footnoteRef/>
      </w:r>
      <w:r>
        <w:rPr/>
        <w:tab/>
        <w:t>Gib niemals auf Hossfeld 2008, 704: lass nicht ab. SLT: Lass niemals im Stich. An dieser Stelle wäre statt der modal-imperativischen Deutung des Yiqtol auch die futurische Übersetzung du wirst niemals aufgeben sehr gut denkbar.</w:t>
      </w:r>
    </w:p>
  </w:footnote>
  <w:footnote w:id="2388">
    <w:p>
      <w:pPr>
        <w:pStyle w:val="Funote"/>
        <w:rPr/>
      </w:pPr>
      <w:r>
        <w:rPr>
          <w:rStyle w:val="Funotenzeichen"/>
        </w:rPr>
        <w:footnoteRef/>
      </w:r>
      <w:r>
        <w:rPr/>
        <w:tab/>
        <w:t>[Status: Ungeprüft]</w:t>
      </w:r>
    </w:p>
  </w:footnote>
  <w:footnote w:id="2389">
    <w:p>
      <w:pPr>
        <w:pStyle w:val="Funote"/>
        <w:rPr/>
      </w:pPr>
      <w:r>
        <w:rPr>
          <w:rStyle w:val="Funotenzeichen"/>
        </w:rPr>
        <w:footnoteRef/>
      </w:r>
      <w:r>
        <w:rPr/>
        <w:tab/>
        <w:t>[Status: Ungeprüft]</w:t>
      </w:r>
    </w:p>
  </w:footnote>
  <w:footnote w:id="2390">
    <w:p>
      <w:pPr>
        <w:pStyle w:val="Funote"/>
        <w:rPr/>
      </w:pPr>
      <w:r>
        <w:rPr>
          <w:rStyle w:val="Funotenzeichen"/>
        </w:rPr>
        <w:footnoteRef/>
      </w:r>
      <w:r>
        <w:rPr/>
        <w:tab/>
        <w:t>[Status: Zuverlässig]</w:t>
      </w:r>
    </w:p>
  </w:footnote>
  <w:footnote w:id="2391">
    <w:p>
      <w:pPr>
        <w:pStyle w:val="Funote"/>
        <w:rPr/>
      </w:pPr>
      <w:r>
        <w:rPr>
          <w:rStyle w:val="Funotenzeichen"/>
        </w:rPr>
        <w:footnoteRef/>
      </w:r>
      <w:r>
        <w:rPr/>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392">
    <w:p>
      <w:pPr>
        <w:pStyle w:val="Funote"/>
        <w:rPr/>
      </w:pPr>
      <w:r>
        <w:rPr>
          <w:rStyle w:val="Funotenzeichen"/>
        </w:rPr>
        <w:footnoteRef/>
      </w:r>
      <w:r>
        <w:rPr>
          <w:rtl w:val="true"/>
          <w:lang w:bidi="he-IL"/>
        </w:rPr>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393">
    <w:p>
      <w:pPr>
        <w:pStyle w:val="Funote"/>
        <w:rPr/>
      </w:pPr>
      <w:r>
        <w:rPr>
          <w:rStyle w:val="Funotenzeichen"/>
        </w:rPr>
        <w:footnoteRef/>
      </w:r>
      <w:r>
        <w:rPr/>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394">
    <w:p>
      <w:pPr>
        <w:pStyle w:val="Funote"/>
        <w:rPr/>
      </w:pPr>
      <w:r>
        <w:rPr>
          <w:rStyle w:val="Funotenzeichen"/>
        </w:rPr>
        <w:footnoteRef/>
      </w:r>
      <w:r>
        <w:rPr/>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395">
    <w:p>
      <w:pPr>
        <w:pStyle w:val="Funote"/>
        <w:rPr/>
      </w:pPr>
      <w:r>
        <w:rPr>
          <w:rStyle w:val="Funotenzeichen"/>
        </w:rPr>
        <w:footnoteRef/>
      </w:r>
      <w:r>
        <w:rPr/>
        <w:tab/>
        <w:t xml:space="preserve">Der „Name Gottes“ steht in der Bibel fast stets metonymisch für Gott selbst; man bezeichnet damit „Gott im Menschenmund“. Übersetze daher: „Sie sollen </w:t>
      </w:r>
      <w:r>
        <w:rPr>
          <w:i/>
        </w:rPr>
        <w:t>ihn</w:t>
      </w:r>
      <w:r>
        <w:rPr/>
        <w:t xml:space="preserve"> preisen“.</w:t>
      </w:r>
    </w:p>
  </w:footnote>
  <w:footnote w:id="2396">
    <w:p>
      <w:pPr>
        <w:pStyle w:val="Funote"/>
        <w:rPr/>
      </w:pPr>
      <w:r>
        <w:rPr>
          <w:rStyle w:val="Funotenzeichen"/>
        </w:rPr>
        <w:footnoteRef/>
      </w:r>
      <w:r>
        <w:rPr/>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397">
    <w:p>
      <w:pPr>
        <w:pStyle w:val="Funote"/>
        <w:rPr/>
      </w:pPr>
      <w:r>
        <w:rPr>
          <w:rStyle w:val="Funotenzeichen"/>
        </w:rPr>
        <w:footnoteRef/>
      </w:r>
      <w:r>
        <w:rPr/>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398">
    <w:p>
      <w:pPr>
        <w:pStyle w:val="Funote"/>
        <w:rPr/>
      </w:pPr>
      <w:r>
        <w:rPr>
          <w:rStyle w:val="Funotenzeichen"/>
        </w:rPr>
        <w:footnoteRef/>
      </w:r>
      <w:r>
        <w:rPr/>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399">
    <w:p>
      <w:pPr>
        <w:pStyle w:val="Funote"/>
        <w:rPr/>
      </w:pPr>
      <w:r>
        <w:rPr>
          <w:rStyle w:val="Funotenzeichen"/>
        </w:rPr>
        <w:footnoteRef/>
      </w:r>
      <w:r>
        <w:rPr/>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400">
    <w:p>
      <w:pPr>
        <w:pStyle w:val="Funote"/>
        <w:rPr/>
      </w:pPr>
      <w:r>
        <w:rPr>
          <w:rStyle w:val="Funotenzeichen"/>
        </w:rPr>
        <w:footnoteRef/>
      </w:r>
      <w:r>
        <w:rPr/>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401">
    <w:p>
      <w:pPr>
        <w:pStyle w:val="Funote"/>
        <w:rPr/>
      </w:pPr>
      <w:r>
        <w:rPr>
          <w:rStyle w:val="Funotenzeichen"/>
        </w:rPr>
        <w:footnoteRef/>
      </w:r>
      <w:r>
        <w:rPr/>
        <w:tab/>
        <w:t xml:space="preserve">[seinem] evt. als double duty-Suffix (-&gt; Brachylogie) von </w:t>
      </w:r>
      <w:r>
        <w:rPr>
          <w:rtl w:val="true"/>
          <w:lang w:bidi="he-IL"/>
        </w:rPr>
        <w:t>בְעַמוֹ</w:t>
      </w:r>
      <w:r>
        <w:rPr/>
        <w:t xml:space="preserve"> </w:t>
      </w:r>
      <w:r>
        <w:rPr/>
        <w:t>zu ergänzen; vgl. FN t.</w:t>
      </w:r>
    </w:p>
  </w:footnote>
  <w:footnote w:id="2402">
    <w:p>
      <w:pPr>
        <w:pStyle w:val="Funote"/>
        <w:rPr/>
      </w:pPr>
      <w:r>
        <w:rPr>
          <w:rStyle w:val="Funotenzeichen"/>
        </w:rPr>
        <w:footnoteRef/>
      </w:r>
      <w:r>
        <w:rPr/>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403">
    <w:p>
      <w:pPr>
        <w:pStyle w:val="Funote"/>
        <w:rPr/>
      </w:pPr>
      <w:r>
        <w:rPr>
          <w:rStyle w:val="Funotenzeichen"/>
        </w:rPr>
        <w:footnoteRef/>
      </w:r>
      <w:r>
        <w:rPr/>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404">
    <w:p>
      <w:pPr>
        <w:pStyle w:val="Funote"/>
        <w:rPr/>
      </w:pPr>
      <w:r>
        <w:rPr>
          <w:rStyle w:val="Funotenzeichen"/>
        </w:rPr>
        <w:footnoteRef/>
      </w:r>
      <w:r>
        <w:rPr/>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405">
    <w:p>
      <w:pPr>
        <w:pStyle w:val="Funote"/>
        <w:rPr/>
      </w:pPr>
      <w:r>
        <w:rPr>
          <w:rStyle w:val="Funotenzeichen"/>
        </w:rPr>
        <w:footnoteRef/>
      </w:r>
      <w:r>
        <w:rPr/>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406">
    <w:p>
      <w:pPr>
        <w:pStyle w:val="Funote"/>
        <w:rPr/>
      </w:pPr>
      <w:r>
        <w:rPr>
          <w:rStyle w:val="Funotenzeichen"/>
        </w:rPr>
        <w:footnoteRef/>
      </w:r>
      <w:r>
        <w:rPr/>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407">
    <w:p>
      <w:pPr>
        <w:pStyle w:val="Funote"/>
        <w:rPr/>
      </w:pPr>
      <w:r>
        <w:rPr>
          <w:rStyle w:val="Funotenzeichen"/>
        </w:rPr>
        <w:footnoteRef/>
      </w:r>
      <w:r>
        <w:rPr/>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408">
    <w:p>
      <w:pPr>
        <w:pStyle w:val="Funote"/>
        <w:rPr/>
      </w:pPr>
      <w:r>
        <w:rPr>
          <w:rStyle w:val="Funotenzeichen"/>
        </w:rPr>
        <w:footnoteRef/>
      </w:r>
      <w:r>
        <w:rPr/>
        <w:tab/>
        <w:t>Übersetzungsalternativen nach Hossfeld/Zenger 2008, S. 857.</w:t>
      </w:r>
    </w:p>
  </w:footnote>
  <w:footnote w:id="2409">
    <w:p>
      <w:pPr>
        <w:pStyle w:val="Funote"/>
        <w:rPr/>
      </w:pPr>
      <w:r>
        <w:rPr>
          <w:rStyle w:val="Funotenzeichen"/>
        </w:rPr>
        <w:footnoteRef/>
      </w:r>
      <w:r>
        <w:rPr/>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410">
    <w:p>
      <w:pPr>
        <w:pStyle w:val="Funote"/>
        <w:rPr/>
      </w:pPr>
      <w:r>
        <w:rPr>
          <w:rStyle w:val="Funotenzeichen"/>
        </w:rPr>
        <w:footnoteRef/>
      </w:r>
      <w:r>
        <w:rPr/>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411">
    <w:p>
      <w:pPr>
        <w:pStyle w:val="Funote"/>
        <w:rPr/>
      </w:pPr>
      <w:r>
        <w:rPr>
          <w:rStyle w:val="Funotenzeichen"/>
        </w:rPr>
        <w:footnoteRef/>
      </w:r>
      <w:r>
        <w:rPr/>
        <w:tab/>
        <w:t>Die Fähigkeit, die Dinge richtig zu beurteilen und die richtigen Mittel zu finden, Bsp.: König Salomo</w:t>
      </w:r>
    </w:p>
  </w:footnote>
  <w:footnote w:id="2412">
    <w:p>
      <w:pPr>
        <w:pStyle w:val="Funote"/>
        <w:rPr/>
      </w:pPr>
      <w:r>
        <w:rPr>
          <w:rStyle w:val="Funotenzeichen"/>
        </w:rPr>
        <w:footnoteRef/>
      </w:r>
      <w:r>
        <w:rPr/>
        <w:tab/>
        <w:t xml:space="preserve">Nicht das Organ, sondern der Sitz des Denkvermögens und des Ich, parallel zu </w:t>
      </w:r>
      <w:r>
        <w:rPr>
          <w:rtl w:val="true"/>
          <w:lang w:bidi="he-IL"/>
        </w:rPr>
        <w:t>נֶפֶשׁ</w:t>
      </w:r>
      <w:r>
        <w:rPr/>
        <w:t xml:space="preserve"> </w:t>
      </w:r>
      <w:r>
        <w:rPr/>
        <w:t>im ersten Halbvers</w:t>
      </w:r>
    </w:p>
  </w:footnote>
  <w:footnote w:id="2413">
    <w:p>
      <w:pPr>
        <w:pStyle w:val="Funote"/>
        <w:rPr/>
      </w:pPr>
      <w:r>
        <w:rPr>
          <w:rStyle w:val="Funotenzeichen"/>
        </w:rPr>
        <w:footnoteRef/>
      </w:r>
      <w:r>
        <w:rPr/>
        <w:tab/>
        <w:t>Z.B. die Erkenntnis von Gut und Böse, Gen 2,9.17, auch die Kenntnis, die z.B. ein Künstler besitzt</w:t>
      </w:r>
    </w:p>
  </w:footnote>
  <w:footnote w:id="2414">
    <w:p>
      <w:pPr>
        <w:pStyle w:val="Funote"/>
        <w:rPr/>
      </w:pPr>
      <w:r>
        <w:rPr>
          <w:rStyle w:val="Funotenzeichen"/>
        </w:rPr>
        <w:footnoteRef/>
      </w:r>
      <w:r>
        <w:rPr/>
        <w:tab/>
        <w:t>[Status: Ungeprüft]</w:t>
      </w:r>
    </w:p>
  </w:footnote>
  <w:footnote w:id="2415">
    <w:p>
      <w:pPr>
        <w:pStyle w:val="Funote"/>
        <w:rPr/>
      </w:pPr>
      <w:r>
        <w:rPr>
          <w:rStyle w:val="Funotenzeichen"/>
        </w:rPr>
        <w:footnoteRef/>
      </w:r>
      <w:r>
        <w:rPr/>
        <w:tab/>
        <w:t>[Status: Ungeprüft]</w:t>
      </w:r>
    </w:p>
  </w:footnote>
  <w:footnote w:id="2416">
    <w:p>
      <w:pPr>
        <w:pStyle w:val="Funote"/>
        <w:rPr/>
      </w:pPr>
      <w:r>
        <w:rPr>
          <w:rStyle w:val="Funotenzeichen"/>
        </w:rPr>
        <w:footnoteRef/>
      </w:r>
      <w:r>
        <w:rPr/>
        <w:tab/>
        <w:t>Vgl. 1,3</w:t>
      </w:r>
    </w:p>
  </w:footnote>
  <w:footnote w:id="2417">
    <w:p>
      <w:pPr>
        <w:pStyle w:val="Funote"/>
        <w:rPr/>
      </w:pPr>
      <w:r>
        <w:rPr>
          <w:rStyle w:val="Funotenzeichen"/>
        </w:rPr>
        <w:footnoteRef/>
      </w:r>
      <w:r>
        <w:rPr/>
        <w:tab/>
        <w:t>[Status: Ungeprüft]</w:t>
      </w:r>
    </w:p>
  </w:footnote>
  <w:footnote w:id="2418">
    <w:p>
      <w:pPr>
        <w:pStyle w:val="Funote"/>
        <w:rPr/>
      </w:pPr>
      <w:r>
        <w:rPr>
          <w:rStyle w:val="Funotenzeichen"/>
        </w:rPr>
        <w:footnoteRef/>
      </w:r>
      <w:r>
        <w:rPr/>
        <w:tab/>
        <w:t>[Status: Ungeprüft]</w:t>
      </w:r>
    </w:p>
  </w:footnote>
  <w:footnote w:id="2419">
    <w:p>
      <w:pPr>
        <w:pStyle w:val="Funote"/>
        <w:rPr/>
      </w:pPr>
      <w:r>
        <w:rPr>
          <w:rStyle w:val="Funotenzeichen"/>
        </w:rPr>
        <w:footnoteRef/>
      </w:r>
      <w:r>
        <w:rPr/>
        <w:tab/>
        <w:t>[Status: Ungeprüft]</w:t>
      </w:r>
    </w:p>
  </w:footnote>
  <w:footnote w:id="2420">
    <w:p>
      <w:pPr>
        <w:pStyle w:val="Funote"/>
        <w:rPr/>
      </w:pPr>
      <w:r>
        <w:rPr>
          <w:rStyle w:val="Funotenzeichen"/>
        </w:rPr>
        <w:footnoteRef/>
      </w:r>
      <w:r>
        <w:rPr/>
        <w:tab/>
        <w:t>jussiv</w:t>
      </w:r>
    </w:p>
  </w:footnote>
  <w:footnote w:id="2421">
    <w:p>
      <w:pPr>
        <w:pStyle w:val="Funote"/>
        <w:rPr/>
      </w:pPr>
      <w:r>
        <w:rPr>
          <w:rStyle w:val="Funotenzeichen"/>
        </w:rPr>
        <w:footnoteRef/>
      </w:r>
      <w:r>
        <w:rPr/>
        <w:tab/>
        <w:t>[Status: Ungeprüft]</w:t>
      </w:r>
    </w:p>
  </w:footnote>
  <w:footnote w:id="2422">
    <w:p>
      <w:pPr>
        <w:pStyle w:val="Funote"/>
        <w:rPr/>
      </w:pPr>
      <w:r>
        <w:rPr>
          <w:rStyle w:val="Funotenzeichen"/>
        </w:rPr>
        <w:footnoteRef/>
      </w:r>
      <w:r>
        <w:rPr/>
        <w:tab/>
        <w:t>[Status: Ungeprüft]</w:t>
      </w:r>
    </w:p>
  </w:footnote>
  <w:footnote w:id="2423">
    <w:p>
      <w:pPr>
        <w:pStyle w:val="Funote"/>
        <w:rPr/>
      </w:pPr>
      <w:r>
        <w:rPr>
          <w:rStyle w:val="Funotenzeichen"/>
        </w:rPr>
        <w:footnoteRef/>
      </w:r>
      <w:r>
        <w:rPr/>
        <w:tab/>
        <w:t>[Status: Ungeprüft]</w:t>
      </w:r>
    </w:p>
  </w:footnote>
  <w:footnote w:id="2424">
    <w:p>
      <w:pPr>
        <w:pStyle w:val="Funote"/>
        <w:rPr/>
      </w:pPr>
      <w:r>
        <w:rPr>
          <w:rStyle w:val="Funotenzeichen"/>
        </w:rPr>
        <w:footnoteRef/>
      </w:r>
      <w:r>
        <w:rPr/>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425">
    <w:p>
      <w:pPr>
        <w:pStyle w:val="Funote"/>
        <w:rPr/>
      </w:pPr>
      <w:r>
        <w:rPr>
          <w:rStyle w:val="Funotenzeichen"/>
        </w:rPr>
        <w:footnoteRef/>
      </w:r>
      <w:r>
        <w:rPr/>
        <w:tab/>
        <w:t>[Assonanzen - Verwendung von Wörtern, die ähnliche Laute enthalten; vgl. dazu kürzlich sehr gut Noegel/Rendsburg 2009, S. 63-127.]</w:t>
      </w:r>
    </w:p>
  </w:footnote>
  <w:footnote w:id="2426">
    <w:p>
      <w:pPr>
        <w:pStyle w:val="Funote"/>
        <w:rPr/>
      </w:pPr>
      <w:r>
        <w:rPr>
          <w:rStyle w:val="Funotenzeichen"/>
        </w:rPr>
        <w:footnoteRef/>
      </w:r>
      <w:r>
        <w:rPr/>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427">
    <w:p>
      <w:pPr>
        <w:pStyle w:val="Funote"/>
        <w:rPr/>
      </w:pPr>
      <w:r>
        <w:rPr>
          <w:rStyle w:val="Funotenzeichen"/>
        </w:rPr>
        <w:footnoteRef/>
      </w:r>
      <w:r>
        <w:rPr/>
        <w:tab/>
        <w:t>[Zwei weitere Beispiele: Im Papyrus Oxyrhynchus XV nr. 1800 heißt es von Sappho: „Von Aussehen scheint sie höchst unansehnlich gewesen zu sein und sehr häßlich, denn ihr Gesicht war von dunkler Farbe, die Gestalt sehr klein.“ (Üs.: Treu). Und Gerhards zitiert gut auch Theokrits zehnte Idylle: „Anmutige Bombayka, ‚Syrerin‘ nennen dich alle, / verdorrt, sonnenverbrannt, ich allein aber [nenne dich] honiggelb. / Auch das Veilchen ist schwarz und die beschriebene Hyazinthe, / aber dennoch hält man sie in den Kränzen für die besten [Blumen].“ (Üs.: Gerhards 2010, S. 213)]</w:t>
      </w:r>
    </w:p>
  </w:footnote>
  <w:footnote w:id="2428">
    <w:p>
      <w:pPr>
        <w:pStyle w:val="Funote"/>
        <w:rPr/>
      </w:pPr>
      <w:r>
        <w:rPr>
          <w:rStyle w:val="Funotenzeichen"/>
        </w:rPr>
        <w:footnoteRef/>
      </w:r>
      <w:r>
        <w:rPr/>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429">
    <w:p>
      <w:pPr>
        <w:pStyle w:val="Funote"/>
        <w:rPr/>
      </w:pPr>
      <w:r>
        <w:rPr>
          <w:rStyle w:val="Funotenzeichen"/>
        </w:rPr>
        <w:footnoteRef/>
      </w:r>
      <w:r>
        <w:rPr/>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430">
    <w:p>
      <w:pPr>
        <w:pStyle w:val="Funote"/>
        <w:rPr/>
      </w:pPr>
      <w:r>
        <w:rPr>
          <w:rStyle w:val="Funotenzeichen"/>
        </w:rPr>
        <w:footnoteRef/>
      </w:r>
      <w:r>
        <w:rPr/>
        <w:tab/>
        <w:t>[Status: Ungeprüft]</w:t>
      </w:r>
    </w:p>
  </w:footnote>
  <w:footnote w:id="2431">
    <w:p>
      <w:pPr>
        <w:pStyle w:val="Funote"/>
        <w:rPr/>
      </w:pPr>
      <w:r>
        <w:rPr>
          <w:rStyle w:val="Funotenzeichen"/>
        </w:rPr>
        <w:footnoteRef/>
      </w:r>
      <w:r>
        <w:rPr>
          <w:i/>
        </w:rPr>
        <w:tab/>
        <w:t>Lied der Lieder</w:t>
      </w:r>
      <w:r>
        <w:rPr/>
        <w:t xml:space="preserve"> - Eine der Weisen, im Heb. einen Superlativ zu bilden: „Das schönste Lied“.</w:t>
      </w:r>
    </w:p>
  </w:footnote>
  <w:footnote w:id="2432">
    <w:p>
      <w:pPr>
        <w:pStyle w:val="Funote"/>
        <w:rPr/>
      </w:pPr>
      <w:r>
        <w:rPr>
          <w:rStyle w:val="Funotenzeichen"/>
        </w:rPr>
        <w:footnoteRef/>
      </w:r>
      <w:r>
        <w:rPr/>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433">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34">
    <w:p>
      <w:pPr>
        <w:pStyle w:val="Funote"/>
        <w:rPr/>
      </w:pPr>
      <w:r>
        <w:rPr>
          <w:rStyle w:val="Funotenzeichen"/>
        </w:rPr>
        <w:footnoteRef/>
      </w:r>
      <w:r>
        <w:rPr/>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435">
    <w:p>
      <w:pPr>
        <w:pStyle w:val="Funote"/>
        <w:rPr/>
      </w:pPr>
      <w:r>
        <w:rPr>
          <w:rStyle w:val="Funotenzeichen"/>
        </w:rPr>
        <w:footnoteRef/>
      </w:r>
      <w:r>
        <w:rPr/>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436">
    <w:p>
      <w:pPr>
        <w:pStyle w:val="Funote"/>
        <w:rPr/>
      </w:pPr>
      <w:r>
        <w:rPr>
          <w:rStyle w:val="Funotenzeichen"/>
        </w:rPr>
        <w:footnoteRef/>
      </w:r>
      <w:r>
        <w:rPr/>
        <w:tab/>
        <w:t>Liebkosungen - Eher nicht: »Liebe« (so viele Üss.); dod meint md. im Hohelied recht eindeutig sexuelle Handlungen (vgl. z.B. Bloch/Bloch 1995, S. 3.137).</w:t>
      </w:r>
    </w:p>
  </w:footnote>
  <w:footnote w:id="2437">
    <w:p>
      <w:pPr>
        <w:pStyle w:val="Funote"/>
        <w:rPr/>
      </w:pPr>
      <w:r>
        <w:rPr>
          <w:rStyle w:val="Funotenzeichen"/>
        </w:rPr>
        <w:footnoteRef/>
      </w:r>
      <w:r>
        <w:rPr/>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438">
    <w:p>
      <w:pPr>
        <w:pStyle w:val="Funote"/>
        <w:rPr/>
      </w:pPr>
      <w:r>
        <w:rPr>
          <w:rStyle w:val="Funotenzeichen"/>
        </w:rPr>
        <w:footnoteRef/>
      </w:r>
      <w:r>
        <w:rPr>
          <w:i/>
        </w:rPr>
        <w:tab/>
        <w:t>Wein</w:t>
      </w:r>
      <w:r>
        <w:rPr/>
        <w:t xml:space="preserve"> ist hier ein Symbol für das sehr Gute, das nur durch die „Liebkosungen“ des Geliebten noch übertroffen wird. Zu V. 2 s. ganz ähnlich </w:t>
      </w:r>
      <w:hyperlink r:id="rId199">
        <w:r>
          <w:rPr>
            <w:rStyle w:val="Internetverknpfung"/>
          </w:rPr>
          <w:t>Sir 40,20</w:t>
        </w:r>
      </w:hyperlink>
      <w:r>
        <w:rPr/>
        <w:t>. V. 4 meint dann etwas wie „Mehr preisen, als wir Wein preisen würden“, nämlich eben, nachdem der Angebetete ihnen Grund zu diesem Preis gegeben hat.</w:t>
      </w:r>
    </w:p>
  </w:footnote>
  <w:footnote w:id="2439">
    <w:p>
      <w:pPr>
        <w:pStyle w:val="Funote"/>
        <w:rPr/>
      </w:pPr>
      <w:r>
        <w:rPr>
          <w:rStyle w:val="Funotenzeichen"/>
        </w:rPr>
        <w:footnoteRef/>
      </w:r>
      <w:r>
        <w:rPr>
          <w:i/>
        </w:rPr>
        <w:tab/>
        <w:t>Öle</w:t>
      </w:r>
      <w:r>
        <w:rPr/>
        <w:t xml:space="preserve"> - das altisraelitische Pendant zu Parfumen.</w:t>
      </w:r>
    </w:p>
  </w:footnote>
  <w:footnote w:id="2440">
    <w:p>
      <w:pPr>
        <w:pStyle w:val="Funote"/>
        <w:rPr/>
      </w:pPr>
      <w:r>
        <w:rPr>
          <w:rStyle w:val="Funotenzeichen"/>
        </w:rPr>
        <w:footnoteRef/>
      </w:r>
      <w:r>
        <w:rPr/>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441">
    <w:p>
      <w:pPr>
        <w:pStyle w:val="Funote"/>
        <w:rPr/>
      </w:pPr>
      <w:r>
        <w:rPr>
          <w:rStyle w:val="Funotenzeichen"/>
        </w:rPr>
        <w:footnoteRef/>
      </w:r>
      <w:r>
        <w:rPr>
          <w:i/>
        </w:rPr>
        <w:tab/>
        <w:t>dein Name</w:t>
      </w:r>
      <w:r>
        <w:rPr/>
        <w:t xml:space="preserve"> - häufiger Wechselbegriff für „du selbst“: Der Geliebte selbst ist „Mr. Parfum“, „Mr. Wohlgeruch“. Im MT wird diese Gleichsetzung unterstrichen durch den Gleichklang von „deine Öle“ und „dein Name“: </w:t>
      </w:r>
      <w:r>
        <w:rPr>
          <w:i/>
        </w:rPr>
        <w:t>sch</w:t>
      </w:r>
      <w:r>
        <w:rPr>
          <w:i/>
          <w:position w:val="7"/>
          <w:sz w:val="16"/>
        </w:rPr>
        <w:t>e</w:t>
      </w:r>
      <w:r>
        <w:rPr>
          <w:i/>
        </w:rPr>
        <w:t>maneka</w:t>
      </w:r>
      <w:r>
        <w:rPr/>
        <w:t xml:space="preserve"> - </w:t>
      </w:r>
      <w:r>
        <w:rPr>
          <w:i/>
        </w:rPr>
        <w:t>sch</w:t>
      </w:r>
      <w:r>
        <w:rPr>
          <w:i/>
          <w:position w:val="7"/>
          <w:sz w:val="16"/>
        </w:rPr>
        <w:t>e</w:t>
      </w:r>
      <w:r>
        <w:rPr>
          <w:i/>
        </w:rPr>
        <w:t>meka</w:t>
      </w:r>
      <w:r>
        <w:rPr/>
        <w:t>.</w:t>
        <w:br/>
        <w:t>Ein Nebeneffekt der Formulierung mit „dein Name“ ist, dass in diesen ohnehin schon sehr sinnlichen Versen auch noch eine Synästhesie zu finden ist: „dein Name (akustisch) ist ausgegossenes Öl (olfaktorisch + visuell).“</w:t>
      </w:r>
    </w:p>
  </w:footnote>
  <w:footnote w:id="2442">
    <w:p>
      <w:pPr>
        <w:pStyle w:val="Funote"/>
        <w:rPr/>
      </w:pPr>
      <w:r>
        <w:rPr>
          <w:rStyle w:val="Funotenzeichen"/>
        </w:rPr>
        <w:footnoteRef/>
      </w:r>
      <w:r>
        <w:rPr/>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443">
    <w:p>
      <w:pPr>
        <w:pStyle w:val="Funote"/>
        <w:rPr/>
      </w:pPr>
      <w:r>
        <w:rPr>
          <w:rStyle w:val="Funotenzeichen"/>
        </w:rPr>
        <w:footnoteRef/>
      </w:r>
      <w:r>
        <w:rPr/>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444">
    <w:p>
      <w:pPr>
        <w:pStyle w:val="Funote"/>
        <w:rPr/>
      </w:pPr>
      <w:r>
        <w:rPr>
          <w:rStyle w:val="Funotenzeichen"/>
        </w:rPr>
        <w:footnoteRef/>
      </w:r>
      <w:r>
        <w:rPr/>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445">
    <w:p>
      <w:pPr>
        <w:pStyle w:val="Funote"/>
        <w:rPr/>
      </w:pPr>
      <w:r>
        <w:rPr>
          <w:rStyle w:val="Funotenzeichen"/>
        </w:rPr>
        <w:footnoteRef/>
      </w:r>
      <w:r>
        <w:rPr/>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446">
    <w:p>
      <w:pPr>
        <w:pStyle w:val="Funote"/>
        <w:rPr/>
      </w:pPr>
      <w:r>
        <w:rPr>
          <w:rStyle w:val="Funotenzeichen"/>
        </w:rPr>
        <w:footnoteRef/>
      </w:r>
      <w:r>
        <w:rPr>
          <w:i/>
        </w:rPr>
        <w:tab/>
        <w:t>Töchter Jerusalems</w:t>
      </w:r>
      <w:r>
        <w:rPr/>
        <w:t xml:space="preserve"> = „Jerusalemerinnen“.</w:t>
      </w:r>
    </w:p>
  </w:footnote>
  <w:footnote w:id="2447">
    <w:p>
      <w:pPr>
        <w:pStyle w:val="Funote"/>
        <w:rPr/>
      </w:pPr>
      <w:r>
        <w:rPr>
          <w:rStyle w:val="Funotenzeichen"/>
        </w:rPr>
        <w:footnoteRef/>
      </w:r>
      <w:r>
        <w:rPr>
          <w:i/>
        </w:rPr>
        <w:tab/>
        <w:t>Kedar</w:t>
      </w:r>
      <w:r>
        <w:rPr/>
        <w:t>: Die Kedarener waren ein in Zelten wohnender Beduinenstamm. Zelte wurden damals aus der Wolle schwarzer Ziegen hergestellt, daher sind die „Zelte Kedars“ ein gutes Symbol für Schwärze.</w:t>
        <w:br/>
        <w:t xml:space="preserve">Wortspiel: Die Konsonanten des Wortes </w:t>
      </w:r>
      <w:r>
        <w:rPr>
          <w:i/>
        </w:rPr>
        <w:t>qedar</w:t>
      </w:r>
      <w:r>
        <w:rPr/>
        <w:t xml:space="preserve"> sind auch die Konsonanten des Wortes </w:t>
      </w:r>
      <w:r>
        <w:rPr>
          <w:i/>
        </w:rPr>
        <w:t>qadar</w:t>
      </w:r>
      <w:r>
        <w:rPr/>
        <w:t xml:space="preserve"> („schwarz werden“).</w:t>
      </w:r>
    </w:p>
  </w:footnote>
  <w:footnote w:id="2448">
    <w:p>
      <w:pPr>
        <w:pStyle w:val="Funote"/>
        <w:rPr/>
      </w:pPr>
      <w:r>
        <w:rPr>
          <w:rStyle w:val="Funotenzeichen"/>
        </w:rPr>
        <w:footnoteRef/>
      </w:r>
      <w:r>
        <w:rPr/>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449">
    <w:p>
      <w:pPr>
        <w:pStyle w:val="Funote"/>
        <w:rPr/>
      </w:pPr>
      <w:r>
        <w:rPr>
          <w:rStyle w:val="Funotenzeichen"/>
        </w:rPr>
        <w:footnoteRef/>
      </w:r>
      <w:r>
        <w:rPr/>
        <w:tab/>
        <w:t>Hyperbaton: = »schwarz wie die Zelte Kedars, schön wie die Zelte Salomos.« (so z.B. Krinetzki 1964, S. 90).</w:t>
      </w:r>
    </w:p>
  </w:footnote>
  <w:footnote w:id="2450">
    <w:p>
      <w:pPr>
        <w:pStyle w:val="Funote"/>
        <w:rPr/>
      </w:pPr>
      <w:r>
        <w:rPr>
          <w:rStyle w:val="Funotenzeichen"/>
        </w:rPr>
        <w:footnoteRef/>
      </w:r>
      <w:r>
        <w:rPr/>
        <w:tab/>
        <w:t>Wollt ihr mich nicht ansehen...!? - Verneinte rhetorische Frage (wie noch häufig) zum Ausdruck einer starken Aufforderung: »Schaut mich an...!« (vgl. Exum 1981, S. 417f.; Gerhards 2000, S. 63-66; Gerhards 2010, S. 208).</w:t>
      </w:r>
    </w:p>
  </w:footnote>
  <w:footnote w:id="2451">
    <w:p>
      <w:pPr>
        <w:pStyle w:val="Funote"/>
        <w:rPr/>
      </w:pPr>
      <w:r>
        <w:rPr>
          <w:rStyle w:val="Funotenzeichen"/>
        </w:rPr>
        <w:footnoteRef/>
      </w:r>
      <w:r>
        <w:rPr/>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452">
    <w:p>
      <w:pPr>
        <w:pStyle w:val="Funote"/>
        <w:rPr/>
      </w:pPr>
      <w:r>
        <w:rPr>
          <w:rStyle w:val="Funotenzeichen"/>
        </w:rPr>
        <w:footnoteRef/>
      </w:r>
      <w:r>
        <w:rPr>
          <w:i/>
        </w:rPr>
        <w:tab/>
        <w:t>Söhne meiner Mutter</w:t>
      </w:r>
      <w:r>
        <w:rPr/>
        <w:t xml:space="preserve"> - d.h. meine Vollbrüder, im Ggs. zu meinen Halbbrüdern, den Söhnen der anderen Frauen meines Vaters. Hier wohl statt „Brüder“ verwendet, weil „Schwester“ im Hld öfter als Kosename für die Geliebte verwendet wird; bei „Brüder“ hätte die Gefahr bestanden, dass man die „Brüder“ als ihre Geliebten missverstehen könnte. S. </w:t>
      </w:r>
      <w:r>
        <w:fldChar w:fldCharType="begin"/>
      </w:r>
      <w:r>
        <w:rPr>
          <w:rStyle w:val="Internetverknpfung"/>
        </w:rPr>
        <w:instrText> HYPERLINK "../../../../../../../../../wiki/Hohelied_8" \l "s1"</w:instrText>
      </w:r>
      <w:r>
        <w:rPr>
          <w:rStyle w:val="Internetverknpfung"/>
        </w:rPr>
        <w:fldChar w:fldCharType="separate"/>
      </w:r>
      <w:r>
        <w:rPr>
          <w:rStyle w:val="Internetverknpfung"/>
        </w:rPr>
        <w:t>Hld 8,1</w:t>
      </w:r>
      <w:r>
        <w:rPr>
          <w:rStyle w:val="Internetverknpfung"/>
        </w:rPr>
        <w:fldChar w:fldCharType="end"/>
      </w:r>
      <w:r>
        <w:rPr/>
        <w:t>, die einzige Stelle im Hld, wo das Wort „Bruder“ fällt: Dort ist es gerade auf den Geliebten bezogen.</w:t>
      </w:r>
    </w:p>
  </w:footnote>
  <w:footnote w:id="2453">
    <w:p>
      <w:pPr>
        <w:pStyle w:val="Funote"/>
        <w:rPr/>
      </w:pPr>
      <w:r>
        <w:rPr>
          <w:rStyle w:val="Funotenzeichen"/>
        </w:rPr>
        <w:footnoteRef/>
      </w:r>
      <w:r>
        <w:rPr>
          <w:i/>
        </w:rPr>
        <w:tab/>
        <w:t>entbrannt</w:t>
      </w:r>
      <w:r>
        <w:rPr/>
        <w:t xml:space="preserve"> - nämlich im Zorn. Wortspiel: Das Wort für „entbrannt“ passt eigentlich besser zur Sonne als zu den Brüdern, denn das ist hier ihre Rolle: Sie hat die Frau „verbrannt“, also „gebräunt“ (vgl. </w:t>
      </w:r>
      <w:hyperlink r:id="rId200">
        <w:r>
          <w:rPr>
            <w:rStyle w:val="Internetverknpfung"/>
          </w:rPr>
          <w:t>Ijob 30,30</w:t>
        </w:r>
      </w:hyperlink>
      <w:r>
        <w:rPr/>
        <w:t>: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454">
    <w:p>
      <w:pPr>
        <w:pStyle w:val="Funote"/>
        <w:rPr/>
      </w:pPr>
      <w:r>
        <w:rPr>
          <w:rStyle w:val="Funotenzeichen"/>
        </w:rPr>
        <w:footnoteRef/>
      </w:r>
      <w:r>
        <w:rPr>
          <w:i/>
        </w:rPr>
        <w:tab/>
        <w:t>den meine Seele liebt</w:t>
      </w:r>
      <w:r>
        <w:rPr/>
        <w:t xml:space="preserve"> - d.h. „den ich liebe“; „meine Seele“ ist im Heb. ein häufiger Wechselbegriff für „ich“.</w:t>
      </w:r>
    </w:p>
  </w:footnote>
  <w:footnote w:id="2455">
    <w:p>
      <w:pPr>
        <w:pStyle w:val="Funote"/>
        <w:rPr/>
      </w:pPr>
      <w:r>
        <w:rPr>
          <w:rStyle w:val="Funotenzeichen"/>
        </w:rPr>
        <w:footnoteRef/>
      </w:r>
      <w:r>
        <w:rPr/>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456">
    <w:p>
      <w:pPr>
        <w:pStyle w:val="Funote"/>
        <w:rPr/>
      </w:pPr>
      <w:r>
        <w:rPr>
          <w:rStyle w:val="Funotenzeichen"/>
        </w:rPr>
        <w:footnoteRef/>
      </w:r>
      <w:r>
        <w:rPr/>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457">
    <w:p>
      <w:pPr>
        <w:pStyle w:val="Funote"/>
        <w:rPr/>
      </w:pPr>
      <w:r>
        <w:rPr>
          <w:rStyle w:val="Funotenzeichen"/>
        </w:rPr>
        <w:footnoteRef/>
      </w:r>
      <w:r>
        <w:rPr/>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458">
    <w:p>
      <w:pPr>
        <w:pStyle w:val="Funote"/>
        <w:rPr/>
      </w:pPr>
      <w:r>
        <w:rPr>
          <w:rStyle w:val="Funotenzeichen"/>
        </w:rPr>
        <w:footnoteRef/>
      </w:r>
      <w:r>
        <w:rPr/>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459">
    <w:p>
      <w:pPr>
        <w:pStyle w:val="Funote"/>
        <w:rPr/>
      </w:pPr>
      <w:r>
        <w:rPr>
          <w:rStyle w:val="Funotenzeichen"/>
        </w:rPr>
        <w:footnoteRef/>
      </w:r>
      <w:r>
        <w:rPr>
          <w:i/>
        </w:rPr>
        <w:tab/>
        <w:t>meine Freundin</w:t>
      </w:r>
      <w:r>
        <w:rPr/>
        <w:t xml:space="preserve"> - Häufige Bezeichnung für die Geliebte im Hld; s. </w:t>
      </w:r>
      <w:r>
        <w:fldChar w:fldCharType="begin"/>
      </w:r>
      <w:r>
        <w:rPr>
          <w:rStyle w:val="Internetverknpfung"/>
        </w:rPr>
        <w:instrText> HYPERLINK "../../../../../../../../../wiki/Hohelied_1" \l "s9"</w:instrText>
      </w:r>
      <w:r>
        <w:rPr>
          <w:rStyle w:val="Internetverknpfung"/>
        </w:rPr>
        <w:fldChar w:fldCharType="separate"/>
      </w:r>
      <w:r>
        <w:rPr>
          <w:rStyle w:val="Internetverknpfung"/>
        </w:rPr>
        <w:t>Hld 1,9</w:t>
      </w:r>
      <w:r>
        <w:rPr>
          <w:rStyle w:val="Internetverknpfung"/>
        </w:rPr>
        <w:fldChar w:fldCharType="end"/>
      </w:r>
      <w:r>
        <w:rPr/>
        <w:t>.</w:t>
      </w:r>
      <w:r>
        <w:fldChar w:fldCharType="begin"/>
      </w:r>
      <w:r>
        <w:rPr>
          <w:rStyle w:val="Internetverknpfung"/>
        </w:rPr>
        <w:instrText> HYPERLINK "../../../../../../../../../wiki/Hohelied_1" \l "s15"</w:instrText>
      </w:r>
      <w:r>
        <w:rPr>
          <w:rStyle w:val="Internetverknpfung"/>
        </w:rPr>
        <w:fldChar w:fldCharType="separate"/>
      </w:r>
      <w:r>
        <w:rPr>
          <w:rStyle w:val="Internetverknpfung"/>
        </w:rPr>
        <w:t>15</w:t>
      </w:r>
      <w:r>
        <w:rPr>
          <w:rStyle w:val="Internetverknpfung"/>
        </w:rPr>
        <w:fldChar w:fldCharType="end"/>
      </w:r>
      <w:r>
        <w:rPr/>
        <w:t xml:space="preserve">; </w:t>
      </w:r>
      <w:r>
        <w:fldChar w:fldCharType="begin"/>
      </w:r>
      <w:r>
        <w:rPr>
          <w:rStyle w:val="Internetverknpfung"/>
        </w:rPr>
        <w:instrText> HYPERLINK "../../../../../../../../../wiki/Hohelied_2" \l "s2"</w:instrText>
      </w:r>
      <w:r>
        <w:rPr>
          <w:rStyle w:val="Internetverknpfung"/>
        </w:rPr>
        <w:fldChar w:fldCharType="separate"/>
      </w:r>
      <w:r>
        <w:rPr>
          <w:rStyle w:val="Internetverknpfung"/>
        </w:rPr>
        <w:t>2,2</w:t>
      </w:r>
      <w:r>
        <w:rPr>
          <w:rStyle w:val="Internetverknpfung"/>
        </w:rPr>
        <w:fldChar w:fldCharType="end"/>
      </w:r>
      <w:r>
        <w:rPr/>
        <w:t>.</w:t>
      </w:r>
      <w:r>
        <w:fldChar w:fldCharType="begin"/>
      </w:r>
      <w:r>
        <w:rPr>
          <w:rStyle w:val="Internetverknpfung"/>
        </w:rPr>
        <w:instrText> HYPERLINK "../../../../../../../../../wiki/Hohelied_2" \l "s10"</w:instrText>
      </w:r>
      <w:r>
        <w:rPr>
          <w:rStyle w:val="Internetverknpfung"/>
        </w:rPr>
        <w:fldChar w:fldCharType="separate"/>
      </w:r>
      <w:r>
        <w:rPr>
          <w:rStyle w:val="Internetverknpfung"/>
        </w:rPr>
        <w:t>10</w:t>
      </w:r>
      <w:r>
        <w:rPr>
          <w:rStyle w:val="Internetverknpfung"/>
        </w:rPr>
        <w:fldChar w:fldCharType="end"/>
      </w:r>
      <w:r>
        <w:rPr/>
        <w:t>.</w:t>
      </w:r>
      <w:r>
        <w:fldChar w:fldCharType="begin"/>
      </w:r>
      <w:r>
        <w:rPr>
          <w:rStyle w:val="Internetverknpfung"/>
        </w:rPr>
        <w:instrText> HYPERLINK "../../../../../../../../../wiki/Hohelied_2" \l "s13"</w:instrText>
      </w:r>
      <w:r>
        <w:rPr>
          <w:rStyle w:val="Internetverknpfung"/>
        </w:rPr>
        <w:fldChar w:fldCharType="separate"/>
      </w:r>
      <w:r>
        <w:rPr>
          <w:rStyle w:val="Internetverknpfung"/>
        </w:rPr>
        <w:t>13</w:t>
      </w:r>
      <w:r>
        <w:rPr>
          <w:rStyle w:val="Internetverknpfung"/>
        </w:rPr>
        <w:fldChar w:fldCharType="end"/>
      </w:r>
      <w:r>
        <w:rPr/>
        <w:t xml:space="preserve">; </w:t>
      </w:r>
      <w:hyperlink r:id="rId201">
        <w:r>
          <w:rPr>
            <w:rStyle w:val="Internetverknpfung"/>
          </w:rPr>
          <w:t>4,1</w:t>
        </w:r>
      </w:hyperlink>
      <w:r>
        <w:rPr/>
        <w:t>.</w:t>
      </w:r>
      <w:hyperlink r:id="rId202">
        <w:r>
          <w:rPr>
            <w:rStyle w:val="Internetverknpfung"/>
          </w:rPr>
          <w:t>7</w:t>
        </w:r>
      </w:hyperlink>
      <w:r>
        <w:rPr/>
        <w:t xml:space="preserve">; </w:t>
      </w:r>
      <w:hyperlink r:id="rId203">
        <w:r>
          <w:rPr>
            <w:rStyle w:val="Internetverknpfung"/>
          </w:rPr>
          <w:t>5,2</w:t>
        </w:r>
      </w:hyperlink>
      <w:r>
        <w:rPr/>
        <w:t xml:space="preserve">; </w:t>
      </w:r>
      <w:hyperlink r:id="rId204">
        <w:r>
          <w:rPr>
            <w:rStyle w:val="Internetverknpfung"/>
          </w:rPr>
          <w:t>6,4</w:t>
        </w:r>
      </w:hyperlink>
      <w:r>
        <w:rPr/>
        <w:t>. Außer in Hld 5,2 fällt der Ausdruck stets im Zhg. mit einer Aussage über das Aussehen der „Freundin“; wahrscheinlich hörte ein Israelit bei dem Ausdruck also irgendwie „Schönheit“ mit.</w:t>
      </w:r>
    </w:p>
  </w:footnote>
  <w:footnote w:id="2460">
    <w:p>
      <w:pPr>
        <w:pStyle w:val="Funote"/>
        <w:rPr/>
      </w:pPr>
      <w:r>
        <w:rPr>
          <w:rStyle w:val="Funotenzeichen"/>
        </w:rPr>
        <w:footnoteRef/>
      </w:r>
      <w:r>
        <w:rPr>
          <w:i/>
        </w:rPr>
        <w:tab/>
        <w:t>Ketten (Zaumzeug)</w:t>
      </w:r>
      <w:r>
        <w:rPr/>
        <w:t xml:space="preserve"> - Heb. </w:t>
      </w:r>
      <w:r>
        <w:rPr>
          <w:i/>
        </w:rPr>
        <w:t>torim</w:t>
      </w:r>
      <w:r>
        <w:rPr/>
        <w:t xml:space="preserve">; unbekanntes Wort. Wahrscheinlich hängt es zusammen mit dem Verb </w:t>
      </w:r>
      <w:r>
        <w:rPr>
          <w:i/>
        </w:rPr>
        <w:t>tur</w:t>
      </w:r>
      <w:r>
        <w:rPr/>
        <w:t xml:space="preserve"> („herumgehen“), daher ist es wohl etwas gemeint, das um den Kopf herumgeht und über die Wangen reicht. Zur Alternative „Zaumzeug“ s. die Anmerkungen.</w:t>
      </w:r>
    </w:p>
  </w:footnote>
  <w:footnote w:id="2461">
    <w:p>
      <w:pPr>
        <w:pStyle w:val="Funote"/>
        <w:rPr/>
      </w:pPr>
      <w:r>
        <w:rPr>
          <w:rStyle w:val="Funotenzeichen"/>
        </w:rPr>
        <w:footnoteRef/>
      </w:r>
      <w:r>
        <w:rPr/>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462">
    <w:p>
      <w:pPr>
        <w:pStyle w:val="Funote"/>
        <w:rPr/>
      </w:pPr>
      <w:r>
        <w:rPr>
          <w:rStyle w:val="Funotenzeichen"/>
        </w:rPr>
        <w:footnoteRef/>
      </w:r>
      <w:r>
        <w:rPr/>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463">
    <w:p>
      <w:pPr>
        <w:pStyle w:val="Funote"/>
        <w:rPr/>
      </w:pPr>
      <w:r>
        <w:rPr>
          <w:rStyle w:val="Funotenzeichen"/>
        </w:rPr>
        <w:footnoteRef/>
      </w:r>
      <w:r>
        <w:rPr/>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464">
    <w:p>
      <w:pPr>
        <w:pStyle w:val="Funote"/>
        <w:rPr/>
      </w:pPr>
      <w:r>
        <w:rPr>
          <w:rStyle w:val="Funotenzeichen"/>
        </w:rPr>
        <w:footnoteRef/>
      </w:r>
      <w:r>
        <w:rPr/>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465">
    <w:p>
      <w:pPr>
        <w:pStyle w:val="Funote"/>
        <w:rPr/>
      </w:pPr>
      <w:r>
        <w:rPr>
          <w:rStyle w:val="Funotenzeichen"/>
        </w:rPr>
        <w:footnoteRef/>
      </w:r>
      <w:r>
        <w:rPr>
          <w:i/>
        </w:rPr>
        <w:tab/>
        <w:t>Narde</w:t>
      </w:r>
      <w:r>
        <w:rPr/>
        <w:t xml:space="preserve"> - teurer Duftstoff aus dem Himalaya-Gebirge. Zur Verwendung von Nardenparfum bei Tisch s. noch </w:t>
      </w:r>
      <w:r>
        <w:fldChar w:fldCharType="begin"/>
      </w:r>
      <w:r>
        <w:rPr>
          <w:rStyle w:val="Internetverknpfung"/>
        </w:rPr>
        <w:instrText> HYPERLINK "../../../../../../../../../wiki/Markus_14" \l "s3"</w:instrText>
      </w:r>
      <w:r>
        <w:rPr>
          <w:rStyle w:val="Internetverknpfung"/>
        </w:rPr>
        <w:fldChar w:fldCharType="separate"/>
      </w:r>
      <w:r>
        <w:rPr>
          <w:rStyle w:val="Internetverknpfung"/>
        </w:rPr>
        <w:t>Mk 14,3</w:t>
      </w:r>
      <w:r>
        <w:rPr>
          <w:rStyle w:val="Internetverknpfung"/>
        </w:rPr>
        <w:fldChar w:fldCharType="end"/>
      </w:r>
      <w:r>
        <w:rPr/>
        <w:t xml:space="preserve">; </w:t>
      </w:r>
      <w:r>
        <w:fldChar w:fldCharType="begin"/>
      </w:r>
      <w:r>
        <w:rPr>
          <w:rStyle w:val="Internetverknpfung"/>
        </w:rPr>
        <w:instrText> HYPERLINK "../../../../../../../../../wiki/Johannes_12" \l "s3"</w:instrText>
      </w:r>
      <w:r>
        <w:rPr>
          <w:rStyle w:val="Internetverknpfung"/>
        </w:rPr>
        <w:fldChar w:fldCharType="separate"/>
      </w:r>
      <w:r>
        <w:rPr>
          <w:rStyle w:val="Internetverknpfung"/>
        </w:rPr>
        <w:t>Joh 12,3</w:t>
      </w:r>
      <w:r>
        <w:rPr>
          <w:rStyle w:val="Internetverknpfung"/>
        </w:rPr>
        <w:fldChar w:fldCharType="end"/>
      </w:r>
      <w:r>
        <w:rPr/>
        <w:t>.</w:t>
      </w:r>
    </w:p>
  </w:footnote>
  <w:footnote w:id="2466">
    <w:p>
      <w:pPr>
        <w:pStyle w:val="Funote"/>
        <w:rPr/>
      </w:pPr>
      <w:r>
        <w:rPr>
          <w:rStyle w:val="Funotenzeichen"/>
        </w:rPr>
        <w:footnoteRef/>
      </w:r>
      <w:r>
        <w:rPr/>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467">
    <w:p>
      <w:pPr>
        <w:pStyle w:val="Funote"/>
        <w:rPr/>
      </w:pPr>
      <w:r>
        <w:rPr>
          <w:rStyle w:val="Funotenzeichen"/>
        </w:rPr>
        <w:footnoteRef/>
      </w:r>
      <w:r>
        <w:rPr>
          <w:i/>
        </w:rPr>
        <w:tab/>
        <w:t>Ruhend</w:t>
      </w:r>
      <w:r>
        <w:rPr/>
        <w:t xml:space="preserve"> - Könnte sich sowohl auf das Myrrhensäckchen als auch auf den Geliebten beziehen.</w:t>
      </w:r>
    </w:p>
  </w:footnote>
  <w:footnote w:id="2468">
    <w:p>
      <w:pPr>
        <w:pStyle w:val="Funote"/>
        <w:rPr/>
      </w:pPr>
      <w:r>
        <w:rPr>
          <w:rStyle w:val="Funotenzeichen"/>
        </w:rPr>
        <w:footnoteRef/>
      </w:r>
      <w:r>
        <w:rPr/>
        <w:tab/>
        <w:t>En-Gedi - Oase an der Westküste des Toten Meeres, wo auch heute noch Henna wächst. Archäologische Funde lassen vermuten, dass dort früher außerdem Parfums produziert wurden (vgl. Pope 1977, S. 354).</w:t>
      </w:r>
    </w:p>
  </w:footnote>
  <w:footnote w:id="2469">
    <w:p>
      <w:pPr>
        <w:pStyle w:val="Funote"/>
        <w:rPr/>
      </w:pPr>
      <w:r>
        <w:rPr>
          <w:rStyle w:val="Funotenzeichen"/>
        </w:rPr>
        <w:footnoteRef/>
      </w:r>
      <w:r>
        <w:rPr>
          <w:i/>
        </w:rPr>
        <w:tab/>
        <w:t>Deine Augen sind Tauben!</w:t>
      </w:r>
      <w:r>
        <w:rPr/>
        <w:t xml:space="preserve">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470">
    <w:p>
      <w:pPr>
        <w:pStyle w:val="Funote"/>
        <w:rPr/>
      </w:pPr>
      <w:r>
        <w:rPr>
          <w:rStyle w:val="Funotenzeichen"/>
        </w:rPr>
        <w:footnoteRef/>
      </w:r>
      <w:r>
        <w:rPr/>
        <w:tab/>
        <w:t>tFN: Häuser: Plural mit Sg.-Bed.; vgl. GKC §124q</w:t>
      </w:r>
    </w:p>
  </w:footnote>
  <w:footnote w:id="2471">
    <w:p>
      <w:pPr>
        <w:pStyle w:val="Funote"/>
        <w:rPr/>
      </w:pPr>
      <w:r>
        <w:rPr>
          <w:rStyle w:val="Funotenzeichen"/>
        </w:rPr>
        <w:footnoteRef/>
      </w:r>
      <w:r>
        <w:rPr/>
        <w:tab/>
        <w:t>rechts</w:t>
      </w:r>
    </w:p>
  </w:footnote>
  <w:footnote w:id="2472">
    <w:p>
      <w:pPr>
        <w:pStyle w:val="Funote"/>
        <w:rPr/>
      </w:pPr>
      <w:r>
        <w:rPr>
          <w:rStyle w:val="Funotenzeichen"/>
        </w:rPr>
        <w:footnoteRef/>
      </w:r>
      <w:r>
        <w:rPr/>
        <w:tab/>
        <w:t>[Zu dieser faszinierenden Idee vgl. z.B. Biesterfeldt/Gutas 1984; Crohns 1905; Toohey 1992; Toohey 2004, S. 59-103.]</w:t>
      </w:r>
    </w:p>
  </w:footnote>
  <w:footnote w:id="2473">
    <w:p>
      <w:pPr>
        <w:pStyle w:val="Funote"/>
        <w:rPr/>
      </w:pPr>
      <w:r>
        <w:rPr>
          <w:rStyle w:val="Funotenzeichen"/>
        </w:rPr>
        <w:footnoteRef/>
      </w:r>
      <w:r>
        <w:rPr/>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(frg 31, Üs.: Treu) und Theokrit dichtet in seiner zweiten Idylle: : Sieh, o Göttin Selene, woher mir die Liebe gekommen! : Weh! und m Hinschau'n gleich, wie durchzückt' es mich! jählings erkrankte : Tief im Grunde mein Herz; auch verfiel mir die Schöne mit Einmal. : Nimmer gedacht' ich des Fests, und wie ich nach Hause gekommen, : Weiß ich nicht; so verstörte den Sinn ein brennendes Fieber. : Und ich lag zehn Tage zu Bett zehn Nächte verseufzt' ich. : Sieh, o Göttin Selene, woher mir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474">
    <w:p>
      <w:pPr>
        <w:pStyle w:val="Funote"/>
        <w:rPr/>
      </w:pPr>
      <w:r>
        <w:rPr>
          <w:rStyle w:val="Funotenzeichen"/>
        </w:rPr>
        <w:footnoteRef/>
      </w:r>
      <w:r>
        <w:rPr/>
        <w:tab/>
        <w:t>[Vgl. ähnlich z.B. P. Anastasi I 24.2: „Du hast Jaffa [=Tel Aviv] erreicht und wirst [...] ein kleines Mädchen finden, das den Garten bewacht [...].“ (ÜS.: COS III, S. 13)]</w:t>
      </w:r>
    </w:p>
  </w:footnote>
  <w:footnote w:id="2475">
    <w:p>
      <w:pPr>
        <w:pStyle w:val="Funote"/>
        <w:rPr/>
      </w:pPr>
      <w:r>
        <w:rPr>
          <w:rStyle w:val="Funotenzeichen"/>
        </w:rPr>
        <w:footnoteRef/>
      </w:r>
      <w:r>
        <w:rPr/>
        <w:tab/>
        <w:t>[Status: Ungeprüft]</w:t>
      </w:r>
    </w:p>
  </w:footnote>
  <w:footnote w:id="2476">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77">
    <w:p>
      <w:pPr>
        <w:pStyle w:val="Funote"/>
        <w:rPr/>
      </w:pPr>
      <w:r>
        <w:rPr>
          <w:rStyle w:val="Funotenzeichen"/>
        </w:rPr>
        <w:footnoteRef/>
      </w:r>
      <w:r>
        <w:rPr/>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478">
    <w:p>
      <w:pPr>
        <w:pStyle w:val="Funote"/>
        <w:rPr/>
      </w:pPr>
      <w:r>
        <w:rPr>
          <w:rStyle w:val="Funotenzeichen"/>
        </w:rPr>
        <w:footnoteRef/>
      </w:r>
      <w:r>
        <w:rPr/>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479">
    <w:p>
      <w:pPr>
        <w:pStyle w:val="Funote"/>
        <w:rPr/>
      </w:pPr>
      <w:r>
        <w:rPr>
          <w:rStyle w:val="Funotenzeichen"/>
        </w:rPr>
        <w:footnoteRef/>
      </w:r>
      <w:r>
        <w:rPr>
          <w:i/>
        </w:rPr>
        <w:tab/>
        <w:t>{</w:t>
      </w:r>
      <w:r>
        <w:rPr>
          <w:i/>
          <w:strike/>
        </w:rPr>
        <w:t>den</w:t>
      </w:r>
      <w:r>
        <w:rPr>
          <w:i/>
        </w:rPr>
        <w:t>}</w:t>
      </w:r>
      <w:r>
        <w:rPr/>
        <w:t xml:space="preserve"> - In Vergleichen verwendet das Heb. häufig bestimmten Artikel, wo das Dt. unbestimmten oder keinen Artikel verwenden würde.</w:t>
      </w:r>
    </w:p>
  </w:footnote>
  <w:footnote w:id="2480">
    <w:p>
      <w:pPr>
        <w:pStyle w:val="Funote"/>
        <w:rPr/>
      </w:pPr>
      <w:r>
        <w:rPr>
          <w:rStyle w:val="Funotenzeichen"/>
        </w:rPr>
        <w:footnoteRef/>
      </w:r>
      <w:r>
        <w:rPr>
          <w:i/>
        </w:rPr>
        <w:tab/>
        <w:t>meine Freundin</w:t>
      </w:r>
      <w:r>
        <w:rPr/>
        <w:t xml:space="preserve"> - Häufige Bezeichnung für die Geliebte im Hld; s. </w:t>
      </w:r>
      <w:r>
        <w:fldChar w:fldCharType="begin"/>
      </w:r>
      <w:r>
        <w:rPr>
          <w:rStyle w:val="Internetverknpfung"/>
        </w:rPr>
        <w:instrText> HYPERLINK "../../../../../../../../../wiki/Hohelied_1" \l "s9"</w:instrText>
      </w:r>
      <w:r>
        <w:rPr>
          <w:rStyle w:val="Internetverknpfung"/>
        </w:rPr>
        <w:fldChar w:fldCharType="separate"/>
      </w:r>
      <w:r>
        <w:rPr>
          <w:rStyle w:val="Internetverknpfung"/>
        </w:rPr>
        <w:t>Hld 1,9</w:t>
      </w:r>
      <w:r>
        <w:rPr>
          <w:rStyle w:val="Internetverknpfung"/>
        </w:rPr>
        <w:fldChar w:fldCharType="end"/>
      </w:r>
      <w:r>
        <w:rPr/>
        <w:t>.</w:t>
      </w:r>
      <w:r>
        <w:fldChar w:fldCharType="begin"/>
      </w:r>
      <w:r>
        <w:rPr>
          <w:rStyle w:val="Internetverknpfung"/>
        </w:rPr>
        <w:instrText> HYPERLINK "../../../../../../../../../wiki/Hohelied_1" \l "s15"</w:instrText>
      </w:r>
      <w:r>
        <w:rPr>
          <w:rStyle w:val="Internetverknpfung"/>
        </w:rPr>
        <w:fldChar w:fldCharType="separate"/>
      </w:r>
      <w:r>
        <w:rPr>
          <w:rStyle w:val="Internetverknpfung"/>
        </w:rPr>
        <w:t>15</w:t>
      </w:r>
      <w:r>
        <w:rPr>
          <w:rStyle w:val="Internetverknpfung"/>
        </w:rPr>
        <w:fldChar w:fldCharType="end"/>
      </w:r>
      <w:r>
        <w:rPr/>
        <w:t xml:space="preserve">; </w:t>
      </w:r>
      <w:r>
        <w:fldChar w:fldCharType="begin"/>
      </w:r>
      <w:r>
        <w:rPr>
          <w:rStyle w:val="Internetverknpfung"/>
        </w:rPr>
        <w:instrText> HYPERLINK "../../../../../../../../../wiki/Hohelied_2" \l "s2"</w:instrText>
      </w:r>
      <w:r>
        <w:rPr>
          <w:rStyle w:val="Internetverknpfung"/>
        </w:rPr>
        <w:fldChar w:fldCharType="separate"/>
      </w:r>
      <w:r>
        <w:rPr>
          <w:rStyle w:val="Internetverknpfung"/>
        </w:rPr>
        <w:t>2,2</w:t>
      </w:r>
      <w:r>
        <w:rPr>
          <w:rStyle w:val="Internetverknpfung"/>
        </w:rPr>
        <w:fldChar w:fldCharType="end"/>
      </w:r>
      <w:r>
        <w:rPr/>
        <w:t>.</w:t>
      </w:r>
      <w:r>
        <w:fldChar w:fldCharType="begin"/>
      </w:r>
      <w:r>
        <w:rPr>
          <w:rStyle w:val="Internetverknpfung"/>
        </w:rPr>
        <w:instrText> HYPERLINK "../../../../../../../../../wiki/Hohelied_2" \l "s10"</w:instrText>
      </w:r>
      <w:r>
        <w:rPr>
          <w:rStyle w:val="Internetverknpfung"/>
        </w:rPr>
        <w:fldChar w:fldCharType="separate"/>
      </w:r>
      <w:r>
        <w:rPr>
          <w:rStyle w:val="Internetverknpfung"/>
        </w:rPr>
        <w:t>10</w:t>
      </w:r>
      <w:r>
        <w:rPr>
          <w:rStyle w:val="Internetverknpfung"/>
        </w:rPr>
        <w:fldChar w:fldCharType="end"/>
      </w:r>
      <w:r>
        <w:rPr/>
        <w:t>.</w:t>
      </w:r>
      <w:r>
        <w:fldChar w:fldCharType="begin"/>
      </w:r>
      <w:r>
        <w:rPr>
          <w:rStyle w:val="Internetverknpfung"/>
        </w:rPr>
        <w:instrText> HYPERLINK "../../../../../../../../../wiki/Hohelied_2" \l "s13"</w:instrText>
      </w:r>
      <w:r>
        <w:rPr>
          <w:rStyle w:val="Internetverknpfung"/>
        </w:rPr>
        <w:fldChar w:fldCharType="separate"/>
      </w:r>
      <w:r>
        <w:rPr>
          <w:rStyle w:val="Internetverknpfung"/>
        </w:rPr>
        <w:t>13</w:t>
      </w:r>
      <w:r>
        <w:rPr>
          <w:rStyle w:val="Internetverknpfung"/>
        </w:rPr>
        <w:fldChar w:fldCharType="end"/>
      </w:r>
      <w:r>
        <w:rPr/>
        <w:t xml:space="preserve">; </w:t>
      </w:r>
      <w:hyperlink r:id="rId205">
        <w:r>
          <w:rPr>
            <w:rStyle w:val="Internetverknpfung"/>
          </w:rPr>
          <w:t>4,1</w:t>
        </w:r>
      </w:hyperlink>
      <w:r>
        <w:rPr/>
        <w:t>.</w:t>
      </w:r>
      <w:hyperlink r:id="rId206">
        <w:r>
          <w:rPr>
            <w:rStyle w:val="Internetverknpfung"/>
          </w:rPr>
          <w:t>7</w:t>
        </w:r>
      </w:hyperlink>
      <w:r>
        <w:rPr/>
        <w:t xml:space="preserve">; </w:t>
      </w:r>
      <w:hyperlink r:id="rId207">
        <w:r>
          <w:rPr>
            <w:rStyle w:val="Internetverknpfung"/>
          </w:rPr>
          <w:t>5,2</w:t>
        </w:r>
      </w:hyperlink>
      <w:r>
        <w:rPr/>
        <w:t xml:space="preserve">; </w:t>
      </w:r>
      <w:hyperlink r:id="rId208">
        <w:r>
          <w:rPr>
            <w:rStyle w:val="Internetverknpfung"/>
          </w:rPr>
          <w:t>6,4</w:t>
        </w:r>
      </w:hyperlink>
      <w:r>
        <w:rPr/>
        <w:t>. Außer in Hld 5,2 fällt der Ausdruck stets im Zhg. mit einer Aussage über das Aussehen der „Freundin“; wahrscheinlich hörte ein Israelit bei dem Ausdruck also irgendwie „Schönheit“ mit.</w:t>
      </w:r>
    </w:p>
  </w:footnote>
  <w:footnote w:id="2481">
    <w:p>
      <w:pPr>
        <w:pStyle w:val="Funote"/>
        <w:rPr/>
      </w:pPr>
      <w:r>
        <w:rPr>
          <w:rStyle w:val="Funotenzeichen"/>
        </w:rPr>
        <w:footnoteRef/>
      </w:r>
      <w:r>
        <w:rPr>
          <w:i/>
        </w:rPr>
        <w:tab/>
        <w:t>Töchtern</w:t>
      </w:r>
      <w:r>
        <w:rPr/>
        <w:t xml:space="preserve"> - d.h., den anderen Mädchen. Zum Vergleich der Geliebten mit einer Blume vgl. z.B. Sappho, frg 132: „</w:t>
      </w:r>
      <w:r>
        <w:rPr>
          <w:i/>
        </w:rPr>
        <w:t>Hab ein schöns Kind, / goldnen Blumen wohl vergleichbar / ist sein feiner Wuchs: / Kleis heißt sie, mein Alles...</w:t>
      </w:r>
      <w:r>
        <w:rPr/>
        <w:t>“ (Üs.: Treu); vgl. bes. auch das Epigramm 58 (von Rhianus) in AC XII: „</w:t>
      </w:r>
      <w:r>
        <w:rPr>
          <w:i/>
        </w:rPr>
        <w:t>So sehr scheint Empedokles hervor, wie die anderen Frühlingsblumen an Schönheit die Rose überstrahlt.</w:t>
      </w:r>
      <w:r>
        <w:rPr/>
        <w:t>“.</w:t>
      </w:r>
    </w:p>
  </w:footnote>
  <w:footnote w:id="2482">
    <w:p>
      <w:pPr>
        <w:pStyle w:val="Funote"/>
        <w:rPr/>
      </w:pPr>
      <w:r>
        <w:rPr>
          <w:rStyle w:val="Funotenzeichen"/>
        </w:rPr>
        <w:footnoteRef/>
      </w:r>
      <w:r>
        <w:rPr/>
        <w:tab/>
        <w:t>Aprikose[nbaum] - nicht: »Apfelbaum«; dieser wächst erst seit Kurzem in Palästina (vgl. z.B. Musselman 2012, S. 21; z.St. z.B. auch Bloch/Bloch 1995, S. 149). Zum Vergleich des Geliebten mit einem Baum vgl. Sappho frg 115: »Womit soll ich dich, Bräutigam lieber, vergleichen? / Einer biegsamen Gerte will ich dich vergleichen!« (Üs.: Treu).</w:t>
      </w:r>
    </w:p>
  </w:footnote>
  <w:footnote w:id="2483">
    <w:p>
      <w:pPr>
        <w:pStyle w:val="Funote"/>
        <w:rPr/>
      </w:pPr>
      <w:r>
        <w:rPr>
          <w:rStyle w:val="Funotenzeichen"/>
        </w:rPr>
        <w:footnoteRef/>
      </w:r>
      <w:r>
        <w:rPr>
          <w:i/>
        </w:rPr>
        <w:tab/>
        <w:t>Söhnen</w:t>
      </w:r>
      <w:r>
        <w:rPr/>
        <w:t xml:space="preserve"> - d.h., den anderen jungen Männern.</w:t>
      </w:r>
    </w:p>
  </w:footnote>
  <w:footnote w:id="2484">
    <w:p>
      <w:pPr>
        <w:pStyle w:val="Funote"/>
        <w:rPr/>
      </w:pPr>
      <w:r>
        <w:rPr>
          <w:rStyle w:val="Funotenzeichen"/>
        </w:rPr>
        <w:footnoteRef/>
      </w:r>
      <w:r>
        <w:rPr>
          <w:i/>
        </w:rPr>
        <w:tab/>
        <w:t>erfreue ich mich (habe ich Lust) und sitze ich</w:t>
      </w:r>
      <w:r>
        <w:rPr/>
        <w:t xml:space="preserve"> - d.h., „erfreut es mich zu sitzen“ oder „habe ich Lust, zu sitzen“; verbales Hendiadyoin: Ein Vollverb dient eigentlich der näheren Spezifizierung eines anderen Vollverbs.</w:t>
      </w:r>
    </w:p>
  </w:footnote>
  <w:footnote w:id="2485">
    <w:p>
      <w:pPr>
        <w:pStyle w:val="Funote"/>
        <w:rPr/>
      </w:pPr>
      <w:r>
        <w:rPr>
          <w:rStyle w:val="Funotenzeichen"/>
        </w:rPr>
        <w:footnoteRef/>
      </w:r>
      <w:r>
        <w:rPr/>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486">
    <w:p>
      <w:pPr>
        <w:pStyle w:val="Funote"/>
        <w:rPr/>
      </w:pPr>
      <w:r>
        <w:rPr>
          <w:rStyle w:val="Funotenzeichen"/>
        </w:rPr>
        <w:footnoteRef/>
      </w:r>
      <w:r>
        <w:rPr>
          <w:i/>
        </w:rPr>
        <w:tab/>
        <w:t>Banner</w:t>
      </w:r>
      <w:r>
        <w:rPr/>
        <w:t xml:space="preserve"> - Zum Banner s. die Anmerkungen.</w:t>
      </w:r>
    </w:p>
  </w:footnote>
  <w:footnote w:id="2487">
    <w:p>
      <w:pPr>
        <w:pStyle w:val="Funote"/>
        <w:rPr/>
      </w:pPr>
      <w:r>
        <w:rPr>
          <w:rStyle w:val="Funotenzeichen"/>
        </w:rPr>
        <w:footnoteRef/>
      </w:r>
      <w:r>
        <w:rPr>
          <w:i/>
        </w:rPr>
        <w:tab/>
        <w:t>krank vor Liebe</w:t>
      </w:r>
      <w:r>
        <w:rPr/>
        <w:t xml:space="preserve"> - s. dazu die Anmerkungen.</w:t>
      </w:r>
    </w:p>
  </w:footnote>
  <w:footnote w:id="2488">
    <w:p>
      <w:pPr>
        <w:pStyle w:val="Funote"/>
        <w:rPr/>
      </w:pPr>
      <w:r>
        <w:rPr>
          <w:rStyle w:val="Funotenzeichen"/>
        </w:rPr>
        <w:footnoteRef/>
      </w:r>
      <w:r>
        <w:rPr/>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489">
    <w:p>
      <w:pPr>
        <w:pStyle w:val="Funote"/>
        <w:rPr/>
      </w:pPr>
      <w:r>
        <w:rPr>
          <w:rStyle w:val="Funotenzeichen"/>
        </w:rPr>
        <w:footnoteRef/>
      </w:r>
      <w:r>
        <w:rPr>
          <w:i/>
        </w:rPr>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490">
    <w:p>
      <w:pPr>
        <w:pStyle w:val="Funote"/>
        <w:rPr/>
      </w:pPr>
      <w:r>
        <w:rPr>
          <w:rStyle w:val="Funotenzeichen"/>
        </w:rPr>
        <w:footnoteRef/>
      </w:r>
      <w:r>
        <w:rPr/>
        <w:tab/>
        <w:t>Stört nicht den Geschlechsverkehr - so einige neuere Exegeten (z.B. Falk 1982, S. 116; Fox 1985, S. 109); aber das Verb kann nicht »stören« oder »unterbrechen« bedeuten.</w:t>
      </w:r>
    </w:p>
  </w:footnote>
  <w:footnote w:id="2491">
    <w:p>
      <w:pPr>
        <w:pStyle w:val="Funote"/>
        <w:rPr/>
      </w:pPr>
      <w:r>
        <w:rPr>
          <w:rStyle w:val="Funotenzeichen"/>
        </w:rPr>
        <w:footnoteRef/>
      </w:r>
      <w:r>
        <w:rPr/>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492">
    <w:p>
      <w:pPr>
        <w:pStyle w:val="Funote"/>
        <w:rPr/>
      </w:pPr>
      <w:r>
        <w:rPr>
          <w:rStyle w:val="Funotenzeichen"/>
        </w:rPr>
        <w:footnoteRef/>
      </w:r>
      <w:r>
        <w:rPr/>
        <w:tab/>
        <w:t>[Das] Geräusch meines Geliebten! - d.h. »Horch! Mein Geliebter [kommt]!«; qol (»Geräusch«) wie häufig verwendet als Ausruf (vgl. JM §162e; HKL III §354a).</w:t>
      </w:r>
    </w:p>
  </w:footnote>
  <w:footnote w:id="2493">
    <w:p>
      <w:pPr>
        <w:pStyle w:val="Funote"/>
        <w:rPr/>
      </w:pPr>
      <w:r>
        <w:rPr>
          <w:rStyle w:val="Funotenzeichen"/>
        </w:rPr>
        <w:footnoteRef/>
      </w:r>
      <w:r>
        <w:rPr>
          <w:i/>
        </w:rPr>
        <w:tab/>
        <w:t>[hinein] von den Fenster/Öffnungen [her]</w:t>
      </w:r>
      <w:r>
        <w:rPr/>
        <w:t xml:space="preserve"> - aus der Perspektive des Mädchens im Haus.</w:t>
      </w:r>
    </w:p>
  </w:footnote>
  <w:footnote w:id="2494">
    <w:p>
      <w:pPr>
        <w:pStyle w:val="Funote"/>
        <w:rPr/>
      </w:pPr>
      <w:r>
        <w:rPr>
          <w:rStyle w:val="Funotenzeichen"/>
        </w:rPr>
        <w:footnoteRef/>
      </w:r>
      <w:r>
        <w:rPr/>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495">
    <w:p>
      <w:pPr>
        <w:pStyle w:val="Funote"/>
        <w:rPr/>
      </w:pPr>
      <w:r>
        <w:rPr>
          <w:rStyle w:val="Funotenzeichen"/>
        </w:rPr>
        <w:footnoteRef/>
      </w:r>
      <w:r>
        <w:rPr>
          <w:i/>
        </w:rPr>
        <w:tab/>
        <w:t>{</w:t>
      </w:r>
      <w:r>
        <w:rPr>
          <w:i/>
          <w:strike/>
        </w:rPr>
        <w:t>antwortet und</w:t>
      </w:r>
      <w:r>
        <w:rPr>
          <w:i/>
        </w:rPr>
        <w:t>} sagt</w:t>
      </w:r>
      <w:r>
        <w:rPr/>
        <w:t xml:space="preserve"> - Im Heb. häufige Doppelverbformel, die ins Dt. stets mit nur einem Verb zu übertragen ist. W. „antworten“; hier wie öfter i.S.v. „sagen“ ohne vorangehende Frage.</w:t>
      </w:r>
    </w:p>
  </w:footnote>
  <w:footnote w:id="2496">
    <w:p>
      <w:pPr>
        <w:pStyle w:val="Funote"/>
        <w:rPr/>
      </w:pPr>
      <w:r>
        <w:rPr>
          <w:rStyle w:val="Funotenzeichen"/>
        </w:rPr>
        <w:footnoteRef/>
      </w:r>
      <w:r>
        <w:rPr>
          <w:i/>
        </w:rPr>
        <w:tab/>
        <w:t>Steh {</w:t>
      </w:r>
      <w:r>
        <w:rPr>
          <w:i/>
          <w:strike/>
        </w:rPr>
        <w:t>dich</w:t>
      </w:r>
      <w:r>
        <w:rPr>
          <w:i/>
        </w:rPr>
        <w:t>} auf!</w:t>
      </w:r>
      <w:r>
        <w:rPr/>
        <w:t xml:space="preserve"> - d.h. „Auf!“; </w:t>
      </w:r>
      <w:r>
        <w:rPr>
          <w:i/>
        </w:rPr>
        <w:t>qum</w:t>
      </w:r>
      <w:r>
        <w:rPr/>
        <w:t xml:space="preserve"> („steh auf“) wie oft nur zur Verstärkung eines folgenden Befehls; „dich“ = bedeutungsloser sog. „Dativus ethicus“, der im Dt. nicht zu übersetzen ist.</w:t>
      </w:r>
    </w:p>
  </w:footnote>
  <w:footnote w:id="2497">
    <w:p>
      <w:pPr>
        <w:pStyle w:val="Funote"/>
        <w:rPr/>
      </w:pPr>
      <w:r>
        <w:rPr>
          <w:rStyle w:val="Funotenzeichen"/>
        </w:rPr>
        <w:footnoteRef/>
      </w:r>
      <w:r>
        <w:rPr/>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498">
    <w:p>
      <w:pPr>
        <w:pStyle w:val="Funote"/>
        <w:rPr/>
      </w:pPr>
      <w:r>
        <w:rPr>
          <w:rStyle w:val="Funotenzeichen"/>
        </w:rPr>
        <w:footnoteRef/>
      </w:r>
      <w:r>
        <w:rPr/>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499">
    <w:p>
      <w:pPr>
        <w:pStyle w:val="Funote"/>
        <w:rPr/>
      </w:pPr>
      <w:r>
        <w:rPr>
          <w:rStyle w:val="Funotenzeichen"/>
        </w:rPr>
        <w:footnoteRef/>
      </w:r>
      <w:r>
        <w:rPr/>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500">
    <w:p>
      <w:pPr>
        <w:pStyle w:val="Funote"/>
        <w:rPr/>
      </w:pPr>
      <w:r>
        <w:rPr>
          <w:rStyle w:val="Funotenzeichen"/>
        </w:rPr>
        <w:footnoteRef/>
      </w:r>
      <w:r>
        <w:rPr>
          <w:i/>
        </w:rPr>
        <w:tab/>
        <w:t>Turteltaube</w:t>
      </w:r>
      <w:r>
        <w:rPr/>
        <w:t xml:space="preserve"> - Heb. </w:t>
      </w:r>
      <w:r>
        <w:rPr>
          <w:i/>
        </w:rPr>
        <w:t>tur</w:t>
      </w:r>
      <w:r>
        <w:rPr/>
        <w:t xml:space="preserve">, wie das dt. „Turtel“ onomatopoetisches Wort, durch das das das Gurren der Taube schon im Begriff hörbar wird (noch schöner Lat.: </w:t>
      </w:r>
      <w:r>
        <w:rPr>
          <w:i/>
        </w:rPr>
        <w:t>turtur</w:t>
      </w:r>
      <w:r>
        <w:rPr/>
        <w:t>). Äußerst passend für eine Aussage über das Hörbar-Werden von Vogelgesang.</w:t>
      </w:r>
    </w:p>
  </w:footnote>
  <w:footnote w:id="2501">
    <w:p>
      <w:pPr>
        <w:pStyle w:val="Funote"/>
        <w:rPr/>
      </w:pPr>
      <w:r>
        <w:rPr>
          <w:rStyle w:val="Funotenzeichen"/>
        </w:rPr>
        <w:footnoteRef/>
      </w:r>
      <w:r>
        <w:rPr/>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502">
    <w:p>
      <w:pPr>
        <w:pStyle w:val="Funote"/>
        <w:rPr/>
      </w:pPr>
      <w:r>
        <w:rPr>
          <w:rStyle w:val="Funotenzeichen"/>
        </w:rPr>
        <w:footnoteRef/>
      </w:r>
      <w:r>
        <w:rPr/>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503">
    <w:p>
      <w:pPr>
        <w:pStyle w:val="Funote"/>
        <w:rPr/>
      </w:pPr>
      <w:r>
        <w:rPr>
          <w:rStyle w:val="Funotenzeichen"/>
        </w:rPr>
        <w:footnoteRef/>
      </w:r>
      <w:r>
        <w:rPr>
          <w:i/>
        </w:rPr>
        <w:tab/>
        <w:t>Meine Taube</w:t>
      </w:r>
      <w:r>
        <w:rPr/>
        <w:t xml:space="preserve"> - Diese Stelle, </w:t>
      </w:r>
      <w:hyperlink r:id="rId209">
        <w:r>
          <w:rPr>
            <w:rStyle w:val="Internetverknpfung"/>
          </w:rPr>
          <w:t>Hld 5,2</w:t>
        </w:r>
      </w:hyperlink>
      <w:r>
        <w:rPr/>
        <w:t xml:space="preserve"> und </w:t>
      </w:r>
      <w:hyperlink r:id="rId210">
        <w:r>
          <w:rPr>
            <w:rStyle w:val="Internetverknpfung"/>
          </w:rPr>
          <w:t>Hld 6,9</w:t>
        </w:r>
      </w:hyperlink>
      <w:r>
        <w:rPr/>
        <w:t xml:space="preserve"> legen nahe, dass „meine Taube“ ein gebräuchlicher Kosename war (ähnlich ja im Dt.: „Mein Täubchen“). Zusätzlich ist die Verwendung gerade dieses Begriffs natürlich kontextuell motiviert: Die „Taube im Felsversteck“ wird kontrastiert mit den „[</w:t>
      </w:r>
      <w:r>
        <w:rPr>
          <w:i/>
        </w:rPr>
        <w:t>draußen</w:t>
      </w:r>
      <w:r>
        <w:rPr/>
        <w:t>] singenden Turteltauben“; sie soll sich doch bitte diesen anschließen, ihr Versteck verlassen und auch ihre Stimme hören lassen.</w:t>
      </w:r>
    </w:p>
  </w:footnote>
  <w:footnote w:id="2504">
    <w:p>
      <w:pPr>
        <w:pStyle w:val="Funote"/>
        <w:rPr/>
      </w:pPr>
      <w:r>
        <w:rPr>
          <w:rStyle w:val="Funotenzeichen"/>
        </w:rPr>
        <w:footnoteRef/>
      </w:r>
      <w:r>
        <w:rPr/>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505">
    <w:p>
      <w:pPr>
        <w:pStyle w:val="Funote"/>
        <w:rPr/>
      </w:pPr>
      <w:r>
        <w:rPr>
          <w:rStyle w:val="Funotenzeichen"/>
        </w:rPr>
        <w:footnoteRef/>
      </w:r>
      <w:r>
        <w:rPr/>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506">
    <w:p>
      <w:pPr>
        <w:pStyle w:val="Funote"/>
        <w:rPr/>
      </w:pPr>
      <w:r>
        <w:rPr>
          <w:rStyle w:val="Funotenzeichen"/>
        </w:rPr>
        <w:footnoteRef/>
      </w:r>
      <w:r>
        <w:rPr/>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1974b,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507">
    <w:p>
      <w:pPr>
        <w:pStyle w:val="Funote"/>
        <w:rPr/>
      </w:pPr>
      <w:r>
        <w:rPr>
          <w:rStyle w:val="Funotenzeichen"/>
        </w:rPr>
        <w:footnoteRef/>
      </w:r>
      <w:r>
        <w:rPr/>
        <w:tab/>
        <w:t>unser Weinberg (unsere Weinberge) - Auf den ersten Blick Plural; besser zu verstehen als ungewöhnlich (»plene«) geschriebenes Singular; so Gordis 1974b, S. 83. Viele Handschriften ändern daher die Schreibung zum gewöhnlichen Sg; auch VUL übersetzt so.</w:t>
      </w:r>
    </w:p>
  </w:footnote>
  <w:footnote w:id="2508">
    <w:p>
      <w:pPr>
        <w:pStyle w:val="Funote"/>
        <w:rPr/>
      </w:pPr>
      <w:r>
        <w:rPr>
          <w:rStyle w:val="Funotenzeichen"/>
        </w:rPr>
        <w:footnoteRef/>
      </w:r>
      <w:r>
        <w:rPr/>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 Eine ganz ähnliche Stelle findet sich in Theokrits fünfter Idylle, wo Lacon den Comatos damit übertrumpft, dass seine Schafe nicht Gras, sondern süße Felsrosen fressen (V. 131).</w:t>
      </w:r>
    </w:p>
  </w:footnote>
  <w:footnote w:id="2509">
    <w:p>
      <w:pPr>
        <w:pStyle w:val="Funote"/>
        <w:rPr/>
      </w:pPr>
      <w:r>
        <w:rPr>
          <w:rStyle w:val="Funotenzeichen"/>
        </w:rPr>
        <w:footnoteRef/>
      </w:r>
      <w:r>
        <w:rPr/>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hier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510">
    <w:p>
      <w:pPr>
        <w:pStyle w:val="Funote"/>
        <w:rPr/>
      </w:pPr>
      <w:r>
        <w:rPr>
          <w:rStyle w:val="Funotenzeichen"/>
        </w:rPr>
        <w:footnoteRef/>
      </w:r>
      <w:r>
        <w:rPr/>
        <w:tab/>
        <w:t>Duft- (zerklüftet, trennend, Bether-) - Heb. bater. Bed. hier unsicher; schon in den alten Üss: LXX und Quinta deuten nach dem Verb batar als „zerklüftete Berge“ (ähnlich LUT: „Scheideberge“, da batar auch „trennen“ bedeuten kann), Theod und wohl auch Syh als „Gewürz-/Parfumberge“ und VUL, Aq und Sym deuten als Eigenname; gemeint wäre dann die Festungsstadt Bether nahe Jerusalem (zu den Übersetzungsvarianten vgl. auch Bartina 1972c, S. 436f.).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Theod und Syh vergleichbar übersetzen, ist ein recht starkes Indiz dafür, dass auch die bater-Berge etwas Ähnliches sein sollen, wenn auch ungewiss ist, welche Bed. bater genau hat. Gordis 1974b, S. 54 übersetzt daher „mountains of spices“, Seidl 2002, S. 167, EÜ und LUT 1984: „Balsamberge“; H-R: „duftende Berge“. Dem folgen auch wir.</w:t>
      </w:r>
    </w:p>
  </w:footnote>
  <w:footnote w:id="2511">
    <w:p>
      <w:pPr>
        <w:pStyle w:val="Funote"/>
        <w:rPr/>
      </w:pPr>
      <w:r>
        <w:rPr>
          <w:rStyle w:val="Funotenzeichen"/>
        </w:rPr>
        <w:footnoteRef/>
      </w:r>
      <w:r>
        <w:rPr/>
        <w:tab/>
        <w:t>[Vgl. z.B. Barbiero 2011, S. 31-36; Gerhards 2010, S. 29-48; Peetz 2015, S. 419f.]</w:t>
      </w:r>
    </w:p>
  </w:footnote>
  <w:footnote w:id="2512">
    <w:p>
      <w:pPr>
        <w:pStyle w:val="Funote"/>
        <w:rPr/>
      </w:pPr>
      <w:r>
        <w:rPr>
          <w:rStyle w:val="Funotenzeichen"/>
        </w:rPr>
        <w:footnoteRef/>
      </w:r>
      <w:r>
        <w:rPr/>
        <w:tab/>
        <w:t>[Vgl. gut Zakovitch 2004, S. 167: „Bei der Beschreibung dessen, was sie tun will, verwendet die junge Frau also Vokabular aus dem Prostituierten-Milieu.“]</w:t>
      </w:r>
    </w:p>
  </w:footnote>
  <w:footnote w:id="2513">
    <w:p>
      <w:pPr>
        <w:pStyle w:val="Funote"/>
        <w:rPr/>
      </w:pPr>
      <w:r>
        <w:rPr>
          <w:rStyle w:val="Funotenzeichen"/>
        </w:rPr>
        <w:footnoteRef/>
      </w:r>
      <w:r>
        <w:rPr/>
        <w:tab/>
        <w:t>[Zum Sinn des Refrains vgl. wieder gut Eschelbach 2004, S. 312.319.]</w:t>
      </w:r>
    </w:p>
  </w:footnote>
  <w:footnote w:id="2514">
    <w:p>
      <w:pPr>
        <w:pStyle w:val="Funote"/>
        <w:rPr/>
      </w:pPr>
      <w:r>
        <w:rPr>
          <w:rStyle w:val="Funotenzeichen"/>
        </w:rPr>
        <w:footnoteRef/>
      </w:r>
      <w:r>
        <w:rPr/>
        <w:tab/>
        <w:t>[Vgl. Contiades-Tsitsoni 1990, S. 104-7.]</w:t>
      </w:r>
    </w:p>
  </w:footnote>
  <w:footnote w:id="2515">
    <w:p>
      <w:pPr>
        <w:pStyle w:val="Funote"/>
        <w:rPr/>
      </w:pPr>
      <w:r>
        <w:rPr>
          <w:rStyle w:val="Funotenzeichen"/>
        </w:rPr>
        <w:footnoteRef/>
      </w:r>
      <w:r>
        <w:rPr/>
        <w:tab/>
        <w:t>[Vgl. Hague 1983, S. 133f.]</w:t>
      </w:r>
    </w:p>
  </w:footnote>
  <w:footnote w:id="2516">
    <w:p>
      <w:pPr>
        <w:pStyle w:val="Funote"/>
        <w:rPr/>
      </w:pPr>
      <w:r>
        <w:rPr>
          <w:rStyle w:val="Funotenzeichen"/>
        </w:rPr>
        <w:footnoteRef/>
      </w:r>
      <w:r>
        <w:rPr/>
        <w:tab/>
        <w:t>[Zum pastos vgl. Lane 1988; zu den Hochzeitsbräuchen i.A. z.B. Mason 2006.]</w:t>
      </w:r>
    </w:p>
  </w:footnote>
  <w:footnote w:id="2517">
    <w:p>
      <w:pPr>
        <w:pStyle w:val="Funote"/>
        <w:rPr/>
      </w:pPr>
      <w:r>
        <w:rPr>
          <w:rStyle w:val="Funotenzeichen"/>
        </w:rPr>
        <w:footnoteRef/>
      </w:r>
      <w:r>
        <w:rPr/>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518">
    <w:p>
      <w:pPr>
        <w:pStyle w:val="Funote"/>
        <w:rPr/>
      </w:pPr>
      <w:r>
        <w:rPr>
          <w:rStyle w:val="Funotenzeichen"/>
        </w:rPr>
        <w:footnoteRef/>
      </w:r>
      <w:r>
        <w:rPr/>
        <w:tab/>
        <w:t>[Vgl. dazu Satlow 2001, S. 170-173.]</w:t>
      </w:r>
    </w:p>
  </w:footnote>
  <w:footnote w:id="2519">
    <w:p>
      <w:pPr>
        <w:pStyle w:val="Funote"/>
        <w:rPr/>
      </w:pPr>
      <w:r>
        <w:rPr>
          <w:rStyle w:val="Funotenzeichen"/>
        </w:rPr>
        <w:footnoteRef/>
      </w:r>
      <w:r>
        <w:rPr/>
        <w:tab/>
        <w:t>rechts</w:t>
      </w:r>
    </w:p>
  </w:footnote>
  <w:footnote w:id="2520">
    <w:p>
      <w:pPr>
        <w:pStyle w:val="Funote"/>
        <w:rPr/>
      </w:pPr>
      <w:r>
        <w:rPr>
          <w:rStyle w:val="Funotenzeichen"/>
        </w:rPr>
        <w:footnoteRef/>
      </w:r>
      <w:r>
        <w:rPr/>
        <w:tab/>
        <w:t>[Status: Ungeprüft]</w:t>
      </w:r>
    </w:p>
  </w:footnote>
  <w:footnote w:id="2521">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522">
    <w:p>
      <w:pPr>
        <w:pStyle w:val="Funote"/>
        <w:rPr/>
      </w:pPr>
      <w:r>
        <w:rPr>
          <w:rStyle w:val="Funotenzeichen"/>
        </w:rPr>
        <w:footnoteRef/>
      </w:r>
      <w:r>
        <w:rPr/>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523">
    <w:p>
      <w:pPr>
        <w:pStyle w:val="Funote"/>
        <w:rPr/>
      </w:pPr>
      <w:r>
        <w:rPr>
          <w:rStyle w:val="Funotenzeichen"/>
        </w:rPr>
        <w:footnoteRef/>
      </w:r>
      <w:r>
        <w:rPr/>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524">
    <w:p>
      <w:pPr>
        <w:pStyle w:val="Funote"/>
        <w:rPr/>
      </w:pPr>
      <w:r>
        <w:rPr>
          <w:rStyle w:val="Funotenzeichen"/>
        </w:rPr>
        <w:footnoteRef/>
      </w:r>
      <w:r>
        <w:rPr>
          <w:i/>
        </w:rPr>
        <w:tab/>
        <w:t>den meine Seele liebt (den ich liebe)</w:t>
      </w:r>
      <w:r>
        <w:rPr/>
        <w:t xml:space="preserve"> - „Seele“ hier wie meist nur als Wechselbegriff für „ich“; zu übersetzen ist daher nach der Alternativübersetzung.</w:t>
      </w:r>
    </w:p>
  </w:footnote>
  <w:footnote w:id="2525">
    <w:p>
      <w:pPr>
        <w:pStyle w:val="Funote"/>
        <w:rPr/>
      </w:pPr>
      <w:r>
        <w:rPr>
          <w:rStyle w:val="Funotenzeichen"/>
        </w:rPr>
        <w:footnoteRef/>
      </w:r>
      <w:r>
        <w:rPr/>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526">
    <w:p>
      <w:pPr>
        <w:pStyle w:val="Funote"/>
        <w:rPr/>
      </w:pPr>
      <w:r>
        <w:rPr>
          <w:rStyle w:val="Funotenzeichen"/>
        </w:rPr>
        <w:footnoteRef/>
      </w:r>
      <w:r>
        <w:rPr/>
        <w:tab/>
        <w:t>fanden (ergriffen) - möglicherweise eine Antanaklasis, also die mehrfache Verwendung des selben Wortes (»finden/ergreifen«) in unterschiedlichen Bedeutungen (vgl. ähnlich Ceresko 1982, S. 564). S. die Anmerkungen.</w:t>
      </w:r>
    </w:p>
  </w:footnote>
  <w:footnote w:id="2527">
    <w:p>
      <w:pPr>
        <w:pStyle w:val="Funote"/>
        <w:rPr/>
      </w:pPr>
      <w:r>
        <w:rPr>
          <w:rStyle w:val="Funotenzeichen"/>
        </w:rPr>
        <w:footnoteRef/>
      </w:r>
      <w:r>
        <w:rPr/>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528">
    <w:p>
      <w:pPr>
        <w:pStyle w:val="Funote"/>
        <w:rPr/>
      </w:pPr>
      <w:r>
        <w:rPr>
          <w:rStyle w:val="Funotenzeichen"/>
        </w:rPr>
        <w:footnoteRef/>
      </w:r>
      <w:r>
        <w:rPr/>
        <w:tab/>
        <w:t>tFN: Zur etwas komplizierten Konstruktion vgl. HKL III §387d. Fast stets vereinfacht zu »Kaum war ich an ihnen vorbei, als...«, was sicher die beste Üs. ist.</w:t>
      </w:r>
    </w:p>
  </w:footnote>
  <w:footnote w:id="2529">
    <w:p>
      <w:pPr>
        <w:pStyle w:val="Funote"/>
        <w:rPr/>
      </w:pPr>
      <w:r>
        <w:rPr>
          <w:rStyle w:val="Funotenzeichen"/>
        </w:rPr>
        <w:footnoteRef/>
      </w:r>
      <w:r>
        <w:rPr/>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530">
    <w:p>
      <w:pPr>
        <w:pStyle w:val="Funote"/>
        <w:rPr/>
      </w:pPr>
      <w:r>
        <w:rPr>
          <w:rStyle w:val="Funotenzeichen"/>
        </w:rPr>
        <w:footnoteRef/>
      </w:r>
      <w:r>
        <w:rPr/>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531">
    <w:p>
      <w:pPr>
        <w:pStyle w:val="Funote"/>
        <w:rPr/>
      </w:pPr>
      <w:r>
        <w:rPr>
          <w:rStyle w:val="Funotenzeichen"/>
        </w:rPr>
        <w:footnoteRef/>
      </w:r>
      <w:r>
        <w:rPr>
          <w:i/>
        </w:rPr>
        <w:tab/>
        <w:t>Entfacht nicht und facht nicht an die Liebe</w:t>
      </w:r>
      <w:r>
        <w:rPr/>
        <w:t xml:space="preserve"> - W.: „Wenn ihr entfacht und wenn ihr anfacht die Liebe...!“; unabgeschlossee Drohformel als häufige Formel für Verbote. Das selbe Verb wird in zwei verschiedenen Konjugationen verwendet: Figura etymologica, die den Ausdruck noch stärker macht.</w:t>
      </w:r>
    </w:p>
  </w:footnote>
  <w:footnote w:id="2532">
    <w:p>
      <w:pPr>
        <w:pStyle w:val="Funote"/>
        <w:rPr/>
      </w:pPr>
      <w:r>
        <w:rPr>
          <w:rStyle w:val="Funotenzeichen"/>
        </w:rPr>
        <w:footnoteRef/>
      </w:r>
      <w:r>
        <w:rPr/>
        <w:tab/>
        <w:t>Stört nicht den Geschlechsverkehr - so einige neuere Exegeten (z.B. Falk 1982, S. 116; Fox 1985, S. 109); aber das Verb kann nicht »stören« oder »unterbrechen« bedeuten.</w:t>
      </w:r>
    </w:p>
  </w:footnote>
  <w:footnote w:id="2533">
    <w:p>
      <w:pPr>
        <w:pStyle w:val="Funote"/>
        <w:rPr/>
      </w:pPr>
      <w:r>
        <w:rPr>
          <w:rStyle w:val="Funotenzeichen"/>
        </w:rPr>
        <w:footnoteRef/>
      </w:r>
      <w:r>
        <w:rPr/>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534">
    <w:p>
      <w:pPr>
        <w:pStyle w:val="Funote"/>
        <w:rPr/>
      </w:pPr>
      <w:r>
        <w:rPr>
          <w:rStyle w:val="Funotenzeichen"/>
        </w:rPr>
        <w:footnoteRef/>
      </w:r>
      <w:r>
        <w:rPr/>
        <w:tab/>
        <w:t xml:space="preserve">Wer diese Verse spricht, ist umstritten. In </w:t>
      </w:r>
      <w:r>
        <w:fldChar w:fldCharType="begin"/>
      </w:r>
      <w:r>
        <w:rPr>
          <w:rStyle w:val="Internetverknpfung"/>
        </w:rPr>
        <w:instrText> HYPERLINK "../../../../../../../../../wiki/Hohelied_8" \l "s5"</w:instrText>
      </w:r>
      <w:r>
        <w:rPr>
          <w:rStyle w:val="Internetverknpfung"/>
        </w:rPr>
        <w:fldChar w:fldCharType="separate"/>
      </w:r>
      <w:r>
        <w:rPr>
          <w:rStyle w:val="Internetverknpfung"/>
        </w:rPr>
        <w:t>Hld 8,5</w:t>
      </w:r>
      <w:r>
        <w:rPr>
          <w:rStyle w:val="Internetverknpfung"/>
        </w:rPr>
        <w:fldChar w:fldCharType="end"/>
      </w:r>
      <w:r>
        <w:rPr/>
        <w:t xml:space="preserve">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535">
    <w:p>
      <w:pPr>
        <w:pStyle w:val="Funote"/>
        <w:rPr/>
      </w:pPr>
      <w:r>
        <w:rPr>
          <w:rStyle w:val="Funotenzeichen"/>
        </w:rPr>
        <w:footnoteRef/>
      </w:r>
      <w:r>
        <w:rPr/>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536">
    <w:p>
      <w:pPr>
        <w:pStyle w:val="Funote"/>
        <w:rPr/>
      </w:pPr>
      <w:r>
        <w:rPr>
          <w:rStyle w:val="Funotenzeichen"/>
        </w:rPr>
        <w:footnoteRef/>
      </w:r>
      <w:r>
        <w:rPr/>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537">
    <w:p>
      <w:pPr>
        <w:pStyle w:val="Funote"/>
        <w:rPr/>
      </w:pPr>
      <w:r>
        <w:rPr>
          <w:rStyle w:val="Funotenzeichen"/>
        </w:rPr>
        <w:footnoteRef/>
      </w:r>
      <w:r>
        <w:rPr/>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538">
    <w:p>
      <w:pPr>
        <w:pStyle w:val="Funote"/>
        <w:rPr/>
      </w:pPr>
      <w:r>
        <w:rPr>
          <w:rStyle w:val="Funotenzeichen"/>
        </w:rPr>
        <w:footnoteRef/>
      </w:r>
      <w:r>
        <w:rPr/>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539">
    <w:p>
      <w:pPr>
        <w:pStyle w:val="Funote"/>
        <w:rPr/>
      </w:pPr>
      <w:r>
        <w:rPr>
          <w:rStyle w:val="Funotenzeichen"/>
        </w:rPr>
        <w:footnoteRef/>
      </w:r>
      <w:r>
        <w:rPr/>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540">
    <w:p>
      <w:pPr>
        <w:pStyle w:val="Funote"/>
        <w:rPr/>
      </w:pPr>
      <w:r>
        <w:rPr>
          <w:rStyle w:val="Funotenzeichen"/>
        </w:rPr>
        <w:footnoteRef/>
      </w:r>
      <w:r>
        <w:rPr/>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541">
    <w:p>
      <w:pPr>
        <w:pStyle w:val="Funote"/>
        <w:rPr/>
      </w:pPr>
      <w:r>
        <w:rPr>
          <w:rStyle w:val="Funotenzeichen"/>
        </w:rPr>
        <w:footnoteRef/>
      </w:r>
      <w:r>
        <w:rPr/>
        <w:tab/>
        <w:t>tFN: Salomos - W. »sein Bett, das dem Salomo [ist]«; eine in der Bibel sehr umständliche Formulierung, die aber im späteren Hebräisch zur gewöhnlichen Konstruktion zum Ausdruck von Besitzangaben wurde. Üs. daher wie angegeben.</w:t>
      </w:r>
    </w:p>
  </w:footnote>
  <w:footnote w:id="2542">
    <w:p>
      <w:pPr>
        <w:pStyle w:val="Funote"/>
        <w:rPr/>
      </w:pPr>
      <w:r>
        <w:rPr>
          <w:rStyle w:val="Funotenzeichen"/>
        </w:rPr>
        <w:footnoteRef/>
      </w:r>
      <w:r>
        <w:rPr/>
        <w:tab/>
        <w:t>Helden von den Helden Israels - d.h. wahrscheinlich: Selbst im Vergleich mit den Helden Israels, zu denen sie gehören, sind diese 60 heldenhaft: »mit sechzig umgebenden Helden, den Tapfersten Israels« (van Ess).</w:t>
      </w:r>
    </w:p>
  </w:footnote>
  <w:footnote w:id="2543">
    <w:p>
      <w:pPr>
        <w:pStyle w:val="Funote"/>
        <w:rPr/>
      </w:pPr>
      <w:r>
        <w:rPr>
          <w:rStyle w:val="Funotenzeichen"/>
        </w:rPr>
        <w:footnoteRef/>
      </w:r>
      <w:r>
        <w:rPr/>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544">
    <w:p>
      <w:pPr>
        <w:pStyle w:val="Funote"/>
        <w:rPr/>
      </w:pPr>
      <w:r>
        <w:rPr>
          <w:rStyle w:val="Funotenzeichen"/>
        </w:rPr>
        <w:footnoteRef/>
      </w:r>
      <w:r>
        <w:rPr/>
        <w:tab/>
        <w:t>Lautspiel in den ersten beiden Zeilen: Assonanz auf m, l und ch (vgl. gut Noegel/Rendsburg 2009, S. 83): kulám ´achuzé chéreb / milumdé milchamáh.</w:t>
      </w:r>
    </w:p>
  </w:footnote>
  <w:footnote w:id="2545">
    <w:p>
      <w:pPr>
        <w:pStyle w:val="Funote"/>
        <w:rPr/>
      </w:pPr>
      <w:r>
        <w:rPr>
          <w:rStyle w:val="Funotenzeichen"/>
        </w:rPr>
        <w:footnoteRef/>
      </w:r>
      <w:r>
        <w:rPr/>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546">
    <w:p>
      <w:pPr>
        <w:pStyle w:val="Funote"/>
        <w:rPr/>
      </w:pPr>
      <w:r>
        <w:rPr>
          <w:rStyle w:val="Funotenzeichen"/>
        </w:rPr>
        <w:footnoteRef/>
      </w:r>
      <w:r>
        <w:rPr/>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547">
    <w:p>
      <w:pPr>
        <w:pStyle w:val="Funote"/>
        <w:rPr/>
      </w:pPr>
      <w:r>
        <w:rPr>
          <w:rStyle w:val="Funotenzeichen"/>
        </w:rPr>
        <w:footnoteRef/>
      </w:r>
      <w:r>
        <w:rPr/>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548">
    <w:p>
      <w:pPr>
        <w:pStyle w:val="Funote"/>
        <w:rPr/>
      </w:pPr>
      <w:r>
        <w:rPr>
          <w:rStyle w:val="Funotenzeichen"/>
        </w:rPr>
        <w:footnoteRef/>
      </w:r>
      <w:r>
        <w:rPr>
          <w:i/>
        </w:rPr>
        <w:tab/>
        <w:t>ließ machen (hat gemacht)</w:t>
      </w:r>
      <w:r>
        <w:rPr/>
        <w:t xml:space="preserve"> - ein Aktivverb (wie häufig) nicht für den eigentlich Handelnden, sondern für den Auftraggeber. Von Salomo so z.B. auch </w:t>
      </w:r>
      <w:hyperlink r:id="rId211">
        <w:r>
          <w:rPr>
            <w:rStyle w:val="Internetverknpfung"/>
          </w:rPr>
          <w:t>1 Kön 6,31.33</w:t>
        </w:r>
      </w:hyperlink>
      <w:r>
        <w:rPr/>
        <w:t xml:space="preserve">; </w:t>
      </w:r>
      <w:hyperlink r:id="rId212">
        <w:r>
          <w:rPr>
            <w:rStyle w:val="Internetverknpfung"/>
          </w:rPr>
          <w:t>7,6f.</w:t>
        </w:r>
      </w:hyperlink>
      <w:r>
        <w:rPr/>
        <w:t xml:space="preserve">; </w:t>
      </w:r>
      <w:hyperlink r:id="rId213">
        <w:r>
          <w:rPr>
            <w:rStyle w:val="Internetverknpfung"/>
          </w:rPr>
          <w:t>10,18</w:t>
        </w:r>
      </w:hyperlink>
      <w:r>
        <w:rPr/>
        <w:t>.</w:t>
      </w:r>
    </w:p>
  </w:footnote>
  <w:footnote w:id="2549">
    <w:p>
      <w:pPr>
        <w:pStyle w:val="Funote"/>
        <w:rPr/>
      </w:pPr>
      <w:r>
        <w:rPr>
          <w:rStyle w:val="Funotenzeichen"/>
        </w:rPr>
        <w:footnoteRef/>
      </w:r>
      <w:r>
        <w:rPr>
          <w:i/>
        </w:rPr>
        <w:tab/>
        <w:t>Holz vom Libanon</w:t>
      </w:r>
      <w:r>
        <w:rPr/>
        <w:t xml:space="preserve"> - Der Libanon war bekannt für sein Holz, bes. für seine Zedern. Gemeint ist also hier besonders kostbares Holz.</w:t>
      </w:r>
    </w:p>
  </w:footnote>
  <w:footnote w:id="2550">
    <w:p>
      <w:pPr>
        <w:pStyle w:val="Funote"/>
        <w:rPr/>
      </w:pPr>
      <w:r>
        <w:rPr>
          <w:rStyle w:val="Funotenzeichen"/>
        </w:rPr>
        <w:footnoteRef/>
      </w:r>
      <w:r>
        <w:rPr/>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551">
    <w:p>
      <w:pPr>
        <w:pStyle w:val="Funote"/>
        <w:rPr/>
      </w:pPr>
      <w:r>
        <w:rPr>
          <w:rStyle w:val="Funotenzeichen"/>
        </w:rPr>
        <w:footnoteRef/>
      </w:r>
      <w:r>
        <w:rPr/>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solche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552">
    <w:p>
      <w:pPr>
        <w:pStyle w:val="Funote"/>
        <w:rPr/>
      </w:pPr>
      <w:r>
        <w:rPr>
          <w:rStyle w:val="Funotenzeichen"/>
        </w:rPr>
        <w:footnoteRef/>
      </w:r>
      <w:r>
        <w:rPr/>
        <w:tab/>
        <w:t>purpurn - Purpur war in der Antike noch wertvoller als Gold, da es mühsamst aus der Purpurschnecke gewonnen werden musste (vgl. Barbiero 2011, S. 154f.).</w:t>
      </w:r>
    </w:p>
  </w:footnote>
  <w:footnote w:id="2553">
    <w:p>
      <w:pPr>
        <w:pStyle w:val="Funote"/>
        <w:rPr/>
      </w:pPr>
      <w:r>
        <w:rPr>
          <w:rStyle w:val="Funotenzeichen"/>
        </w:rPr>
        <w:footnoteRef/>
      </w:r>
      <w:r>
        <w:rPr/>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554">
    <w:p>
      <w:pPr>
        <w:pStyle w:val="Funote"/>
        <w:rPr/>
      </w:pPr>
      <w:r>
        <w:rPr>
          <w:rStyle w:val="Funotenzeichen"/>
        </w:rPr>
        <w:footnoteRef/>
      </w:r>
      <w:r>
        <w:rPr/>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555">
    <w:p>
      <w:pPr>
        <w:pStyle w:val="Funote"/>
        <w:rPr/>
      </w:pPr>
      <w:r>
        <w:rPr>
          <w:rStyle w:val="Funotenzeichen"/>
        </w:rPr>
        <w:footnoteRef/>
      </w:r>
      <w:r>
        <w:rPr>
          <w:i/>
        </w:rPr>
        <w:tab/>
        <w:t>Töchter Zions</w:t>
      </w:r>
      <w:r>
        <w:rPr/>
        <w:t xml:space="preserve"> - „Zion“ = poetischer Name für Jerusalem; „Töchter Zions“ = daher ebenfalls „Jerusalemerinnen“.</w:t>
      </w:r>
    </w:p>
  </w:footnote>
  <w:footnote w:id="2556">
    <w:p>
      <w:pPr>
        <w:pStyle w:val="Funote"/>
        <w:rPr/>
      </w:pPr>
      <w:r>
        <w:rPr>
          <w:rStyle w:val="Funotenzeichen"/>
        </w:rPr>
        <w:footnoteRef/>
      </w:r>
      <w:r>
        <w:rPr>
          <w:i/>
        </w:rPr>
        <w:tab/>
        <w:t>Krone</w:t>
      </w:r>
      <w:r>
        <w:rPr/>
        <w:t xml:space="preserve"> - Zum Brauch der Krönung des Brautpaares zu ihrer Hochzeit s. noch </w:t>
      </w:r>
      <w:hyperlink r:id="rId214">
        <w:r>
          <w:rPr>
            <w:rStyle w:val="Internetverknpfung"/>
          </w:rPr>
          <w:t>Jes 61,10</w:t>
        </w:r>
      </w:hyperlink>
      <w:r>
        <w:rPr/>
        <w:t xml:space="preserve">; </w:t>
      </w:r>
      <w:r>
        <w:fldChar w:fldCharType="begin"/>
      </w:r>
      <w:r>
        <w:rPr>
          <w:rStyle w:val="Internetverknpfung"/>
        </w:rPr>
        <w:instrText> HYPERLINK "../../../../../../../../../wiki/Ezechiel_16" \l "s8"</w:instrText>
      </w:r>
      <w:r>
        <w:rPr>
          <w:rStyle w:val="Internetverknpfung"/>
        </w:rPr>
        <w:fldChar w:fldCharType="separate"/>
      </w:r>
      <w:r>
        <w:rPr>
          <w:rStyle w:val="Internetverknpfung"/>
        </w:rPr>
        <w:t>Ez 16,8</w:t>
      </w:r>
      <w:r>
        <w:rPr>
          <w:rStyle w:val="Internetverknpfung"/>
        </w:rPr>
        <w:fldChar w:fldCharType="end"/>
      </w:r>
      <w:r>
        <w:rPr/>
        <w:t>.</w:t>
      </w:r>
      <w:r>
        <w:fldChar w:fldCharType="begin"/>
      </w:r>
      <w:r>
        <w:rPr>
          <w:rStyle w:val="Internetverknpfung"/>
        </w:rPr>
        <w:instrText> HYPERLINK "../../../../../../../../../wiki/Ezechiel_16" \l "s12"</w:instrText>
      </w:r>
      <w:r>
        <w:rPr>
          <w:rStyle w:val="Internetverknpfung"/>
        </w:rPr>
        <w:fldChar w:fldCharType="separate"/>
      </w:r>
      <w:r>
        <w:rPr>
          <w:rStyle w:val="Internetverknpfung"/>
        </w:rPr>
        <w:t>12</w:t>
      </w:r>
      <w:r>
        <w:rPr>
          <w:rStyle w:val="Internetverknpfung"/>
        </w:rPr>
        <w:fldChar w:fldCharType="end"/>
      </w:r>
      <w:r>
        <w:rPr/>
        <w:t xml:space="preserve">; </w:t>
      </w:r>
      <w:hyperlink r:id="rId215">
        <w:r>
          <w:rPr>
            <w:rStyle w:val="Internetverknpfung"/>
          </w:rPr>
          <w:t>3 Makk 4,8</w:t>
        </w:r>
      </w:hyperlink>
      <w:r>
        <w:rPr/>
        <w:t xml:space="preserve">; m.Sot ix 14; b.Sot 49a. Davon, dass diese Krönung die Aufgabe der </w:t>
      </w:r>
      <w:r>
        <w:rPr>
          <w:i/>
        </w:rPr>
        <w:t>Mutter</w:t>
      </w:r>
      <w:r>
        <w:rPr/>
        <w:t xml:space="preserve"> wäre, ist allerdings außerhalb des Hld nichts überliefert.</w:t>
      </w:r>
    </w:p>
  </w:footnote>
  <w:footnote w:id="2557">
    <w:p>
      <w:pPr>
        <w:pStyle w:val="Funote"/>
        <w:rPr>
          <w:lang w:bidi="he-IL"/>
        </w:rPr>
      </w:pPr>
      <w:r>
        <w:rPr>
          <w:rStyle w:val="Funotenzeichen"/>
        </w:rPr>
        <w:footnoteRef/>
      </w:r>
      <w:r>
        <w:rPr>
          <w:rtl w:val="true"/>
          <w:lang w:bidi="he-IL"/>
        </w:rPr>
        <w:tab/>
        <w:t>שַׁלְהֶ֥בֶתְיָֽה</w:t>
      </w:r>
    </w:p>
  </w:footnote>
  <w:footnote w:id="2558">
    <w:p>
      <w:pPr>
        <w:pStyle w:val="Funote"/>
        <w:rPr/>
      </w:pPr>
      <w:r>
        <w:rPr>
          <w:rStyle w:val="Funotenzeichen"/>
        </w:rPr>
        <w:footnoteRef/>
      </w:r>
      <w:r>
        <w:rPr/>
        <w:tab/>
        <w:t>Genau diese Bezeichnung findet sich auch für den Herr eines Rechtsverfahrens</w:t>
      </w:r>
    </w:p>
  </w:footnote>
  <w:footnote w:id="2559">
    <w:p>
      <w:pPr>
        <w:pStyle w:val="Funote"/>
        <w:rPr/>
      </w:pPr>
      <w:r>
        <w:rPr>
          <w:rStyle w:val="Funotenzeichen"/>
        </w:rPr>
        <w:footnoteRef/>
      </w:r>
      <w:r>
        <w:rPr/>
        <w:tab/>
        <w:t>[Status: Ungeprüft]</w:t>
      </w:r>
    </w:p>
  </w:footnote>
  <w:footnote w:id="2560">
    <w:p>
      <w:pPr>
        <w:pStyle w:val="Funote"/>
        <w:rPr/>
      </w:pPr>
      <w:r>
        <w:rPr>
          <w:rStyle w:val="Funotenzeichen"/>
        </w:rPr>
        <w:footnoteRef/>
      </w:r>
      <w:r>
        <w:rPr/>
        <w:tab/>
        <w:t>Im Hebräischen steht hier ein anderes Wort als im ersten Halbsatz</w:t>
      </w:r>
    </w:p>
  </w:footnote>
  <w:footnote w:id="2561">
    <w:p>
      <w:pPr>
        <w:pStyle w:val="Funote"/>
        <w:rPr/>
      </w:pPr>
      <w:r>
        <w:rPr>
          <w:rStyle w:val="Funotenzeichen"/>
        </w:rPr>
        <w:footnoteRef/>
      </w:r>
      <w:r>
        <w:rPr/>
        <w:tab/>
        <w:t xml:space="preserve">hier steht nicht der Gottesname, sondern Adonai: </w:t>
      </w:r>
      <w:r>
        <w:rPr>
          <w:rtl w:val="true"/>
          <w:lang w:bidi="he-IL"/>
        </w:rPr>
        <w:t>אֲדֹנָ֗י</w:t>
      </w:r>
      <w:r>
        <w:rPr/>
        <w:t xml:space="preserve"> </w:t>
      </w:r>
    </w:p>
  </w:footnote>
  <w:footnote w:id="2562">
    <w:p>
      <w:pPr>
        <w:pStyle w:val="Funote"/>
        <w:rPr/>
      </w:pPr>
      <w:r>
        <w:rPr>
          <w:rStyle w:val="Funotenzeichen"/>
        </w:rPr>
        <w:footnoteRef/>
      </w:r>
      <w:r>
        <w:rPr/>
        <w:tab/>
        <w:t>D.h. herbe, säuerliche Trauben.</w:t>
      </w:r>
    </w:p>
  </w:footnote>
  <w:footnote w:id="2563">
    <w:p>
      <w:pPr>
        <w:pStyle w:val="Funote"/>
        <w:rPr/>
      </w:pPr>
      <w:r>
        <w:rPr>
          <w:rStyle w:val="Funotenzeichen"/>
        </w:rPr>
        <w:footnoteRef/>
      </w:r>
      <w:r>
        <w:rPr/>
        <w:tab/>
        <w:t>[Status: Ungeprüft]</w:t>
      </w:r>
    </w:p>
  </w:footnote>
  <w:footnote w:id="2564">
    <w:p>
      <w:pPr>
        <w:pStyle w:val="Funote"/>
        <w:rPr/>
      </w:pPr>
      <w:r>
        <w:rPr>
          <w:rStyle w:val="Funotenzeichen"/>
        </w:rPr>
        <w:footnoteRef/>
      </w:r>
      <w:r>
        <w:rPr/>
        <w:tab/>
        <w:t>wörtlich: seine Schleppe/sein Saum, gewöhnlich wird aber das Kleid mitübersetzt, deshalb ist vermutlich „der Saum seines Kleides“ die beste Variante.</w:t>
      </w:r>
    </w:p>
  </w:footnote>
  <w:footnote w:id="2565">
    <w:p>
      <w:pPr>
        <w:pStyle w:val="Funote"/>
        <w:rPr/>
      </w:pPr>
      <w:r>
        <w:rPr>
          <w:rStyle w:val="Funotenzeichen"/>
        </w:rPr>
        <w:footnoteRef/>
      </w:r>
      <w:r>
        <w:rPr/>
        <w:tab/>
        <w:t>Partizip: sind sich aufstellende, aufgrund des Plurals ist das Partizip aber eindeutig auf die Serafim bezogen</w:t>
      </w:r>
    </w:p>
  </w:footnote>
  <w:footnote w:id="2566">
    <w:p>
      <w:pPr>
        <w:pStyle w:val="Funote"/>
        <w:rPr/>
      </w:pPr>
      <w:r>
        <w:rPr>
          <w:rStyle w:val="Funotenzeichen"/>
        </w:rPr>
        <w:footnoteRef/>
      </w:r>
      <w:r>
        <w:rPr/>
        <w:tab/>
        <w:t>Eine Wiederholung, die nicht mitübersetzt werden muss</w:t>
      </w:r>
    </w:p>
  </w:footnote>
  <w:footnote w:id="2567">
    <w:p>
      <w:pPr>
        <w:pStyle w:val="Funote"/>
        <w:rPr/>
      </w:pPr>
      <w:r>
        <w:rPr>
          <w:rStyle w:val="Funotenzeichen"/>
        </w:rPr>
        <w:footnoteRef/>
      </w:r>
      <w:r>
        <w:rPr/>
        <w:tab/>
        <w:t xml:space="preserve">das Wort </w:t>
      </w:r>
      <w:r>
        <w:rPr>
          <w:rtl w:val="true"/>
          <w:lang w:bidi="he-IL"/>
        </w:rPr>
        <w:t>נִדְמֵ֗יתִי</w:t>
      </w:r>
      <w:r>
        <w:rPr/>
        <w:t xml:space="preserve"> </w:t>
      </w:r>
      <w:r>
        <w:rPr/>
        <w:t>ist ein gebräuchlicher Ausdruck eines Menschen vor Gott. (nach Beuken)</w:t>
      </w:r>
    </w:p>
  </w:footnote>
  <w:footnote w:id="2568">
    <w:p>
      <w:pPr>
        <w:pStyle w:val="Funote"/>
        <w:rPr/>
      </w:pPr>
      <w:r>
        <w:rPr>
          <w:rStyle w:val="Funotenzeichen"/>
        </w:rPr>
        <w:footnoteRef/>
      </w:r>
      <w:r>
        <w:rPr/>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569">
    <w:p>
      <w:pPr>
        <w:pStyle w:val="Funote"/>
        <w:rPr/>
      </w:pPr>
      <w:r>
        <w:rPr>
          <w:rStyle w:val="Funotenzeichen"/>
        </w:rPr>
        <w:footnoteRef/>
      </w:r>
      <w:r>
        <w:rPr/>
        <w:tab/>
        <w:t>[Status: Ungeprüft]</w:t>
      </w:r>
    </w:p>
  </w:footnote>
  <w:footnote w:id="2570">
    <w:p>
      <w:pPr>
        <w:pStyle w:val="Funote"/>
        <w:rPr/>
      </w:pPr>
      <w:r>
        <w:rPr>
          <w:rStyle w:val="Funotenzeichen"/>
        </w:rPr>
        <w:footnoteRef/>
      </w:r>
      <w:r>
        <w:rPr/>
        <w:tab/>
        <w:t>Nördlich des Tempelberges.</w:t>
      </w:r>
    </w:p>
  </w:footnote>
  <w:footnote w:id="2571">
    <w:p>
      <w:pPr>
        <w:pStyle w:val="Funote"/>
        <w:rPr/>
      </w:pPr>
      <w:r>
        <w:rPr>
          <w:rStyle w:val="Funotenzeichen"/>
        </w:rPr>
        <w:footnoteRef/>
      </w:r>
      <w:r>
        <w:rPr/>
        <w:tab/>
        <w:t>Wörtlich übersetzt bedeutet der Name „Gutnicht“ oder „Tunichtgut“.</w:t>
      </w:r>
    </w:p>
  </w:footnote>
  <w:footnote w:id="2572">
    <w:p>
      <w:pPr>
        <w:pStyle w:val="Funote"/>
        <w:rPr/>
      </w:pPr>
      <w:r>
        <w:rPr>
          <w:rStyle w:val="Funotenzeichen"/>
        </w:rPr>
        <w:footnoteRef/>
      </w:r>
      <w:r>
        <w:rPr/>
        <w:tab/>
        <w:t>„</w:t>
      </w:r>
      <w:r>
        <w:rPr/>
        <w:t xml:space="preserve">Glauben“ und „Bestand“ haben im Hebräischen die gleiche Wurzel: </w:t>
      </w:r>
      <w:r>
        <w:rPr>
          <w:rtl w:val="true"/>
          <w:lang w:bidi="he-IL"/>
        </w:rPr>
        <w:t>אמן</w:t>
      </w:r>
      <w:r>
        <w:rPr/>
        <w:t>.</w:t>
      </w:r>
    </w:p>
  </w:footnote>
  <w:footnote w:id="2573">
    <w:p>
      <w:pPr>
        <w:pStyle w:val="Funote"/>
        <w:rPr/>
      </w:pPr>
      <w:r>
        <w:rPr>
          <w:rStyle w:val="Funotenzeichen"/>
        </w:rPr>
        <w:footnoteRef/>
      </w:r>
      <w:r>
        <w:rPr/>
        <w:tab/>
        <w:t xml:space="preserve">Schwiegervater von </w:t>
      </w:r>
      <w:hyperlink r:id="rId216">
        <w:r>
          <w:rPr>
            <w:rStyle w:val="Internetverknpfung"/>
          </w:rPr>
          <w:t>Ahas</w:t>
        </w:r>
      </w:hyperlink>
    </w:p>
  </w:footnote>
  <w:footnote w:id="2574">
    <w:p>
      <w:pPr>
        <w:pStyle w:val="Funote"/>
        <w:rPr/>
      </w:pPr>
      <w:r>
        <w:rPr>
          <w:rStyle w:val="Funotenzeichen"/>
        </w:rPr>
        <w:footnoteRef/>
      </w:r>
      <w:r>
        <w:rPr/>
        <w:tab/>
        <w:t>Wörtlich: „das Volk, die wandeln“ (Part. Pl.; constructio ad sensum)</w:t>
      </w:r>
    </w:p>
  </w:footnote>
  <w:footnote w:id="2575">
    <w:p>
      <w:pPr>
        <w:pStyle w:val="Funote"/>
        <w:rPr/>
      </w:pPr>
      <w:r>
        <w:rPr>
          <w:rStyle w:val="Funotenzeichen"/>
        </w:rPr>
        <w:footnoteRef/>
      </w:r>
      <w:r>
        <w:rPr/>
        <w:tab/>
        <w:t xml:space="preserve">Hier wird das gleiche Wort für Dunkelheit verwendet, wie in </w:t>
      </w:r>
      <w:hyperlink r:id="rId217">
        <w:r>
          <w:rPr>
            <w:rStyle w:val="Internetverknpfung"/>
          </w:rPr>
          <w:t>Genesis 1</w:t>
        </w:r>
      </w:hyperlink>
      <w:r>
        <w:rPr/>
        <w:t>.</w:t>
      </w:r>
    </w:p>
  </w:footnote>
  <w:footnote w:id="2576">
    <w:p>
      <w:pPr>
        <w:pStyle w:val="Funote"/>
        <w:rPr/>
      </w:pPr>
      <w:r>
        <w:rPr>
          <w:rStyle w:val="Funotenzeichen"/>
        </w:rPr>
        <w:footnoteRef/>
      </w:r>
      <w:r>
        <w:rPr/>
        <w:tab/>
        <w:t>Ein aus den Wörtern Schatten und Tod zusammengesetztes Wort.</w:t>
      </w:r>
    </w:p>
  </w:footnote>
  <w:footnote w:id="2577">
    <w:p>
      <w:pPr>
        <w:pStyle w:val="Funote"/>
        <w:rPr/>
      </w:pPr>
      <w:r>
        <w:rPr>
          <w:rStyle w:val="Funotenzeichen"/>
        </w:rPr>
        <w:footnoteRef/>
      </w:r>
      <w:r>
        <w:rPr/>
        <w:tab/>
        <w:t>Hier ist immer noch das Volk gemeint, das wechselseitig mit dem Sg und dem Pl bezeichnet wird.</w:t>
      </w:r>
    </w:p>
  </w:footnote>
  <w:footnote w:id="2578">
    <w:p>
      <w:pPr>
        <w:pStyle w:val="Funote"/>
        <w:rPr/>
      </w:pPr>
      <w:r>
        <w:rPr>
          <w:rStyle w:val="Funotenzeichen"/>
        </w:rPr>
        <w:footnoteRef/>
      </w:r>
      <w:r>
        <w:rPr/>
        <w:tab/>
        <w:t>Hi. Inf.</w:t>
      </w:r>
    </w:p>
  </w:footnote>
  <w:footnote w:id="2579">
    <w:p>
      <w:pPr>
        <w:pStyle w:val="Funote"/>
        <w:rPr/>
      </w:pPr>
      <w:r>
        <w:rPr>
          <w:rStyle w:val="Funotenzeichen"/>
        </w:rPr>
        <w:footnoteRef/>
      </w:r>
      <w:r>
        <w:rPr/>
        <w:tab/>
        <w:t>Isai ist der Vater von David</w:t>
      </w:r>
    </w:p>
  </w:footnote>
  <w:footnote w:id="2580">
    <w:p>
      <w:pPr>
        <w:pStyle w:val="Funote"/>
        <w:rPr/>
      </w:pPr>
      <w:r>
        <w:rPr>
          <w:rStyle w:val="Funotenzeichen"/>
        </w:rPr>
        <w:footnoteRef/>
      </w:r>
      <w:r>
        <w:rPr/>
        <w:tab/>
        <w:t>komplizierter hebräischer Ausdruck, wörtl.: Und sein riechen lassen ist die Furcht JHWHs. D.h., dass er JHWH nicht durch Rauchopfer gefällt, sondern allein durch Furcht vor ihm</w:t>
      </w:r>
    </w:p>
  </w:footnote>
  <w:footnote w:id="2581">
    <w:p>
      <w:pPr>
        <w:pStyle w:val="Funote"/>
        <w:rPr/>
      </w:pPr>
      <w:r>
        <w:rPr>
          <w:rStyle w:val="Funotenzeichen"/>
        </w:rPr>
        <w:footnoteRef/>
      </w:r>
      <w:r>
        <w:rPr/>
        <w:tab/>
        <w:t>natürlich wäre JHWH-Furcht genauer, allerdings kaum verständlich</w:t>
      </w:r>
    </w:p>
  </w:footnote>
  <w:footnote w:id="2582">
    <w:p>
      <w:pPr>
        <w:pStyle w:val="Funote"/>
        <w:rPr/>
      </w:pPr>
      <w:r>
        <w:rPr>
          <w:rStyle w:val="Funotenzeichen"/>
        </w:rPr>
        <w:footnoteRef/>
      </w:r>
      <w:hyperlink r:id="rId218">
        <w:r>
          <w:rPr>
            <w:rStyle w:val="Internetverknpfung"/>
          </w:rPr>
          <w:tab/>
          <w:t>AK</w:t>
        </w:r>
      </w:hyperlink>
      <w:r>
        <w:rPr/>
        <w:t xml:space="preserve"> </w:t>
      </w:r>
      <w:hyperlink r:id="rId219">
        <w:r>
          <w:rPr>
            <w:rStyle w:val="Internetverknpfung"/>
          </w:rPr>
          <w:t>Hifil</w:t>
        </w:r>
      </w:hyperlink>
      <w:r>
        <w:rPr/>
        <w:t xml:space="preserve"> von </w:t>
      </w:r>
      <w:r>
        <w:rPr>
          <w:rtl w:val="true"/>
          <w:lang w:bidi="he-IL"/>
        </w:rPr>
        <w:t>ריח</w:t>
      </w:r>
      <w:r>
        <w:rPr/>
        <w:t xml:space="preserve"> </w:t>
      </w:r>
    </w:p>
  </w:footnote>
  <w:footnote w:id="2583">
    <w:p>
      <w:pPr>
        <w:pStyle w:val="Funote"/>
        <w:rPr/>
      </w:pPr>
      <w:r>
        <w:rPr>
          <w:rStyle w:val="Funotenzeichen"/>
        </w:rPr>
        <w:footnoteRef/>
      </w:r>
      <w:r>
        <w:rPr/>
        <w:tab/>
        <w:t>[Status: Ungeprüft]</w:t>
      </w:r>
    </w:p>
  </w:footnote>
  <w:footnote w:id="2584">
    <w:p>
      <w:pPr>
        <w:pStyle w:val="Funote"/>
        <w:rPr/>
      </w:pPr>
      <w:r>
        <w:rPr>
          <w:rStyle w:val="Funotenzeichen"/>
        </w:rPr>
        <w:footnoteRef/>
      </w:r>
      <w:r>
        <w:rPr/>
        <w:tab/>
        <w:t>Die Verben dieses Verses stehen im Imperfekt. Da es sich um einen Blick in die Zukunft handelt, ist das Imperfekt hier futurisch zu übersetzen</w:t>
      </w:r>
    </w:p>
  </w:footnote>
  <w:footnote w:id="2585">
    <w:p>
      <w:pPr>
        <w:pStyle w:val="Funote"/>
        <w:rPr/>
      </w:pPr>
      <w:r>
        <w:rPr>
          <w:rStyle w:val="Funotenzeichen"/>
        </w:rPr>
        <w:footnoteRef/>
      </w:r>
      <w:r>
        <w:rPr>
          <w:rtl w:val="true"/>
          <w:lang w:bidi="he-IL"/>
        </w:rPr>
        <w:tab/>
        <w:t>ציה</w:t>
      </w:r>
      <w:r>
        <w:rPr/>
        <w:t xml:space="preserve"> </w:t>
      </w:r>
      <w:r>
        <w:rPr/>
        <w:t>ist ein Synonym für Wüste (</w:t>
      </w:r>
      <w:r>
        <w:rPr>
          <w:rtl w:val="true"/>
          <w:lang w:bidi="he-IL"/>
        </w:rPr>
        <w:t>מדבר</w:t>
      </w:r>
      <w:r>
        <w:rPr/>
        <w:t>)</w:t>
      </w:r>
    </w:p>
  </w:footnote>
  <w:footnote w:id="2586">
    <w:p>
      <w:pPr>
        <w:pStyle w:val="Funote"/>
        <w:rPr/>
      </w:pPr>
      <w:r>
        <w:rPr>
          <w:rStyle w:val="Funotenzeichen"/>
        </w:rPr>
        <w:footnoteRef/>
      </w:r>
      <w:r>
        <w:rPr/>
        <w:tab/>
        <w:t>ein weiteres Synonym</w:t>
      </w:r>
    </w:p>
  </w:footnote>
  <w:footnote w:id="2587">
    <w:p>
      <w:pPr>
        <w:pStyle w:val="Funote"/>
        <w:rPr/>
      </w:pPr>
      <w:r>
        <w:rPr>
          <w:rStyle w:val="Funotenzeichen"/>
        </w:rPr>
        <w:footnoteRef/>
      </w:r>
      <w:r>
        <w:rPr/>
        <w:tab/>
        <w:t xml:space="preserve">Es handelt sich um ein Affodill, s. </w:t>
      </w:r>
      <w:hyperlink r:id="rId220">
        <w:r>
          <w:rPr>
            <w:rStyle w:val="Internetverknpfung"/>
          </w:rPr>
          <w:t>http://de.wikipedia.org/wiki/Affodill</w:t>
        </w:r>
      </w:hyperlink>
    </w:p>
  </w:footnote>
  <w:footnote w:id="2588">
    <w:p>
      <w:pPr>
        <w:pStyle w:val="Funote"/>
        <w:rPr/>
      </w:pPr>
      <w:r>
        <w:rPr>
          <w:rStyle w:val="Funotenzeichen"/>
        </w:rPr>
        <w:footnoteRef/>
      </w:r>
      <w:r>
        <w:rPr/>
        <w:tab/>
        <w:t>Die Kombination von absolutem Infinitiv und finitem Verb bezeichnet man als figura etymologica, s. Schneider, Grammatik, 50.4.2, die dem Verbalausdruck besonderen Nachdruck gibt, hier mit Ja wiederzugeben versucht</w:t>
      </w:r>
    </w:p>
  </w:footnote>
  <w:footnote w:id="2589">
    <w:p>
      <w:pPr>
        <w:pStyle w:val="Funote"/>
        <w:rPr/>
      </w:pPr>
      <w:r>
        <w:rPr>
          <w:rStyle w:val="Funotenzeichen"/>
        </w:rPr>
        <w:footnoteRef/>
      </w:r>
      <w:r>
        <w:rPr/>
        <w:tab/>
        <w:t xml:space="preserve">Es handelt sich hier natürlich um das Gebirge, </w:t>
      </w:r>
      <w:hyperlink r:id="rId221">
        <w:r>
          <w:rPr>
            <w:rStyle w:val="Internetverknpfung"/>
          </w:rPr>
          <w:t>http://de.wikipedia.org/wiki/Libanon_(Gebirge)</w:t>
        </w:r>
      </w:hyperlink>
    </w:p>
  </w:footnote>
  <w:footnote w:id="2590">
    <w:p>
      <w:pPr>
        <w:pStyle w:val="Funote"/>
        <w:rPr/>
      </w:pPr>
      <w:r>
        <w:rPr>
          <w:rStyle w:val="Funotenzeichen"/>
        </w:rPr>
        <w:footnoteRef/>
      </w:r>
      <w:r>
        <w:rPr/>
        <w:tab/>
        <w:t xml:space="preserve">s. </w:t>
      </w:r>
      <w:hyperlink r:id="rId222">
        <w:r>
          <w:rPr>
            <w:rStyle w:val="Internetverknpfung"/>
          </w:rPr>
          <w:t>http://de.wikipedia.org/wiki/Karmel_(Gebirge)</w:t>
        </w:r>
      </w:hyperlink>
    </w:p>
  </w:footnote>
  <w:footnote w:id="2591">
    <w:p>
      <w:pPr>
        <w:pStyle w:val="Funote"/>
        <w:rPr/>
      </w:pPr>
      <w:r>
        <w:rPr>
          <w:rStyle w:val="Funotenzeichen"/>
        </w:rPr>
        <w:footnoteRef/>
      </w:r>
      <w:r>
        <w:rPr/>
        <w:tab/>
        <w:t xml:space="preserve">im Ggs. zu den beiden Bergzügen ein Tal, s. </w:t>
      </w:r>
      <w:hyperlink r:id="rId223">
        <w:r>
          <w:rPr>
            <w:rStyle w:val="Internetverknpfung"/>
          </w:rPr>
          <w:t>http://de.wikipedia.org/wiki/Scharonebenea</w:t>
        </w:r>
      </w:hyperlink>
    </w:p>
  </w:footnote>
  <w:footnote w:id="2592">
    <w:p>
      <w:pPr>
        <w:pStyle w:val="Funote"/>
        <w:rPr/>
      </w:pPr>
      <w:r>
        <w:rPr>
          <w:rStyle w:val="Funotenzeichen"/>
        </w:rPr>
        <w:footnoteRef/>
      </w:r>
      <w:r>
        <w:rPr/>
        <w:tab/>
        <w:t xml:space="preserve">Synonym zu </w:t>
      </w:r>
      <w:r>
        <w:rPr>
          <w:rtl w:val="true"/>
          <w:lang w:bidi="he-IL"/>
        </w:rPr>
        <w:t>כבוד</w:t>
      </w:r>
      <w:r>
        <w:rPr/>
        <w:t>, Herrlichkeit</w:t>
      </w:r>
    </w:p>
  </w:footnote>
  <w:footnote w:id="2593">
    <w:p>
      <w:pPr>
        <w:pStyle w:val="Funote"/>
        <w:rPr/>
      </w:pPr>
      <w:r>
        <w:rPr>
          <w:rStyle w:val="Funotenzeichen"/>
        </w:rPr>
        <w:footnoteRef/>
      </w:r>
      <w:r>
        <w:rPr/>
        <w:tab/>
        <w:t>Dual, auch im Folgenden: es geht um die zwei Hände eines Menschen</w:t>
      </w:r>
    </w:p>
  </w:footnote>
  <w:footnote w:id="2594">
    <w:p>
      <w:pPr>
        <w:pStyle w:val="Funote"/>
        <w:rPr/>
      </w:pPr>
      <w:r>
        <w:rPr>
          <w:rStyle w:val="Funotenzeichen"/>
        </w:rPr>
        <w:footnoteRef/>
      </w:r>
      <w:r>
        <w:rPr/>
        <w:tab/>
        <w:t>Partizip</w:t>
      </w:r>
    </w:p>
  </w:footnote>
  <w:footnote w:id="2595">
    <w:p>
      <w:pPr>
        <w:pStyle w:val="Funote"/>
        <w:rPr/>
      </w:pPr>
      <w:r>
        <w:rPr>
          <w:rStyle w:val="Funotenzeichen"/>
        </w:rPr>
        <w:footnoteRef/>
      </w:r>
      <w:r>
        <w:rPr/>
        <w:tab/>
        <w:t>eigentlich: sich überstürzenden = Herzrasen, z.B. vor Furcht</w:t>
      </w:r>
    </w:p>
  </w:footnote>
  <w:footnote w:id="2596">
    <w:p>
      <w:pPr>
        <w:pStyle w:val="Funote"/>
        <w:rPr/>
      </w:pPr>
      <w:r>
        <w:rPr>
          <w:rStyle w:val="Funotenzeichen"/>
        </w:rPr>
        <w:footnoteRef/>
      </w:r>
      <w:r>
        <w:rPr/>
        <w:tab/>
        <w:t>synonymer Ausdruck zur ersten Hälfte des Verses</w:t>
      </w:r>
    </w:p>
  </w:footnote>
  <w:footnote w:id="2597">
    <w:p>
      <w:pPr>
        <w:pStyle w:val="Funote"/>
        <w:rPr/>
      </w:pPr>
      <w:r>
        <w:rPr>
          <w:rStyle w:val="Funotenzeichen"/>
        </w:rPr>
        <w:footnoteRef/>
      </w:r>
      <w:r>
        <w:rPr>
          <w:rtl w:val="true"/>
          <w:lang w:bidi="he-IL"/>
        </w:rPr>
        <w:tab/>
        <w:t>שרב</w:t>
      </w:r>
      <w:r>
        <w:rPr/>
        <w:t xml:space="preserve"> </w:t>
      </w:r>
      <w:r>
        <w:rPr/>
        <w:t>bezeichnet das Flirren, das bei Sonnenhitze entsteht (Fata Morgana). Es erweckt den Eindruck von Wasserflächen in der Wüste</w:t>
      </w:r>
    </w:p>
  </w:footnote>
  <w:footnote w:id="2598">
    <w:p>
      <w:pPr>
        <w:pStyle w:val="Funote"/>
        <w:rPr/>
      </w:pPr>
      <w:r>
        <w:rPr>
          <w:rStyle w:val="Funotenzeichen"/>
        </w:rPr>
        <w:footnoteRef/>
      </w:r>
      <w:r>
        <w:rPr/>
        <w:tab/>
        <w:t>das Wort leitet sich von Durst her, also etwa: dürstendes Land</w:t>
      </w:r>
    </w:p>
  </w:footnote>
  <w:footnote w:id="2599">
    <w:p>
      <w:pPr>
        <w:pStyle w:val="Funote"/>
        <w:rPr/>
      </w:pPr>
      <w:r>
        <w:rPr>
          <w:rStyle w:val="Funotenzeichen"/>
        </w:rPr>
        <w:footnoteRef/>
      </w:r>
      <w:r>
        <w:rPr/>
        <w:tab/>
        <w:t xml:space="preserve">Präposition </w:t>
      </w:r>
      <w:r>
        <w:rPr>
          <w:rtl w:val="true"/>
          <w:lang w:bidi="he-IL"/>
        </w:rPr>
        <w:t>בְ</w:t>
      </w:r>
    </w:p>
  </w:footnote>
  <w:footnote w:id="2600">
    <w:p>
      <w:pPr>
        <w:pStyle w:val="Funote"/>
        <w:rPr/>
      </w:pPr>
      <w:r>
        <w:rPr>
          <w:rStyle w:val="Funotenzeichen"/>
        </w:rPr>
        <w:footnoteRef/>
      </w:r>
      <w:r>
        <w:rPr/>
        <w:tab/>
        <w:t>eig.: Weideplatz, Stätte</w:t>
      </w:r>
    </w:p>
  </w:footnote>
  <w:footnote w:id="2601">
    <w:p>
      <w:pPr>
        <w:pStyle w:val="Funote"/>
        <w:rPr/>
      </w:pPr>
      <w:r>
        <w:rPr>
          <w:rStyle w:val="Funotenzeichen"/>
        </w:rPr>
        <w:footnoteRef/>
      </w:r>
      <w:r>
        <w:rPr/>
        <w:tab/>
        <w:t>als Schreibgerät? als Dachbedeckung, vgl. Reet?</w:t>
      </w:r>
    </w:p>
  </w:footnote>
  <w:footnote w:id="2602">
    <w:p>
      <w:pPr>
        <w:pStyle w:val="Funote"/>
        <w:rPr/>
      </w:pPr>
      <w:r>
        <w:rPr>
          <w:rStyle w:val="Funotenzeichen"/>
        </w:rPr>
        <w:footnoteRef/>
      </w:r>
      <w:r>
        <w:rPr/>
        <w:tab/>
        <w:t xml:space="preserve">das waw </w:t>
      </w:r>
      <w:r>
        <w:rPr>
          <w:rtl w:val="true"/>
          <w:lang w:bidi="he-IL"/>
        </w:rPr>
        <w:t>וְ</w:t>
      </w:r>
      <w:r>
        <w:rPr/>
        <w:t xml:space="preserve"> </w:t>
      </w:r>
      <w:r>
        <w:rPr/>
        <w:t>ist hier adversativ zu übersetzen, vgl. Schneider, Grammatik 53.1.1.2</w:t>
      </w:r>
    </w:p>
  </w:footnote>
  <w:footnote w:id="2603">
    <w:p>
      <w:pPr>
        <w:pStyle w:val="Funote"/>
        <w:rPr/>
      </w:pPr>
      <w:r>
        <w:rPr>
          <w:rStyle w:val="Funotenzeichen"/>
        </w:rPr>
        <w:footnoteRef/>
      </w:r>
      <w:r>
        <w:rPr/>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604">
    <w:p>
      <w:pPr>
        <w:pStyle w:val="Funote"/>
        <w:rPr/>
      </w:pPr>
      <w:r>
        <w:rPr>
          <w:rStyle w:val="Funotenzeichen"/>
        </w:rPr>
        <w:footnoteRef/>
      </w:r>
      <w:r>
        <w:rPr/>
        <w:tab/>
        <w:t>Partizip, relativisch aufgelöst</w:t>
      </w:r>
    </w:p>
  </w:footnote>
  <w:footnote w:id="2605">
    <w:p>
      <w:pPr>
        <w:pStyle w:val="Funote"/>
        <w:rPr/>
      </w:pPr>
      <w:r>
        <w:rPr>
          <w:rStyle w:val="Funotenzeichen"/>
        </w:rPr>
        <w:footnoteRef/>
      </w:r>
      <w:r>
        <w:rPr/>
        <w:tab/>
        <w:t>wieder: adversatives waw</w:t>
      </w:r>
    </w:p>
  </w:footnote>
  <w:footnote w:id="2606">
    <w:p>
      <w:pPr>
        <w:pStyle w:val="Funote"/>
        <w:rPr/>
      </w:pPr>
      <w:r>
        <w:rPr>
          <w:rStyle w:val="Funotenzeichen"/>
        </w:rPr>
        <w:footnoteRef/>
      </w:r>
      <w:r>
        <w:rPr/>
        <w:tab/>
        <w:t>wörtl.: räuberische Lebewesen</w:t>
      </w:r>
    </w:p>
  </w:footnote>
  <w:footnote w:id="2607">
    <w:p>
      <w:pPr>
        <w:pStyle w:val="Funote"/>
        <w:rPr/>
      </w:pPr>
      <w:r>
        <w:rPr>
          <w:rStyle w:val="Funotenzeichen"/>
        </w:rPr>
        <w:footnoteRef/>
      </w:r>
      <w:r>
        <w:rPr/>
        <w:tab/>
        <w:t>adversatives waw</w:t>
      </w:r>
    </w:p>
  </w:footnote>
  <w:footnote w:id="2608">
    <w:p>
      <w:pPr>
        <w:pStyle w:val="Funote"/>
        <w:rPr/>
      </w:pPr>
      <w:r>
        <w:rPr>
          <w:rStyle w:val="Funotenzeichen"/>
        </w:rPr>
        <w:footnoteRef/>
      </w:r>
      <w:r>
        <w:rPr/>
        <w:tab/>
        <w:t>Partizip</w:t>
      </w:r>
    </w:p>
  </w:footnote>
  <w:footnote w:id="2609">
    <w:p>
      <w:pPr>
        <w:pStyle w:val="Funote"/>
        <w:rPr/>
      </w:pPr>
      <w:r>
        <w:rPr>
          <w:rStyle w:val="Funotenzeichen"/>
        </w:rPr>
        <w:footnoteRef/>
      </w:r>
      <w:r>
        <w:rPr/>
        <w:tab/>
        <w:t>das Verb steht im Ggs. zum folgenden Verb (fliehen)</w:t>
      </w:r>
    </w:p>
  </w:footnote>
  <w:footnote w:id="2610">
    <w:p>
      <w:pPr>
        <w:pStyle w:val="Funote"/>
        <w:rPr/>
      </w:pPr>
      <w:r>
        <w:rPr>
          <w:rStyle w:val="Funotenzeichen"/>
        </w:rPr>
        <w:footnoteRef/>
      </w:r>
      <w:r>
        <w:rPr/>
        <w:tab/>
        <w:t>waw adversativ gebraucht</w:t>
      </w:r>
    </w:p>
  </w:footnote>
  <w:footnote w:id="2611">
    <w:p>
      <w:pPr>
        <w:pStyle w:val="Funote"/>
        <w:rPr/>
      </w:pPr>
      <w:r>
        <w:rPr>
          <w:rStyle w:val="Funotenzeichen"/>
        </w:rPr>
        <w:footnoteRef/>
      </w:r>
      <w:r>
        <w:rPr/>
        <w:tab/>
        <w:t>[Status: Ungeprüft]</w:t>
      </w:r>
    </w:p>
  </w:footnote>
  <w:footnote w:id="2612">
    <w:p>
      <w:pPr>
        <w:pStyle w:val="Funote"/>
        <w:rPr/>
      </w:pPr>
      <w:r>
        <w:rPr>
          <w:rStyle w:val="Funotenzeichen"/>
        </w:rPr>
        <w:footnoteRef/>
      </w:r>
      <w:r>
        <w:rPr/>
        <w:tab/>
        <w:t>Nominalsatz (Perfekt): Vorausschau/Aufforderung</w:t>
      </w:r>
    </w:p>
  </w:footnote>
  <w:footnote w:id="2613">
    <w:p>
      <w:pPr>
        <w:pStyle w:val="Funote"/>
        <w:rPr/>
      </w:pPr>
      <w:r>
        <w:rPr>
          <w:rStyle w:val="Funotenzeichen"/>
        </w:rPr>
        <w:footnoteRef/>
      </w:r>
      <w:r>
        <w:rPr/>
        <w:tab/>
        <w:t>Konsekutivperfekt: Folgerung/Vorausschau</w:t>
      </w:r>
    </w:p>
  </w:footnote>
  <w:footnote w:id="2614">
    <w:p>
      <w:pPr>
        <w:pStyle w:val="Funote"/>
        <w:rPr/>
      </w:pPr>
      <w:r>
        <w:rPr>
          <w:rStyle w:val="Funotenzeichen"/>
        </w:rPr>
        <w:footnoteRef/>
      </w:r>
      <w:r>
        <w:rPr/>
        <w:tab/>
        <w:t xml:space="preserve">Das hebräische Wort </w:t>
      </w:r>
      <w:r>
        <w:rPr>
          <w:rtl w:val="true"/>
          <w:lang w:bidi="he-IL"/>
        </w:rPr>
        <w:t>כִּי</w:t>
      </w:r>
      <w:r>
        <w:rPr/>
        <w:t xml:space="preserve"> </w:t>
      </w:r>
      <w:r>
        <w:rPr/>
        <w:t>markiert u.A. Bekräftigungen und Folgerungen.</w:t>
      </w:r>
    </w:p>
  </w:footnote>
  <w:footnote w:id="2615">
    <w:p>
      <w:pPr>
        <w:pStyle w:val="Funote"/>
        <w:rPr/>
      </w:pPr>
      <w:r>
        <w:rPr>
          <w:rStyle w:val="Funotenzeichen"/>
        </w:rPr>
        <w:footnoteRef/>
      </w:r>
      <w:r>
        <w:rPr/>
        <w:tab/>
        <w:t>wörtl. Singular „Getier“</w:t>
      </w:r>
    </w:p>
  </w:footnote>
  <w:footnote w:id="2616">
    <w:p>
      <w:pPr>
        <w:pStyle w:val="Funote"/>
        <w:rPr/>
      </w:pPr>
      <w:r>
        <w:rPr>
          <w:rStyle w:val="Funotenzeichen"/>
        </w:rPr>
        <w:footnoteRef/>
      </w:r>
      <w:r>
        <w:rPr/>
        <w:tab/>
        <w:t>wörtl. Brenner, Schmelzer</w:t>
      </w:r>
    </w:p>
  </w:footnote>
  <w:footnote w:id="2617">
    <w:p>
      <w:pPr>
        <w:pStyle w:val="Funote"/>
        <w:rPr/>
      </w:pPr>
      <w:r>
        <w:rPr>
          <w:rStyle w:val="Funotenzeichen"/>
        </w:rPr>
        <w:footnoteRef/>
      </w:r>
      <w:r>
        <w:rPr/>
        <w:tab/>
        <w:t xml:space="preserve">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 </w:t>
      </w:r>
    </w:p>
  </w:footnote>
  <w:footnote w:id="2618">
    <w:p>
      <w:pPr>
        <w:pStyle w:val="Funote"/>
        <w:rPr/>
      </w:pPr>
      <w:r>
        <w:rPr>
          <w:rStyle w:val="Funotenzeichen"/>
        </w:rPr>
        <w:footnoteRef/>
      </w:r>
      <w:r>
        <w:rPr/>
        <w:tab/>
        <w:t>Wörtl. „ein Heiliger“</w:t>
      </w:r>
    </w:p>
  </w:footnote>
  <w:footnote w:id="2619">
    <w:p>
      <w:pPr>
        <w:pStyle w:val="Funote"/>
        <w:rPr/>
      </w:pPr>
      <w:r>
        <w:rPr>
          <w:rStyle w:val="Funotenzeichen"/>
        </w:rPr>
        <w:footnoteRef/>
      </w:r>
      <w:r>
        <w:rPr/>
        <w:tab/>
        <w:t>Betontes „ich“.</w:t>
      </w:r>
    </w:p>
  </w:footnote>
  <w:footnote w:id="2620">
    <w:p>
      <w:pPr>
        <w:pStyle w:val="Funote"/>
        <w:rPr/>
      </w:pPr>
      <w:r>
        <w:rPr>
          <w:rStyle w:val="Funotenzeichen"/>
        </w:rPr>
        <w:footnoteRef/>
      </w:r>
      <w:r>
        <w:rPr/>
        <w:tab/>
        <w:t>Auch: „niemand“.</w:t>
      </w:r>
    </w:p>
  </w:footnote>
  <w:footnote w:id="2621">
    <w:p>
      <w:pPr>
        <w:pStyle w:val="Funote"/>
        <w:rPr/>
      </w:pPr>
      <w:r>
        <w:rPr>
          <w:rStyle w:val="Funotenzeichen"/>
        </w:rPr>
        <w:footnoteRef/>
      </w:r>
      <w:r>
        <w:rPr/>
        <w:tab/>
        <w:t>JHWH</w:t>
      </w:r>
    </w:p>
  </w:footnote>
  <w:footnote w:id="2622">
    <w:p>
      <w:pPr>
        <w:pStyle w:val="Funote"/>
        <w:rPr/>
      </w:pPr>
      <w:r>
        <w:rPr>
          <w:rStyle w:val="Funotenzeichen"/>
        </w:rPr>
        <w:footnoteRef/>
      </w:r>
      <w:r>
        <w:rPr/>
        <w:tab/>
        <w:t>Vermutlich ein casus pendens.</w:t>
      </w:r>
    </w:p>
  </w:footnote>
  <w:footnote w:id="2623">
    <w:p>
      <w:pPr>
        <w:pStyle w:val="Funote"/>
        <w:rPr/>
      </w:pPr>
      <w:r>
        <w:rPr>
          <w:rStyle w:val="Funotenzeichen"/>
        </w:rPr>
        <w:footnoteRef/>
      </w:r>
      <w:r>
        <w:rPr/>
        <w:tab/>
        <w:t>Wortspiel: das hebräische Wort für Feuer erinnert an das positiv konnotierte Wort für Licht.</w:t>
      </w:r>
    </w:p>
  </w:footnote>
  <w:footnote w:id="2624">
    <w:p>
      <w:pPr>
        <w:pStyle w:val="Funote"/>
        <w:rPr/>
      </w:pPr>
      <w:r>
        <w:rPr>
          <w:rStyle w:val="Funotenzeichen"/>
        </w:rPr>
        <w:footnoteRef/>
      </w:r>
      <w:r>
        <w:rPr/>
        <w:tab/>
        <w:t>Die Erwähnung der Hand erinnert an die rechte Hand JHWHs.</w:t>
      </w:r>
    </w:p>
  </w:footnote>
  <w:footnote w:id="2625">
    <w:p>
      <w:pPr>
        <w:pStyle w:val="Funote"/>
        <w:rPr/>
      </w:pPr>
      <w:r>
        <w:rPr>
          <w:rStyle w:val="Funotenzeichen"/>
        </w:rPr>
        <w:footnoteRef/>
      </w:r>
      <w:r>
        <w:rPr/>
        <w:tab/>
        <w:t>Inf. constr.</w:t>
      </w:r>
    </w:p>
  </w:footnote>
  <w:footnote w:id="2626">
    <w:p>
      <w:pPr>
        <w:pStyle w:val="Funote"/>
        <w:rPr/>
      </w:pPr>
      <w:r>
        <w:rPr>
          <w:rStyle w:val="Funotenzeichen"/>
        </w:rPr>
        <w:footnoteRef/>
      </w:r>
      <w:r>
        <w:rPr/>
        <w:tab/>
        <w:t>Hier empfielt sich eine genauere Wortstudie, es könnte auch „bloßstellen“ oder „blank machen“ (sowas wie rund machen, verprügeln im deutschen?) bedeuten</w:t>
      </w:r>
    </w:p>
  </w:footnote>
  <w:footnote w:id="2627">
    <w:p>
      <w:pPr>
        <w:pStyle w:val="Funote"/>
        <w:rPr/>
      </w:pPr>
      <w:r>
        <w:rPr>
          <w:rStyle w:val="Funotenzeichen"/>
        </w:rPr>
        <w:footnoteRef/>
      </w:r>
      <w:r>
        <w:rPr/>
        <w:tab/>
        <w:t>Oder: „darum fühlte ich mich nicht gedemütigt“.</w:t>
      </w:r>
    </w:p>
  </w:footnote>
  <w:footnote w:id="2628">
    <w:p>
      <w:pPr>
        <w:pStyle w:val="Funote"/>
        <w:rPr/>
      </w:pPr>
      <w:r>
        <w:rPr>
          <w:rStyle w:val="Funotenzeichen"/>
        </w:rPr>
        <w:footnoteRef/>
      </w:r>
      <w:r>
        <w:rPr/>
        <w:tab/>
        <w:t>Etwas freier: „Ich machte mein Gesicht hart wie einen Kieselstein“.</w:t>
      </w:r>
    </w:p>
  </w:footnote>
  <w:footnote w:id="2629">
    <w:p>
      <w:pPr>
        <w:pStyle w:val="Funote"/>
        <w:rPr/>
      </w:pPr>
      <w:r>
        <w:rPr>
          <w:rStyle w:val="Funotenzeichen"/>
        </w:rPr>
        <w:footnoteRef/>
      </w:r>
      <w:r>
        <w:rPr/>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630">
    <w:p>
      <w:pPr>
        <w:pStyle w:val="Funote"/>
        <w:rPr/>
      </w:pPr>
      <w:r>
        <w:rPr>
          <w:rStyle w:val="Funotenzeichen"/>
        </w:rPr>
        <w:footnoteRef/>
      </w:r>
      <w:r>
        <w:rPr/>
        <w:tab/>
        <w:t>[Status: Zuverlässig]</w:t>
      </w:r>
    </w:p>
  </w:footnote>
  <w:footnote w:id="2631">
    <w:p>
      <w:pPr>
        <w:pStyle w:val="Funote"/>
        <w:rPr/>
      </w:pPr>
      <w:r>
        <w:rPr>
          <w:rStyle w:val="Funotenzeichen"/>
        </w:rPr>
        <w:footnoteRef/>
      </w:r>
      <w:r>
        <w:rPr/>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632">
    <w:p>
      <w:pPr>
        <w:pStyle w:val="Funote"/>
        <w:rPr/>
      </w:pPr>
      <w:r>
        <w:rPr>
          <w:rStyle w:val="Funotenzeichen"/>
        </w:rPr>
        <w:footnoteRef/>
      </w:r>
      <w:r>
        <w:rPr/>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633">
    <w:p>
      <w:pPr>
        <w:pStyle w:val="Funote"/>
        <w:rPr/>
      </w:pPr>
      <w:r>
        <w:rPr>
          <w:rStyle w:val="Funotenzeichen"/>
        </w:rPr>
        <w:footnoteRef/>
      </w:r>
      <w:r>
        <w:rPr/>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634">
    <w:p>
      <w:pPr>
        <w:pStyle w:val="Funote"/>
        <w:rPr/>
      </w:pPr>
      <w:r>
        <w:rPr>
          <w:rStyle w:val="Funotenzeichen"/>
        </w:rPr>
        <w:footnoteRef/>
      </w:r>
      <w:hyperlink r:id="rId224">
        <w:r>
          <w:rPr>
            <w:rStyle w:val="Internetverknpfung"/>
          </w:rPr>
          <w:tab/>
          <w:t>generisches Maskulinum</w:t>
        </w:r>
      </w:hyperlink>
    </w:p>
  </w:footnote>
  <w:footnote w:id="2635">
    <w:p>
      <w:pPr>
        <w:pStyle w:val="Funote"/>
        <w:rPr/>
      </w:pPr>
      <w:r>
        <w:rPr>
          <w:rStyle w:val="Funotenzeichen"/>
        </w:rPr>
        <w:footnoteRef/>
      </w:r>
      <w:r>
        <w:rPr/>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636">
    <w:p>
      <w:pPr>
        <w:pStyle w:val="Funote"/>
        <w:rPr/>
      </w:pPr>
      <w:r>
        <w:rPr>
          <w:rStyle w:val="Funotenzeichen"/>
        </w:rPr>
        <w:footnoteRef/>
      </w:r>
      <w:r>
        <w:rPr/>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637">
    <w:p>
      <w:pPr>
        <w:pStyle w:val="Funote"/>
        <w:rPr/>
      </w:pPr>
      <w:r>
        <w:rPr>
          <w:rStyle w:val="Funotenzeichen"/>
        </w:rPr>
        <w:footnoteRef/>
      </w:r>
      <w:r>
        <w:rPr/>
        <w:tab/>
        <w:t>„</w:t>
      </w:r>
      <w:r>
        <w:rPr/>
        <w:t xml:space="preserve">Den Mund verschließen“ ist wohl als Geste der Verehrung zu verstehen; vgl. </w:t>
      </w:r>
      <w:hyperlink r:id="rId225">
        <w:r>
          <w:rPr>
            <w:rStyle w:val="Internetverknpfung"/>
          </w:rPr>
          <w:t>Ijob 29,9</w:t>
        </w:r>
      </w:hyperlink>
      <w:r>
        <w:rPr/>
        <w:t xml:space="preserve">; </w:t>
      </w:r>
      <w:hyperlink r:id="rId226">
        <w:r>
          <w:rPr>
            <w:rStyle w:val="Internetverknpfung"/>
          </w:rPr>
          <w:t>40,4</w:t>
        </w:r>
      </w:hyperlink>
      <w:r>
        <w:rPr/>
        <w:t xml:space="preserve"> (; </w:t>
      </w:r>
      <w:hyperlink r:id="rId227">
        <w:r>
          <w:rPr>
            <w:rStyle w:val="Internetverknpfung"/>
          </w:rPr>
          <w:t>Mic 7,16</w:t>
        </w:r>
      </w:hyperlink>
      <w:r>
        <w:rPr/>
        <w:t>).</w:t>
      </w:r>
    </w:p>
  </w:footnote>
  <w:footnote w:id="2638">
    <w:p>
      <w:pPr>
        <w:pStyle w:val="Funote"/>
        <w:rPr/>
      </w:pPr>
      <w:r>
        <w:rPr>
          <w:rStyle w:val="Funotenzeichen"/>
        </w:rPr>
        <w:footnoteRef/>
      </w:r>
      <w:r>
        <w:rPr/>
        <w:tab/>
        <w:t>Vers 15 ist hier als prophetisches Perfekt übersetzt (vgl. Childs 2001, S. 407); alternativ möglich: Futur II. Eine weitere Übersetzungmöglichkeit ist: „so sehr schreckt er [nun] … auf, denn … sie haben es gesehen … sie haben es verstanden“.</w:t>
      </w:r>
    </w:p>
  </w:footnote>
  <w:footnote w:id="2639">
    <w:p>
      <w:pPr>
        <w:pStyle w:val="Funote"/>
        <w:rPr/>
      </w:pPr>
      <w:r>
        <w:rPr>
          <w:rStyle w:val="Funotenzeichen"/>
        </w:rPr>
        <w:footnoteRef/>
      </w:r>
      <w:r>
        <w:rPr/>
        <w:tab/>
        <w:t>[Vgl. Schmidt 2013, S. 224.245]</w:t>
      </w:r>
    </w:p>
  </w:footnote>
  <w:footnote w:id="2640">
    <w:p>
      <w:pPr>
        <w:pStyle w:val="Funote"/>
        <w:rPr/>
      </w:pPr>
      <w:r>
        <w:rPr>
          <w:rStyle w:val="Funotenzeichen"/>
        </w:rPr>
        <w:footnoteRef/>
      </w:r>
      <w:r>
        <w:rPr/>
        <w:tab/>
        <w:t>[Vgl. Knechtschaft (WiBiLex) und Dienen / Diener (AT) (WiBiLex). Zur Übersetzung mit „Getreuer“ siehe Schmidt 2013, S. 115.]</w:t>
      </w:r>
    </w:p>
  </w:footnote>
  <w:footnote w:id="2641">
    <w:p>
      <w:pPr>
        <w:pStyle w:val="Funote"/>
        <w:rPr/>
      </w:pPr>
      <w:r>
        <w:rPr>
          <w:rStyle w:val="Funotenzeichen"/>
        </w:rPr>
        <w:footnoteRef/>
      </w:r>
      <w:r>
        <w:rPr/>
        <w:tab/>
        <w:t>[Vgl. Tun-Ergehen-Zusammenhang (Wikipedia); Tun-Ergehen-Zusammenhang (WiBiLex)]</w:t>
      </w:r>
    </w:p>
  </w:footnote>
  <w:footnote w:id="2642">
    <w:p>
      <w:pPr>
        <w:pStyle w:val="Funote"/>
        <w:rPr/>
      </w:pPr>
      <w:r>
        <w:rPr>
          <w:rStyle w:val="Funotenzeichen"/>
        </w:rPr>
        <w:footnoteRef/>
      </w:r>
      <w:r>
        <w:rPr/>
        <w:tab/>
        <w:t>[Stellvertretung (WiBiLex).]</w:t>
      </w:r>
    </w:p>
  </w:footnote>
  <w:footnote w:id="2643">
    <w:p>
      <w:pPr>
        <w:pStyle w:val="Funote"/>
        <w:rPr/>
      </w:pPr>
      <w:r>
        <w:rPr>
          <w:rStyle w:val="Funotenzeichen"/>
        </w:rPr>
        <w:footnoteRef/>
      </w:r>
      <w:r>
        <w:rPr/>
        <w:tab/>
        <w:t>[Vgl. Schmidt 2013, 270 und 357.]</w:t>
      </w:r>
    </w:p>
  </w:footnote>
  <w:footnote w:id="2644">
    <w:p>
      <w:pPr>
        <w:pStyle w:val="Funote"/>
        <w:rPr/>
      </w:pPr>
      <w:r>
        <w:rPr>
          <w:rStyle w:val="Funotenzeichen"/>
        </w:rPr>
        <w:footnoteRef/>
      </w:r>
      <w:r>
        <w:rPr/>
        <w:tab/>
        <w:t>[Vgl. Berlin/Brettler 2005, S. 891]</w:t>
      </w:r>
    </w:p>
  </w:footnote>
  <w:footnote w:id="2645">
    <w:p>
      <w:pPr>
        <w:pStyle w:val="Funote"/>
        <w:rPr/>
      </w:pPr>
      <w:r>
        <w:rPr>
          <w:rStyle w:val="Funotenzeichen"/>
        </w:rPr>
        <w:footnoteRef/>
      </w:r>
      <w:r>
        <w:rPr/>
        <w:tab/>
        <w:t>[Vgl. Schmidt 2013, S. 119–120.]</w:t>
      </w:r>
    </w:p>
  </w:footnote>
  <w:footnote w:id="2646">
    <w:p>
      <w:pPr>
        <w:pStyle w:val="Funote"/>
        <w:rPr/>
      </w:pPr>
      <w:r>
        <w:rPr>
          <w:rStyle w:val="Funotenzeichen"/>
        </w:rPr>
        <w:footnoteRef/>
      </w:r>
      <w:r>
        <w:rPr/>
        <w:tab/>
        <w:t>[Status: Zuverlässig]</w:t>
      </w:r>
    </w:p>
  </w:footnote>
  <w:footnote w:id="2647">
    <w:p>
      <w:pPr>
        <w:pStyle w:val="Funote"/>
        <w:rPr/>
      </w:pPr>
      <w:r>
        <w:rPr>
          <w:rStyle w:val="Funotenzeichen"/>
        </w:rPr>
        <w:footnoteRef/>
      </w:r>
      <w:r>
        <w:rPr/>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648">
    <w:p>
      <w:pPr>
        <w:pStyle w:val="Funote"/>
        <w:rPr/>
      </w:pPr>
      <w:r>
        <w:rPr>
          <w:rStyle w:val="Funotenzeichen"/>
        </w:rPr>
        <w:footnoteRef/>
      </w:r>
      <w:r>
        <w:rPr/>
        <w:tab/>
        <w:t>Die Identität des »wir« in Vers 1–6 ist unklar. Zwei mögliche Deutungen sind Identifizierungen mit dem Volk Israel oder mit benachbarten Völkern. (Vgl. Berlin/Brettler 2005, S. 891.) Siehe auch die Fußnote zu »Diener« in Jes52,13.</w:t>
      </w:r>
    </w:p>
  </w:footnote>
  <w:footnote w:id="2649">
    <w:p>
      <w:pPr>
        <w:pStyle w:val="Funote"/>
        <w:rPr/>
      </w:pPr>
      <w:r>
        <w:rPr>
          <w:rStyle w:val="Funotenzeichen"/>
        </w:rPr>
        <w:footnoteRef/>
      </w:r>
      <w:r>
        <w:rPr/>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650">
    <w:p>
      <w:pPr>
        <w:pStyle w:val="Funote"/>
        <w:rPr/>
      </w:pPr>
      <w:r>
        <w:rPr>
          <w:rStyle w:val="Funotenzeichen"/>
        </w:rPr>
        <w:footnoteRef/>
      </w:r>
      <w:r>
        <w:rPr/>
        <w:tab/>
        <w:t>»Schössling« nach Baltzer 1999; Blenkinsopp 2002; Edel 1964; Niccacci 2005; vgl. auch ZLH, S. 882 ad loc..</w:t>
      </w:r>
    </w:p>
  </w:footnote>
  <w:footnote w:id="2651">
    <w:p>
      <w:pPr>
        <w:pStyle w:val="Funote"/>
        <w:rPr/>
      </w:pPr>
      <w:r>
        <w:rPr>
          <w:rStyle w:val="Funotenzeichen"/>
        </w:rPr>
        <w:footnoteRef/>
      </w:r>
      <w:r>
        <w:rPr>
          <w:i/>
        </w:rPr>
        <w:tab/>
        <w:t>keine Gestalt und keine Schönheit</w:t>
      </w:r>
      <w:r>
        <w:rPr/>
        <w:t xml:space="preserve">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652">
    <w:p>
      <w:pPr>
        <w:pStyle w:val="Funote"/>
        <w:rPr/>
      </w:pPr>
      <w:r>
        <w:rPr>
          <w:rStyle w:val="Funotenzeichen"/>
        </w:rPr>
        <w:footnoteRef/>
      </w:r>
      <w:hyperlink r:id="rId228">
        <w:r>
          <w:rPr>
            <w:rStyle w:val="Internetverknpfung"/>
          </w:rPr>
          <w:tab/>
          <w:t>Generisches Maskulinum</w:t>
        </w:r>
      </w:hyperlink>
    </w:p>
  </w:footnote>
  <w:footnote w:id="2653">
    <w:p>
      <w:pPr>
        <w:pStyle w:val="Funote"/>
        <w:rPr/>
      </w:pPr>
      <w:r>
        <w:rPr>
          <w:rStyle w:val="Funotenzeichen"/>
        </w:rPr>
        <w:footnoteRef/>
      </w:r>
      <w:r>
        <w:rPr/>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654">
    <w:p>
      <w:pPr>
        <w:pStyle w:val="Funote"/>
        <w:rPr/>
      </w:pPr>
      <w:r>
        <w:rPr>
          <w:rStyle w:val="Funotenzeichen"/>
        </w:rPr>
        <w:footnoteRef/>
      </w:r>
      <w:r>
        <w:rPr/>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655">
    <w:p>
      <w:pPr>
        <w:pStyle w:val="Funote"/>
        <w:rPr/>
      </w:pPr>
      <w:r>
        <w:rPr>
          <w:rStyle w:val="Funotenzeichen"/>
        </w:rPr>
        <w:footnoteRef/>
      </w:r>
      <w:r>
        <w:rPr/>
        <w:tab/>
        <w:t>Textkritik: eine Handschrift: »und wir haben ihn ausgeplündert«</w:t>
      </w:r>
    </w:p>
  </w:footnote>
  <w:footnote w:id="2656">
    <w:p>
      <w:pPr>
        <w:pStyle w:val="Funote"/>
        <w:rPr/>
      </w:pPr>
      <w:r>
        <w:rPr>
          <w:rStyle w:val="Funotenzeichen"/>
        </w:rPr>
        <w:footnoteRef/>
      </w:r>
      <w:r>
        <w:rPr/>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657">
    <w:p>
      <w:pPr>
        <w:pStyle w:val="Funote"/>
        <w:rPr/>
      </w:pPr>
      <w:r>
        <w:rPr>
          <w:rStyle w:val="Funotenzeichen"/>
        </w:rPr>
        <w:footnoteRef/>
      </w:r>
      <w:r>
        <w:rPr/>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658">
    <w:p>
      <w:pPr>
        <w:pStyle w:val="Funote"/>
        <w:rPr/>
      </w:pPr>
      <w:r>
        <w:rPr>
          <w:rStyle w:val="Funotenzeichen"/>
        </w:rPr>
        <w:footnoteRef/>
      </w:r>
      <w:r>
        <w:rPr/>
        <w:tab/>
        <w:t>»verletzt« nach Joachimsen 2011; Watts 1987; »zerrüttet« nach ZLH, S. 172.</w:t>
      </w:r>
    </w:p>
  </w:footnote>
  <w:footnote w:id="2659">
    <w:p>
      <w:pPr>
        <w:pStyle w:val="Funote"/>
        <w:rPr/>
      </w:pPr>
      <w:r>
        <w:rPr>
          <w:rStyle w:val="Funotenzeichen"/>
        </w:rPr>
        <w:footnoteRef/>
      </w:r>
      <w:r>
        <w:rPr/>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660">
    <w:p>
      <w:pPr>
        <w:pStyle w:val="Funote"/>
        <w:rPr/>
      </w:pPr>
      <w:r>
        <w:rPr>
          <w:rStyle w:val="Funotenzeichen"/>
        </w:rPr>
        <w:footnoteRef/>
      </w:r>
      <w:r>
        <w:rPr/>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661">
    <w:p>
      <w:pPr>
        <w:pStyle w:val="Funote"/>
        <w:rPr/>
      </w:pPr>
      <w:r>
        <w:rPr>
          <w:rStyle w:val="Funotenzeichen"/>
        </w:rPr>
        <w:footnoteRef/>
      </w:r>
      <w:r>
        <w:rPr/>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662">
    <w:p>
      <w:pPr>
        <w:pStyle w:val="Funote"/>
        <w:rPr/>
      </w:pPr>
      <w:r>
        <w:rPr>
          <w:rStyle w:val="Funotenzeichen"/>
        </w:rPr>
        <w:footnoteRef/>
      </w:r>
      <w:r>
        <w:rPr/>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663">
    <w:p>
      <w:pPr>
        <w:pStyle w:val="Funote"/>
        <w:rPr/>
      </w:pPr>
      <w:r>
        <w:rPr>
          <w:rStyle w:val="Funotenzeichen"/>
        </w:rPr>
        <w:footnoteRef/>
      </w:r>
      <w:r>
        <w:rPr/>
        <w:tab/>
        <w:t>Vgl. Vers 12.</w:t>
      </w:r>
    </w:p>
  </w:footnote>
  <w:footnote w:id="2664">
    <w:p>
      <w:pPr>
        <w:pStyle w:val="Funote"/>
        <w:rPr/>
      </w:pPr>
      <w:r>
        <w:rPr>
          <w:rStyle w:val="Funotenzeichen"/>
        </w:rPr>
        <w:footnoteRef/>
      </w:r>
      <w:r>
        <w:rPr/>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665">
    <w:p>
      <w:pPr>
        <w:pStyle w:val="Funote"/>
        <w:rPr/>
      </w:pPr>
      <w:r>
        <w:rPr>
          <w:rStyle w:val="Funotenzeichen"/>
        </w:rPr>
        <w:footnoteRef/>
      </w:r>
      <w:r>
        <w:rPr/>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666">
    <w:p>
      <w:pPr>
        <w:pStyle w:val="Funote"/>
        <w:rPr/>
      </w:pPr>
      <w:r>
        <w:rPr>
          <w:rStyle w:val="Funotenzeichen"/>
        </w:rPr>
        <w:footnoteRef/>
      </w:r>
      <w:r>
        <w:rPr/>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667">
    <w:p>
      <w:pPr>
        <w:pStyle w:val="Funote"/>
        <w:rPr/>
      </w:pPr>
      <w:r>
        <w:rPr>
          <w:rStyle w:val="Funotenzeichen"/>
        </w:rPr>
        <w:footnoteRef/>
      </w:r>
      <w:r>
        <w:rPr/>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668">
    <w:p>
      <w:pPr>
        <w:pStyle w:val="Funote"/>
        <w:rPr/>
      </w:pPr>
      <w:r>
        <w:rPr>
          <w:rStyle w:val="Funotenzeichen"/>
        </w:rPr>
        <w:footnoteRef/>
      </w:r>
      <w:r>
        <w:rPr/>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669">
    <w:p>
      <w:pPr>
        <w:pStyle w:val="Funote"/>
        <w:rPr/>
      </w:pPr>
      <w:r>
        <w:rPr>
          <w:rStyle w:val="Funotenzeichen"/>
        </w:rPr>
        <w:footnoteRef/>
      </w:r>
      <w:r>
        <w:rPr/>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670">
    <w:p>
      <w:pPr>
        <w:pStyle w:val="Funote"/>
        <w:rPr/>
      </w:pPr>
      <w:r>
        <w:rPr>
          <w:rStyle w:val="Funotenzeichen"/>
        </w:rPr>
        <w:footnoteRef/>
      </w:r>
      <w:r>
        <w:rPr/>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671">
    <w:p>
      <w:pPr>
        <w:pStyle w:val="Funote"/>
        <w:rPr/>
      </w:pPr>
      <w:r>
        <w:rPr>
          <w:rStyle w:val="Funotenzeichen"/>
        </w:rPr>
        <w:footnoteRef/>
      </w:r>
      <w:r>
        <w:rPr/>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672">
    <w:p>
      <w:pPr>
        <w:pStyle w:val="Funote"/>
        <w:rPr/>
      </w:pPr>
      <w:r>
        <w:rPr>
          <w:rStyle w:val="Funotenzeichen"/>
        </w:rPr>
        <w:footnoteRef/>
      </w:r>
      <w:r>
        <w:rPr/>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673">
    <w:p>
      <w:pPr>
        <w:pStyle w:val="Funote"/>
        <w:rPr/>
      </w:pPr>
      <w:r>
        <w:rPr>
          <w:rStyle w:val="Funotenzeichen"/>
        </w:rPr>
        <w:footnoteRef/>
      </w:r>
      <w:r>
        <w:rPr/>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674">
    <w:p>
      <w:pPr>
        <w:pStyle w:val="Funote"/>
        <w:rPr/>
      </w:pPr>
      <w:r>
        <w:rPr>
          <w:rStyle w:val="Funotenzeichen"/>
        </w:rPr>
        <w:footnoteRef/>
      </w:r>
      <w:r>
        <w:rPr/>
        <w:tab/>
        <w:t xml:space="preserve">Zu </w:t>
      </w:r>
      <w:r>
        <w:rPr>
          <w:rtl w:val="true"/>
          <w:lang w:bidi="he-IL"/>
        </w:rPr>
        <w:t>על</w:t>
      </w:r>
      <w:r>
        <w:rPr/>
        <w:t xml:space="preserve"> </w:t>
      </w:r>
      <w:r>
        <w:rPr/>
        <w:t>mit dem Sinn »obwohl« vgl. noch Ijob 16,17 (North 1964, S. 231); Esra 10,2 (Paul 2012, S. 409); so fast alle Üss.</w:t>
      </w:r>
    </w:p>
  </w:footnote>
  <w:footnote w:id="2675">
    <w:p>
      <w:pPr>
        <w:pStyle w:val="Funote"/>
        <w:rPr/>
      </w:pPr>
      <w:r>
        <w:rPr>
          <w:rStyle w:val="Funotenzeichen"/>
        </w:rPr>
        <w:footnoteRef/>
      </w:r>
      <w:r>
        <w:rPr/>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676">
    <w:p>
      <w:pPr>
        <w:pStyle w:val="Funote"/>
        <w:rPr/>
      </w:pPr>
      <w:r>
        <w:rPr>
          <w:rStyle w:val="Funotenzeichen"/>
        </w:rPr>
        <w:footnoteRef/>
      </w:r>
      <w:r>
        <w:rPr/>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677">
    <w:p>
      <w:pPr>
        <w:pStyle w:val="Funote"/>
        <w:rPr/>
      </w:pPr>
      <w:r>
        <w:rPr>
          <w:rStyle w:val="Funotenzeichen"/>
        </w:rPr>
        <w:footnoteRef/>
      </w:r>
      <w:r>
        <w:rPr/>
        <w:tab/>
        <w:t>Die meisten Exegeten ergänzen nach 1QJesab, 4QJesd und LXX das Objekt »Licht«, einige aber nicht (z.B. Childs 2001, 409; Schmidt 2013, 227; Seeligmann 2004).</w:t>
      </w:r>
    </w:p>
  </w:footnote>
  <w:footnote w:id="2678">
    <w:p>
      <w:pPr>
        <w:pStyle w:val="Funote"/>
        <w:rPr/>
      </w:pPr>
      <w:r>
        <w:rPr>
          <w:rStyle w:val="Funotenzeichen"/>
        </w:rPr>
        <w:footnoteRef/>
      </w:r>
      <w:r>
        <w:rPr/>
        <w:tab/>
        <w:t>Oder: „Er wird satt. In seiner Erkenntnis macht er gerecht, der Gerechte, mein Getreuer, für die Vielen.“</w:t>
        <w:br/>
        <w:t xml:space="preserve">Zu </w:t>
      </w:r>
      <w:r>
        <w:rPr>
          <w:rtl w:val="true"/>
          <w:lang w:bidi="he-IL"/>
        </w:rPr>
        <w:t>עַבְדִּי</w:t>
      </w:r>
      <w:r>
        <w:rPr/>
        <w:t xml:space="preserve"> </w:t>
      </w:r>
      <w:r>
        <w:rPr/>
        <w:t xml:space="preserve">(mein Getreuer/Diener/Knecht) siehe die Fußnote in </w:t>
      </w:r>
      <w:r>
        <w:fldChar w:fldCharType="begin"/>
      </w:r>
      <w:r>
        <w:rPr>
          <w:rStyle w:val="Internetverknpfung"/>
        </w:rPr>
        <w:instrText> HYPERLINK "../../../../../../../../../wiki/Jesaja_52" \l "s13"</w:instrText>
      </w:r>
      <w:r>
        <w:rPr>
          <w:rStyle w:val="Internetverknpfung"/>
        </w:rPr>
        <w:fldChar w:fldCharType="separate"/>
      </w:r>
      <w:r>
        <w:rPr>
          <w:rStyle w:val="Internetverknpfung"/>
        </w:rPr>
        <w:t>Jes52,13</w:t>
      </w:r>
      <w:r>
        <w:rPr>
          <w:rStyle w:val="Internetverknpfung"/>
        </w:rPr>
        <w:fldChar w:fldCharType="end"/>
      </w:r>
      <w:r>
        <w:rPr/>
        <w:t>.</w:t>
      </w:r>
    </w:p>
  </w:footnote>
  <w:footnote w:id="2679">
    <w:p>
      <w:pPr>
        <w:pStyle w:val="Funote"/>
        <w:rPr/>
      </w:pPr>
      <w:r>
        <w:rPr>
          <w:rStyle w:val="Funotenzeichen"/>
        </w:rPr>
        <w:footnoteRef/>
      </w:r>
      <w:r>
        <w:rPr/>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680">
    <w:p>
      <w:pPr>
        <w:pStyle w:val="Funote"/>
        <w:rPr/>
      </w:pPr>
      <w:r>
        <w:rPr>
          <w:rStyle w:val="Funotenzeichen"/>
        </w:rPr>
        <w:footnoteRef/>
      </w:r>
      <w:r>
        <w:rPr/>
        <w:tab/>
        <w:t>[Beute] - double-duty-Objekt (-&gt;Brachylogie) aus Sticho b; vgl. z.B. Dillmann 1898, S. 457</w:t>
      </w:r>
    </w:p>
  </w:footnote>
  <w:footnote w:id="2681">
    <w:p>
      <w:pPr>
        <w:pStyle w:val="Funote"/>
        <w:rPr/>
      </w:pPr>
      <w:r>
        <w:rPr>
          <w:rStyle w:val="Funotenzeichen"/>
        </w:rPr>
        <w:footnoteRef/>
      </w:r>
      <w:r>
        <w:rPr/>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682">
    <w:p>
      <w:pPr>
        <w:pStyle w:val="Funote"/>
        <w:rPr/>
      </w:pPr>
      <w:r>
        <w:rPr>
          <w:rStyle w:val="Funotenzeichen"/>
        </w:rPr>
        <w:footnoteRef/>
      </w:r>
      <w:r>
        <w:rPr/>
        <w:tab/>
        <w:t>»Leben ausgießen« ist ein hebräisches (auch: akkadisches) Idiom für »sterben« (vgl. Ps 141,8; Ges18, S. 1012; hier ist es zusätzlich erweitert durch »in den Tod«; sinngemäß also einfach: »Dafür, dass er den Tod auf sich genommen hat«</w:t>
      </w:r>
    </w:p>
  </w:footnote>
  <w:footnote w:id="2683">
    <w:p>
      <w:pPr>
        <w:pStyle w:val="Funote"/>
        <w:rPr/>
      </w:pPr>
      <w:r>
        <w:rPr>
          <w:rStyle w:val="Funotenzeichen"/>
        </w:rPr>
        <w:footnoteRef/>
      </w:r>
      <w:r>
        <w:rPr/>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684">
    <w:p>
      <w:pPr>
        <w:pStyle w:val="Funote"/>
        <w:rPr/>
      </w:pPr>
      <w:r>
        <w:rPr>
          <w:rStyle w:val="Funotenzeichen"/>
        </w:rPr>
        <w:footnoteRef/>
      </w:r>
      <w:r>
        <w:rPr/>
        <w:tab/>
        <w:t>Infinitiv absolutus, steht hier als Aufforderung und suggeriert eine bejahende Antwort, vgl. Carl Brockelmann, Hebräische Syntax, Neukirchen 1956, S. 54 (§ 54c)</w:t>
      </w:r>
    </w:p>
  </w:footnote>
  <w:footnote w:id="2685">
    <w:p>
      <w:pPr>
        <w:pStyle w:val="Funote"/>
        <w:rPr/>
      </w:pPr>
      <w:r>
        <w:rPr>
          <w:rStyle w:val="Funotenzeichen"/>
        </w:rPr>
        <w:footnoteRef/>
      </w:r>
      <w:r>
        <w:rPr/>
        <w:tab/>
        <w:t>Vgl. Brockelmann, a.a.O., S. 95)</w:t>
      </w:r>
    </w:p>
  </w:footnote>
  <w:footnote w:id="2686">
    <w:p>
      <w:pPr>
        <w:pStyle w:val="Funote"/>
        <w:rPr/>
      </w:pPr>
      <w:r>
        <w:rPr>
          <w:rStyle w:val="Funotenzeichen"/>
        </w:rPr>
        <w:footnoteRef/>
      </w:r>
      <w:r>
        <w:rPr/>
        <w:tab/>
        <w:t>Hebr. näphäsch: der Sitz der Empfindungen und Gefühle, lat. animus, Gesenius, Wörterbuch z.St. (S. 514)</w:t>
      </w:r>
    </w:p>
  </w:footnote>
  <w:footnote w:id="2687">
    <w:p>
      <w:pPr>
        <w:pStyle w:val="Funote"/>
        <w:rPr/>
      </w:pPr>
      <w:r>
        <w:rPr>
          <w:rStyle w:val="Funotenzeichen"/>
        </w:rPr>
        <w:footnoteRef/>
      </w:r>
      <w:r>
        <w:rPr/>
        <w:tab/>
        <w:t>Hebr. näphäsch: Bezeichnung desjenigen, was einen Menschen lebendig macht, Gesenius, Wörterbuch z.St. (S. 514)</w:t>
      </w:r>
    </w:p>
  </w:footnote>
  <w:footnote w:id="2688">
    <w:p>
      <w:pPr>
        <w:pStyle w:val="Funote"/>
        <w:rPr/>
      </w:pPr>
      <w:r>
        <w:rPr>
          <w:rStyle w:val="Funotenzeichen"/>
        </w:rPr>
        <w:footnoteRef/>
      </w:r>
      <w:r>
        <w:rPr/>
        <w:tab/>
        <w:t>wörtl.: kahles, verbranntes Gelände = von Menschenhand verursachte Verwüstung, keine Wüste</w:t>
      </w:r>
    </w:p>
  </w:footnote>
  <w:footnote w:id="2689">
    <w:p>
      <w:pPr>
        <w:pStyle w:val="Funote"/>
        <w:rPr/>
      </w:pPr>
      <w:r>
        <w:rPr>
          <w:rStyle w:val="Funotenzeichen"/>
        </w:rPr>
        <w:footnoteRef/>
      </w:r>
      <w:r>
        <w:rPr/>
        <w:tab/>
        <w:t>wörtl.: Gebein. „Häufig vertreten die Gebeine, als das Festeste, den ganzen Körper“, Gesenius, Wörterbuch z.St. (S. 611)</w:t>
      </w:r>
    </w:p>
  </w:footnote>
  <w:footnote w:id="2690">
    <w:p>
      <w:pPr>
        <w:pStyle w:val="Funote"/>
        <w:rPr/>
      </w:pPr>
      <w:r>
        <w:rPr>
          <w:rStyle w:val="Funotenzeichen"/>
        </w:rPr>
        <w:footnoteRef/>
      </w:r>
      <w:r>
        <w:rPr/>
        <w:tab/>
        <w:t>Partizip q.</w:t>
      </w:r>
    </w:p>
  </w:footnote>
  <w:footnote w:id="2691">
    <w:p>
      <w:pPr>
        <w:pStyle w:val="Funote"/>
        <w:rPr/>
      </w:pPr>
      <w:r>
        <w:rPr>
          <w:rStyle w:val="Funotenzeichen"/>
        </w:rPr>
        <w:footnoteRef/>
      </w:r>
      <w:r>
        <w:rPr/>
        <w:tab/>
        <w:t>Partizip pi.</w:t>
      </w:r>
    </w:p>
  </w:footnote>
  <w:footnote w:id="2692">
    <w:p>
      <w:pPr>
        <w:pStyle w:val="Funote"/>
        <w:rPr/>
      </w:pPr>
      <w:r>
        <w:rPr>
          <w:rStyle w:val="Funotenzeichen"/>
        </w:rPr>
        <w:footnoteRef/>
      </w:r>
      <w:r>
        <w:rPr/>
        <w:tab/>
        <w:t>Inf. constructus</w:t>
      </w:r>
    </w:p>
  </w:footnote>
  <w:footnote w:id="2693">
    <w:p>
      <w:pPr>
        <w:pStyle w:val="Funote"/>
        <w:rPr/>
      </w:pPr>
      <w:r>
        <w:rPr>
          <w:rStyle w:val="Funotenzeichen"/>
        </w:rPr>
        <w:footnoteRef/>
      </w:r>
      <w:r>
        <w:rPr/>
        <w:tab/>
        <w:t>Imperativ</w:t>
      </w:r>
    </w:p>
  </w:footnote>
  <w:footnote w:id="2694">
    <w:p>
      <w:pPr>
        <w:pStyle w:val="Funote"/>
        <w:rPr/>
      </w:pPr>
      <w:r>
        <w:rPr>
          <w:rStyle w:val="Funotenzeichen"/>
        </w:rPr>
        <w:footnoteRef/>
      </w:r>
      <w:r>
        <w:rPr/>
        <w:tab/>
        <w:t>Angeredet ist hier eine 2.Person Sg. fem. Aus dem Kontext (Jes 59,20) geht hervor, dass damit Zion (Jerusalem) angesprochen ist.</w:t>
      </w:r>
    </w:p>
  </w:footnote>
  <w:footnote w:id="2695">
    <w:p>
      <w:pPr>
        <w:pStyle w:val="Funote"/>
        <w:rPr/>
      </w:pPr>
      <w:r>
        <w:rPr>
          <w:rStyle w:val="Funotenzeichen"/>
        </w:rPr>
        <w:footnoteRef/>
      </w:r>
      <w:r>
        <w:rPr/>
        <w:tab/>
        <w:t>Imperativ</w:t>
      </w:r>
    </w:p>
  </w:footnote>
  <w:footnote w:id="2696">
    <w:p>
      <w:pPr>
        <w:pStyle w:val="Funote"/>
        <w:rPr/>
      </w:pPr>
      <w:r>
        <w:rPr>
          <w:rStyle w:val="Funotenzeichen"/>
        </w:rPr>
        <w:footnoteRef/>
      </w:r>
      <w:r>
        <w:rPr/>
        <w:tab/>
        <w:t>Perfekt consecutivum, kann im Dt. als Präsens oder Futur wiedergegeben werden, vgl. Schneider, Grammatik, § 27.4. Der Kontext legt nahe, es hier als Futur wiederzugeben.</w:t>
      </w:r>
    </w:p>
  </w:footnote>
  <w:footnote w:id="2697">
    <w:p>
      <w:pPr>
        <w:pStyle w:val="Funote"/>
        <w:rPr/>
      </w:pPr>
      <w:r>
        <w:rPr>
          <w:rStyle w:val="Funotenzeichen"/>
        </w:rPr>
        <w:footnoteRef/>
      </w:r>
      <w:r>
        <w:rPr/>
        <w:tab/>
        <w:t xml:space="preserve">Hier steht nicht die Präposition </w:t>
      </w:r>
      <w:r>
        <w:rPr>
          <w:rtl w:val="true"/>
          <w:lang w:bidi="he-IL"/>
        </w:rPr>
        <w:t>על</w:t>
      </w:r>
      <w:r>
        <w:rPr/>
        <w:t xml:space="preserve"> </w:t>
      </w:r>
      <w:r>
        <w:rPr/>
        <w:t>wie in Vers 1b</w:t>
      </w:r>
    </w:p>
  </w:footnote>
  <w:footnote w:id="2698">
    <w:p>
      <w:pPr>
        <w:pStyle w:val="Funote"/>
        <w:rPr/>
      </w:pPr>
      <w:r>
        <w:rPr>
          <w:rStyle w:val="Funotenzeichen"/>
        </w:rPr>
        <w:footnoteRef/>
      </w:r>
      <w:r>
        <w:rPr/>
        <w:tab/>
        <w:t>vgl. Gen 25,4, wo Efa als Sohn Midians genannt wird - midianitische Gegend</w:t>
      </w:r>
    </w:p>
  </w:footnote>
  <w:footnote w:id="2699">
    <w:p>
      <w:pPr>
        <w:pStyle w:val="Funote"/>
        <w:rPr/>
      </w:pPr>
      <w:r>
        <w:rPr>
          <w:rStyle w:val="Funotenzeichen"/>
        </w:rPr>
        <w:footnoteRef/>
      </w:r>
      <w:r>
        <w:rPr/>
        <w:tab/>
        <w:t>[Status: Ungeprüft]</w:t>
      </w:r>
    </w:p>
  </w:footnote>
  <w:footnote w:id="2700">
    <w:p>
      <w:pPr>
        <w:pStyle w:val="Funote"/>
        <w:rPr/>
      </w:pPr>
      <w:r>
        <w:rPr>
          <w:rStyle w:val="Funotenzeichen"/>
        </w:rPr>
        <w:footnoteRef/>
      </w:r>
      <w:r>
        <w:rPr/>
        <w:tab/>
        <w:t>„</w:t>
      </w:r>
      <w:r>
        <w:rPr/>
        <w:t>Wort JHWHs“ (dbr JHWH) ist Singular, es handelt sich aber natürlich um mehrere Worte resp. Sätze. Bei Jeremia wird dbr JHWH für das Gotteswort gebraucht. Es ist, wie Vers 9 zeigt, eine eigene Größe.</w:t>
      </w:r>
    </w:p>
  </w:footnote>
  <w:footnote w:id="2701">
    <w:p>
      <w:pPr>
        <w:pStyle w:val="Funote"/>
        <w:rPr/>
      </w:pPr>
      <w:r>
        <w:rPr>
          <w:rStyle w:val="Funotenzeichen"/>
        </w:rPr>
        <w:footnoteRef/>
      </w:r>
      <w:r>
        <w:rPr/>
        <w:tab/>
        <w:t>639-609 v. Chr.</w:t>
      </w:r>
    </w:p>
  </w:footnote>
  <w:footnote w:id="2702">
    <w:p>
      <w:pPr>
        <w:pStyle w:val="Funote"/>
        <w:rPr/>
      </w:pPr>
      <w:r>
        <w:rPr>
          <w:rStyle w:val="Funotenzeichen"/>
        </w:rPr>
        <w:footnoteRef/>
      </w:r>
      <w:r>
        <w:rPr/>
        <w:tab/>
        <w:t>627 v. Chr.</w:t>
      </w:r>
    </w:p>
  </w:footnote>
  <w:footnote w:id="2703">
    <w:p>
      <w:pPr>
        <w:pStyle w:val="Funote"/>
        <w:rPr/>
      </w:pPr>
      <w:r>
        <w:rPr>
          <w:rStyle w:val="Funotenzeichen"/>
        </w:rPr>
        <w:footnoteRef/>
      </w:r>
      <w:r>
        <w:rPr/>
        <w:tab/>
        <w:t>608-598 v. Chr.</w:t>
      </w:r>
    </w:p>
  </w:footnote>
  <w:footnote w:id="2704">
    <w:p>
      <w:pPr>
        <w:pStyle w:val="Funote"/>
        <w:rPr/>
      </w:pPr>
      <w:r>
        <w:rPr>
          <w:rStyle w:val="Funotenzeichen"/>
        </w:rPr>
        <w:footnoteRef/>
      </w:r>
      <w:r>
        <w:rPr/>
        <w:tab/>
        <w:t>597 v. Chr.</w:t>
      </w:r>
    </w:p>
  </w:footnote>
  <w:footnote w:id="2705">
    <w:p>
      <w:pPr>
        <w:pStyle w:val="Funote"/>
        <w:rPr/>
      </w:pPr>
      <w:r>
        <w:rPr>
          <w:rStyle w:val="Funotenzeichen"/>
        </w:rPr>
        <w:footnoteRef/>
      </w:r>
      <w:r>
        <w:rPr/>
        <w:tab/>
        <w:t>Das ist der Monat „Ab“.</w:t>
      </w:r>
    </w:p>
  </w:footnote>
  <w:footnote w:id="2706">
    <w:p>
      <w:pPr>
        <w:pStyle w:val="Funote"/>
        <w:rPr/>
      </w:pPr>
      <w:r>
        <w:rPr>
          <w:rStyle w:val="Funotenzeichen"/>
        </w:rPr>
        <w:footnoteRef/>
      </w:r>
      <w:r>
        <w:rPr/>
        <w:tab/>
        <w:t xml:space="preserve">Es handelt sich hier um ein Wortspiel mit dem Nomen </w:t>
      </w:r>
      <w:r>
        <w:rPr>
          <w:i/>
        </w:rPr>
        <w:t>schkd</w:t>
      </w:r>
      <w:r>
        <w:rPr/>
        <w:t xml:space="preserve"> „Mandelbaum“ und dem Verb </w:t>
      </w:r>
      <w:r>
        <w:rPr>
          <w:i/>
        </w:rPr>
        <w:t>schkd</w:t>
      </w:r>
      <w:r>
        <w:rPr/>
        <w:t xml:space="preserve"> „wachsam sein“, vgl. die Diskussionsseite.</w:t>
      </w:r>
    </w:p>
  </w:footnote>
  <w:footnote w:id="2707">
    <w:p>
      <w:pPr>
        <w:pStyle w:val="Funote"/>
        <w:rPr/>
      </w:pPr>
      <w:r>
        <w:rPr>
          <w:rStyle w:val="Funotenzeichen"/>
        </w:rPr>
        <w:footnoteRef/>
      </w:r>
      <w:r>
        <w:rPr/>
        <w:tab/>
        <w:t>Wortspiel mit „Norden“ (</w:t>
      </w:r>
      <w:r>
        <w:rPr>
          <w:i/>
        </w:rPr>
        <w:t>zapon</w:t>
      </w:r>
      <w:r>
        <w:rPr/>
        <w:t>): Der Topf zeigt nach Norden (</w:t>
      </w:r>
      <w:r>
        <w:rPr>
          <w:i/>
        </w:rPr>
        <w:t>zapona</w:t>
      </w:r>
      <w:r>
        <w:rPr/>
        <w:t>), das Unheil kommt von Norden (</w:t>
      </w:r>
      <w:r>
        <w:rPr>
          <w:i/>
        </w:rPr>
        <w:t>mizapon</w:t>
      </w:r>
      <w:r>
        <w:rPr/>
        <w:t xml:space="preserve">). Von der Logik des Bildes (ein überkochender Topf) müsste der Topf sich eigentlich nach Süden neigen. </w:t>
      </w:r>
    </w:p>
  </w:footnote>
  <w:footnote w:id="2708">
    <w:p>
      <w:pPr>
        <w:pStyle w:val="Funote"/>
        <w:rPr/>
      </w:pPr>
      <w:r>
        <w:rPr>
          <w:rStyle w:val="Funotenzeichen"/>
        </w:rPr>
        <w:footnoteRef/>
      </w:r>
      <w:r>
        <w:rPr>
          <w:i/>
        </w:rPr>
        <w:tab/>
        <w:t>aschär</w:t>
      </w:r>
      <w:r>
        <w:rPr/>
        <w:t xml:space="preserve"> ist eine Relativpartikel bzw. Konjunktion, die ich durchweg „von dem/der gilt“ wiedergebe; hier würde man mit „weil“ übersetzen.</w:t>
      </w:r>
    </w:p>
  </w:footnote>
  <w:footnote w:id="2709">
    <w:p>
      <w:pPr>
        <w:pStyle w:val="Funote"/>
        <w:rPr/>
      </w:pPr>
      <w:r>
        <w:rPr>
          <w:rStyle w:val="Funotenzeichen"/>
        </w:rPr>
        <w:footnoteRef/>
      </w:r>
      <w:r>
        <w:rPr/>
        <w:tab/>
        <w:t xml:space="preserve">Ein Wortspiel </w:t>
      </w:r>
      <w:r>
        <w:rPr>
          <w:i/>
        </w:rPr>
        <w:t>mipnehem</w:t>
      </w:r>
      <w:r>
        <w:rPr/>
        <w:t xml:space="preserve"> („vor ihnen“ im Sinne von: der Schrecken kommt von ihnen (</w:t>
      </w:r>
      <w:r>
        <w:rPr>
          <w:i/>
        </w:rPr>
        <w:t>min</w:t>
      </w:r>
      <w:r>
        <w:rPr/>
        <w:t xml:space="preserve"> heißt „von - aus“, „von - weg“) und </w:t>
      </w:r>
      <w:r>
        <w:rPr>
          <w:i/>
        </w:rPr>
        <w:t>lipnehem</w:t>
      </w:r>
      <w:r>
        <w:rPr/>
        <w:t xml:space="preserve"> („vor ihnen“, </w:t>
      </w:r>
      <w:r>
        <w:rPr>
          <w:i/>
        </w:rPr>
        <w:t>le</w:t>
      </w:r>
      <w:r>
        <w:rPr/>
        <w:t xml:space="preserve"> ist der Anzeiger für den Dativ, also: der Schrecken kommt von Gott in Gegenwart („vor“) derer, die Jeremia erschrecken)</w:t>
      </w:r>
    </w:p>
  </w:footnote>
  <w:footnote w:id="2710">
    <w:p>
      <w:pPr>
        <w:pStyle w:val="Funote"/>
        <w:rPr/>
      </w:pPr>
      <w:r>
        <w:rPr>
          <w:rStyle w:val="Funotenzeichen"/>
        </w:rPr>
        <w:footnoteRef/>
      </w:r>
      <w:r>
        <w:rPr>
          <w:i/>
        </w:rPr>
        <w:tab/>
        <w:t>am haaräz</w:t>
      </w:r>
      <w:r>
        <w:rPr/>
        <w:t xml:space="preserve"> („Volk des Landes“) bezeichnet die Führungsschicht der Landbevölkerung (den „Landadel“ ???), aus der später die Pharisäer hervorgingen - Quelle?</w:t>
      </w:r>
    </w:p>
  </w:footnote>
  <w:footnote w:id="2711">
    <w:p>
      <w:pPr>
        <w:pStyle w:val="Funote"/>
        <w:rPr/>
      </w:pPr>
      <w:r>
        <w:rPr>
          <w:rStyle w:val="Funotenzeichen"/>
        </w:rPr>
        <w:footnoteRef/>
      </w:r>
      <w:r>
        <w:rPr/>
        <w:tab/>
        <w:t>[Status: Ungeprüft]</w:t>
      </w:r>
    </w:p>
  </w:footnote>
  <w:footnote w:id="2712">
    <w:p>
      <w:pPr>
        <w:pStyle w:val="Funote"/>
        <w:rPr/>
      </w:pPr>
      <w:r>
        <w:rPr>
          <w:rStyle w:val="Funotenzeichen"/>
        </w:rPr>
        <w:footnoteRef/>
      </w:r>
      <w:r>
        <w:rPr/>
        <w:tab/>
        <w:t>Partizip temporal aufgelöst</w:t>
      </w:r>
    </w:p>
  </w:footnote>
  <w:footnote w:id="2713">
    <w:p>
      <w:pPr>
        <w:pStyle w:val="Funote"/>
        <w:rPr/>
      </w:pPr>
      <w:r>
        <w:rPr>
          <w:rStyle w:val="Funotenzeichen"/>
        </w:rPr>
        <w:footnoteRef/>
      </w:r>
      <w:r>
        <w:rPr/>
        <w:tab/>
        <w:t>Partizip temporal aufgelöst</w:t>
      </w:r>
    </w:p>
  </w:footnote>
  <w:footnote w:id="2714">
    <w:p>
      <w:pPr>
        <w:pStyle w:val="Funote"/>
        <w:rPr/>
      </w:pPr>
      <w:r>
        <w:rPr>
          <w:rStyle w:val="Funotenzeichen"/>
        </w:rPr>
        <w:footnoteRef/>
      </w:r>
      <w:r>
        <w:rPr/>
        <w:tab/>
        <w:t>Das „Gesetz“ oder die „Weisung“ (Martin Buber). Da es ein t.t. ist, der weit über die lutherische Verengung des „Gesetzes“ hinausgeht, würde ich gern den Namen „Torah“ belassen. Man kann ihn durch eine Fußnote erklären.</w:t>
      </w:r>
    </w:p>
  </w:footnote>
  <w:footnote w:id="2715">
    <w:p>
      <w:pPr>
        <w:pStyle w:val="Funote"/>
        <w:rPr/>
      </w:pPr>
      <w:r>
        <w:rPr>
          <w:rStyle w:val="Funotenzeichen"/>
        </w:rPr>
        <w:footnoteRef/>
      </w:r>
      <w:r>
        <w:rPr/>
        <w:tab/>
        <w:t>Wörtl.: nicht nützen, nicht helfen</w:t>
      </w:r>
    </w:p>
  </w:footnote>
  <w:footnote w:id="2716">
    <w:p>
      <w:pPr>
        <w:pStyle w:val="Funote"/>
        <w:rPr/>
      </w:pPr>
      <w:r>
        <w:rPr>
          <w:rStyle w:val="Funotenzeichen"/>
        </w:rPr>
        <w:footnoteRef/>
      </w:r>
      <w:r>
        <w:rPr/>
        <w:tab/>
        <w:t>Ein Beduinenstamm.</w:t>
      </w:r>
    </w:p>
  </w:footnote>
  <w:footnote w:id="2717">
    <w:p>
      <w:pPr>
        <w:pStyle w:val="Funote"/>
        <w:rPr/>
      </w:pPr>
      <w:r>
        <w:rPr>
          <w:rStyle w:val="Funotenzeichen"/>
        </w:rPr>
        <w:footnoteRef/>
      </w:r>
      <w:r>
        <w:rPr/>
        <w:tab/>
        <w:t xml:space="preserve">W.Rudolph schlägt im Apparat z.St., wahrscheinlich wegen des hier doppelt erscheinenden „Sieh!“, vor, aus „hen hajeta“ die Frage zu lesen: „hanijeta“, „hat sich (je) begeben?“ </w:t>
      </w:r>
    </w:p>
  </w:footnote>
  <w:footnote w:id="2718">
    <w:p>
      <w:pPr>
        <w:pStyle w:val="Funote"/>
        <w:rPr/>
      </w:pPr>
      <w:r>
        <w:rPr>
          <w:rStyle w:val="Funotenzeichen"/>
        </w:rPr>
        <w:footnoteRef/>
      </w:r>
      <w:r>
        <w:rPr/>
        <w:tab/>
        <w:t xml:space="preserve">Elohim bezeichnet sowohl den einen Gott als auch die Vielzahl der (anderen) Götter. </w:t>
      </w:r>
    </w:p>
  </w:footnote>
  <w:footnote w:id="2719">
    <w:p>
      <w:pPr>
        <w:pStyle w:val="Funote"/>
        <w:rPr/>
      </w:pPr>
      <w:r>
        <w:rPr>
          <w:rStyle w:val="Funotenzeichen"/>
        </w:rPr>
        <w:footnoteRef/>
      </w:r>
      <w:r>
        <w:rPr/>
        <w:tab/>
        <w:t>„</w:t>
      </w:r>
      <w:r>
        <w:rPr/>
        <w:t xml:space="preserve">Kabod“ hat ein großes Bedeutungsspektrum: Schwere, Last; Gewicht, Besitz, Ansehen; Person, Ich; Ansehnlichkeit, Pracht; Auszeichnung, Ehre, Herrlichkeit (G.Fohrer, Wörterbuch). </w:t>
      </w:r>
    </w:p>
  </w:footnote>
  <w:footnote w:id="2720">
    <w:p>
      <w:pPr>
        <w:pStyle w:val="Funote"/>
        <w:rPr/>
      </w:pPr>
      <w:r>
        <w:rPr>
          <w:rStyle w:val="Funotenzeichen"/>
        </w:rPr>
        <w:footnoteRef/>
      </w:r>
      <w:r>
        <w:rPr/>
        <w:tab/>
        <w:t>„</w:t>
      </w:r>
      <w:r>
        <w:rPr/>
        <w:t>Himmel“ ist im Dt. Singular, im Hebräischen Plural.</w:t>
      </w:r>
    </w:p>
  </w:footnote>
  <w:footnote w:id="2721">
    <w:p>
      <w:pPr>
        <w:pStyle w:val="Funote"/>
        <w:rPr/>
      </w:pPr>
      <w:r>
        <w:rPr>
          <w:rStyle w:val="Funotenzeichen"/>
        </w:rPr>
        <w:footnoteRef/>
      </w:r>
      <w:r>
        <w:rPr/>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722">
    <w:p>
      <w:pPr>
        <w:pStyle w:val="Funote"/>
        <w:rPr/>
      </w:pPr>
      <w:r>
        <w:rPr>
          <w:rStyle w:val="Funotenzeichen"/>
        </w:rPr>
        <w:footnoteRef/>
      </w:r>
      <w:r>
        <w:rPr/>
        <w:tab/>
        <w:t>Ptz. als Relativsatz aufgelöst.</w:t>
      </w:r>
    </w:p>
  </w:footnote>
  <w:footnote w:id="2723">
    <w:p>
      <w:pPr>
        <w:pStyle w:val="Funote"/>
        <w:rPr/>
      </w:pPr>
      <w:r>
        <w:rPr>
          <w:rStyle w:val="Funotenzeichen"/>
        </w:rPr>
        <w:footnoteRef/>
      </w:r>
      <w:r>
        <w:rPr/>
        <w:tab/>
        <w:t>Die Stadt Memphis, Hauptstadt von Unterägypten, am westl. Nilufer südl, von Kairo</w:t>
      </w:r>
    </w:p>
  </w:footnote>
  <w:footnote w:id="2724">
    <w:p>
      <w:pPr>
        <w:pStyle w:val="Funote"/>
        <w:rPr/>
      </w:pPr>
      <w:r>
        <w:rPr>
          <w:rStyle w:val="Funotenzeichen"/>
        </w:rPr>
        <w:footnoteRef/>
      </w:r>
      <w:r>
        <w:rPr/>
        <w:tab/>
        <w:t>Ebenfalls eine ägyptische Stadt, eine Grenzfestung östl. vom Nildelta bei Pelusium (Rudolph, Kommentar, S. 18), das heutige Tell-ed-Defenne (Gesenius, Wörterbuch 15. Aufl., S. 875. Siehe außerdem auch die Diskussionsseite.</w:t>
      </w:r>
    </w:p>
  </w:footnote>
  <w:footnote w:id="2725">
    <w:p>
      <w:pPr>
        <w:pStyle w:val="Funote"/>
        <w:rPr/>
      </w:pPr>
      <w:r>
        <w:rPr>
          <w:rStyle w:val="Funotenzeichen"/>
        </w:rPr>
        <w:footnoteRef/>
      </w:r>
      <w:r>
        <w:rPr/>
        <w:tab/>
        <w:t>Das Verb bedeutet sowohl weiden=Schafe hüten als auch weiden=das Fressen der Schafe. Wir kennen im Deutschen den Ausdruck „jemandem die Haare vom Kopf fressen“; das scheint hier gemeint zu sein</w:t>
      </w:r>
    </w:p>
  </w:footnote>
  <w:footnote w:id="2726">
    <w:p>
      <w:pPr>
        <w:pStyle w:val="Funote"/>
        <w:rPr/>
      </w:pPr>
      <w:r>
        <w:rPr>
          <w:rStyle w:val="Funotenzeichen"/>
        </w:rPr>
        <w:footnoteRef/>
      </w:r>
      <w:r>
        <w:rPr/>
        <w:tab/>
        <w:t>Ptz. temporal aufgelöst</w:t>
      </w:r>
    </w:p>
  </w:footnote>
  <w:footnote w:id="2727">
    <w:p>
      <w:pPr>
        <w:pStyle w:val="Funote"/>
        <w:rPr/>
      </w:pPr>
      <w:r>
        <w:rPr>
          <w:rStyle w:val="Funotenzeichen"/>
        </w:rPr>
        <w:footnoteRef/>
      </w:r>
      <w:r>
        <w:rPr/>
        <w:tab/>
        <w:t>Ptz. temporal aufgelöst</w:t>
      </w:r>
    </w:p>
  </w:footnote>
  <w:footnote w:id="2728">
    <w:p>
      <w:pPr>
        <w:pStyle w:val="Funote"/>
        <w:rPr/>
      </w:pPr>
      <w:r>
        <w:rPr>
          <w:rStyle w:val="Funotenzeichen"/>
        </w:rPr>
        <w:footnoteRef/>
      </w:r>
      <w:r>
        <w:rPr/>
        <w:tab/>
        <w:t>'schichor' kommt nur Jes 23,3 und hier vor. Lt. Gesenius, Wörterbuch, S. 822 ist es ein Name für verschiedene Kanäle und Flussarme. Lt. Rudolph, Kommentar, S.18 einer der östlichsten Nilarme. 'Schichor' bedeutet ägypt. „Teich des Horus“</w:t>
      </w:r>
    </w:p>
  </w:footnote>
  <w:footnote w:id="2729">
    <w:p>
      <w:pPr>
        <w:pStyle w:val="Funote"/>
        <w:rPr/>
      </w:pPr>
      <w:r>
        <w:rPr>
          <w:rStyle w:val="Funotenzeichen"/>
        </w:rPr>
        <w:footnoteRef/>
      </w:r>
      <w:r>
        <w:rPr/>
        <w:tab/>
        <w:t xml:space="preserve">Vgl. </w:t>
      </w:r>
      <w:hyperlink r:id="rId229">
        <w:r>
          <w:rPr>
            <w:rStyle w:val="Internetverknpfung"/>
          </w:rPr>
          <w:t>Diskussionsseite</w:t>
        </w:r>
      </w:hyperlink>
      <w:r>
        <w:rPr/>
        <w:t>.</w:t>
      </w:r>
    </w:p>
  </w:footnote>
  <w:footnote w:id="2730">
    <w:p>
      <w:pPr>
        <w:pStyle w:val="Funote"/>
        <w:rPr/>
      </w:pPr>
      <w:r>
        <w:rPr>
          <w:rStyle w:val="Funotenzeichen"/>
        </w:rPr>
        <w:footnoteRef/>
      </w:r>
      <w:r>
        <w:rPr/>
        <w:tab/>
        <w:t>W.Rudolph, Kommentar, S. 18 zieht beide Adjektive zu „bitterböse“ zusammen</w:t>
      </w:r>
    </w:p>
  </w:footnote>
  <w:footnote w:id="2731">
    <w:p>
      <w:pPr>
        <w:pStyle w:val="Funote"/>
        <w:rPr/>
      </w:pPr>
      <w:r>
        <w:rPr>
          <w:rStyle w:val="Funotenzeichen"/>
        </w:rPr>
        <w:footnoteRef/>
      </w:r>
      <w:r>
        <w:rPr/>
        <w:tab/>
        <w:t>W. Rudolph, Kommentar, S. 18 schlägt vor, statt 'pachda', Schrecken das Verb „pachad“, sich fürchten, zu lesen: „Und dich nicht in Ehrfurcht an mich gewendet hast“</w:t>
      </w:r>
    </w:p>
  </w:footnote>
  <w:footnote w:id="2732">
    <w:p>
      <w:pPr>
        <w:pStyle w:val="Funote"/>
        <w:rPr/>
      </w:pPr>
      <w:r>
        <w:rPr>
          <w:rStyle w:val="Funotenzeichen"/>
        </w:rPr>
        <w:footnoteRef/>
      </w:r>
      <w:r>
        <w:rPr/>
        <w:tab/>
        <w:t xml:space="preserve">Vgl. </w:t>
      </w:r>
      <w:hyperlink r:id="rId230">
        <w:r>
          <w:rPr>
            <w:rStyle w:val="Internetverknpfung"/>
          </w:rPr>
          <w:t>Diskussionsseite</w:t>
        </w:r>
      </w:hyperlink>
      <w:r>
        <w:rPr/>
        <w:t xml:space="preserve"> und Seite </w:t>
      </w:r>
      <w:hyperlink r:id="rId231">
        <w:r>
          <w:rPr>
            <w:rStyle w:val="Internetverknpfung"/>
          </w:rPr>
          <w:t>Gottesnamen</w:t>
        </w:r>
      </w:hyperlink>
      <w:r>
        <w:rPr/>
        <w:t>.</w:t>
      </w:r>
    </w:p>
  </w:footnote>
  <w:footnote w:id="2733">
    <w:p>
      <w:pPr>
        <w:pStyle w:val="Funote"/>
        <w:rPr/>
      </w:pPr>
      <w:r>
        <w:rPr>
          <w:rStyle w:val="Funotenzeichen"/>
        </w:rPr>
        <w:footnoteRef/>
      </w:r>
      <w:r>
        <w:rPr/>
        <w:tab/>
        <w:t>So der Text. W. Rudolph, Kommentar, S. 18 macht aus der 1.Sg. der Verben in diesem Satz die 2.Sg.</w:t>
      </w:r>
    </w:p>
  </w:footnote>
  <w:footnote w:id="2734">
    <w:p>
      <w:pPr>
        <w:pStyle w:val="Funote"/>
        <w:rPr/>
      </w:pPr>
      <w:r>
        <w:rPr>
          <w:rStyle w:val="Funotenzeichen"/>
        </w:rPr>
        <w:footnoteRef/>
      </w:r>
      <w:r>
        <w:rPr/>
        <w:tab/>
        <w:t>Ein stereotyper Ausdruck, mit dem Israel kritisiert wird, weil es „Götzen“ anbetet, vgl. Dtn 12,2; 1.Kön 14,23; 2.Kön 17,10; Jes 57,5; Jer 3,6.13; Ez 6,13</w:t>
      </w:r>
    </w:p>
  </w:footnote>
  <w:footnote w:id="2735">
    <w:p>
      <w:pPr>
        <w:pStyle w:val="Funote"/>
        <w:rPr/>
      </w:pPr>
      <w:r>
        <w:rPr>
          <w:rStyle w:val="Funotenzeichen"/>
        </w:rPr>
        <w:footnoteRef/>
      </w:r>
      <w:r>
        <w:rPr/>
        <w:tab/>
        <w:t>W. Rudolph meint, dass hier die Worte falsch getrennt wurden, und liest 'lesoriah gäphän', zu einer stinkenden Rebe.</w:t>
      </w:r>
    </w:p>
  </w:footnote>
  <w:footnote w:id="2736">
    <w:p>
      <w:pPr>
        <w:pStyle w:val="Funote"/>
        <w:rPr/>
      </w:pPr>
      <w:r>
        <w:rPr>
          <w:rStyle w:val="Funotenzeichen"/>
        </w:rPr>
        <w:footnoteRef/>
      </w:r>
      <w:r>
        <w:rPr/>
        <w:tab/>
        <w:t>Partizip, wörtl.: „ihre Wege verflechtend“</w:t>
      </w:r>
    </w:p>
  </w:footnote>
  <w:footnote w:id="2737">
    <w:p>
      <w:pPr>
        <w:pStyle w:val="Funote"/>
        <w:rPr/>
      </w:pPr>
      <w:r>
        <w:rPr>
          <w:rStyle w:val="Funotenzeichen"/>
        </w:rPr>
        <w:footnoteRef/>
      </w:r>
      <w:r>
        <w:rPr/>
        <w:tab/>
        <w:t>W.Rudolph, S.20: „lies: 'ausbricht in die Steppe hinaus' ... 'ein Wildesel ..., an die Steppe gewöhnt', ist sinnlos“</w:t>
      </w:r>
    </w:p>
  </w:footnote>
  <w:footnote w:id="2738">
    <w:p>
      <w:pPr>
        <w:pStyle w:val="Funote"/>
        <w:rPr/>
      </w:pPr>
      <w:r>
        <w:rPr>
          <w:rStyle w:val="Funotenzeichen"/>
        </w:rPr>
        <w:footnoteRef/>
      </w:r>
      <w:r>
        <w:rPr/>
        <w:tab/>
        <w:t>Partizip relativisch aufgelöst</w:t>
      </w:r>
    </w:p>
  </w:footnote>
  <w:footnote w:id="2739">
    <w:p>
      <w:pPr>
        <w:pStyle w:val="Funote"/>
        <w:rPr/>
      </w:pPr>
      <w:r>
        <w:rPr>
          <w:rStyle w:val="Funotenzeichen"/>
        </w:rPr>
        <w:footnoteRef/>
      </w:r>
      <w:r>
        <w:rPr/>
        <w:tab/>
        <w:t>d.h. in ihrer Brunftzeit, W.Rudolph, S.20</w:t>
      </w:r>
    </w:p>
  </w:footnote>
  <w:footnote w:id="2740">
    <w:p>
      <w:pPr>
        <w:pStyle w:val="Funote"/>
        <w:rPr/>
      </w:pPr>
      <w:r>
        <w:rPr>
          <w:rStyle w:val="Funotenzeichen"/>
        </w:rPr>
        <w:footnoteRef/>
      </w:r>
      <w:r>
        <w:rPr/>
        <w:tab/>
        <w:t>Ein besonders starkes Nein?, vgl. Jer 18,12</w:t>
      </w:r>
    </w:p>
  </w:footnote>
  <w:footnote w:id="2741">
    <w:p>
      <w:pPr>
        <w:pStyle w:val="Funote"/>
        <w:rPr/>
      </w:pPr>
      <w:r>
        <w:rPr>
          <w:rStyle w:val="Funotenzeichen"/>
        </w:rPr>
        <w:footnoteRef/>
      </w:r>
      <w:r>
        <w:rPr/>
        <w:tab/>
        <w:t>Diese „Viererkette“ kommt häufiger bei Jeremia vor</w:t>
      </w:r>
    </w:p>
  </w:footnote>
  <w:footnote w:id="2742">
    <w:p>
      <w:pPr>
        <w:pStyle w:val="Funote"/>
        <w:rPr/>
      </w:pPr>
      <w:r>
        <w:rPr>
          <w:rStyle w:val="Funotenzeichen"/>
        </w:rPr>
        <w:footnoteRef/>
      </w:r>
      <w:r>
        <w:rPr/>
        <w:tab/>
        <w:t>Partizip</w:t>
      </w:r>
    </w:p>
  </w:footnote>
  <w:footnote w:id="2743">
    <w:p>
      <w:pPr>
        <w:pStyle w:val="Funote"/>
        <w:rPr/>
      </w:pPr>
      <w:r>
        <w:rPr>
          <w:rStyle w:val="Funotenzeichen"/>
        </w:rPr>
        <w:footnoteRef/>
      </w:r>
      <w:r>
        <w:rPr/>
        <w:tab/>
        <w:t>Die Seputaginta setzt fort: und nach der Zahl der Gassen Jerusalems opfern sie dem Baal, so Jer 11,13</w:t>
      </w:r>
    </w:p>
  </w:footnote>
  <w:footnote w:id="2744">
    <w:p>
      <w:pPr>
        <w:pStyle w:val="Funote"/>
        <w:rPr/>
      </w:pPr>
      <w:r>
        <w:rPr>
          <w:rStyle w:val="Funotenzeichen"/>
        </w:rPr>
        <w:footnoteRef/>
      </w:r>
      <w:r>
        <w:rPr/>
        <w:tab/>
        <w:t>W. Rudolph schlägt vor, wie in Jer 6,21 „Väter und Söhne“ zu lesen</w:t>
      </w:r>
    </w:p>
  </w:footnote>
  <w:footnote w:id="2745">
    <w:p>
      <w:pPr>
        <w:pStyle w:val="Funote"/>
        <w:rPr/>
      </w:pPr>
      <w:r>
        <w:rPr>
          <w:rStyle w:val="Funotenzeichen"/>
        </w:rPr>
        <w:footnoteRef/>
      </w:r>
      <w:r>
        <w:rPr/>
        <w:tab/>
        <w:t>Partizip</w:t>
      </w:r>
    </w:p>
  </w:footnote>
  <w:footnote w:id="2746">
    <w:p>
      <w:pPr>
        <w:pStyle w:val="Funote"/>
        <w:rPr/>
      </w:pPr>
      <w:r>
        <w:rPr>
          <w:rStyle w:val="Funotenzeichen"/>
        </w:rPr>
        <w:footnoteRef/>
      </w:r>
      <w:r>
        <w:rPr/>
        <w:tab/>
        <w:t>wörtl.: Ihr</w:t>
      </w:r>
    </w:p>
  </w:footnote>
  <w:footnote w:id="2747">
    <w:p>
      <w:pPr>
        <w:pStyle w:val="Funote"/>
        <w:rPr/>
      </w:pPr>
      <w:r>
        <w:rPr>
          <w:rStyle w:val="Funotenzeichen"/>
        </w:rPr>
        <w:footnoteRef/>
      </w:r>
      <w:r>
        <w:rPr/>
        <w:tab/>
        <w:t>Gemeint sind die Hörer/Leser Jeremias</w:t>
      </w:r>
    </w:p>
  </w:footnote>
  <w:footnote w:id="2748">
    <w:p>
      <w:pPr>
        <w:pStyle w:val="Funote"/>
        <w:rPr/>
      </w:pPr>
      <w:r>
        <w:rPr>
          <w:rStyle w:val="Funotenzeichen"/>
        </w:rPr>
        <w:footnoteRef/>
      </w:r>
      <w:r>
        <w:rPr/>
        <w:tab/>
        <w:t>Im Hebräischen steht der Plural = seht!</w:t>
      </w:r>
    </w:p>
  </w:footnote>
  <w:footnote w:id="2749">
    <w:p>
      <w:pPr>
        <w:pStyle w:val="Funote"/>
        <w:rPr/>
      </w:pPr>
      <w:r>
        <w:rPr>
          <w:rStyle w:val="Funotenzeichen"/>
        </w:rPr>
        <w:footnoteRef/>
      </w:r>
      <w:r>
        <w:rPr/>
        <w:tab/>
        <w:t>Da dieser Satz keinen Zusammenhang mit dem Text hat, in dem es steht, hält W.Rudolph es für die Glosse eines Schreibers und schlägt vor, diesen Satz zu streichen</w:t>
      </w:r>
    </w:p>
  </w:footnote>
  <w:footnote w:id="2750">
    <w:p>
      <w:pPr>
        <w:pStyle w:val="Funote"/>
        <w:rPr/>
      </w:pPr>
      <w:r>
        <w:rPr>
          <w:rStyle w:val="Funotenzeichen"/>
        </w:rPr>
        <w:footnoteRef/>
      </w:r>
      <w:r>
        <w:rPr/>
        <w:tab/>
        <w:t>Im Hebräischen steht der Plural</w:t>
      </w:r>
    </w:p>
  </w:footnote>
  <w:footnote w:id="2751">
    <w:p>
      <w:pPr>
        <w:pStyle w:val="Funote"/>
        <w:rPr/>
      </w:pPr>
      <w:r>
        <w:rPr>
          <w:rStyle w:val="Funotenzeichen"/>
        </w:rPr>
        <w:footnoteRef/>
      </w:r>
      <w:r>
        <w:rPr/>
        <w:tab/>
        <w:t>Partizip relativisch aufgelöst</w:t>
      </w:r>
    </w:p>
  </w:footnote>
  <w:footnote w:id="2752">
    <w:p>
      <w:pPr>
        <w:pStyle w:val="Funote"/>
        <w:rPr/>
      </w:pPr>
      <w:r>
        <w:rPr>
          <w:rStyle w:val="Funotenzeichen"/>
        </w:rPr>
        <w:footnoteRef/>
      </w:r>
      <w:r>
        <w:rPr/>
        <w:tab/>
        <w:t>Partizip</w:t>
      </w:r>
    </w:p>
  </w:footnote>
  <w:footnote w:id="2753">
    <w:p>
      <w:pPr>
        <w:pStyle w:val="Funote"/>
        <w:rPr/>
      </w:pPr>
      <w:r>
        <w:rPr>
          <w:rStyle w:val="Funotenzeichen"/>
        </w:rPr>
        <w:footnoteRef/>
      </w:r>
      <w:r>
        <w:rPr/>
        <w:tab/>
        <w:t>W. Rudolph möchte hier hi. von 'zll' lesen und übersetzt „wie leicht nimmst du es“</w:t>
      </w:r>
    </w:p>
  </w:footnote>
  <w:footnote w:id="2754">
    <w:p>
      <w:pPr>
        <w:pStyle w:val="Funote"/>
        <w:rPr/>
      </w:pPr>
      <w:r>
        <w:rPr>
          <w:rStyle w:val="Funotenzeichen"/>
        </w:rPr>
        <w:footnoteRef/>
      </w:r>
      <w:r>
        <w:rPr/>
        <w:tab/>
        <w:t>gemeint sind Ägypten und Assur</w:t>
      </w:r>
    </w:p>
  </w:footnote>
  <w:footnote w:id="2755">
    <w:p>
      <w:pPr>
        <w:pStyle w:val="Funote"/>
        <w:rPr/>
      </w:pPr>
      <w:r>
        <w:rPr>
          <w:rStyle w:val="Funotenzeichen"/>
        </w:rPr>
        <w:footnoteRef/>
      </w:r>
      <w:r>
        <w:rPr/>
        <w:tab/>
        <w:t>[Status: Ungeprüft]</w:t>
      </w:r>
    </w:p>
  </w:footnote>
  <w:footnote w:id="2756">
    <w:p>
      <w:pPr>
        <w:pStyle w:val="Funote"/>
        <w:rPr/>
      </w:pPr>
      <w:r>
        <w:rPr>
          <w:rStyle w:val="Funotenzeichen"/>
        </w:rPr>
        <w:footnoteRef/>
      </w:r>
      <w:r>
        <w:rPr/>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757">
    <w:p>
      <w:pPr>
        <w:pStyle w:val="Funote"/>
        <w:rPr/>
      </w:pPr>
      <w:r>
        <w:rPr>
          <w:rStyle w:val="Funotenzeichen"/>
        </w:rPr>
        <w:footnoteRef/>
      </w:r>
      <w:r>
        <w:rPr/>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758">
    <w:p>
      <w:pPr>
        <w:pStyle w:val="Funote"/>
        <w:rPr/>
      </w:pPr>
      <w:r>
        <w:rPr>
          <w:rStyle w:val="Funotenzeichen"/>
        </w:rPr>
        <w:footnoteRef/>
      </w:r>
      <w:r>
        <w:rPr>
          <w:i/>
        </w:rPr>
        <w:tab/>
        <w:t>völlig (gewiss)</w:t>
      </w:r>
      <w:r>
        <w:rPr/>
        <w:t xml:space="preserve"> - Der absolute Infinitiv nach einer Verbform desselben Stammes hebt hier die Gewissheit oder Nachdrücklichkeit eines Geschehens hervor.</w:t>
      </w:r>
    </w:p>
  </w:footnote>
  <w:footnote w:id="2759">
    <w:p>
      <w:pPr>
        <w:pStyle w:val="Funote"/>
        <w:rPr/>
      </w:pPr>
      <w:r>
        <w:rPr>
          <w:rStyle w:val="Funotenzeichen"/>
        </w:rPr>
        <w:footnoteRef/>
      </w:r>
      <w:r>
        <w:rPr/>
        <w:tab/>
        <w:t>Inf. abs.</w:t>
      </w:r>
    </w:p>
  </w:footnote>
  <w:footnote w:id="2760">
    <w:p>
      <w:pPr>
        <w:pStyle w:val="Funote"/>
        <w:rPr/>
      </w:pPr>
      <w:r>
        <w:rPr>
          <w:rStyle w:val="Funotenzeichen"/>
        </w:rPr>
        <w:footnoteRef/>
      </w:r>
      <w:r>
        <w:rPr/>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761">
    <w:p>
      <w:pPr>
        <w:pStyle w:val="Funote"/>
        <w:rPr/>
      </w:pPr>
      <w:r>
        <w:rPr>
          <w:rStyle w:val="Funotenzeichen"/>
        </w:rPr>
        <w:footnoteRef/>
      </w:r>
      <w:r>
        <w:rPr>
          <w:i/>
        </w:rPr>
        <w:tab/>
        <w:t>Unzucht</w:t>
      </w:r>
      <w:r>
        <w:rPr/>
        <w:t xml:space="preserve"> - Im Hebr. Plural, einige Übersetzungen haben den Singular.</w:t>
      </w:r>
    </w:p>
  </w:footnote>
  <w:footnote w:id="2762">
    <w:p>
      <w:pPr>
        <w:pStyle w:val="Funote"/>
        <w:rPr/>
      </w:pPr>
      <w:r>
        <w:rPr>
          <w:rStyle w:val="Funotenzeichen"/>
        </w:rPr>
        <w:footnoteRef/>
      </w:r>
      <w:r>
        <w:rPr/>
        <w:tab/>
        <w:t>Böses - Im Hebr. Plural, die LXX und VUL haben den Singular.</w:t>
      </w:r>
    </w:p>
  </w:footnote>
  <w:footnote w:id="2763">
    <w:p>
      <w:pPr>
        <w:pStyle w:val="Funote"/>
        <w:rPr/>
      </w:pPr>
      <w:r>
        <w:rPr>
          <w:rStyle w:val="Funotenzeichen"/>
        </w:rPr>
        <w:footnoteRef/>
      </w:r>
      <w:r>
        <w:rPr>
          <w:i/>
        </w:rPr>
        <w:tab/>
        <w:t>[Daher (deshalb)] wurden versagt (entzogen)</w:t>
      </w:r>
      <w:r>
        <w:rPr/>
        <w:t xml:space="preserve"> - Im Hebräischen Wayyiqtol, daher ist im Dt. am sinnvollsten mit „daher“ oder „deshalb“ anzuschließen.</w:t>
      </w:r>
    </w:p>
  </w:footnote>
  <w:footnote w:id="2764">
    <w:p>
      <w:pPr>
        <w:pStyle w:val="Funote"/>
        <w:rPr/>
      </w:pPr>
      <w:r>
        <w:rPr>
          <w:rStyle w:val="Funotenzeichen"/>
        </w:rPr>
        <w:footnoteRef/>
      </w:r>
      <w:r>
        <w:rPr>
          <w:i/>
        </w:rPr>
        <w:tab/>
        <w:t>fiel</w:t>
      </w:r>
      <w:r>
        <w:rPr/>
        <w:t xml:space="preserve"> - W.: "war", „geschah“.</w:t>
      </w:r>
    </w:p>
  </w:footnote>
  <w:footnote w:id="2765">
    <w:p>
      <w:pPr>
        <w:pStyle w:val="Funote"/>
        <w:rPr/>
      </w:pPr>
      <w:r>
        <w:rPr>
          <w:rStyle w:val="Funotenzeichen"/>
        </w:rPr>
        <w:footnoteRef/>
      </w:r>
      <w:r>
        <w:rPr/>
        <w:tab/>
        <w:t>Spätregen fällt in Israel im März/ April.</w:t>
      </w:r>
    </w:p>
  </w:footnote>
  <w:footnote w:id="2766">
    <w:p>
      <w:pPr>
        <w:pStyle w:val="Funote"/>
        <w:rPr/>
      </w:pPr>
      <w:r>
        <w:rPr>
          <w:rStyle w:val="Funotenzeichen"/>
        </w:rPr>
        <w:footnoteRef/>
      </w:r>
      <w:r>
        <w:rPr>
          <w:i/>
        </w:rPr>
        <w:tab/>
        <w:t>die hurt</w:t>
      </w:r>
      <w:r>
        <w:rPr/>
        <w:t xml:space="preserve"> - Partizip Qal Sg. fem., relativisch aufgelöst. Man könnte auch zusammenziehen: „die Hure“.</w:t>
      </w:r>
    </w:p>
  </w:footnote>
  <w:footnote w:id="2767">
    <w:p>
      <w:pPr>
        <w:pStyle w:val="Funote"/>
        <w:rPr/>
      </w:pPr>
      <w:r>
        <w:rPr>
          <w:rStyle w:val="Funotenzeichen"/>
        </w:rPr>
        <w:footnoteRef/>
      </w:r>
      <w:r>
        <w:rPr>
          <w:i/>
        </w:rPr>
        <w:tab/>
        <w:t>die sich weigert</w:t>
      </w:r>
      <w:r>
        <w:rPr/>
        <w:t xml:space="preserve"> - Partizip Hif'il Sg. fem., relativisch aufgelöst.</w:t>
      </w:r>
    </w:p>
  </w:footnote>
  <w:footnote w:id="2768">
    <w:p>
      <w:pPr>
        <w:pStyle w:val="Funote"/>
        <w:rPr/>
      </w:pPr>
      <w:r>
        <w:rPr>
          <w:rStyle w:val="Funotenzeichen"/>
        </w:rPr>
        <w:footnoteRef/>
      </w:r>
      <w:r>
        <w:rPr>
          <w:i/>
        </w:rPr>
        <w:tab/>
        <w:t>Rufst</w:t>
      </w:r>
      <w:r>
        <w:rPr/>
        <w:t xml:space="preserve"> - Das Ketib hat die 1.Sg. = „ich rufe“; zu lesen ist mit dem Qere die 2.Sg.fem.</w:t>
      </w:r>
    </w:p>
  </w:footnote>
  <w:footnote w:id="2769">
    <w:p>
      <w:pPr>
        <w:pStyle w:val="Funote"/>
        <w:rPr/>
      </w:pPr>
      <w:r>
        <w:rPr>
          <w:rStyle w:val="Funotenzeichen"/>
        </w:rPr>
        <w:footnoteRef/>
      </w:r>
      <w:r>
        <w:rPr/>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770">
    <w:p>
      <w:pPr>
        <w:pStyle w:val="Funote"/>
        <w:rPr/>
      </w:pPr>
      <w:r>
        <w:rPr>
          <w:rStyle w:val="Funotenzeichen"/>
        </w:rPr>
        <w:footnoteRef/>
      </w:r>
      <w:r>
        <w:rPr/>
        <w:tab/>
        <w:t>mein Vater - Rudolf meint, dieses Wort sei zu streichen, da es aus V. 19 hier eingefügt wurde (Rudolph 1968, S. 24).</w:t>
      </w:r>
    </w:p>
  </w:footnote>
  <w:footnote w:id="2771">
    <w:p>
      <w:pPr>
        <w:pStyle w:val="Funote"/>
        <w:rPr/>
      </w:pPr>
      <w:r>
        <w:rPr>
          <w:rStyle w:val="Funotenzeichen"/>
        </w:rPr>
        <w:footnoteRef/>
      </w:r>
      <w:r>
        <w:rPr/>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772">
    <w:p>
      <w:pPr>
        <w:pStyle w:val="Funote"/>
        <w:rPr/>
      </w:pPr>
      <w:r>
        <w:rPr>
          <w:rStyle w:val="Funotenzeichen"/>
        </w:rPr>
        <w:footnoteRef/>
      </w:r>
      <w:r>
        <w:rPr>
          <w:i/>
        </w:rPr>
        <w:tab/>
        <w:t>hast du geredet</w:t>
      </w:r>
      <w:r>
        <w:rPr/>
        <w:t xml:space="preserve"> - Das Ketib hat die 1.Sg. = „ich habe geredet“; zu lesen ist mit dem Qere die 2.Sg.fem.</w:t>
      </w:r>
    </w:p>
  </w:footnote>
  <w:footnote w:id="2773">
    <w:p>
      <w:pPr>
        <w:pStyle w:val="Funote"/>
        <w:rPr/>
      </w:pPr>
      <w:r>
        <w:rPr>
          <w:rStyle w:val="Funotenzeichen"/>
        </w:rPr>
        <w:footnoteRef/>
      </w:r>
      <w:r>
        <w:rPr>
          <w:i/>
        </w:rPr>
        <w:tab/>
        <w:t>das Böse</w:t>
      </w:r>
      <w:r>
        <w:rPr/>
        <w:t xml:space="preserve"> - Im Hebr. Pl.</w:t>
      </w:r>
    </w:p>
  </w:footnote>
  <w:footnote w:id="2774">
    <w:p>
      <w:pPr>
        <w:pStyle w:val="Funote"/>
        <w:rPr/>
      </w:pPr>
      <w:r>
        <w:rPr>
          <w:rStyle w:val="Funotenzeichen"/>
        </w:rPr>
        <w:footnoteRef/>
      </w:r>
      <w:r>
        <w:rPr>
          <w:i/>
        </w:rPr>
        <w:tab/>
        <w:t>das</w:t>
      </w:r>
      <w:r>
        <w:rPr/>
        <w:t xml:space="preserve"> - W.: „die“; Israel ist im Hebr. fem.</w:t>
      </w:r>
    </w:p>
  </w:footnote>
  <w:footnote w:id="2775">
    <w:p>
      <w:pPr>
        <w:pStyle w:val="Funote"/>
        <w:rPr/>
      </w:pPr>
      <w:r>
        <w:rPr>
          <w:rStyle w:val="Funotenzeichen"/>
        </w:rPr>
        <w:footnoteRef/>
      </w:r>
      <w:r>
        <w:rPr/>
        <w:tab/>
        <w:t>abtrünnige - im Heb. Nomen statt Adjektiv: „Israel, die Abtrünnige“; Rudolph 1968 sieht darin sogar einen Abstraktbegriff, der wie ein alternativer Eigenname für „Israel“ fungiert: „Israel, die Abrünnigkeit“.</w:t>
      </w:r>
    </w:p>
  </w:footnote>
  <w:footnote w:id="2776">
    <w:p>
      <w:pPr>
        <w:pStyle w:val="Funote"/>
        <w:rPr/>
      </w:pPr>
      <w:r>
        <w:rPr>
          <w:rStyle w:val="Funotenzeichen"/>
        </w:rPr>
        <w:footnoteRef/>
      </w:r>
      <w:r>
        <w:rPr>
          <w:i/>
        </w:rPr>
        <w:tab/>
        <w:t>steigt</w:t>
      </w:r>
      <w:r>
        <w:rPr/>
        <w:t xml:space="preserve"> - W.: „geht“, Partizip Sg. fem. Qal</w:t>
      </w:r>
    </w:p>
  </w:footnote>
  <w:footnote w:id="2777">
    <w:p>
      <w:pPr>
        <w:pStyle w:val="Funote"/>
        <w:rPr/>
      </w:pPr>
      <w:r>
        <w:rPr>
          <w:rStyle w:val="Funotenzeichen"/>
        </w:rPr>
        <w:footnoteRef/>
      </w:r>
      <w:r>
        <w:rPr>
          <w:i/>
        </w:rPr>
        <w:tab/>
        <w:t>fremd geht (Unzucht treibt, hurt)</w:t>
      </w:r>
      <w:r>
        <w:rPr/>
        <w:t xml:space="preserve">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778">
    <w:p>
      <w:pPr>
        <w:pStyle w:val="Funote"/>
        <w:rPr/>
      </w:pPr>
      <w:r>
        <w:rPr>
          <w:rStyle w:val="Funotenzeichen"/>
        </w:rPr>
        <w:footnoteRef/>
      </w:r>
      <w:r>
        <w:rPr>
          <w:i/>
        </w:rPr>
        <w:tab/>
        <w:t>[Da] sagte (dachte)</w:t>
      </w:r>
      <w:r>
        <w:rPr/>
        <w:t xml:space="preserve"> - Im Heb. Wayyiqtol; im Dt. ist daher besser mit „Da“ anzuschließen.</w:t>
      </w:r>
    </w:p>
  </w:footnote>
  <w:footnote w:id="2779">
    <w:p>
      <w:pPr>
        <w:pStyle w:val="Funote"/>
        <w:rPr/>
      </w:pPr>
      <w:r>
        <w:rPr>
          <w:rStyle w:val="Funotenzeichen"/>
        </w:rPr>
        <w:footnoteRef/>
      </w:r>
      <w:r>
        <w:rPr/>
        <w:tab/>
        <w:t>ich - Sprecher ist JHWH.</w:t>
      </w:r>
    </w:p>
  </w:footnote>
  <w:footnote w:id="2780">
    <w:p>
      <w:pPr>
        <w:pStyle w:val="Funote"/>
        <w:rPr/>
      </w:pPr>
      <w:r>
        <w:rPr>
          <w:rStyle w:val="Funotenzeichen"/>
        </w:rPr>
        <w:footnoteRef/>
      </w:r>
      <w:r>
        <w:rPr>
          <w:i/>
        </w:rPr>
        <w:tab/>
        <w:t>treulose</w:t>
      </w:r>
      <w:r>
        <w:rPr/>
        <w:t xml:space="preserve"> - Im Hebr. ein Nomen; Rudolph übersetzt es wie V. 6 als Eigenname.</w:t>
      </w:r>
    </w:p>
  </w:footnote>
  <w:footnote w:id="2781">
    <w:p>
      <w:pPr>
        <w:pStyle w:val="Funote"/>
        <w:rPr/>
      </w:pPr>
      <w:r>
        <w:rPr>
          <w:rStyle w:val="Funotenzeichen"/>
        </w:rPr>
        <w:footnoteRef/>
      </w:r>
      <w:r>
        <w:rPr>
          <w:i/>
        </w:rPr>
        <w:tab/>
        <w:t>[Da] sah</w:t>
      </w:r>
      <w:r>
        <w:rPr/>
        <w:t xml:space="preserve"> - Im Heb. Wayyiqtol; im Dt. ist daher besser mit „Da“ anzuschließen. Das Ketib 1.Sg. („ich sah“) ist zu ersetzen durch das Qere 2.Sg.</w:t>
      </w:r>
    </w:p>
  </w:footnote>
  <w:footnote w:id="2782">
    <w:p>
      <w:pPr>
        <w:pStyle w:val="Funote"/>
        <w:rPr/>
      </w:pPr>
      <w:r>
        <w:rPr>
          <w:rStyle w:val="Funotenzeichen"/>
        </w:rPr>
        <w:footnoteRef/>
      </w:r>
      <w:r>
        <w:rPr>
          <w:i/>
        </w:rPr>
        <w:tab/>
        <w:t>weil das abtrünnige Israel fremging (die Ehe brach)</w:t>
      </w:r>
      <w:r>
        <w:rPr/>
        <w:t xml:space="preserve"> - W.: „Da sah es, dass wegen dessen, wovon gilt: das abtrünnige Israel brach die Ehe“.</w:t>
      </w:r>
    </w:p>
  </w:footnote>
  <w:footnote w:id="2783">
    <w:p>
      <w:pPr>
        <w:pStyle w:val="Funote"/>
        <w:rPr/>
      </w:pPr>
      <w:r>
        <w:rPr>
          <w:rStyle w:val="Funotenzeichen"/>
        </w:rPr>
        <w:footnoteRef/>
      </w:r>
      <w:r>
        <w:rPr>
          <w:i/>
        </w:rPr>
        <w:tab/>
        <w:t>leichtfertiges</w:t>
      </w:r>
      <w:r>
        <w:rPr/>
        <w:t xml:space="preserve">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784">
    <w:p>
      <w:pPr>
        <w:pStyle w:val="Funote"/>
        <w:rPr/>
      </w:pPr>
      <w:r>
        <w:rPr>
          <w:rStyle w:val="Funotenzeichen"/>
        </w:rPr>
        <w:footnoteRef/>
      </w:r>
      <w:r>
        <w:rPr>
          <w:i/>
        </w:rPr>
        <w:tab/>
        <w:t>Stein</w:t>
      </w:r>
      <w:r>
        <w:rPr/>
        <w:t xml:space="preserve"> = die dem Ba'al geweihten "Höhen"</w:t>
      </w:r>
    </w:p>
  </w:footnote>
  <w:footnote w:id="2785">
    <w:p>
      <w:pPr>
        <w:pStyle w:val="Funote"/>
        <w:rPr/>
      </w:pPr>
      <w:r>
        <w:rPr>
          <w:rStyle w:val="Funotenzeichen"/>
        </w:rPr>
        <w:footnoteRef/>
      </w:r>
      <w:r>
        <w:rPr/>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786">
    <w:p>
      <w:pPr>
        <w:pStyle w:val="Funote"/>
        <w:rPr/>
      </w:pPr>
      <w:r>
        <w:rPr>
          <w:rStyle w:val="Funotenzeichen"/>
        </w:rPr>
        <w:footnoteRef/>
      </w:r>
      <w:r>
        <w:rPr>
          <w:i/>
        </w:rPr>
        <w:tab/>
        <w:t>Trotzdem</w:t>
      </w:r>
      <w:r>
        <w:rPr/>
        <w:t xml:space="preserve"> - W.: „auch wegen all diesem“.</w:t>
      </w:r>
    </w:p>
  </w:footnote>
  <w:footnote w:id="2787">
    <w:p>
      <w:pPr>
        <w:pStyle w:val="Funote"/>
        <w:rPr/>
      </w:pPr>
      <w:r>
        <w:rPr>
          <w:rStyle w:val="Funotenzeichen"/>
        </w:rPr>
        <w:footnoteRef/>
      </w:r>
      <w:r>
        <w:rPr/>
        <w:tab/>
        <w:t>Schuld (Sünde, Vergehen) - Der Begriff „Sünde“ ist problematisch, weil er für heutige Menschen übersetzungsbedürftig ist. Hier soll „Schuld“ als Begriff für Vergehen gegen JHWH verstanden und verwendet werden.</w:t>
      </w:r>
    </w:p>
  </w:footnote>
  <w:footnote w:id="2788">
    <w:p>
      <w:pPr>
        <w:pStyle w:val="Funote"/>
        <w:rPr/>
      </w:pPr>
      <w:r>
        <w:rPr>
          <w:rStyle w:val="Funotenzeichen"/>
        </w:rPr>
        <w:footnoteRef/>
      </w:r>
      <w:r>
        <w:rPr/>
        <w:tab/>
        <w:t>habt ihr - Wechsel der Person von 2.Sg. auf 2.Pl., weshalb Rudolph vorschlägt, mit der LXX die 2.Sg. = „</w:t>
      </w:r>
      <w:r>
        <w:rPr>
          <w:rtl w:val="true"/>
          <w:lang w:bidi="he-IL"/>
        </w:rPr>
        <w:t>שֶׁמֵעֵתְּ</w:t>
      </w:r>
      <w:r>
        <w:rPr/>
        <w:t xml:space="preserve">“ </w:t>
      </w:r>
      <w:r>
        <w:rPr/>
        <w:t>(„du hörst“) zu lesen.</w:t>
      </w:r>
    </w:p>
  </w:footnote>
  <w:footnote w:id="2789">
    <w:p>
      <w:pPr>
        <w:pStyle w:val="Funote"/>
        <w:rPr/>
      </w:pPr>
      <w:r>
        <w:rPr>
          <w:rStyle w:val="Funotenzeichen"/>
        </w:rPr>
        <w:footnoteRef/>
      </w:r>
      <w:r>
        <w:rPr>
          <w:i/>
        </w:rPr>
        <w:tab/>
        <w:t>Kinder</w:t>
      </w:r>
      <w:r>
        <w:rPr/>
        <w:t xml:space="preserve"> - W.: Söhne</w:t>
      </w:r>
    </w:p>
  </w:footnote>
  <w:footnote w:id="2790">
    <w:p>
      <w:pPr>
        <w:pStyle w:val="Funote"/>
        <w:rPr/>
      </w:pPr>
      <w:r>
        <w:rPr>
          <w:rStyle w:val="Funotenzeichen"/>
        </w:rPr>
        <w:footnoteRef/>
      </w:r>
      <w:r>
        <w:rPr>
          <w:i/>
        </w:rPr>
        <w:tab/>
        <w:t>habe euch in Besitz genommen (bin euer Herr)</w:t>
      </w:r>
      <w:r>
        <w:rPr/>
        <w:t xml:space="preserve">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791">
    <w:p>
      <w:pPr>
        <w:pStyle w:val="Funote"/>
        <w:rPr/>
      </w:pPr>
      <w:r>
        <w:rPr>
          <w:rStyle w:val="Funotenzeichen"/>
        </w:rPr>
        <w:footnoteRef/>
      </w:r>
      <w:r>
        <w:rPr/>
        <w:tab/>
        <w:t>Lade des Bundes JHWHs - Nicht die Bundeslade, sondern die Lade des JHWH-Bundes!</w:t>
      </w:r>
    </w:p>
  </w:footnote>
  <w:footnote w:id="2792">
    <w:p>
      <w:pPr>
        <w:pStyle w:val="Funote"/>
        <w:rPr/>
      </w:pPr>
      <w:r>
        <w:rPr>
          <w:rStyle w:val="Funotenzeichen"/>
        </w:rPr>
        <w:footnoteRef/>
      </w:r>
      <w:r>
        <w:rPr>
          <w:i/>
        </w:rPr>
        <w:tab/>
        <w:t>aufs Herz (in den Sinn)</w:t>
      </w:r>
      <w:r>
        <w:rPr/>
        <w:t xml:space="preserve"> - Im alten Israel wurde das „Herz“ oft nicht als Sitz der Emotionen, sondern als Sitz der Gedanken angesehen; daher besser: „in den Sinn“.</w:t>
      </w:r>
    </w:p>
  </w:footnote>
  <w:footnote w:id="2793">
    <w:p>
      <w:pPr>
        <w:pStyle w:val="Funote"/>
        <w:rPr/>
      </w:pPr>
      <w:r>
        <w:rPr>
          <w:rStyle w:val="Funotenzeichen"/>
        </w:rPr>
        <w:footnoteRef/>
      </w:r>
      <w:r>
        <w:rPr/>
        <w:tab/>
        <w:t>Ab hier spricht wieder JHWH.</w:t>
      </w:r>
    </w:p>
  </w:footnote>
  <w:footnote w:id="2794">
    <w:p>
      <w:pPr>
        <w:pStyle w:val="Funote"/>
        <w:rPr/>
      </w:pPr>
      <w:r>
        <w:rPr>
          <w:rStyle w:val="Funotenzeichen"/>
        </w:rPr>
        <w:footnoteRef/>
      </w:r>
      <w:r>
        <w:rPr>
          <w:i/>
        </w:rPr>
        <w:tab/>
        <w:t>Kindern</w:t>
      </w:r>
      <w:r>
        <w:rPr/>
        <w:t xml:space="preserve"> - W.: Söhnen</w:t>
      </w:r>
    </w:p>
  </w:footnote>
  <w:footnote w:id="2795">
    <w:p>
      <w:pPr>
        <w:pStyle w:val="Funote"/>
        <w:rPr/>
      </w:pPr>
      <w:r>
        <w:rPr>
          <w:rStyle w:val="Funotenzeichen"/>
        </w:rPr>
        <w:footnoteRef/>
      </w:r>
      <w:r>
        <w:rPr/>
        <w:tab/>
        <w:t>herrlichsten - W.: "Herrlichkeit der Herrlichkeiten", eine der hebr. Möglichkeiten, den Superlativ auszudrücken (Rudolph 1968, S. 28).</w:t>
      </w:r>
    </w:p>
  </w:footnote>
  <w:footnote w:id="2796">
    <w:p>
      <w:pPr>
        <w:pStyle w:val="Funote"/>
        <w:rPr/>
      </w:pPr>
      <w:r>
        <w:rPr>
          <w:rStyle w:val="Funotenzeichen"/>
        </w:rPr>
        <w:footnoteRef/>
      </w:r>
      <w:r>
        <w:rPr/>
        <w:tab/>
        <w:t>ihr mich nennen - Das Qere will 2.fem.Sg. lesen; richtig ist das Ketib 2.Pl. (Rudolph 1968, S. 28).</w:t>
      </w:r>
    </w:p>
  </w:footnote>
  <w:footnote w:id="2797">
    <w:p>
      <w:pPr>
        <w:pStyle w:val="Funote"/>
        <w:rPr/>
      </w:pPr>
      <w:r>
        <w:rPr>
          <w:rStyle w:val="Funotenzeichen"/>
        </w:rPr>
        <w:footnoteRef/>
      </w:r>
      <w:r>
        <w:rPr>
          <w:i/>
        </w:rPr>
        <w:tab/>
        <w:t>ihr euch nicht kehren</w:t>
      </w:r>
      <w:r>
        <w:rPr/>
        <w:t xml:space="preserve"> - Das Qere will 2.fem.Sg. lesen; richtig ist das Ketib 2.Pl.</w:t>
      </w:r>
    </w:p>
  </w:footnote>
  <w:footnote w:id="2798">
    <w:p>
      <w:pPr>
        <w:pStyle w:val="Funote"/>
        <w:rPr/>
      </w:pPr>
      <w:r>
        <w:rPr>
          <w:rStyle w:val="Funotenzeichen"/>
        </w:rPr>
        <w:footnoteRef/>
      </w:r>
      <w:r>
        <w:rPr>
          <w:i/>
        </w:rPr>
        <w:tab/>
        <w:t>Aber [wie] eine Frau treulos ist von</w:t>
      </w:r>
      <w:r>
        <w:rPr/>
        <w:t xml:space="preserve">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799">
    <w:p>
      <w:pPr>
        <w:pStyle w:val="Funote"/>
        <w:rPr/>
      </w:pPr>
      <w:r>
        <w:rPr>
          <w:rStyle w:val="Funotenzeichen"/>
        </w:rPr>
        <w:footnoteRef/>
      </w:r>
      <w:r>
        <w:rPr>
          <w:i/>
        </w:rPr>
        <w:tab/>
        <w:t>Kinder</w:t>
      </w:r>
      <w:r>
        <w:rPr/>
        <w:t xml:space="preserve"> - W.: Söhne</w:t>
      </w:r>
    </w:p>
  </w:footnote>
  <w:footnote w:id="2800">
    <w:p>
      <w:pPr>
        <w:pStyle w:val="Funote"/>
        <w:rPr/>
      </w:pPr>
      <w:r>
        <w:rPr>
          <w:rStyle w:val="Funotenzeichen"/>
        </w:rPr>
        <w:footnoteRef/>
      </w:r>
      <w:r>
        <w:rPr/>
        <w:tab/>
        <w:t>wörtl.: Söhne</w:t>
      </w:r>
    </w:p>
  </w:footnote>
  <w:footnote w:id="2801">
    <w:p>
      <w:pPr>
        <w:pStyle w:val="Funote"/>
        <w:rPr/>
      </w:pPr>
      <w:r>
        <w:rPr>
          <w:rStyle w:val="Funotenzeichen"/>
        </w:rPr>
        <w:footnoteRef/>
      </w:r>
      <w:r>
        <w:rPr>
          <w:i/>
        </w:rPr>
        <w:tab/>
        <w:t>der Schändliche</w:t>
      </w:r>
      <w:r>
        <w:rPr/>
        <w:t xml:space="preserve"> - Heb. </w:t>
      </w:r>
      <w:r>
        <w:rPr>
          <w:rtl w:val="true"/>
          <w:lang w:bidi="he-IL"/>
        </w:rPr>
        <w:t>בֹשֶׁת</w:t>
      </w:r>
      <w:r>
        <w:rPr/>
        <w:t xml:space="preserve">, Schimpfname Ba'als; ähnlich in „Isch-Boschät“, dem Namen von Sauls Sohn in </w:t>
      </w:r>
      <w:hyperlink r:id="rId232">
        <w:r>
          <w:rPr>
            <w:rStyle w:val="Internetverknpfung"/>
          </w:rPr>
          <w:t>2 Sam 2,4</w:t>
        </w:r>
      </w:hyperlink>
      <w:r>
        <w:rPr/>
        <w:t>.</w:t>
      </w:r>
    </w:p>
  </w:footnote>
  <w:footnote w:id="2802">
    <w:p>
      <w:pPr>
        <w:pStyle w:val="Funote"/>
        <w:rPr/>
      </w:pPr>
      <w:r>
        <w:rPr>
          <w:rStyle w:val="Funotenzeichen"/>
        </w:rPr>
        <w:footnoteRef/>
      </w:r>
      <w:r>
        <w:rPr>
          <w:i/>
        </w:rPr>
        <w:tab/>
        <w:t>von ... [an]</w:t>
      </w:r>
      <w:r>
        <w:rPr/>
        <w:t xml:space="preserve"> - </w:t>
      </w:r>
      <w:r>
        <w:rPr>
          <w:rtl w:val="true"/>
          <w:lang w:bidi="he-IL"/>
        </w:rPr>
        <w:t>מִן</w:t>
      </w:r>
      <w:r>
        <w:rPr/>
        <w:t xml:space="preserve"> </w:t>
      </w:r>
      <w:r>
        <w:rPr/>
        <w:t>hier zeitlich aufgefasst.</w:t>
      </w:r>
    </w:p>
  </w:footnote>
  <w:footnote w:id="2803">
    <w:p>
      <w:pPr>
        <w:pStyle w:val="Funote"/>
        <w:rPr/>
      </w:pPr>
      <w:r>
        <w:rPr>
          <w:rStyle w:val="Funotenzeichen"/>
        </w:rPr>
        <w:footnoteRef/>
      </w:r>
      <w:r>
        <w:rPr>
          <w:i/>
        </w:rPr>
        <w:tab/>
        <w:t>Kleinvieh</w:t>
      </w:r>
      <w:r>
        <w:rPr/>
        <w:t xml:space="preserve"> - W.: „Schafe und Ziegen“</w:t>
      </w:r>
    </w:p>
  </w:footnote>
  <w:footnote w:id="2804">
    <w:p>
      <w:pPr>
        <w:pStyle w:val="Funote"/>
        <w:rPr/>
      </w:pPr>
      <w:r>
        <w:rPr>
          <w:rStyle w:val="Funotenzeichen"/>
        </w:rPr>
        <w:footnoteRef/>
      </w:r>
      <w:r>
        <w:rPr/>
        <w:tab/>
        <w:t>gemeint ist das Kultbild des "heidnischen" Gottes</w:t>
      </w:r>
    </w:p>
  </w:footnote>
  <w:footnote w:id="2805">
    <w:p>
      <w:pPr>
        <w:pStyle w:val="Funote"/>
        <w:rPr/>
      </w:pPr>
      <w:r>
        <w:rPr>
          <w:rStyle w:val="Funotenzeichen"/>
        </w:rPr>
        <w:footnoteRef/>
      </w:r>
      <w:r>
        <w:rPr/>
        <w:tab/>
        <w:t>vor Angst</w:t>
      </w:r>
    </w:p>
  </w:footnote>
  <w:footnote w:id="2806">
    <w:p>
      <w:pPr>
        <w:pStyle w:val="Funote"/>
        <w:rPr/>
      </w:pPr>
      <w:r>
        <w:rPr>
          <w:rStyle w:val="Funotenzeichen"/>
        </w:rPr>
        <w:footnoteRef/>
      </w:r>
      <w:r>
        <w:rPr/>
        <w:tab/>
        <w:t xml:space="preserve">Statt "ihm" (= JHWH) schlägt Rudolph vor, </w:t>
      </w:r>
      <w:r>
        <w:rPr>
          <w:rtl w:val="true"/>
          <w:lang w:bidi="he-IL"/>
        </w:rPr>
        <w:t>בְךָ</w:t>
      </w:r>
      <w:r>
        <w:rPr/>
        <w:t xml:space="preserve"> </w:t>
      </w:r>
      <w:r>
        <w:rPr/>
        <w:t>zu lesen, "in dir", vgl. Kommentar S. 28</w:t>
      </w:r>
    </w:p>
  </w:footnote>
  <w:footnote w:id="2807">
    <w:p>
      <w:pPr>
        <w:pStyle w:val="Funote"/>
        <w:rPr/>
      </w:pPr>
      <w:r>
        <w:rPr>
          <w:rStyle w:val="Funotenzeichen"/>
        </w:rPr>
        <w:footnoteRef/>
      </w:r>
      <w:r>
        <w:rPr/>
        <w:tab/>
        <w:t>Grundbedeutung: „kehren, wenden“. Die Bewegunsrichtung ist offen, lässt sich aber erschließen. Eindeutig ist der Gegensatz bei Fallen und aufstehen. In den VV 5-7 wird das Thema variiert.</w:t>
      </w:r>
    </w:p>
  </w:footnote>
  <w:footnote w:id="2808">
    <w:p>
      <w:pPr>
        <w:pStyle w:val="Funote"/>
        <w:rPr/>
      </w:pPr>
      <w:r>
        <w:rPr>
          <w:rStyle w:val="Funotenzeichen"/>
        </w:rPr>
        <w:footnoteRef/>
      </w:r>
      <w:r>
        <w:rPr/>
        <w:tab/>
        <w:t>Siehe Anmerkung zu „wenden“</w:t>
      </w:r>
    </w:p>
  </w:footnote>
  <w:footnote w:id="2809">
    <w:p>
      <w:pPr>
        <w:pStyle w:val="Funote"/>
        <w:rPr/>
      </w:pPr>
      <w:r>
        <w:rPr>
          <w:rStyle w:val="Funotenzeichen"/>
        </w:rPr>
        <w:footnoteRef/>
      </w:r>
      <w:r>
        <w:rPr/>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810">
    <w:p>
      <w:pPr>
        <w:pStyle w:val="Funote"/>
        <w:rPr/>
      </w:pPr>
      <w:r>
        <w:rPr>
          <w:rStyle w:val="Funotenzeichen"/>
        </w:rPr>
        <w:footnoteRef/>
      </w:r>
      <w:r>
        <w:rPr/>
        <w:tab/>
        <w:t>'Jerusalem" fällt aus der Satzkonstruktion. Wahrscheinlich eine spätere Ergänzung, siehe Schmidt 2008, S. 191</w:t>
      </w:r>
    </w:p>
  </w:footnote>
  <w:footnote w:id="2811">
    <w:p>
      <w:pPr>
        <w:pStyle w:val="Funote"/>
        <w:rPr/>
      </w:pPr>
      <w:r>
        <w:rPr>
          <w:rStyle w:val="Funotenzeichen"/>
        </w:rPr>
        <w:footnoteRef/>
      </w:r>
      <w:r>
        <w:rPr/>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812">
    <w:p>
      <w:pPr>
        <w:pStyle w:val="Funote"/>
        <w:rPr/>
      </w:pPr>
      <w:r>
        <w:rPr>
          <w:rStyle w:val="Funotenzeichen"/>
        </w:rPr>
        <w:footnoteRef/>
      </w:r>
      <w:r>
        <w:rPr/>
        <w:tab/>
        <w:t>wörtlich: „kein Mann bereut seine Bosheit“</w:t>
      </w:r>
    </w:p>
  </w:footnote>
  <w:footnote w:id="2813">
    <w:p>
      <w:pPr>
        <w:pStyle w:val="Funote"/>
        <w:rPr/>
      </w:pPr>
      <w:r>
        <w:rPr>
          <w:rStyle w:val="Funotenzeichen"/>
        </w:rPr>
        <w:footnoteRef/>
      </w:r>
      <w:r>
        <w:rPr>
          <w:rtl w:val="true"/>
          <w:lang w:bidi="he-IL"/>
        </w:rPr>
        <w:tab/>
        <w:t>לֵאמֹר</w:t>
      </w:r>
      <w:r>
        <w:rPr/>
        <w:t xml:space="preserve"> </w:t>
      </w:r>
      <w:r>
        <w:rPr/>
        <w:t>darf ausnamswiese übersetzt werden, weil sonst die wörtliche Rede ohne nötige Einleitung bliebe.</w:t>
      </w:r>
    </w:p>
  </w:footnote>
  <w:footnote w:id="2814">
    <w:p>
      <w:pPr>
        <w:pStyle w:val="Funote"/>
        <w:rPr/>
      </w:pPr>
      <w:r>
        <w:rPr>
          <w:rStyle w:val="Funotenzeichen"/>
        </w:rPr>
        <w:footnoteRef/>
      </w:r>
      <w:r>
        <w:rPr/>
        <w:tab/>
        <w:t>dies ist die wörtliche Übersetzung, die im deutschen allerdings schlecht zum Ausdruck bringt, dass es sich wohl um ein Fortlaufen in die falsche Richtung handelt.</w:t>
      </w:r>
    </w:p>
  </w:footnote>
  <w:footnote w:id="2815">
    <w:p>
      <w:pPr>
        <w:pStyle w:val="Funote"/>
        <w:rPr/>
      </w:pPr>
      <w:r>
        <w:rPr>
          <w:rStyle w:val="Funotenzeichen"/>
        </w:rPr>
        <w:footnoteRef/>
      </w:r>
      <w:r>
        <w:rPr/>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816">
    <w:p>
      <w:pPr>
        <w:pStyle w:val="Funote"/>
        <w:rPr/>
      </w:pPr>
      <w:r>
        <w:rPr>
          <w:rStyle w:val="Funotenzeichen"/>
        </w:rPr>
        <w:footnoteRef/>
      </w:r>
      <w:r>
        <w:rPr/>
        <w:tab/>
        <w:t xml:space="preserve">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 </w:t>
      </w:r>
    </w:p>
  </w:footnote>
  <w:footnote w:id="2817">
    <w:p>
      <w:pPr>
        <w:pStyle w:val="Funote"/>
        <w:rPr/>
      </w:pPr>
      <w:r>
        <w:rPr>
          <w:rStyle w:val="Funotenzeichen"/>
        </w:rPr>
        <w:footnoteRef/>
      </w:r>
      <w:r>
        <w:rPr/>
        <w:tab/>
        <w:t>Waw adversativum</w:t>
      </w:r>
    </w:p>
  </w:footnote>
  <w:footnote w:id="2818">
    <w:p>
      <w:pPr>
        <w:pStyle w:val="Funote"/>
        <w:rPr/>
      </w:pPr>
      <w:r>
        <w:rPr>
          <w:rStyle w:val="Funotenzeichen"/>
        </w:rPr>
        <w:footnoteRef/>
      </w:r>
      <w:r>
        <w:rPr/>
        <w:tab/>
        <w:t>Wörtlich: „für sie“.</w:t>
      </w:r>
    </w:p>
  </w:footnote>
  <w:footnote w:id="2819">
    <w:p>
      <w:pPr>
        <w:pStyle w:val="Funote"/>
        <w:rPr/>
      </w:pPr>
      <w:r>
        <w:rPr>
          <w:rStyle w:val="Funotenzeichen"/>
        </w:rPr>
        <w:footnoteRef/>
      </w:r>
      <w:r>
        <w:rPr/>
        <w:tab/>
        <w:t>[Status: Ungeprüft]</w:t>
      </w:r>
    </w:p>
  </w:footnote>
  <w:footnote w:id="2820">
    <w:p>
      <w:pPr>
        <w:pStyle w:val="Funote"/>
        <w:rPr/>
      </w:pPr>
      <w:r>
        <w:rPr>
          <w:rStyle w:val="Funotenzeichen"/>
        </w:rPr>
        <w:footnoteRef/>
      </w:r>
      <w:r>
        <w:rPr/>
        <w:tab/>
        <w:t xml:space="preserve">Dieser Vers ist auf Aramäisch verfasst (sonst </w:t>
      </w:r>
      <w:r>
        <w:fldChar w:fldCharType="begin"/>
      </w:r>
      <w:r>
        <w:rPr>
          <w:rStyle w:val="Internetverknpfung"/>
        </w:rPr>
        <w:instrText> HYPERLINK "../../../../../../../../../wiki/Daniel_2" \l "s4"</w:instrText>
      </w:r>
      <w:r>
        <w:rPr>
          <w:rStyle w:val="Internetverknpfung"/>
        </w:rPr>
        <w:fldChar w:fldCharType="separate"/>
      </w:r>
      <w:r>
        <w:rPr>
          <w:rStyle w:val="Internetverknpfung"/>
        </w:rPr>
        <w:t>Dan 2,4b</w:t>
      </w:r>
      <w:r>
        <w:rPr>
          <w:rStyle w:val="Internetverknpfung"/>
        </w:rPr>
        <w:fldChar w:fldCharType="end"/>
      </w:r>
      <w:r>
        <w:rPr/>
        <w:t>-</w:t>
      </w:r>
      <w:hyperlink r:id="rId233">
        <w:r>
          <w:rPr>
            <w:rStyle w:val="Internetverknpfung"/>
          </w:rPr>
          <w:t>7,28</w:t>
        </w:r>
      </w:hyperlink>
      <w:r>
        <w:rPr/>
        <w:t xml:space="preserve">; </w:t>
      </w:r>
      <w:r>
        <w:fldChar w:fldCharType="begin"/>
      </w:r>
      <w:r>
        <w:rPr>
          <w:rStyle w:val="Internetverknpfung"/>
        </w:rPr>
        <w:instrText> HYPERLINK "../../../../../../../../../wiki/Esra_4" \l "s8"</w:instrText>
      </w:r>
      <w:r>
        <w:rPr>
          <w:rStyle w:val="Internetverknpfung"/>
        </w:rPr>
        <w:fldChar w:fldCharType="separate"/>
      </w:r>
      <w:r>
        <w:rPr>
          <w:rStyle w:val="Internetverknpfung"/>
        </w:rPr>
        <w:t>Esr 4,8</w:t>
      </w:r>
      <w:r>
        <w:rPr>
          <w:rStyle w:val="Internetverknpfung"/>
        </w:rPr>
        <w:fldChar w:fldCharType="end"/>
      </w:r>
      <w:r>
        <w:rPr/>
        <w:t>-</w:t>
      </w:r>
      <w:r>
        <w:fldChar w:fldCharType="begin"/>
      </w:r>
      <w:r>
        <w:rPr>
          <w:rStyle w:val="Internetverknpfung"/>
        </w:rPr>
        <w:instrText> HYPERLINK "../../../../../../../../../wiki/Esra_6" \l "s18"</w:instrText>
      </w:r>
      <w:r>
        <w:rPr>
          <w:rStyle w:val="Internetverknpfung"/>
        </w:rPr>
        <w:fldChar w:fldCharType="separate"/>
      </w:r>
      <w:r>
        <w:rPr>
          <w:rStyle w:val="Internetverknpfung"/>
        </w:rPr>
        <w:t>6,18</w:t>
      </w:r>
      <w:r>
        <w:rPr>
          <w:rStyle w:val="Internetverknpfung"/>
        </w:rPr>
        <w:fldChar w:fldCharType="end"/>
      </w:r>
      <w:r>
        <w:rPr/>
        <w:t xml:space="preserve">; </w:t>
      </w:r>
      <w:r>
        <w:fldChar w:fldCharType="begin"/>
      </w:r>
      <w:r>
        <w:rPr>
          <w:rStyle w:val="Internetverknpfung"/>
        </w:rPr>
        <w:instrText> HYPERLINK "../../../../../../../../../wiki/Esra_7" \l "s12"</w:instrText>
      </w:r>
      <w:r>
        <w:rPr>
          <w:rStyle w:val="Internetverknpfung"/>
        </w:rPr>
        <w:fldChar w:fldCharType="separate"/>
      </w:r>
      <w:r>
        <w:rPr>
          <w:rStyle w:val="Internetverknpfung"/>
        </w:rPr>
        <w:t>7,12-26</w:t>
      </w:r>
      <w:r>
        <w:rPr>
          <w:rStyle w:val="Internetverknpfung"/>
        </w:rPr>
        <w:fldChar w:fldCharType="end"/>
      </w:r>
      <w:r>
        <w:rPr/>
        <w:t xml:space="preserve"> und Teile von </w:t>
      </w:r>
      <w:hyperlink r:id="rId234">
        <w:r>
          <w:rPr>
            <w:rStyle w:val="Internetverknpfung"/>
          </w:rPr>
          <w:t>Gen 31,47</w:t>
        </w:r>
      </w:hyperlink>
      <w:r>
        <w:rPr/>
        <w:t xml:space="preserve">). Manche nehmen an, es handele sich um eine spätere Einfügung, doch er scheint gut in den Kontext zu passen. Für eine gute Zusammenfassung siehe NET Jer 10,11, Fußnote 23. </w:t>
      </w:r>
    </w:p>
  </w:footnote>
  <w:footnote w:id="2821">
    <w:p>
      <w:pPr>
        <w:pStyle w:val="Funote"/>
        <w:rPr/>
      </w:pPr>
      <w:r>
        <w:rPr>
          <w:rStyle w:val="Funotenzeichen"/>
        </w:rPr>
        <w:footnoteRef/>
      </w:r>
      <w:r>
        <w:rPr>
          <w:i/>
        </w:rPr>
        <w:tab/>
        <w:t>diesem</w:t>
      </w:r>
      <w:r>
        <w:rPr/>
        <w:t xml:space="preserve"> Das einzige hebräische Wort im Satz steht ganz am Ende und bezieht sich wohl auf den Himmel (so Fischer), alternativ auf die Götter (so Keil, zitiert bei Fischer; Fischer 2005, 376). Bauer und Leander verstehen es dagegen als „soweit (reicht die aram. Glosse)“ (Bauer, Grammatik, 68). </w:t>
      </w:r>
    </w:p>
  </w:footnote>
  <w:footnote w:id="2822">
    <w:p>
      <w:pPr>
        <w:pStyle w:val="Funote"/>
        <w:rPr/>
      </w:pPr>
      <w:r>
        <w:rPr>
          <w:rStyle w:val="Funotenzeichen"/>
        </w:rPr>
        <w:footnoteRef/>
      </w:r>
      <w:r>
        <w:rPr/>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823">
    <w:p>
      <w:pPr>
        <w:pStyle w:val="Funote"/>
        <w:rPr/>
      </w:pPr>
      <w:r>
        <w:rPr>
          <w:rStyle w:val="Funotenzeichen"/>
        </w:rPr>
        <w:footnoteRef/>
      </w:r>
      <w:r>
        <w:rPr/>
        <w:tab/>
        <w:t xml:space="preserve">Hebr. </w:t>
      </w:r>
      <w:r>
        <w:rPr>
          <w:rtl w:val="true"/>
          <w:lang w:bidi="he-IL"/>
        </w:rPr>
        <w:t>פתה</w:t>
      </w:r>
      <w:r>
        <w:rPr/>
        <w:t>.</w:t>
      </w:r>
    </w:p>
  </w:footnote>
  <w:footnote w:id="2824">
    <w:p>
      <w:pPr>
        <w:pStyle w:val="Funote"/>
        <w:rPr/>
      </w:pPr>
      <w:r>
        <w:rPr>
          <w:rStyle w:val="Funotenzeichen"/>
        </w:rPr>
        <w:footnoteRef/>
      </w:r>
      <w:r>
        <w:rPr/>
        <w:tab/>
        <w:t xml:space="preserve">In der LXX fehlt </w:t>
      </w:r>
      <w:r>
        <w:rPr>
          <w:rtl w:val="true"/>
          <w:lang w:bidi="he-IL"/>
        </w:rPr>
        <w:t>בְלִּבִי</w:t>
      </w:r>
      <w:r>
        <w:rPr/>
        <w:t>. Im Sinne der lectio difficilior wird hier jedoch dem hebr. Text gefolgt; vgl. auch Jer 23,9.</w:t>
      </w:r>
    </w:p>
  </w:footnote>
  <w:footnote w:id="2825">
    <w:p>
      <w:pPr>
        <w:pStyle w:val="Funote"/>
        <w:rPr/>
      </w:pPr>
      <w:r>
        <w:rPr>
          <w:rStyle w:val="Funotenzeichen"/>
        </w:rPr>
        <w:footnoteRef/>
      </w:r>
      <w:r>
        <w:rPr/>
        <w:tab/>
        <w:t>Wörtlich: „Jeder Mensch meines Friedens“ (</w:t>
      </w:r>
      <w:r>
        <w:rPr>
          <w:rtl w:val="true"/>
          <w:lang w:bidi="he-IL"/>
        </w:rPr>
        <w:t>כֹּל אֱנֹושׁ שְׁלֹומִי</w:t>
      </w:r>
      <w:r>
        <w:rPr/>
        <w:t>).</w:t>
      </w:r>
    </w:p>
  </w:footnote>
  <w:footnote w:id="2826">
    <w:p>
      <w:pPr>
        <w:pStyle w:val="Funote"/>
        <w:rPr/>
      </w:pPr>
      <w:r>
        <w:rPr>
          <w:rStyle w:val="Funotenzeichen"/>
        </w:rPr>
        <w:footnoteRef/>
      </w:r>
      <w:r>
        <w:rPr/>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827">
    <w:p>
      <w:pPr>
        <w:pStyle w:val="Funote"/>
        <w:rPr/>
      </w:pPr>
      <w:r>
        <w:rPr>
          <w:rStyle w:val="Funotenzeichen"/>
        </w:rPr>
        <w:footnoteRef/>
      </w:r>
      <w:r>
        <w:rPr/>
        <w:tab/>
        <w:t xml:space="preserve">Pi’el-Form von </w:t>
      </w:r>
      <w:r>
        <w:rPr>
          <w:rtl w:val="true"/>
        </w:rPr>
        <w:t>‫</w:t>
      </w:r>
      <w:r>
        <w:rPr>
          <w:rtl w:val="true"/>
          <w:lang w:bidi="he-IL"/>
        </w:rPr>
        <w:t>גלה</w:t>
      </w:r>
      <w:r>
        <w:rPr/>
        <w:t>‬</w:t>
      </w:r>
      <w:r>
        <w:rPr/>
        <w:t>.</w:t>
      </w:r>
    </w:p>
  </w:footnote>
  <w:footnote w:id="2828">
    <w:p>
      <w:pPr>
        <w:pStyle w:val="Funote"/>
        <w:rPr/>
      </w:pPr>
      <w:r>
        <w:rPr>
          <w:rStyle w:val="Funotenzeichen"/>
        </w:rPr>
        <w:footnoteRef/>
      </w:r>
      <w:r>
        <w:rPr/>
        <w:tab/>
        <w:t>von der hebr. Wurzel yš' „helfen“ ist auch der Name Josua/ Jeshua/ Jesus gebildet</w:t>
      </w:r>
    </w:p>
  </w:footnote>
  <w:footnote w:id="2829">
    <w:p>
      <w:pPr>
        <w:pStyle w:val="Funote"/>
        <w:rPr/>
      </w:pPr>
      <w:r>
        <w:rPr>
          <w:rStyle w:val="Funotenzeichen"/>
        </w:rPr>
        <w:footnoteRef/>
      </w:r>
      <w:r>
        <w:rPr/>
        <w:tab/>
        <w:t>d.h. jüdische Exulanten</w:t>
      </w:r>
    </w:p>
  </w:footnote>
  <w:footnote w:id="2830">
    <w:p>
      <w:pPr>
        <w:pStyle w:val="Funote"/>
        <w:rPr/>
      </w:pPr>
      <w:r>
        <w:rPr>
          <w:rStyle w:val="Funotenzeichen"/>
        </w:rPr>
        <w:footnoteRef/>
      </w:r>
      <w:r>
        <w:rPr/>
        <w:tab/>
        <w:t>[S. dazu näher Stadtklagen (Alter Orient) (WiBiLex)); einige sumerische Stadtklagen finden sich hier im ETCSL unter 2.2]</w:t>
      </w:r>
    </w:p>
  </w:footnote>
  <w:footnote w:id="2831">
    <w:p>
      <w:pPr>
        <w:pStyle w:val="Funote"/>
        <w:rPr/>
      </w:pPr>
      <w:r>
        <w:rPr>
          <w:rStyle w:val="Funotenzeichen"/>
        </w:rPr>
        <w:footnoteRef/>
      </w:r>
      <w:r>
        <w:rPr/>
        <w:tab/>
        <w:t>[Status: Ungeprüft]</w:t>
      </w:r>
    </w:p>
  </w:footnote>
  <w:footnote w:id="2832">
    <w:p>
      <w:pPr>
        <w:pStyle w:val="Funote"/>
        <w:rPr/>
      </w:pPr>
      <w:r>
        <w:rPr>
          <w:rStyle w:val="Funotenzeichen"/>
        </w:rPr>
        <w:footnoteRef/>
      </w:r>
      <w:r>
        <w:rPr/>
        <w:tab/>
        <w:t>„</w:t>
      </w:r>
      <w:r>
        <w:rPr>
          <w:i/>
        </w:rPr>
        <w:t>Witwe</w:t>
      </w:r>
      <w:r>
        <w:rPr/>
        <w:t>“ ist hier ein Symbol für Hilflosigkeit und Einsamkeit.</w:t>
      </w:r>
    </w:p>
  </w:footnote>
  <w:footnote w:id="2833">
    <w:p>
      <w:pPr>
        <w:pStyle w:val="Funote"/>
        <w:rPr/>
      </w:pPr>
      <w:r>
        <w:rPr>
          <w:rStyle w:val="Funotenzeichen"/>
        </w:rPr>
        <w:footnoteRef/>
      </w:r>
      <w:r>
        <w:rPr>
          <w:i/>
        </w:rPr>
        <w:tab/>
        <w:t>Provinzen</w:t>
      </w:r>
      <w:r>
        <w:rPr/>
        <w:t xml:space="preserve">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834">
    <w:p>
      <w:pPr>
        <w:pStyle w:val="Funote"/>
        <w:rPr/>
      </w:pPr>
      <w:r>
        <w:rPr>
          <w:rStyle w:val="Funotenzeichen"/>
        </w:rPr>
        <w:footnoteRef/>
      </w:r>
      <w:r>
        <w:rPr>
          <w:i/>
        </w:rPr>
        <w:tab/>
        <w:t>zur Fronarbeiterin</w:t>
      </w:r>
      <w:r>
        <w:rPr/>
        <w:t xml:space="preserve"> - W. „zum Frondienst“; der abstrakte Begriff anstelle der konkreten Person (vgl. „die Jugend von heute“ statt „die Jugendlichen von heute“).</w:t>
      </w:r>
    </w:p>
  </w:footnote>
  <w:footnote w:id="2835">
    <w:p>
      <w:pPr>
        <w:pStyle w:val="Funote"/>
        <w:rPr/>
      </w:pPr>
      <w:r>
        <w:rPr>
          <w:rStyle w:val="Funotenzeichen"/>
        </w:rPr>
        <w:footnoteRef/>
      </w:r>
      <w:r>
        <w:rPr/>
        <w:tab/>
        <w:t>Beachte die chiastische Anordnung der Satzglieder in Zeilen 3.4 und 5.6.</w:t>
      </w:r>
    </w:p>
  </w:footnote>
  <w:footnote w:id="2836">
    <w:p>
      <w:pPr>
        <w:pStyle w:val="Funote"/>
        <w:rPr/>
      </w:pPr>
      <w:r>
        <w:rPr>
          <w:rStyle w:val="Funotenzeichen"/>
        </w:rPr>
        <w:footnoteRef/>
      </w:r>
      <w:r>
        <w:rPr/>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837">
    <w:p>
      <w:pPr>
        <w:pStyle w:val="Funote"/>
        <w:rPr/>
      </w:pPr>
      <w:r>
        <w:rPr>
          <w:rStyle w:val="Funotenzeichen"/>
        </w:rPr>
        <w:footnoteRef/>
      </w:r>
      <w:r>
        <w:rPr/>
        <w:tab/>
        <w:t xml:space="preserve">Die </w:t>
      </w:r>
      <w:r>
        <w:rPr>
          <w:i/>
        </w:rPr>
        <w:t>Liebhaber</w:t>
      </w:r>
      <w:r>
        <w:rPr/>
        <w:t xml:space="preserve"> und </w:t>
      </w:r>
      <w:r>
        <w:rPr>
          <w:i/>
        </w:rPr>
        <w:t>Freunde</w:t>
      </w:r>
      <w:r>
        <w:rPr/>
        <w:t xml:space="preserve"> sind die wechselnden Völker, mit denen Juda sich gegen Babylon verbündet hat; sie alle haben sich bei der Eroberung Jerusalems auf die Seite der Babylonier geschlagen.</w:t>
      </w:r>
    </w:p>
  </w:footnote>
  <w:footnote w:id="2838">
    <w:p>
      <w:pPr>
        <w:pStyle w:val="Funote"/>
        <w:rPr/>
      </w:pPr>
      <w:r>
        <w:rPr>
          <w:rStyle w:val="Funotenzeichen"/>
        </w:rPr>
        <w:footnoteRef/>
      </w:r>
      <w:r>
        <w:rPr/>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839">
    <w:p>
      <w:pPr>
        <w:pStyle w:val="Funote"/>
        <w:rPr/>
      </w:pPr>
      <w:r>
        <w:rPr>
          <w:rStyle w:val="Funotenzeichen"/>
        </w:rPr>
        <w:footnoteRef/>
      </w:r>
      <w:r>
        <w:rPr/>
        <w:tab/>
        <w:t>Heiden bzw. Völker ist keine bloße geographische Angabe, sondern vor allem eine religiöse: Gottes Volk lebt nun unter Menschen, die JHWH nicht kennen.</w:t>
      </w:r>
    </w:p>
  </w:footnote>
  <w:footnote w:id="2840">
    <w:p>
      <w:pPr>
        <w:pStyle w:val="Funote"/>
        <w:rPr/>
      </w:pPr>
      <w:r>
        <w:rPr>
          <w:rStyle w:val="Funotenzeichen"/>
        </w:rPr>
        <w:footnoteRef/>
      </w:r>
      <w:r>
        <w:rPr>
          <w:i/>
        </w:rPr>
        <w:tab/>
        <w:t>der Festpilger</w:t>
      </w:r>
      <w:r>
        <w:rPr/>
        <w:t xml:space="preserve"> - W. „der zum Fest Kommenden“.</w:t>
      </w:r>
    </w:p>
  </w:footnote>
  <w:footnote w:id="2841">
    <w:p>
      <w:pPr>
        <w:pStyle w:val="Funote"/>
        <w:rPr/>
      </w:pPr>
      <w:r>
        <w:rPr>
          <w:rStyle w:val="Funotenzeichen"/>
        </w:rPr>
        <w:footnoteRef/>
      </w:r>
      <w:r>
        <w:rPr/>
        <w:tab/>
        <w:t xml:space="preserve">Die </w:t>
      </w:r>
      <w:r>
        <w:rPr>
          <w:i/>
        </w:rPr>
        <w:t>Tore</w:t>
      </w:r>
      <w:r>
        <w:rPr/>
        <w:t xml:space="preserve"> sind im Alten Israel nicht nur zwei Türen, sondern ein großer Bereich, in dem man sich zu Unterhaltung, Handel und Gericht versammelte. Hier ist außerdem speziell an die Scharen der Pilger gedacht, die sich durch die Tore in die Stadt drängten.</w:t>
      </w:r>
    </w:p>
  </w:footnote>
  <w:footnote w:id="2842">
    <w:p>
      <w:pPr>
        <w:pStyle w:val="Funote"/>
        <w:rPr/>
      </w:pPr>
      <w:r>
        <w:rPr>
          <w:rStyle w:val="Funotenzeichen"/>
        </w:rPr>
        <w:footnoteRef/>
      </w:r>
      <w:r>
        <w:rPr/>
        <w:tab/>
        <w:t>Mädchenchöre und -reigen waren Teil des Tempelkultus (vgl. Ps 68,25f. Ri 21,19-21)</w:t>
      </w:r>
    </w:p>
  </w:footnote>
  <w:footnote w:id="2843">
    <w:p>
      <w:pPr>
        <w:pStyle w:val="Funote"/>
        <w:rPr/>
      </w:pPr>
      <w:r>
        <w:rPr>
          <w:rStyle w:val="Funotenzeichen"/>
        </w:rPr>
        <w:footnoteRef/>
      </w:r>
      <w:r>
        <w:rPr>
          <w:i/>
        </w:rPr>
        <w:tab/>
        <w:t>ist verbittert</w:t>
      </w:r>
      <w:r>
        <w:rPr/>
        <w:t xml:space="preserve"> - W.: „Und sie, bitter ist ihr.“</w:t>
      </w:r>
    </w:p>
  </w:footnote>
  <w:footnote w:id="2844">
    <w:p>
      <w:pPr>
        <w:pStyle w:val="Funote"/>
        <w:rPr/>
      </w:pPr>
      <w:r>
        <w:rPr>
          <w:rStyle w:val="Funotenzeichen"/>
        </w:rPr>
        <w:footnoteRef/>
      </w:r>
      <w:r>
        <w:rPr>
          <w:i/>
        </w:rPr>
        <w:tab/>
        <w:t>obenauf</w:t>
      </w:r>
      <w:r>
        <w:rPr/>
        <w:t xml:space="preserve"> - W.: „sind zum Haupt geworden.“</w:t>
      </w:r>
    </w:p>
  </w:footnote>
  <w:footnote w:id="2845">
    <w:p>
      <w:pPr>
        <w:pStyle w:val="Funote"/>
        <w:rPr/>
      </w:pPr>
      <w:r>
        <w:rPr>
          <w:rStyle w:val="Funotenzeichen"/>
        </w:rPr>
        <w:footnoteRef/>
      </w:r>
      <w:r>
        <w:rPr/>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846">
    <w:p>
      <w:pPr>
        <w:pStyle w:val="Funote"/>
        <w:rPr/>
      </w:pPr>
      <w:r>
        <w:rPr>
          <w:rStyle w:val="Funotenzeichen"/>
        </w:rPr>
        <w:footnoteRef/>
      </w:r>
      <w:r>
        <w:rPr>
          <w:i/>
        </w:rPr>
        <w:tab/>
        <w:t>Zion</w:t>
      </w:r>
      <w:r>
        <w:rPr/>
        <w:t xml:space="preserve"> - W.: „sie“ (Sg. f.).</w:t>
      </w:r>
    </w:p>
  </w:footnote>
  <w:footnote w:id="2847">
    <w:p>
      <w:pPr>
        <w:pStyle w:val="Funote"/>
        <w:rPr/>
      </w:pPr>
      <w:r>
        <w:rPr>
          <w:rStyle w:val="Funotenzeichen"/>
        </w:rPr>
        <w:footnoteRef/>
      </w:r>
      <w:r>
        <w:rPr>
          <w:i/>
        </w:rPr>
        <w:tab/>
        <w:t>in die Gefangenschaft gegangen</w:t>
      </w:r>
      <w:r>
        <w:rPr/>
        <w:t xml:space="preserve">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i/>
        </w:rPr>
        <w:t>baschebi</w:t>
      </w:r>
      <w:r>
        <w:rPr/>
        <w:t xml:space="preserve"> („</w:t>
      </w:r>
      <w:r>
        <w:rPr>
          <w:i/>
        </w:rPr>
        <w:t>in</w:t>
      </w:r>
      <w:r>
        <w:rPr/>
        <w:t xml:space="preserve"> Gefangenschaft“)).</w:t>
      </w:r>
    </w:p>
  </w:footnote>
  <w:footnote w:id="2848">
    <w:p>
      <w:pPr>
        <w:pStyle w:val="Funote"/>
        <w:rPr/>
      </w:pPr>
      <w:r>
        <w:rPr>
          <w:rStyle w:val="Funotenzeichen"/>
        </w:rPr>
        <w:footnoteRef/>
      </w:r>
      <w:r>
        <w:rPr/>
        <w:tab/>
        <w:t>Tochter Zion - „Zion“=Jerusalem. „Tochter Zion“ ist ein häufiger heb. Ausdruck, mit dem die Stadt personifiziert und als „Tochter“ ihrem „Vater“ JHWH zugeordnet werden soll (vgl. Berges 2002, S. 54).</w:t>
      </w:r>
    </w:p>
  </w:footnote>
  <w:footnote w:id="2849">
    <w:p>
      <w:pPr>
        <w:pStyle w:val="Funote"/>
        <w:rPr/>
      </w:pPr>
      <w:r>
        <w:rPr>
          <w:rStyle w:val="Funotenzeichen"/>
        </w:rPr>
        <w:footnoteRef/>
      </w:r>
      <w:r>
        <w:rPr/>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850">
    <w:p>
      <w:pPr>
        <w:pStyle w:val="Funote"/>
        <w:rPr/>
      </w:pPr>
      <w:r>
        <w:rPr>
          <w:rStyle w:val="Funotenzeichen"/>
        </w:rPr>
        <w:footnoteRef/>
      </w:r>
      <w:r>
        <w:rPr>
          <w:i/>
        </w:rPr>
        <w:tab/>
        <w:t>finden</w:t>
      </w:r>
      <w:r>
        <w:rPr/>
        <w:t xml:space="preserve"> - Im Heb. Perf., das hier wohl Abgeschlossenheit ausdrückt. „Weide“ als der Ort, wo der Widder herrscht, steht hier für Jerusalem, das für die Anführer durch die Deportation nun in unerreichbare Ferne gerückt ist (= nicht finden).</w:t>
      </w:r>
    </w:p>
  </w:footnote>
  <w:footnote w:id="2851">
    <w:p>
      <w:pPr>
        <w:pStyle w:val="Funote"/>
        <w:rPr/>
      </w:pPr>
      <w:r>
        <w:rPr>
          <w:rStyle w:val="Funotenzeichen"/>
        </w:rPr>
        <w:footnoteRef/>
      </w:r>
      <w:r>
        <w:rPr>
          <w:i/>
        </w:rPr>
        <w:tab/>
        <w:t>Verfolgers (Jägers)</w:t>
      </w:r>
      <w:r>
        <w:rPr/>
        <w:t xml:space="preserve"> - Wenn man „sie“ (3. Pl.) in Zeile 5 auf die Widder bezieht, muss man das Wort mit „Jäger“ oder „Treiber“ übersetzen. Bezieht man es jedoch auf die Anführer, bezeichnet es die Babylonier; die Doppelzeile ist dann parallel zur letzten Doppelzeile von V. 5.</w:t>
      </w:r>
    </w:p>
  </w:footnote>
  <w:footnote w:id="2852">
    <w:p>
      <w:pPr>
        <w:pStyle w:val="Funote"/>
        <w:rPr/>
      </w:pPr>
      <w:r>
        <w:rPr>
          <w:rStyle w:val="Funotenzeichen"/>
        </w:rPr>
        <w:footnoteRef/>
      </w:r>
      <w:r>
        <w:rPr>
          <w:i/>
        </w:rPr>
        <w:tab/>
        <w:t>notleidenden Flüchtlinge</w:t>
      </w:r>
      <w:r>
        <w:rPr/>
        <w:t xml:space="preserv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853">
    <w:p>
      <w:pPr>
        <w:pStyle w:val="Funote"/>
        <w:rPr/>
      </w:pPr>
      <w:r>
        <w:rPr>
          <w:rStyle w:val="Funotenzeichen"/>
        </w:rPr>
        <w:footnoteRef/>
      </w:r>
      <w:r>
        <w:rPr>
          <w:i/>
        </w:rPr>
        <w:tab/>
        <w:t>aus uralten Tagen</w:t>
      </w:r>
      <w:r>
        <w:rPr/>
        <w:t xml:space="preserve"> - wörtl.: die aus (seit) den Tagen der Urzeit waren</w:t>
      </w:r>
    </w:p>
  </w:footnote>
  <w:footnote w:id="2854">
    <w:p>
      <w:pPr>
        <w:pStyle w:val="Funote"/>
        <w:rPr/>
      </w:pPr>
      <w:r>
        <w:rPr>
          <w:rStyle w:val="Funotenzeichen"/>
        </w:rPr>
        <w:footnoteRef/>
      </w:r>
      <w:r>
        <w:rPr/>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855">
    <w:p>
      <w:pPr>
        <w:pStyle w:val="Funote"/>
        <w:rPr/>
      </w:pPr>
      <w:r>
        <w:rPr>
          <w:rStyle w:val="Funotenzeichen"/>
        </w:rPr>
        <w:footnoteRef/>
      </w:r>
      <w:r>
        <w:rPr>
          <w:i/>
        </w:rPr>
        <w:tab/>
        <w:t>ihr Volk</w:t>
      </w:r>
      <w:r>
        <w:rPr/>
        <w:t xml:space="preserve"> - od. ihre Bevölkerung, d.h. die Einwohner Jerusalems im eig. Sinn oder das Volk Judas, das in seiner Hauptstadt Zuflucht gesucht hat</w:t>
      </w:r>
    </w:p>
  </w:footnote>
  <w:footnote w:id="2856">
    <w:p>
      <w:pPr>
        <w:pStyle w:val="Funote"/>
        <w:rPr/>
      </w:pPr>
      <w:r>
        <w:rPr>
          <w:rStyle w:val="Funotenzeichen"/>
        </w:rPr>
        <w:footnoteRef/>
      </w:r>
      <w:r>
        <w:rPr/>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857">
    <w:p>
      <w:pPr>
        <w:pStyle w:val="Funote"/>
        <w:rPr/>
      </w:pPr>
      <w:r>
        <w:rPr>
          <w:rStyle w:val="Funotenzeichen"/>
        </w:rPr>
        <w:footnoteRef/>
      </w:r>
      <w:r>
        <w:rPr>
          <w:i/>
        </w:rPr>
        <w:tab/>
        <w:t>schwer gesündigt hat</w:t>
      </w:r>
      <w:r>
        <w:rPr/>
        <w:t xml:space="preserve"> - W.: „eine Sünde hat gesündigt Jerusalem“; Figura etymologica zur Verstärkung des Verbs.</w:t>
      </w:r>
    </w:p>
  </w:footnote>
  <w:footnote w:id="2858">
    <w:p>
      <w:pPr>
        <w:pStyle w:val="Funote"/>
        <w:rPr/>
      </w:pPr>
      <w:r>
        <w:rPr>
          <w:rStyle w:val="Funotenzeichen"/>
        </w:rPr>
        <w:footnoteRef/>
      </w:r>
      <w:r>
        <w:rPr/>
        <w:tab/>
        <w:t>Textkritik: Der masoretische Text überliefert ist deshalb. Allerdings zerstört deshalb im Hebräischen das Metrum; vielleicht ist es eine alte Glosse (Randnotiz), die versehentlich in den Text geraten ist.</w:t>
      </w:r>
    </w:p>
  </w:footnote>
  <w:footnote w:id="2859">
    <w:p>
      <w:pPr>
        <w:pStyle w:val="Funote"/>
        <w:rPr/>
      </w:pPr>
      <w:r>
        <w:rPr>
          <w:rStyle w:val="Funotenzeichen"/>
        </w:rPr>
        <w:footnoteRef/>
      </w:r>
      <w:r>
        <w:rPr>
          <w:i/>
        </w:rPr>
        <w:tab/>
        <w:t>Gespött</w:t>
      </w:r>
      <w:r>
        <w:rPr/>
        <w:t xml:space="preserve">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w:t>
      </w:r>
      <w:r>
        <w:rPr>
          <w:i/>
        </w:rPr>
        <w:t>Abscheu, Unreinheit</w:t>
      </w:r>
      <w:r>
        <w:rPr/>
        <w:t xml:space="preserve">;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 xml:space="preserve">(nud) ab und übersetzen </w:t>
      </w:r>
      <w:r>
        <w:rPr>
          <w:i/>
        </w:rPr>
        <w:t>Kopfschütteln</w:t>
      </w:r>
      <w:r>
        <w:rPr/>
        <w:t>, was ein Ausdruck von Verachtung und Spott war.</w:t>
      </w:r>
    </w:p>
  </w:footnote>
  <w:footnote w:id="2860">
    <w:p>
      <w:pPr>
        <w:pStyle w:val="Funote"/>
        <w:rPr/>
      </w:pPr>
      <w:r>
        <w:rPr>
          <w:rStyle w:val="Funotenzeichen"/>
        </w:rPr>
        <w:footnoteRef/>
      </w:r>
      <w:r>
        <w:rPr>
          <w:i/>
        </w:rPr>
        <w:tab/>
        <w:t>sie nackt gesehen</w:t>
      </w:r>
      <w:r>
        <w:rPr/>
        <w:t xml:space="preserve"> - W.: „ihre Scham (Genitalbereich) gesehen“. Das Aufdecken der Scham galt als schlimme Schande (vgl. Jes 47,3 Jer 23,26 Hes 16,37 Nah 3,5).</w:t>
      </w:r>
    </w:p>
  </w:footnote>
  <w:footnote w:id="2861">
    <w:p>
      <w:pPr>
        <w:pStyle w:val="Funote"/>
        <w:rPr/>
      </w:pPr>
      <w:r>
        <w:rPr>
          <w:rStyle w:val="Funotenzeichen"/>
        </w:rPr>
        <w:footnoteRef/>
      </w:r>
      <w:r>
        <w:rPr/>
        <w:tab/>
        <w:t xml:space="preserve">Auf der Bildebene bezeichnet </w:t>
      </w:r>
      <w:r>
        <w:rPr>
          <w:i/>
        </w:rPr>
        <w:t>Unreinheit</w:t>
      </w:r>
      <w:r>
        <w:rPr/>
        <w:t xml:space="preserve"> Menstruationsblut, das eine Frau kultisch unrein machte (vgl. Lev 15,19). Auf der Sachebene steht </w:t>
      </w:r>
      <w:r>
        <w:rPr>
          <w:i/>
        </w:rPr>
        <w:t>Unreinheit</w:t>
      </w:r>
      <w:r>
        <w:rPr/>
        <w:t xml:space="preserve"> für Judas Bundesbruch durch Kompromisse in Kultus und Politik.</w:t>
      </w:r>
    </w:p>
  </w:footnote>
  <w:footnote w:id="2862">
    <w:p>
      <w:pPr>
        <w:pStyle w:val="Funote"/>
        <w:rPr/>
      </w:pPr>
      <w:r>
        <w:rPr>
          <w:rStyle w:val="Funotenzeichen"/>
        </w:rPr>
        <w:footnoteRef/>
      </w:r>
      <w:r>
        <w:rPr/>
        <w:tab/>
        <w:t>d.h. die Folgen ihres Tuns. Kraus S. 25: "</w:t>
      </w:r>
      <w:r>
        <w:rPr>
          <w:rtl w:val="true"/>
          <w:lang w:bidi="he-IL"/>
        </w:rPr>
        <w:t>אחרית</w:t>
      </w:r>
      <w:r>
        <w:rPr/>
        <w:t xml:space="preserve"> </w:t>
      </w:r>
      <w:r>
        <w:rPr/>
        <w:t>ist das letzte, alles Leben und alle Geschichte bestimmende Handeln Gottes (Dtn 32,29 Ps 73,17)."</w:t>
      </w:r>
    </w:p>
  </w:footnote>
  <w:footnote w:id="2863">
    <w:p>
      <w:pPr>
        <w:pStyle w:val="Funote"/>
        <w:rPr/>
      </w:pPr>
      <w:r>
        <w:rPr>
          <w:rStyle w:val="Funotenzeichen"/>
        </w:rPr>
        <w:footnoteRef/>
      </w:r>
      <w:r>
        <w:rPr/>
        <w:tab/>
        <w:t xml:space="preserve">Das hebräische Verb </w:t>
      </w:r>
      <w:r>
        <w:rPr>
          <w:rtl w:val="true"/>
          <w:lang w:bidi="he-IL"/>
        </w:rPr>
        <w:t>ירד</w:t>
      </w:r>
      <w:r>
        <w:rPr/>
        <w:t xml:space="preserve"> </w:t>
      </w:r>
      <w:r>
        <w:rPr/>
        <w:t>bezeichnet hier den Niedergang einer belagerten Stadt (vgl. Dtn 28,52; 20,20)</w:t>
      </w:r>
    </w:p>
  </w:footnote>
  <w:footnote w:id="2864">
    <w:p>
      <w:pPr>
        <w:pStyle w:val="Funote"/>
        <w:rPr/>
      </w:pPr>
      <w:r>
        <w:rPr>
          <w:rStyle w:val="Funotenzeichen"/>
        </w:rPr>
        <w:footnoteRef/>
      </w:r>
      <w:r>
        <w:rPr/>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865">
    <w:p>
      <w:pPr>
        <w:pStyle w:val="Funote"/>
        <w:rPr/>
      </w:pPr>
      <w:r>
        <w:rPr>
          <w:rStyle w:val="Funotenzeichen"/>
        </w:rPr>
        <w:footnoteRef/>
      </w:r>
      <w:r>
        <w:rPr>
          <w:i/>
        </w:rPr>
        <w:tab/>
        <w:t>allen Schätzen Zions</w:t>
      </w:r>
      <w:r>
        <w:rPr/>
        <w:t xml:space="preserve"> - wörtl.: </w:t>
      </w:r>
      <w:r>
        <w:rPr>
          <w:i/>
        </w:rPr>
        <w:t>all ihren Schätzen</w:t>
      </w:r>
      <w:r>
        <w:rPr/>
        <w:t>, womit vor allem (aber nicht nur) die Schätze des Tempels gemeint sein dürften (vgl. 2Kö 24,13).</w:t>
      </w:r>
    </w:p>
  </w:footnote>
  <w:footnote w:id="2866">
    <w:p>
      <w:pPr>
        <w:pStyle w:val="Funote"/>
        <w:rPr/>
      </w:pPr>
      <w:r>
        <w:rPr>
          <w:rStyle w:val="Funotenzeichen"/>
        </w:rPr>
        <w:footnoteRef/>
      </w:r>
      <w:r>
        <w:rPr/>
        <w:tab/>
        <w:t xml:space="preserve">Das hinzugefügte </w:t>
      </w:r>
      <w:r>
        <w:rPr>
          <w:i/>
        </w:rPr>
        <w:t>wirklich</w:t>
      </w:r>
      <w:r>
        <w:rPr/>
        <w:t xml:space="preserve"> soll das ungläubige Entsetzen andeuten, das im hebräischen Text vielleicht in der Unebenmäßigkeit im Satzbau (Inkonzinnität) angedeutet ist.</w:t>
      </w:r>
    </w:p>
  </w:footnote>
  <w:footnote w:id="2867">
    <w:p>
      <w:pPr>
        <w:pStyle w:val="Funote"/>
        <w:rPr/>
      </w:pPr>
      <w:r>
        <w:rPr>
          <w:rStyle w:val="Funotenzeichen"/>
        </w:rPr>
        <w:footnoteRef/>
      </w:r>
      <w:r>
        <w:rPr>
          <w:i/>
        </w:rPr>
        <w:tab/>
        <w:t>Gottesdienst</w:t>
      </w:r>
      <w:r>
        <w:rPr/>
        <w:t xml:space="preserve"> - W.: „Versammlung“; mit </w:t>
      </w:r>
      <w:r>
        <w:rPr>
          <w:rtl w:val="true"/>
          <w:lang w:bidi="he-IL"/>
        </w:rPr>
        <w:t>קָהָל</w:t>
      </w:r>
      <w:r>
        <w:rPr/>
        <w:t xml:space="preserve"> </w:t>
      </w:r>
      <w:r>
        <w:rPr/>
        <w:t xml:space="preserve">ist das versammelte Volk als politische und kultische Gemeinschaft gemeint, was kaum wirklich zu trennen ist. </w:t>
      </w:r>
      <w:r>
        <w:rPr>
          <w:i/>
        </w:rPr>
        <w:t>In die Versammlung kommen</w:t>
      </w:r>
      <w:r>
        <w:rPr/>
        <w:t xml:space="preserve"> ist in 10c parallel zu 10b zu verstehen (</w:t>
      </w:r>
      <w:r>
        <w:rPr>
          <w:i/>
        </w:rPr>
        <w:t>in das Heiligtum kommen</w:t>
      </w:r>
      <w:r>
        <w:rPr/>
        <w:t xml:space="preserve">) und daher sinngemäß als </w:t>
      </w:r>
      <w:r>
        <w:rPr>
          <w:i/>
        </w:rPr>
        <w:t>Gottesdienst</w:t>
      </w:r>
      <w:r>
        <w:rPr/>
        <w:t xml:space="preserve"> oder </w:t>
      </w:r>
      <w:r>
        <w:rPr>
          <w:i/>
        </w:rPr>
        <w:t>Versammlungsort</w:t>
      </w:r>
      <w:r>
        <w:rPr/>
        <w:t xml:space="preserve"> zu übersetzen.</w:t>
      </w:r>
    </w:p>
  </w:footnote>
  <w:footnote w:id="2868">
    <w:p>
      <w:pPr>
        <w:pStyle w:val="Funote"/>
        <w:rPr/>
      </w:pPr>
      <w:r>
        <w:rPr>
          <w:rStyle w:val="Funotenzeichen"/>
        </w:rPr>
        <w:footnoteRef/>
      </w:r>
      <w:r>
        <w:rPr/>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869">
    <w:p>
      <w:pPr>
        <w:pStyle w:val="Funote"/>
        <w:rPr/>
      </w:pPr>
      <w:r>
        <w:rPr>
          <w:rStyle w:val="Funotenzeichen"/>
        </w:rPr>
        <w:footnoteRef/>
      </w:r>
      <w:r>
        <w:rPr>
          <w:i/>
        </w:rPr>
        <w:tab/>
        <w:t>ihre Bewohner</w:t>
      </w:r>
      <w:r>
        <w:rPr/>
        <w:t xml:space="preserve"> - W.: „ihr Volk“.</w:t>
      </w:r>
    </w:p>
  </w:footnote>
  <w:footnote w:id="2870">
    <w:p>
      <w:pPr>
        <w:pStyle w:val="Funote"/>
        <w:rPr/>
      </w:pPr>
      <w:r>
        <w:rPr>
          <w:rStyle w:val="Funotenzeichen"/>
        </w:rPr>
        <w:footnoteRef/>
      </w:r>
      <w:r>
        <w:rPr>
          <w:i/>
        </w:rPr>
        <w:tab/>
        <w:t>gegeben haben sie</w:t>
      </w:r>
      <w:r>
        <w:rPr/>
        <w:t xml:space="preserve"> - Da das hebräische Perfekt auch das Fehlen von Veränderung bezeichnen kann, übersetzen manche: </w:t>
      </w:r>
      <w:r>
        <w:rPr>
          <w:i/>
        </w:rPr>
        <w:t>sie geben (immer noch)</w:t>
      </w:r>
      <w:r>
        <w:rPr/>
        <w:t>.</w:t>
      </w:r>
    </w:p>
  </w:footnote>
  <w:footnote w:id="2871">
    <w:p>
      <w:pPr>
        <w:pStyle w:val="Funote"/>
        <w:rPr/>
      </w:pPr>
      <w:r>
        <w:rPr>
          <w:rStyle w:val="Funotenzeichen"/>
        </w:rPr>
        <w:footnoteRef/>
      </w:r>
      <w:r>
        <w:rPr/>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872">
    <w:p>
      <w:pPr>
        <w:pStyle w:val="Funote"/>
        <w:rPr/>
      </w:pPr>
      <w:r>
        <w:rPr>
          <w:rStyle w:val="Funotenzeichen"/>
        </w:rPr>
        <w:footnoteRef/>
      </w:r>
      <w:r>
        <w:rPr>
          <w:i/>
        </w:rPr>
        <w:tab/>
        <w:t>um am Leben zu bleiben</w:t>
      </w:r>
      <w:r>
        <w:rPr/>
        <w:t xml:space="preserve"> - wörtl.: um das Leben (die Seele) zurückzubringen; die Wendung hat in der Bibel noch häufiger die oben übersetzte Bedeutung.</w:t>
      </w:r>
    </w:p>
  </w:footnote>
  <w:footnote w:id="2873">
    <w:p>
      <w:pPr>
        <w:pStyle w:val="Funote"/>
        <w:rPr/>
      </w:pPr>
      <w:r>
        <w:rPr>
          <w:rStyle w:val="Funotenzeichen"/>
        </w:rPr>
        <w:footnoteRef/>
      </w:r>
      <w:r>
        <w:rPr>
          <w:i/>
        </w:rPr>
        <w:tab/>
        <w:t>dass</w:t>
      </w:r>
      <w:r>
        <w:rPr/>
        <w:t xml:space="preserve"> - od.: denn</w:t>
      </w:r>
    </w:p>
  </w:footnote>
  <w:footnote w:id="2874">
    <w:p>
      <w:pPr>
        <w:pStyle w:val="Funote"/>
        <w:rPr/>
      </w:pPr>
      <w:r>
        <w:rPr>
          <w:rStyle w:val="Funotenzeichen"/>
        </w:rPr>
        <w:footnoteRef/>
      </w:r>
      <w:r>
        <w:rPr/>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875">
    <w:p>
      <w:pPr>
        <w:pStyle w:val="Funote"/>
        <w:rPr/>
      </w:pPr>
      <w:r>
        <w:rPr>
          <w:rStyle w:val="Funotenzeichen"/>
        </w:rPr>
        <w:footnoteRef/>
      </w:r>
      <w:r>
        <w:rPr/>
        <w:tab/>
        <w:t>Jerusalem wendet sich wie eine Bettlerin an die Vorübergehenden.</w:t>
      </w:r>
    </w:p>
  </w:footnote>
  <w:footnote w:id="2876">
    <w:p>
      <w:pPr>
        <w:pStyle w:val="Funote"/>
        <w:rPr/>
      </w:pPr>
      <w:r>
        <w:rPr>
          <w:rStyle w:val="Funotenzeichen"/>
        </w:rPr>
        <w:footnoteRef/>
      </w:r>
      <w:r>
        <w:rPr>
          <w:i/>
        </w:rPr>
        <w:tab/>
        <w:t>Zorn</w:t>
      </w:r>
      <w:r>
        <w:rPr/>
        <w:t xml:space="preserve">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 xml:space="preserve">(ḥārōn = Hitze), können dann für sich allein schon die Bedeutung </w:t>
      </w:r>
      <w:r>
        <w:rPr>
          <w:i/>
        </w:rPr>
        <w:t>Zorn</w:t>
      </w:r>
      <w:r>
        <w:rPr/>
        <w:t xml:space="preserve"> annehmen, ohne dass ein Unterschied zu ihrer Kombination vorliegt.</w:t>
      </w:r>
    </w:p>
  </w:footnote>
  <w:footnote w:id="2877">
    <w:p>
      <w:pPr>
        <w:pStyle w:val="Funote"/>
        <w:rPr/>
      </w:pPr>
      <w:r>
        <w:rPr>
          <w:rStyle w:val="Funotenzeichen"/>
        </w:rPr>
        <w:footnoteRef/>
      </w:r>
      <w:r>
        <w:rPr/>
        <w:tab/>
        <w:t>aus der Höhe - d.h. aus dem Himmel (vgl. Jes 33,5; 57,15 Ps 10,5); damit wird das Subjekt eindeutig mit JHWH identifiziert.</w:t>
      </w:r>
    </w:p>
  </w:footnote>
  <w:footnote w:id="2878">
    <w:p>
      <w:pPr>
        <w:pStyle w:val="Funote"/>
        <w:rPr/>
      </w:pPr>
      <w:r>
        <w:rPr>
          <w:rStyle w:val="Funotenzeichen"/>
        </w:rPr>
        <w:footnoteRef/>
      </w:r>
      <w:r>
        <w:rPr/>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879">
    <w:p>
      <w:pPr>
        <w:pStyle w:val="Funote"/>
        <w:rPr/>
      </w:pPr>
      <w:r>
        <w:rPr>
          <w:rStyle w:val="Funotenzeichen"/>
        </w:rPr>
        <w:footnoteRef/>
      </w:r>
      <w:r>
        <w:rPr/>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w:t>
      </w:r>
      <w:r>
        <w:rPr>
          <w:i/>
        </w:rPr>
        <w:t>rücklings riss er mich nieder</w:t>
      </w:r>
      <w:r>
        <w:rPr/>
        <w:t xml:space="preserve"> (vgl. Einheitsübersetzung). Jedoch passt diese Formulierung kaum zu jemandem, der in ein Netz gerät und im vollen Lauf doch wohl vorwärts stürzt.</w:t>
      </w:r>
    </w:p>
  </w:footnote>
  <w:footnote w:id="2880">
    <w:p>
      <w:pPr>
        <w:pStyle w:val="Funote"/>
        <w:rPr/>
      </w:pPr>
      <w:r>
        <w:rPr>
          <w:rStyle w:val="Funotenzeichen"/>
        </w:rPr>
        <w:footnoteRef/>
      </w:r>
      <w:r>
        <w:rPr>
          <w:i/>
        </w:rPr>
        <w:tab/>
        <w:t>machte einsam</w:t>
      </w:r>
      <w:r>
        <w:rPr/>
        <w:t xml:space="preserve"> - Die hebräische Wurzel </w:t>
      </w:r>
      <w:r>
        <w:rPr>
          <w:rtl w:val="true"/>
          <w:lang w:bidi="he-IL"/>
        </w:rPr>
        <w:t>שׁמם</w:t>
      </w:r>
      <w:r>
        <w:rPr/>
        <w:t xml:space="preserve"> </w:t>
      </w:r>
      <w:r>
        <w:rPr/>
        <w:t xml:space="preserve">(šmm) bezeichnet objektiv die </w:t>
      </w:r>
      <w:r>
        <w:rPr>
          <w:i/>
        </w:rPr>
        <w:t>Verwüstung</w:t>
      </w:r>
      <w:r>
        <w:rPr/>
        <w:t xml:space="preserve"> (eines Landes, einer Stadt) und als Folge der Verwüstung </w:t>
      </w:r>
      <w:r>
        <w:rPr>
          <w:i/>
        </w:rPr>
        <w:t>Verödung</w:t>
      </w:r>
      <w:r>
        <w:rPr/>
        <w:t xml:space="preserve"> und </w:t>
      </w:r>
      <w:r>
        <w:rPr>
          <w:i/>
        </w:rPr>
        <w:t>Entvölkerung</w:t>
      </w:r>
      <w:r>
        <w:rPr/>
        <w:t xml:space="preserve">; subjektiv bezeichnet sie das </w:t>
      </w:r>
      <w:r>
        <w:rPr>
          <w:i/>
        </w:rPr>
        <w:t>Entsetzen</w:t>
      </w:r>
      <w:r>
        <w:rPr/>
        <w:t>, das solch eine Verwüstung im Menschen hervorruft.</w:t>
      </w:r>
    </w:p>
  </w:footnote>
  <w:footnote w:id="2881">
    <w:p>
      <w:pPr>
        <w:pStyle w:val="Funote"/>
        <w:rPr/>
      </w:pPr>
      <w:r>
        <w:rPr>
          <w:rStyle w:val="Funotenzeichen"/>
        </w:rPr>
        <w:footnoteRef/>
      </w:r>
      <w:r>
        <w:rPr>
          <w:i/>
        </w:rPr>
        <w:tab/>
        <w:t>gemieden</w:t>
      </w:r>
      <w:r>
        <w:rPr/>
        <w:t xml:space="preserve">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882">
    <w:p>
      <w:pPr>
        <w:pStyle w:val="Funote"/>
        <w:rPr/>
      </w:pPr>
      <w:r>
        <w:rPr>
          <w:rStyle w:val="Funotenzeichen"/>
        </w:rPr>
        <w:footnoteRef/>
      </w:r>
      <w:r>
        <w:rPr/>
        <w:tab/>
        <w:t>d.h. für immer</w:t>
      </w:r>
    </w:p>
  </w:footnote>
  <w:footnote w:id="2883">
    <w:p>
      <w:pPr>
        <w:pStyle w:val="Funote"/>
        <w:rPr/>
      </w:pPr>
      <w:r>
        <w:rPr>
          <w:rStyle w:val="Funotenzeichen"/>
        </w:rPr>
        <w:footnoteRef/>
      </w:r>
      <w:r>
        <w:rPr/>
        <w:tab/>
        <w:t xml:space="preserve">In drei Bildern schildert Jerusalem ihr Los: 1. im Bild der Kranken (13a; vgl. Hi 30,30b Ps 102,4 Jer 20,9); 2. im Bild der Gejagten (13b); 3. im Bild der Einsamen (13c). </w:t>
      </w:r>
    </w:p>
  </w:footnote>
  <w:footnote w:id="2884">
    <w:p>
      <w:pPr>
        <w:pStyle w:val="Funote"/>
        <w:rPr/>
      </w:pPr>
      <w:r>
        <w:rPr>
          <w:rStyle w:val="Funotenzeichen"/>
        </w:rPr>
        <w:footnoteRef/>
      </w:r>
      <w:r>
        <w:rPr/>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885">
    <w:p>
      <w:pPr>
        <w:pStyle w:val="Funote"/>
        <w:rPr/>
      </w:pPr>
      <w:r>
        <w:rPr>
          <w:rStyle w:val="Funotenzeichen"/>
        </w:rPr>
        <w:footnoteRef/>
      </w:r>
      <w:r>
        <w:rPr>
          <w:i/>
        </w:rPr>
        <w:tab/>
        <w:t>durch seine Hand</w:t>
      </w:r>
      <w:r>
        <w:rPr/>
        <w:t xml:space="preserve"> - od.: </w:t>
      </w:r>
      <w:r>
        <w:rPr>
          <w:i/>
        </w:rPr>
        <w:t>in seine Seite</w:t>
      </w:r>
      <w:r>
        <w:rPr/>
        <w:t xml:space="preserve"> mit Bezug auf das Joch.</w:t>
      </w:r>
    </w:p>
  </w:footnote>
  <w:footnote w:id="2886">
    <w:p>
      <w:pPr>
        <w:pStyle w:val="Funote"/>
        <w:rPr/>
      </w:pPr>
      <w:r>
        <w:rPr>
          <w:rStyle w:val="Funotenzeichen"/>
        </w:rPr>
        <w:footnoteRef/>
      </w:r>
      <w:r>
        <w:rPr/>
        <w:tab/>
        <w:t xml:space="preserve">wörtl.: </w:t>
      </w:r>
      <w:r>
        <w:rPr>
          <w:i/>
        </w:rPr>
        <w:t>sind hinaufgegangen auf meinen Nacken</w:t>
      </w:r>
      <w:r>
        <w:rPr/>
        <w:t>.</w:t>
      </w:r>
    </w:p>
  </w:footnote>
  <w:footnote w:id="2887">
    <w:p>
      <w:pPr>
        <w:pStyle w:val="Funote"/>
        <w:rPr/>
      </w:pPr>
      <w:r>
        <w:rPr>
          <w:rStyle w:val="Funotenzeichen"/>
        </w:rPr>
        <w:footnoteRef/>
      </w:r>
      <w:r>
        <w:rPr>
          <w:i/>
        </w:rPr>
        <w:tab/>
        <w:t>er (es)</w:t>
      </w:r>
      <w:r>
        <w:rPr/>
        <w:t xml:space="preserve"> - Subjekt ist entweder Gott oder das Joch.</w:t>
      </w:r>
    </w:p>
  </w:footnote>
  <w:footnote w:id="2888">
    <w:p>
      <w:pPr>
        <w:pStyle w:val="Funote"/>
        <w:rPr/>
      </w:pPr>
      <w:r>
        <w:rPr>
          <w:rStyle w:val="Funotenzeichen"/>
        </w:rPr>
        <w:footnoteRef/>
      </w:r>
      <w:r>
        <w:rPr/>
        <w:tab/>
        <w:t>wörtl.: es ließ straucheln meine Kraft.</w:t>
      </w:r>
    </w:p>
  </w:footnote>
  <w:footnote w:id="2889">
    <w:p>
      <w:pPr>
        <w:pStyle w:val="Funote"/>
        <w:rPr/>
      </w:pPr>
      <w:r>
        <w:rPr>
          <w:rStyle w:val="Funotenzeichen"/>
        </w:rPr>
        <w:footnoteRef/>
      </w:r>
      <w:r>
        <w:rPr/>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890">
    <w:p>
      <w:pPr>
        <w:pStyle w:val="Funote"/>
        <w:rPr/>
      </w:pPr>
      <w:r>
        <w:rPr>
          <w:rStyle w:val="Funotenzeichen"/>
        </w:rPr>
        <w:footnoteRef/>
      </w:r>
      <w:r>
        <w:rPr>
          <w:i/>
        </w:rPr>
        <w:tab/>
        <w:t>Jemandem die Kelter treten</w:t>
      </w:r>
      <w:r>
        <w:rPr/>
        <w:t xml:space="preserve"> bedeutet </w:t>
      </w:r>
      <w:r>
        <w:rPr>
          <w:i/>
        </w:rPr>
        <w:t>unter jemandem ein Blutbad anrichten.</w:t>
      </w:r>
    </w:p>
  </w:footnote>
  <w:footnote w:id="2891">
    <w:p>
      <w:pPr>
        <w:pStyle w:val="Funote"/>
        <w:rPr/>
      </w:pPr>
      <w:r>
        <w:rPr>
          <w:rStyle w:val="Funotenzeichen"/>
        </w:rPr>
        <w:footnoteRef/>
      </w:r>
      <w:r>
        <w:rPr>
          <w:i/>
        </w:rPr>
        <w:tab/>
        <w:t>Jungfrau</w:t>
      </w:r>
      <w:r>
        <w:rPr/>
        <w:t xml:space="preserve"> und </w:t>
      </w:r>
      <w:r>
        <w:rPr>
          <w:i/>
        </w:rPr>
        <w:t>Tochter</w:t>
      </w:r>
      <w:r>
        <w:rPr/>
        <w:t xml:space="preserve"> werden beide im Hebräischen zur Personifikation von Länder- und Städtenamen verwendet, ohne dass damit eine ethische Qualifikation ― etwa </w:t>
      </w:r>
      <w:r>
        <w:rPr>
          <w:i/>
        </w:rPr>
        <w:t>rein, unschuldig</w:t>
      </w:r>
      <w:r>
        <w:rPr/>
        <w:t xml:space="preserve"> ― verbunden wäre.</w:t>
      </w:r>
    </w:p>
  </w:footnote>
  <w:footnote w:id="2892">
    <w:p>
      <w:pPr>
        <w:pStyle w:val="Funote"/>
        <w:rPr/>
      </w:pPr>
      <w:r>
        <w:rPr>
          <w:rStyle w:val="Funotenzeichen"/>
        </w:rPr>
        <w:footnoteRef/>
      </w:r>
      <w:r>
        <w:rPr/>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893">
    <w:p>
      <w:pPr>
        <w:pStyle w:val="Funote"/>
        <w:rPr/>
      </w:pPr>
      <w:r>
        <w:rPr>
          <w:rStyle w:val="Funotenzeichen"/>
        </w:rPr>
        <w:footnoteRef/>
      </w:r>
      <w:r>
        <w:rPr/>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894">
    <w:p>
      <w:pPr>
        <w:pStyle w:val="Funote"/>
        <w:rPr/>
      </w:pPr>
      <w:r>
        <w:rPr>
          <w:rStyle w:val="Funotenzeichen"/>
        </w:rPr>
        <w:footnoteRef/>
      </w:r>
      <w:r>
        <w:rPr/>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895">
    <w:p>
      <w:pPr>
        <w:pStyle w:val="Funote"/>
        <w:rPr/>
      </w:pPr>
      <w:r>
        <w:rPr>
          <w:rStyle w:val="Funotenzeichen"/>
        </w:rPr>
        <w:footnoteRef/>
      </w:r>
      <w:r>
        <w:rPr/>
        <w:tab/>
        <w:t>zerfließt - wörtl. steigt herab</w:t>
      </w:r>
    </w:p>
  </w:footnote>
  <w:footnote w:id="2896">
    <w:p>
      <w:pPr>
        <w:pStyle w:val="Funote"/>
        <w:rPr/>
      </w:pPr>
      <w:r>
        <w:rPr>
          <w:rStyle w:val="Funotenzeichen"/>
        </w:rPr>
        <w:footnoteRef/>
      </w:r>
      <w:r>
        <w:rPr>
          <w:i/>
        </w:rPr>
        <w:tab/>
        <w:t>Jakob</w:t>
      </w:r>
      <w:r>
        <w:rPr/>
        <w:t xml:space="preserve"> - Bezeichnung für das Volk Israel, die auf den gleichnamigen Patriarchen zurückgeht.</w:t>
      </w:r>
    </w:p>
  </w:footnote>
  <w:footnote w:id="2897">
    <w:p>
      <w:pPr>
        <w:pStyle w:val="Funote"/>
        <w:rPr/>
      </w:pPr>
      <w:r>
        <w:rPr>
          <w:rStyle w:val="Funotenzeichen"/>
        </w:rPr>
        <w:footnoteRef/>
      </w:r>
      <w:r>
        <w:rPr>
          <w:i/>
        </w:rPr>
        <w:tab/>
        <w:t>Mund</w:t>
      </w:r>
      <w:r>
        <w:rPr/>
        <w:t xml:space="preserve"> steht hier wie öfter synekdochisch für das, was aus diesem Mund kommt: für Gottes Weisungen und Gebote.</w:t>
      </w:r>
    </w:p>
  </w:footnote>
  <w:footnote w:id="2898">
    <w:p>
      <w:pPr>
        <w:pStyle w:val="Funote"/>
        <w:rPr/>
      </w:pPr>
      <w:r>
        <w:rPr>
          <w:rStyle w:val="Funotenzeichen"/>
        </w:rPr>
        <w:footnoteRef/>
      </w:r>
      <w:r>
        <w:rPr>
          <w:i/>
        </w:rPr>
        <w:tab/>
        <w:t>jungen Frauen und Männer</w:t>
      </w:r>
      <w:r>
        <w:rPr/>
        <w:t xml:space="preserve"> - Die hebräischen Begriffe bezeichnen noch nicht Verheiratete.</w:t>
      </w:r>
    </w:p>
  </w:footnote>
  <w:footnote w:id="2899">
    <w:p>
      <w:pPr>
        <w:pStyle w:val="Funote"/>
        <w:rPr/>
      </w:pPr>
      <w:r>
        <w:rPr>
          <w:rStyle w:val="Funotenzeichen"/>
        </w:rPr>
        <w:footnoteRef/>
      </w:r>
      <w:r>
        <w:rPr>
          <w:i/>
        </w:rPr>
        <w:tab/>
        <w:t>Priester und Älteste</w:t>
      </w:r>
      <w:r>
        <w:rPr/>
        <w:t xml:space="preserve"> stehen als pars pro toto für das ganze Volk. Wenn sie schon hungern, lässt sich erahnen, wie schlimm es um das einfache Volk steht.</w:t>
      </w:r>
    </w:p>
  </w:footnote>
  <w:footnote w:id="2900">
    <w:p>
      <w:pPr>
        <w:pStyle w:val="Funote"/>
        <w:rPr/>
      </w:pPr>
      <w:r>
        <w:rPr>
          <w:rStyle w:val="Funotenzeichen"/>
        </w:rPr>
        <w:footnoteRef/>
      </w:r>
      <w:r>
        <w:rPr/>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901">
    <w:p>
      <w:pPr>
        <w:pStyle w:val="Funote"/>
        <w:rPr/>
      </w:pPr>
      <w:r>
        <w:rPr>
          <w:rStyle w:val="Funotenzeichen"/>
        </w:rPr>
        <w:footnoteRef/>
      </w:r>
      <w:r>
        <w:rPr/>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902">
    <w:p>
      <w:pPr>
        <w:pStyle w:val="Funote"/>
        <w:rPr/>
      </w:pPr>
      <w:r>
        <w:rPr>
          <w:rStyle w:val="Funotenzeichen"/>
        </w:rPr>
        <w:footnoteRef/>
      </w:r>
      <w:r>
        <w:rPr/>
        <w:tab/>
        <w:t xml:space="preserve">Viele Übersetzungen bieten: </w:t>
      </w:r>
      <w:r>
        <w:rPr>
          <w:i/>
        </w:rPr>
        <w:t>drinnen der Tod</w:t>
      </w:r>
      <w:r>
        <w:rPr/>
        <w:t xml:space="preserve"> bzw. </w:t>
      </w:r>
      <w:r>
        <w:rPr>
          <w:i/>
        </w:rPr>
        <w:t>drinnen (herrscht) der Tod</w:t>
      </w:r>
      <w:r>
        <w:rPr/>
        <w:t xml:space="preserve">, müssen dazu aber das </w:t>
      </w:r>
      <w:r>
        <w:rPr>
          <w:i/>
        </w:rPr>
        <w:t>wie</w:t>
      </w:r>
      <w:r>
        <w:rPr/>
        <w:t xml:space="preserve"> (</w:t>
      </w:r>
      <w:r>
        <w:rPr>
          <w:rtl w:val="true"/>
          <w:lang w:bidi="he-IL"/>
        </w:rPr>
        <w:t>כְּ</w:t>
      </w:r>
      <w:r>
        <w:rPr/>
        <w:t xml:space="preserve">/kǝ) im hebräischen Text ignorieren. Vielleicht heißt </w:t>
      </w:r>
      <w:r>
        <w:rPr>
          <w:rtl w:val="true"/>
          <w:lang w:bidi="he-IL"/>
        </w:rPr>
        <w:t>כַּמָּוֶת</w:t>
      </w:r>
      <w:r>
        <w:rPr/>
        <w:t xml:space="preserve"> </w:t>
      </w:r>
      <w:r>
        <w:rPr/>
        <w:t xml:space="preserve">(kammāwät) </w:t>
      </w:r>
      <w:r>
        <w:rPr>
          <w:i/>
        </w:rPr>
        <w:t>als ob eine Seuche (wütet)</w:t>
      </w:r>
      <w:r>
        <w:rPr/>
        <w:t>.</w:t>
      </w:r>
    </w:p>
  </w:footnote>
  <w:footnote w:id="2903">
    <w:p>
      <w:pPr>
        <w:pStyle w:val="Funote"/>
        <w:rPr/>
      </w:pPr>
      <w:r>
        <w:rPr>
          <w:rStyle w:val="Funotenzeichen"/>
        </w:rPr>
        <w:footnoteRef/>
      </w:r>
      <w:r>
        <w:rPr/>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904">
    <w:p>
      <w:pPr>
        <w:pStyle w:val="Funote"/>
        <w:rPr/>
      </w:pPr>
      <w:r>
        <w:rPr>
          <w:rStyle w:val="Funotenzeichen"/>
        </w:rPr>
        <w:footnoteRef/>
      </w:r>
      <w:r>
        <w:rPr/>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905">
    <w:p>
      <w:pPr>
        <w:pStyle w:val="Funote"/>
        <w:rPr/>
      </w:pPr>
      <w:r>
        <w:rPr>
          <w:rStyle w:val="Funotenzeichen"/>
        </w:rPr>
        <w:footnoteRef/>
      </w:r>
      <w:r>
        <w:rPr/>
        <w:tab/>
        <w:t>[Status: Ungeprüft]</w:t>
      </w:r>
    </w:p>
  </w:footnote>
  <w:footnote w:id="2906">
    <w:p>
      <w:pPr>
        <w:pStyle w:val="Funote"/>
        <w:rPr/>
      </w:pPr>
      <w:r>
        <w:rPr>
          <w:rStyle w:val="Funotenzeichen"/>
        </w:rPr>
        <w:footnoteRef/>
      </w:r>
      <w:r>
        <w:rPr/>
        <w:tab/>
        <w:t>wörtl.: nicht gedacht</w:t>
      </w:r>
    </w:p>
  </w:footnote>
  <w:footnote w:id="2907">
    <w:p>
      <w:pPr>
        <w:pStyle w:val="Funote"/>
        <w:rPr/>
      </w:pPr>
      <w:r>
        <w:rPr>
          <w:rStyle w:val="Funotenzeichen"/>
        </w:rPr>
        <w:footnoteRef/>
      </w:r>
      <w:r>
        <w:rPr/>
        <w:tab/>
        <w:t>Textkritik ― Der masoretische Text ist unverständlich (gegen Kraus, der die Inkongruenz der Genera nicht beachtet): stehend (Mask.) seine Rechte (Fem.). Die Übersetzung folgt dem Vorschlag der BHK.</w:t>
      </w:r>
    </w:p>
  </w:footnote>
  <w:footnote w:id="2908">
    <w:p>
      <w:pPr>
        <w:pStyle w:val="Funote"/>
        <w:rPr/>
      </w:pPr>
      <w:r>
        <w:rPr>
          <w:rStyle w:val="Funotenzeichen"/>
        </w:rPr>
        <w:footnoteRef/>
      </w:r>
      <w:r>
        <w:rPr/>
        <w:tab/>
        <w:t xml:space="preserve">Der masoretische Text überliefert: </w:t>
      </w:r>
      <w:r>
        <w:rPr>
          <w:i/>
        </w:rPr>
        <w:t>wie ein Gegner und er tötete</w:t>
      </w:r>
      <w:r>
        <w:rPr/>
        <w:t>. Die Übersetzung folgt dem Vorschlag der BHK.</w:t>
      </w:r>
    </w:p>
  </w:footnote>
  <w:footnote w:id="2909">
    <w:p>
      <w:pPr>
        <w:pStyle w:val="Funote"/>
        <w:rPr/>
      </w:pPr>
      <w:r>
        <w:rPr>
          <w:rStyle w:val="Funotenzeichen"/>
        </w:rPr>
        <w:footnoteRef/>
      </w:r>
      <w:r>
        <w:rPr>
          <w:i/>
        </w:rPr>
        <w:tab/>
        <w:t>Augenweide</w:t>
      </w:r>
      <w:r>
        <w:rPr/>
        <w:t xml:space="preserve"> - wörtl.: </w:t>
      </w:r>
      <w:r>
        <w:rPr>
          <w:i/>
        </w:rPr>
        <w:t>Lust [des] Auges</w:t>
      </w:r>
      <w:r>
        <w:rPr/>
        <w:t xml:space="preserve"> = die Bewohner Jerusalems bzw. Judas.</w:t>
      </w:r>
    </w:p>
  </w:footnote>
  <w:footnote w:id="2910">
    <w:p>
      <w:pPr>
        <w:pStyle w:val="Funote"/>
        <w:rPr/>
      </w:pPr>
      <w:r>
        <w:rPr>
          <w:rStyle w:val="Funotenzeichen"/>
        </w:rPr>
        <w:footnoteRef/>
      </w:r>
      <w:r>
        <w:rPr>
          <w:i/>
        </w:rPr>
        <w:tab/>
        <w:t>Zelt der Tochter Zion</w:t>
      </w:r>
      <w:r>
        <w:rPr/>
        <w:t xml:space="preserve"> bezeichnet Jerusalem</w:t>
      </w:r>
    </w:p>
  </w:footnote>
  <w:footnote w:id="2911">
    <w:p>
      <w:pPr>
        <w:pStyle w:val="Funote"/>
        <w:rPr/>
      </w:pPr>
      <w:r>
        <w:rPr>
          <w:rStyle w:val="Funotenzeichen"/>
        </w:rPr>
        <w:footnoteRef/>
      </w:r>
      <w:r>
        <w:rPr/>
        <w:tab/>
        <w:t>d.h. der Tochter Zion (4c)</w:t>
      </w:r>
    </w:p>
  </w:footnote>
  <w:footnote w:id="2912">
    <w:p>
      <w:pPr>
        <w:pStyle w:val="Funote"/>
        <w:rPr/>
      </w:pPr>
      <w:r>
        <w:rPr>
          <w:rStyle w:val="Funotenzeichen"/>
        </w:rPr>
        <w:footnoteRef/>
      </w:r>
      <w:r>
        <w:rPr>
          <w:i/>
        </w:rPr>
        <w:tab/>
        <w:t>Hütte</w:t>
      </w:r>
      <w:r>
        <w:rPr/>
        <w:t xml:space="preserve"> ― Wie aus 6b hervorgeht (</w:t>
      </w:r>
      <w:r>
        <w:rPr>
          <w:i/>
        </w:rPr>
        <w:t>Versammlungstätte</w:t>
      </w:r>
      <w:r>
        <w:rPr/>
        <w:t xml:space="preserve">) ist mit </w:t>
      </w:r>
      <w:r>
        <w:rPr>
          <w:i/>
        </w:rPr>
        <w:t>Hütte</w:t>
      </w:r>
      <w:r>
        <w:rPr/>
        <w:t xml:space="preserve"> der Tempel gemeint.</w:t>
      </w:r>
    </w:p>
  </w:footnote>
  <w:footnote w:id="2913">
    <w:p>
      <w:pPr>
        <w:pStyle w:val="Funote"/>
        <w:rPr/>
      </w:pPr>
      <w:r>
        <w:rPr>
          <w:rStyle w:val="Funotenzeichen"/>
        </w:rPr>
        <w:footnoteRef/>
      </w:r>
      <w:r>
        <w:rPr/>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914">
    <w:p>
      <w:pPr>
        <w:pStyle w:val="Funote"/>
        <w:rPr/>
      </w:pPr>
      <w:r>
        <w:rPr>
          <w:rStyle w:val="Funotenzeichen"/>
        </w:rPr>
        <w:footnoteRef/>
      </w:r>
      <w:r>
        <w:rPr/>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915">
    <w:p>
      <w:pPr>
        <w:pStyle w:val="Funote"/>
        <w:rPr/>
      </w:pPr>
      <w:r>
        <w:rPr>
          <w:rStyle w:val="Funotenzeichen"/>
        </w:rPr>
        <w:footnoteRef/>
      </w:r>
      <w:r>
        <w:rPr/>
        <w:tab/>
        <w:t>Der Altar steht als pars pro toto für den gesamten Tempel.</w:t>
      </w:r>
    </w:p>
  </w:footnote>
  <w:footnote w:id="2916">
    <w:p>
      <w:pPr>
        <w:pStyle w:val="Funote"/>
        <w:rPr/>
      </w:pPr>
      <w:r>
        <w:rPr>
          <w:rStyle w:val="Funotenzeichen"/>
        </w:rPr>
        <w:footnoteRef/>
      </w:r>
      <w:r>
        <w:rPr/>
        <w:tab/>
        <w:t>d.i. Zions</w:t>
      </w:r>
    </w:p>
  </w:footnote>
  <w:footnote w:id="2917">
    <w:p>
      <w:pPr>
        <w:pStyle w:val="Funote"/>
        <w:rPr/>
      </w:pPr>
      <w:r>
        <w:rPr>
          <w:rStyle w:val="Funotenzeichen"/>
        </w:rPr>
        <w:footnoteRef/>
      </w:r>
      <w:r>
        <w:rPr/>
        <w:tab/>
        <w:t xml:space="preserve">wörtl. </w:t>
      </w:r>
      <w:r>
        <w:rPr>
          <w:i/>
        </w:rPr>
        <w:t>sie riefen</w:t>
      </w:r>
    </w:p>
  </w:footnote>
  <w:footnote w:id="2918">
    <w:p>
      <w:pPr>
        <w:pStyle w:val="Funote"/>
        <w:rPr/>
      </w:pPr>
      <w:r>
        <w:rPr>
          <w:rStyle w:val="Funotenzeichen"/>
        </w:rPr>
        <w:footnoteRef/>
      </w:r>
      <w:r>
        <w:rPr/>
        <w:tab/>
        <w:t>In bitterer Ironie vergleicht der Dichter das Kriegsgeschrei bzw. die Angstrufe bei der Eroberung des Tempels mit den Festtagslärm früherer Tage.</w:t>
      </w:r>
    </w:p>
  </w:footnote>
  <w:footnote w:id="2919">
    <w:p>
      <w:pPr>
        <w:pStyle w:val="Funote"/>
        <w:rPr/>
      </w:pPr>
      <w:r>
        <w:rPr>
          <w:rStyle w:val="Funotenzeichen"/>
        </w:rPr>
        <w:footnoteRef/>
      </w:r>
      <w:r>
        <w:rPr>
          <w:i/>
        </w:rPr>
        <w:tab/>
        <w:t>Messschnur spannen</w:t>
      </w:r>
      <w:r>
        <w:rPr/>
        <w:t xml:space="preserve"> ist Synonym zu </w:t>
      </w:r>
      <w:r>
        <w:rPr>
          <w:i/>
        </w:rPr>
        <w:t>ersinnen, planen</w:t>
      </w:r>
      <w:r>
        <w:rPr/>
        <w:t xml:space="preserve"> in 8a.</w:t>
      </w:r>
    </w:p>
  </w:footnote>
  <w:footnote w:id="2920">
    <w:p>
      <w:pPr>
        <w:pStyle w:val="Funote"/>
        <w:rPr/>
      </w:pPr>
      <w:r>
        <w:rPr>
          <w:rStyle w:val="Funotenzeichen"/>
        </w:rPr>
        <w:footnoteRef/>
      </w:r>
      <w:r>
        <w:rPr/>
        <w:tab/>
        <w:t>Nämlich um ihre Mannschaften, die getötet worden sind.</w:t>
      </w:r>
    </w:p>
  </w:footnote>
  <w:footnote w:id="2921">
    <w:p>
      <w:pPr>
        <w:pStyle w:val="Funote"/>
        <w:rPr/>
      </w:pPr>
      <w:r>
        <w:rPr>
          <w:rStyle w:val="Funotenzeichen"/>
        </w:rPr>
        <w:footnoteRef/>
      </w:r>
      <w:r>
        <w:rPr>
          <w:i/>
        </w:rPr>
        <w:tab/>
        <w:t>Wall</w:t>
      </w:r>
      <w:r>
        <w:rPr/>
        <w:t xml:space="preserve"> ― Gemeint ist die Mauer vor der eigentlichen Stadtmauer. Andere übersetzen </w:t>
      </w:r>
      <w:r>
        <w:rPr>
          <w:i/>
        </w:rPr>
        <w:t>Heer</w:t>
      </w:r>
      <w:r>
        <w:rPr/>
        <w:t xml:space="preserve">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922">
    <w:p>
      <w:pPr>
        <w:pStyle w:val="Funote"/>
        <w:rPr/>
      </w:pPr>
      <w:r>
        <w:rPr>
          <w:rStyle w:val="Funotenzeichen"/>
        </w:rPr>
        <w:footnoteRef/>
      </w:r>
      <w:r>
        <w:rPr>
          <w:i/>
        </w:rPr>
        <w:tab/>
        <w:t>gaben sie nach</w:t>
      </w:r>
      <w:r>
        <w:rPr/>
        <w:t xml:space="preserve"> ― eig. </w:t>
      </w:r>
      <w:r>
        <w:rPr>
          <w:i/>
        </w:rPr>
        <w:t>verwelkten sie</w:t>
      </w:r>
    </w:p>
  </w:footnote>
  <w:footnote w:id="2923">
    <w:p>
      <w:pPr>
        <w:pStyle w:val="Funote"/>
        <w:rPr/>
      </w:pPr>
      <w:r>
        <w:rPr>
          <w:rStyle w:val="Funotenzeichen"/>
        </w:rPr>
        <w:footnoteRef/>
      </w:r>
      <w:r>
        <w:rPr>
          <w:i/>
        </w:rPr>
        <w:tab/>
        <w:t>Auf der Erde sitzen</w:t>
      </w:r>
      <w:r>
        <w:rPr/>
        <w:t xml:space="preserve"> war ein Zeichen von Trauer (vgl. Jes 29,4).</w:t>
      </w:r>
    </w:p>
  </w:footnote>
  <w:footnote w:id="2924">
    <w:p>
      <w:pPr>
        <w:pStyle w:val="Funote"/>
        <w:rPr/>
      </w:pPr>
      <w:r>
        <w:rPr>
          <w:rStyle w:val="Funotenzeichen"/>
        </w:rPr>
        <w:footnoteRef/>
      </w:r>
      <w:r>
        <w:rPr/>
        <w:tab/>
        <w:t xml:space="preserve">wörtl. </w:t>
      </w:r>
      <w:r>
        <w:rPr>
          <w:i/>
        </w:rPr>
        <w:t>und verstört sind</w:t>
      </w:r>
    </w:p>
  </w:footnote>
  <w:footnote w:id="2925">
    <w:p>
      <w:pPr>
        <w:pStyle w:val="Funote"/>
        <w:rPr/>
      </w:pPr>
      <w:r>
        <w:rPr>
          <w:rStyle w:val="Funotenzeichen"/>
        </w:rPr>
        <w:footnoteRef/>
      </w:r>
      <w:r>
        <w:rPr/>
        <w:tab/>
        <w:t>Zeichen von Trauer und Reue.</w:t>
      </w:r>
    </w:p>
  </w:footnote>
  <w:footnote w:id="2926">
    <w:p>
      <w:pPr>
        <w:pStyle w:val="Funote"/>
        <w:rPr/>
      </w:pPr>
      <w:r>
        <w:rPr>
          <w:rStyle w:val="Funotenzeichen"/>
        </w:rPr>
        <w:footnoteRef/>
      </w:r>
      <w:r>
        <w:rPr/>
        <w:tab/>
        <w:t>Das Ausschütten innerer Organe ist in der herbäischen Bibel Ausdruck, dass jmd tödlich getroffen ist (vgl. Hi 16,13). Nach Kraus (S. 40) ist die Leber Sitz der innersten Empfindungen.</w:t>
      </w:r>
    </w:p>
  </w:footnote>
  <w:footnote w:id="2927">
    <w:p>
      <w:pPr>
        <w:pStyle w:val="Funote"/>
        <w:rPr/>
      </w:pPr>
      <w:r>
        <w:rPr>
          <w:rStyle w:val="Funotenzeichen"/>
        </w:rPr>
        <w:footnoteRef/>
      </w:r>
      <w:r>
        <w:rPr/>
        <w:tab/>
        <w:t>D.h. mit deinem Untergang.</w:t>
      </w:r>
    </w:p>
  </w:footnote>
  <w:footnote w:id="2928">
    <w:p>
      <w:pPr>
        <w:pStyle w:val="Funote"/>
        <w:rPr/>
      </w:pPr>
      <w:r>
        <w:rPr>
          <w:rStyle w:val="Funotenzeichen"/>
        </w:rPr>
        <w:footnoteRef/>
      </w:r>
      <w:r>
        <w:rPr>
          <w:i/>
        </w:rPr>
        <w:tab/>
        <w:t>um dich zu trösten</w:t>
      </w:r>
      <w:r>
        <w:rPr/>
        <w:t xml:space="preserve"> ― und dich [damit] trösten.</w:t>
      </w:r>
    </w:p>
  </w:footnote>
  <w:footnote w:id="2929">
    <w:p>
      <w:pPr>
        <w:pStyle w:val="Funote"/>
        <w:rPr/>
      </w:pPr>
      <w:r>
        <w:rPr>
          <w:rStyle w:val="Funotenzeichen"/>
        </w:rPr>
        <w:footnoteRef/>
      </w:r>
      <w:r>
        <w:rPr/>
        <w:tab/>
        <w:t>od.: salzlos, fade</w:t>
      </w:r>
    </w:p>
  </w:footnote>
  <w:footnote w:id="2930">
    <w:p>
      <w:pPr>
        <w:pStyle w:val="Funote"/>
        <w:rPr/>
      </w:pPr>
      <w:r>
        <w:rPr>
          <w:rStyle w:val="Funotenzeichen"/>
        </w:rPr>
        <w:footnoteRef/>
      </w:r>
      <w:r>
        <w:rPr/>
        <w:tab/>
        <w:t>wörtl.: sie deckten nicht auf [die Hülle] über deiner Schuld.</w:t>
      </w:r>
    </w:p>
  </w:footnote>
  <w:footnote w:id="2931">
    <w:p>
      <w:pPr>
        <w:pStyle w:val="Funote"/>
        <w:rPr/>
      </w:pPr>
      <w:r>
        <w:rPr>
          <w:rStyle w:val="Funotenzeichen"/>
        </w:rPr>
        <w:footnoteRef/>
      </w:r>
      <w:r>
        <w:rPr/>
        <w:tab/>
        <w:t>wörtl.: schauten</w:t>
      </w:r>
    </w:p>
  </w:footnote>
  <w:footnote w:id="2932">
    <w:p>
      <w:pPr>
        <w:pStyle w:val="Funote"/>
        <w:rPr/>
      </w:pPr>
      <w:r>
        <w:rPr>
          <w:rStyle w:val="Funotenzeichen"/>
        </w:rPr>
        <w:footnoteRef/>
      </w:r>
      <w:r>
        <w:rPr/>
        <w:tab/>
        <w:t xml:space="preserve">Bei anderer Vokalisation: </w:t>
      </w:r>
      <w:r>
        <w:rPr>
          <w:i/>
        </w:rPr>
        <w:t>Orakel, Lüge und Verführung.</w:t>
      </w:r>
    </w:p>
  </w:footnote>
  <w:footnote w:id="2933">
    <w:p>
      <w:pPr>
        <w:pStyle w:val="Funote"/>
        <w:rPr/>
      </w:pPr>
      <w:r>
        <w:rPr>
          <w:rStyle w:val="Funotenzeichen"/>
        </w:rPr>
        <w:footnoteRef/>
      </w:r>
      <w:r>
        <w:rPr/>
        <w:tab/>
        <w:t>klatschen ... zischen: beides Ausdrücke der Schadenfreude.</w:t>
      </w:r>
    </w:p>
  </w:footnote>
  <w:footnote w:id="2934">
    <w:p>
      <w:pPr>
        <w:pStyle w:val="Funote"/>
        <w:rPr/>
      </w:pPr>
      <w:r>
        <w:rPr>
          <w:rStyle w:val="Funotenzeichen"/>
        </w:rPr>
        <w:footnoteRef/>
      </w:r>
      <w:r>
        <w:rPr/>
        <w:tab/>
        <w:t>deine: im Hebräischen Femininum mit Bezug auf die Stadt Jerusalem</w:t>
      </w:r>
    </w:p>
  </w:footnote>
  <w:footnote w:id="2935">
    <w:p>
      <w:pPr>
        <w:pStyle w:val="Funote"/>
        <w:rPr/>
      </w:pPr>
      <w:r>
        <w:rPr>
          <w:rStyle w:val="Funotenzeichen"/>
        </w:rPr>
        <w:footnoteRef/>
      </w:r>
      <w:r>
        <w:rPr/>
        <w:tab/>
        <w:t>wir haben (es) erreicht: Andere übersetzen „wir haben ihn (d.h. den erhofften Tag) erreicht“</w:t>
      </w:r>
    </w:p>
  </w:footnote>
  <w:footnote w:id="2936">
    <w:p>
      <w:pPr>
        <w:pStyle w:val="Funote"/>
        <w:rPr/>
      </w:pPr>
      <w:r>
        <w:rPr>
          <w:rStyle w:val="Funotenzeichen"/>
        </w:rPr>
        <w:footnoteRef/>
      </w:r>
      <w:r>
        <w:rPr/>
        <w:tab/>
        <w:t>das er angeordnet hat: Gordis bezieht dies auf den Tempel und nicht auf das Wort. Dann lautet die Übersetzung: Was er angeordnet hat ..., das riss er ein ...</w:t>
      </w:r>
    </w:p>
  </w:footnote>
  <w:footnote w:id="2937">
    <w:p>
      <w:pPr>
        <w:pStyle w:val="Funote"/>
        <w:rPr/>
      </w:pPr>
      <w:r>
        <w:rPr>
          <w:rStyle w:val="Funotenzeichen"/>
        </w:rPr>
        <w:footnoteRef/>
      </w:r>
      <w:r>
        <w:rPr/>
        <w:tab/>
        <w:t>Horn: ein bildhafter Ausdruck für Macht</w:t>
      </w:r>
    </w:p>
  </w:footnote>
  <w:footnote w:id="2938">
    <w:p>
      <w:pPr>
        <w:pStyle w:val="Funote"/>
        <w:rPr/>
      </w:pPr>
      <w:r>
        <w:rPr>
          <w:rStyle w:val="Funotenzeichen"/>
        </w:rPr>
        <w:footnoteRef/>
      </w:r>
      <w:r>
        <w:rPr/>
        <w:tab/>
        <w:t>ihr: im Hebr. Plural; gemeint sind die Bewohner Jerusalems</w:t>
      </w:r>
    </w:p>
  </w:footnote>
  <w:footnote w:id="2939">
    <w:p>
      <w:pPr>
        <w:pStyle w:val="Funote"/>
        <w:rPr/>
      </w:pPr>
      <w:r>
        <w:rPr>
          <w:rStyle w:val="Funotenzeichen"/>
        </w:rPr>
        <w:footnoteRef/>
      </w:r>
      <w:r>
        <w:rPr/>
        <w:tab/>
        <w:t>schreit: Andere deuten das hebräische Perfekt an dieser Stelle als Vergangenheitstempus: schrie</w:t>
      </w:r>
    </w:p>
  </w:footnote>
  <w:footnote w:id="2940">
    <w:p>
      <w:pPr>
        <w:pStyle w:val="Funote"/>
        <w:rPr/>
      </w:pPr>
      <w:r>
        <w:rPr>
          <w:rStyle w:val="Funotenzeichen"/>
        </w:rPr>
        <w:footnoteRef/>
      </w:r>
      <w:r>
        <w:rPr/>
        <w:tab/>
        <w:t xml:space="preserve">Ihr Herz schreit ... Stadtmauer ...: So der masoretische Text. Zahlreiche Übersetzungen und Kommentatoren halten diese Überlieferung von Vers 18a für korrupt. Unter den verschiedenen Verbesserungsvorschlägen hat die Änderung von </w:t>
      </w:r>
      <w:r>
        <w:rPr>
          <w:rtl w:val="true"/>
          <w:lang w:bidi="he-IL"/>
        </w:rPr>
        <w:t>צָעַק</w:t>
      </w:r>
      <w:r>
        <w:rPr/>
        <w:t xml:space="preserve"> </w:t>
      </w:r>
      <w:r>
        <w:rPr/>
        <w:t xml:space="preserve">(schreit/schrie) in </w:t>
      </w:r>
      <w:r>
        <w:rPr>
          <w:rtl w:val="true"/>
          <w:lang w:bidi="he-IL"/>
        </w:rPr>
        <w:t>צַעֲקִי</w:t>
      </w:r>
      <w:r>
        <w:rPr/>
        <w:t xml:space="preserve"> </w:t>
      </w:r>
      <w:r>
        <w:rPr/>
        <w:t xml:space="preserve">(schrei!) und die Tilgung von </w:t>
      </w:r>
      <w:r>
        <w:rPr>
          <w:rtl w:val="true"/>
          <w:lang w:bidi="he-IL"/>
        </w:rPr>
        <w:t>חוֹמַת</w:t>
      </w:r>
      <w:r>
        <w:rPr/>
        <w:t xml:space="preserve"> </w:t>
      </w:r>
      <w:r>
        <w:rPr/>
        <w:t>(Mauer) Eingang in viele Übersetzungen gefunden. Neuere Übersetzungen (z.B. NZB, Lu2017) folgen wieder dem masoretischen Text.</w:t>
      </w:r>
    </w:p>
  </w:footnote>
  <w:footnote w:id="2941">
    <w:p>
      <w:pPr>
        <w:pStyle w:val="Funote"/>
        <w:rPr/>
      </w:pPr>
      <w:r>
        <w:rPr>
          <w:rStyle w:val="Funotenzeichen"/>
        </w:rPr>
        <w:footnoteRef/>
      </w:r>
      <w:r>
        <w:rPr/>
        <w:tab/>
        <w:t>Augapfel: wörtlich die Tochter deines Auges</w:t>
      </w:r>
    </w:p>
  </w:footnote>
  <w:footnote w:id="2942">
    <w:p>
      <w:pPr>
        <w:pStyle w:val="Funote"/>
        <w:rPr/>
      </w:pPr>
      <w:r>
        <w:rPr>
          <w:rStyle w:val="Funotenzeichen"/>
        </w:rPr>
        <w:footnoteRef/>
      </w:r>
      <w:r>
        <w:rPr/>
        <w:tab/>
        <w:t>klage ... gieße ... erhebe: Diese Imperative haben im Hebräischen feminines Geschlecht, so dass auch hier Jerusalem als Subjekt zu denken ist.</w:t>
      </w:r>
    </w:p>
  </w:footnote>
  <w:footnote w:id="2943">
    <w:p>
      <w:pPr>
        <w:pStyle w:val="Funote"/>
        <w:rPr/>
      </w:pPr>
      <w:r>
        <w:rPr>
          <w:rStyle w:val="Funotenzeichen"/>
        </w:rPr>
        <w:footnoteRef/>
      </w:r>
      <w:r>
        <w:rPr/>
        <w:tab/>
        <w:t>Auffälligerweise ist Vers 19 vierzeilig. Da die vierte Zeile jedoch von allen Textzeugen überliefert wird und auch inhaltlich keine Fragen aufwirft, gibt es keinen Grund sie zu tilgen.</w:t>
      </w:r>
    </w:p>
  </w:footnote>
  <w:footnote w:id="2944">
    <w:p>
      <w:pPr>
        <w:pStyle w:val="Funote"/>
        <w:rPr/>
      </w:pPr>
      <w:r>
        <w:rPr>
          <w:rStyle w:val="Funotenzeichen"/>
        </w:rPr>
        <w:footnoteRef/>
      </w:r>
      <w:r>
        <w:rPr/>
        <w:tab/>
        <w:t xml:space="preserve">umsorgten: andere übersetzen „gesund geborenen“ o.ä. </w:t>
      </w:r>
      <w:r>
        <w:rPr>
          <w:rtl w:val="true"/>
          <w:lang w:bidi="he-IL"/>
        </w:rPr>
        <w:t>טִפֻּחִים</w:t>
      </w:r>
      <w:r>
        <w:rPr/>
        <w:t xml:space="preserve"> </w:t>
      </w:r>
      <w:r>
        <w:rPr/>
        <w:t>kommt nur hier in der hebräischen Bibel vor.</w:t>
      </w:r>
    </w:p>
  </w:footnote>
  <w:footnote w:id="2945">
    <w:p>
      <w:pPr>
        <w:pStyle w:val="Funote"/>
        <w:rPr/>
      </w:pPr>
      <w:r>
        <w:rPr>
          <w:rStyle w:val="Funotenzeichen"/>
        </w:rPr>
        <w:footnoteRef/>
      </w:r>
      <w:r>
        <w:rPr/>
        <w:tab/>
        <w:t>junge Frauen ... junge Männer: Im Hebräischen sind damit noch nicht Verheiratete gemeint.</w:t>
      </w:r>
    </w:p>
  </w:footnote>
  <w:footnote w:id="2946">
    <w:p>
      <w:pPr>
        <w:pStyle w:val="Funote"/>
        <w:rPr/>
      </w:pPr>
      <w:r>
        <w:rPr>
          <w:rStyle w:val="Funotenzeichen"/>
        </w:rPr>
        <w:footnoteRef/>
      </w:r>
      <w:r>
        <w:rPr/>
        <w:tab/>
        <w:t xml:space="preserve">Diese Übersetzung ist der Versuch den masoretischen Text von Vers 22a ohne Eingriffe und Sonderbedeutungen folgendermaßen zu verstehen: Gott hat öffentlich beschlossen, dass die Einwohner Jerusalems in der eigenen Stadt und ringumher Fremdlinge sein sollen. Andere deuten </w:t>
      </w:r>
      <w:r>
        <w:rPr>
          <w:rtl w:val="true"/>
          <w:lang w:bidi="he-IL"/>
        </w:rPr>
        <w:t>מְגוּרַי</w:t>
      </w:r>
      <w:r>
        <w:rPr/>
        <w:t xml:space="preserve"> </w:t>
      </w:r>
      <w:r>
        <w:rPr/>
        <w:t xml:space="preserve">(meine Fremdlingschaft) als Plural von </w:t>
      </w:r>
      <w:r>
        <w:rPr>
          <w:rtl w:val="true"/>
          <w:lang w:bidi="he-IL"/>
        </w:rPr>
        <w:t>מָגוֹר</w:t>
      </w:r>
      <w:r>
        <w:rPr/>
        <w:t xml:space="preserve"> </w:t>
      </w:r>
      <w:r>
        <w:rPr/>
        <w:t xml:space="preserve">(Grauen, Schrecken). Gordis vermutet ein Wortspiel und übersetzt </w:t>
      </w:r>
      <w:r>
        <w:rPr>
          <w:rtl w:val="true"/>
          <w:lang w:bidi="he-IL"/>
        </w:rPr>
        <w:t>מְגוּרַי</w:t>
      </w:r>
      <w:r>
        <w:rPr/>
        <w:t xml:space="preserve"> </w:t>
      </w:r>
      <w:r>
        <w:rPr/>
        <w:t>als „neighbors (terrors)“.</w:t>
      </w:r>
    </w:p>
  </w:footnote>
  <w:footnote w:id="2947">
    <w:p>
      <w:pPr>
        <w:pStyle w:val="Funote"/>
        <w:rPr/>
      </w:pPr>
      <w:r>
        <w:rPr>
          <w:rStyle w:val="Funotenzeichen"/>
        </w:rPr>
        <w:footnoteRef/>
      </w:r>
      <w:r>
        <w:rPr/>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948">
    <w:p>
      <w:pPr>
        <w:pStyle w:val="Funote"/>
        <w:rPr/>
      </w:pPr>
      <w:r>
        <w:rPr>
          <w:rStyle w:val="Funotenzeichen"/>
        </w:rPr>
        <w:footnoteRef/>
      </w:r>
      <w:r>
        <w:rPr/>
        <w:tab/>
        <w:t>Mitgefühl ist im dt. Sg., im hebr. Pl.</w:t>
      </w:r>
    </w:p>
  </w:footnote>
  <w:footnote w:id="2949">
    <w:p>
      <w:pPr>
        <w:pStyle w:val="Funote"/>
        <w:rPr/>
      </w:pPr>
      <w:r>
        <w:rPr>
          <w:rStyle w:val="Funotenzeichen"/>
        </w:rPr>
        <w:footnoteRef/>
      </w:r>
      <w:r>
        <w:rPr/>
        <w:tab/>
        <w:t>Impf. hi.</w:t>
      </w:r>
    </w:p>
  </w:footnote>
  <w:footnote w:id="2950">
    <w:p>
      <w:pPr>
        <w:pStyle w:val="Funote"/>
        <w:rPr/>
      </w:pPr>
      <w:r>
        <w:rPr>
          <w:rStyle w:val="Funotenzeichen"/>
        </w:rPr>
        <w:footnoteRef/>
      </w:r>
      <w:r>
        <w:rPr/>
        <w:tab/>
        <w:t>Partizip q. mit Suffix, hier relativisch aufgelöst</w:t>
      </w:r>
    </w:p>
  </w:footnote>
  <w:footnote w:id="2951">
    <w:p>
      <w:pPr>
        <w:pStyle w:val="Funote"/>
        <w:rPr/>
      </w:pPr>
      <w:r>
        <w:rPr>
          <w:rStyle w:val="Funotenzeichen"/>
        </w:rPr>
        <w:footnoteRef/>
      </w:r>
      <w:r>
        <w:rPr/>
        <w:tab/>
        <w:t>„</w:t>
      </w:r>
      <w:r>
        <w:rPr/>
        <w:t>harrend“ ist Adjektiv, „still“ ist Adverb das das Adjektiv näher bestimmt</w:t>
      </w:r>
    </w:p>
  </w:footnote>
  <w:footnote w:id="2952">
    <w:p>
      <w:pPr>
        <w:pStyle w:val="Funote"/>
        <w:rPr/>
      </w:pPr>
      <w:r>
        <w:rPr>
          <w:rStyle w:val="Funotenzeichen"/>
        </w:rPr>
        <w:footnoteRef/>
      </w:r>
      <w:r>
        <w:rPr/>
        <w:tab/>
        <w:t>(tau-e ein) Tau – »Tau« ist der letzte Buchstabe des heb. Alphabets; in der althebräischen Schrift hatte er die Form eines »x«. Zu vergleichen ist dann das Schutzmal auf der Stirn Kains in Gen 4,15, das schützende »Siegel des lebendigen Gottes« (Offb 7,2) auf den Stirnen der Gläubigen in Offb 7,3; 9,4 (vgl. auch Offb 22,4) und das verderbende »Siegel des Tieres« auf den Stirnen der anderen in Offb 14,9; 16,2, das rettende »Zeichen Gottes« an der Stirn der Gerechten und das verderbende »Zeichen der Zerstörung« an der Stirn der anderen in PsSal 15,9f. und der auf die Stirn der Gerechten geschriebene Name Gottes in ApkEl 1,9 (vgl. auch 5,4), aufgrund dessen diese vom Tod errettet werden werden. Vergleichen kann man auch die Talmudstelle b.Hor 12a, wo berichtet wird, dass Könige im Alten Israel mit in Kronenform, Priester aber mit in der Form »</w:t>
      </w:r>
      <w:r>
        <w:rPr>
          <w:lang w:val="el-GR"/>
        </w:rPr>
        <w:t>χ</w:t>
      </w:r>
      <w:r>
        <w:rPr/>
        <w:t>« aufgestrichenem Öl gesalbt worden seien, und b.Shab 120b, wo sich Bestimmungen für den (offenbar normalen Fall) finden, dass Gottes Namen auf jemandes Haut geschrieben sei. Interessant ist auch 1 Kön 20,38.41, wo ein unbekannter Prophet sein Prophetentum mit einem Turban verbirgt, sich dann aber als Prophet erkennen lässt, indem er seinen Turban abnimmt. Darf man diese Stellen zusammenlesen, kann man davon ausgehen, dass die Form »</w:t>
      </w:r>
      <w:r>
        <w:rPr>
          <w:lang w:val="el-GR"/>
        </w:rPr>
        <w:t>χ</w:t>
      </w:r>
      <w:r>
        <w:rPr/>
        <w:t>« oder »x« für den Gottesnamen stand und die Zugehörigkeit zu Gott mit der Bezeichnung durch dieses Zeichen ausgedrückt wurde, was in Leben und Tod schützen sollte (vgl. Finegan 1992, S. 349). Entsprechendes findet sich z.B. auch im antiken Griechenland; Herodot berichtet etwa von einem Herkulestempel, zu dem Sklaven flüchten konnten, dort mit einem heiligen Zeichen gebrandmarkt, damit dem Gott übereignet und so unberührbar wurden (Hdt II 113,2). Hierauf angespielt wird sicher auch in Ex 13,9.16 und wohl auch in Jes 49,16 und Hld 8,6 (zum Mal auf der Hand vgl. Offb 14,9).Hieraus entwickelte sich später das christliche Kreuzzeichen, mit dem man seine Zugehörigkeit zu Jesus Christus ausdrückte und das so Schutzzeichen gegen feindliche/dämonische Mächte war. Rufin etwa schreibt in seinem Kommentar zum Glaubensbekenntnis über den Christen als den Menschen, »der das Bekenntnis ablegt und seine Stirn mit dem Zeichen des Kreuzes bezeichnet: damit ein jeder Gläubige wisse, das sein Fleisch, wenn er es frei bewahrt von der Sünde, in Zukunft ein Gefäß der Ehre sein werde, wohlbereitet dem Herrn zu jeglichem guten Werke...«; nach Athanasius gebot Antonius seinen »Bekannten«, als diese sich vor Dämonen fürchteten: »‚Ihr aber drückt euch das Siegel des Kreuzes auf und geht getrost von dannen. Diese aber lasst sich selbst verspotten.‘ Die Besucher gingen nun hinweg, geschirmt durch das Zeichen des Kreuzes.« (VA 13; ähnlich Hieronymus über Hilarion: VH 6). Sehr schön auch Cyril, Cat IV 13: »Lasst uns des Kreuzes Christi nicht schämen! Wenn auch ein anderer es verbirgt, siegle du es offen auf deine Stirn, damit die Teufel das königliche Zeichen sehen und zittern fliehen! Mache das Zeichen beim Essen und Trinken, beim Sitzen, beim Niederlegen, beim Aufstehen, beim Sprechen, beim Gehen - mit einem Wort: Bei jeder Handlung!« (vgl. ganz ähnlich Tertullian, De cor 3).</w:t>
      </w:r>
    </w:p>
  </w:footnote>
  <w:footnote w:id="2953">
    <w:p>
      <w:pPr>
        <w:pStyle w:val="Funote"/>
        <w:rPr/>
      </w:pPr>
      <w:r>
        <w:rPr>
          <w:rStyle w:val="Funotenzeichen"/>
        </w:rPr>
        <w:footnoteRef/>
      </w:r>
      <w:r>
        <w:rPr/>
        <w:tab/>
        <w:t>[Status: Ungeprüft]</w:t>
      </w:r>
    </w:p>
  </w:footnote>
  <w:footnote w:id="2954">
    <w:p>
      <w:pPr>
        <w:pStyle w:val="Funote"/>
        <w:rPr/>
      </w:pPr>
      <w:r>
        <w:rPr>
          <w:rStyle w:val="Funotenzeichen"/>
        </w:rPr>
        <w:footnoteRef/>
      </w:r>
      <w:r>
        <w:rPr>
          <w:i/>
        </w:rPr>
        <w:tab/>
        <w:t>gesalzen</w:t>
      </w:r>
      <w:r>
        <w:rPr/>
        <w:t xml:space="preserve"> - im Alten Israel war es Brauch, Säuglinge direkt nach der Geburt zu salzen, um so die Haut des Säuglings zu kräftigen (ein im alten Orient weit verbreiteter Aberglaube); vgl. </w:t>
      </w:r>
      <w:hyperlink r:id="rId235">
        <w:r>
          <w:rPr>
            <w:rStyle w:val="Internetverknpfung"/>
          </w:rPr>
          <w:t>Preuss 1911, S. 467</w:t>
        </w:r>
      </w:hyperlink>
      <w:r>
        <w:rPr/>
        <w:t>; so auch schon </w:t>
      </w:r>
      <w:r>
        <w:fldChar w:fldCharType="begin"/>
      </w:r>
      <w:r>
        <w:rPr>
          <w:rStyle w:val="Internetverknpfung"/>
        </w:rPr>
        <w:instrText> HYPERLINK "http://www.chabad.org/library/bible_cdo/aid/16114" \l "showrashi=true"</w:instrText>
      </w:r>
      <w:r>
        <w:rPr>
          <w:rStyle w:val="Internetverknpfung"/>
        </w:rPr>
        <w:fldChar w:fldCharType="separate"/>
      </w:r>
      <w:r>
        <w:rPr>
          <w:rStyle w:val="Internetverknpfung"/>
        </w:rPr>
        <w:t>Raschi</w:t>
      </w:r>
      <w:r>
        <w:rPr>
          <w:rStyle w:val="Internetverknpfung"/>
        </w:rPr>
        <w:fldChar w:fldCharType="end"/>
      </w:r>
      <w:r>
        <w:rPr/>
        <w:t>.</w:t>
      </w:r>
    </w:p>
  </w:footnote>
  <w:footnote w:id="2955">
    <w:p>
      <w:pPr>
        <w:pStyle w:val="Funote"/>
        <w:rPr/>
      </w:pPr>
      <w:r>
        <w:rPr>
          <w:rStyle w:val="Funotenzeichen"/>
        </w:rPr>
        <w:footnoteRef/>
      </w:r>
      <w:r>
        <w:rPr/>
        <w:tab/>
        <w:t>[Status: Ungeprüft]</w:t>
      </w:r>
    </w:p>
  </w:footnote>
  <w:footnote w:id="2956">
    <w:p>
      <w:pPr>
        <w:pStyle w:val="Funote"/>
        <w:rPr/>
      </w:pPr>
      <w:r>
        <w:rPr>
          <w:rStyle w:val="Funotenzeichen"/>
        </w:rPr>
        <w:footnoteRef/>
      </w:r>
      <w:r>
        <w:rPr/>
        <w:tab/>
        <w:t>Gesenius (17.Aufl.) gibt stattdessen an: die Scheusale seiner Lust</w:t>
      </w:r>
    </w:p>
  </w:footnote>
  <w:footnote w:id="2957">
    <w:p>
      <w:pPr>
        <w:pStyle w:val="Funote"/>
        <w:rPr/>
      </w:pPr>
      <w:r>
        <w:rPr>
          <w:rStyle w:val="Funotenzeichen"/>
        </w:rPr>
        <w:footnoteRef/>
      </w:r>
      <w:r>
        <w:rPr/>
        <w:tab/>
        <w:t>Andere Übersetzung fügen hier z.B. „gnädig“ ein.</w:t>
      </w:r>
    </w:p>
  </w:footnote>
  <w:footnote w:id="2958">
    <w:p>
      <w:pPr>
        <w:pStyle w:val="Funote"/>
        <w:rPr/>
      </w:pPr>
      <w:r>
        <w:rPr>
          <w:rStyle w:val="Funotenzeichen"/>
        </w:rPr>
        <w:footnoteRef/>
      </w:r>
      <w:r>
        <w:rPr/>
        <w:tab/>
        <w:t xml:space="preserve">Hier steht im Hebräischen ein Infinitiv, also wörtlich: zu erkennen/zu wissen - ohne weiteres Bezugswort. Gängige Bibelübersetzungen ergänzen ein „man“ oder ein „ihr“. Wegen der </w:t>
      </w:r>
    </w:p>
  </w:footnote>
  <w:footnote w:id="2959">
    <w:p>
      <w:pPr>
        <w:pStyle w:val="Funote"/>
        <w:rPr/>
      </w:pPr>
      <w:r>
        <w:rPr>
          <w:rStyle w:val="Funotenzeichen"/>
        </w:rPr>
        <w:footnoteRef/>
      </w:r>
      <w:r>
        <w:rPr/>
        <w:tab/>
        <w:t>andere Übersetzung fügen hier z.B. „gnädig“ ein.</w:t>
      </w:r>
    </w:p>
  </w:footnote>
  <w:footnote w:id="2960">
    <w:p>
      <w:pPr>
        <w:pStyle w:val="Funote"/>
        <w:rPr/>
      </w:pPr>
      <w:r>
        <w:rPr>
          <w:rStyle w:val="Funotenzeichen"/>
        </w:rPr>
        <w:footnoteRef/>
      </w:r>
      <w:r>
        <w:rPr/>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961">
    <w:p>
      <w:pPr>
        <w:pStyle w:val="Funote"/>
        <w:rPr/>
      </w:pPr>
      <w:r>
        <w:rPr>
          <w:rStyle w:val="Funotenzeichen"/>
        </w:rPr>
        <w:footnoteRef/>
      </w:r>
      <w:r>
        <w:rPr/>
        <w:tab/>
        <w:t>Oder: Nicht nach meinen Rechtssätzen handelten.</w:t>
      </w:r>
    </w:p>
  </w:footnote>
  <w:footnote w:id="2962">
    <w:p>
      <w:pPr>
        <w:pStyle w:val="Funote"/>
        <w:rPr/>
      </w:pPr>
      <w:r>
        <w:rPr>
          <w:rStyle w:val="Funotenzeichen"/>
        </w:rPr>
        <w:footnoteRef/>
      </w:r>
      <w:r>
        <w:rPr/>
        <w:tab/>
        <w:t>Es wir hier vermutlich auf Vers 31 Bezug genommen. Für die Verständlichkeit wurde das Feuer hier ergänzt</w:t>
      </w:r>
    </w:p>
  </w:footnote>
  <w:footnote w:id="2963">
    <w:p>
      <w:pPr>
        <w:pStyle w:val="Funote"/>
        <w:rPr/>
      </w:pPr>
      <w:r>
        <w:rPr>
          <w:rStyle w:val="Funotenzeichen"/>
        </w:rPr>
        <w:footnoteRef/>
      </w:r>
      <w:r>
        <w:rPr/>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964">
    <w:p>
      <w:pPr>
        <w:pStyle w:val="Funote"/>
        <w:rPr/>
      </w:pPr>
      <w:r>
        <w:rPr>
          <w:rStyle w:val="Funotenzeichen"/>
        </w:rPr>
        <w:footnoteRef/>
      </w:r>
      <w:r>
        <w:rPr/>
        <w:tab/>
        <w:t>Eigentlich eine Zusammensetzung aus zwei Substantiven: Beruhigendes/Beschwichtigendes und Geruch.</w:t>
      </w:r>
    </w:p>
  </w:footnote>
  <w:footnote w:id="2965">
    <w:p>
      <w:pPr>
        <w:pStyle w:val="Funote"/>
        <w:rPr/>
      </w:pPr>
      <w:r>
        <w:rPr>
          <w:rStyle w:val="Funotenzeichen"/>
        </w:rPr>
        <w:footnoteRef/>
      </w:r>
      <w:r>
        <w:rPr/>
        <w:tab/>
        <w:t>Die figura etymologica verstärkt die Aussage.</w:t>
      </w:r>
    </w:p>
  </w:footnote>
  <w:footnote w:id="2966">
    <w:p>
      <w:pPr>
        <w:pStyle w:val="Funote"/>
        <w:rPr/>
      </w:pPr>
      <w:r>
        <w:rPr>
          <w:rStyle w:val="Funotenzeichen"/>
        </w:rPr>
        <w:footnoteRef/>
      </w:r>
      <w:r>
        <w:rPr/>
        <w:tab/>
        <w:t>[Status: Ungeprüft]</w:t>
      </w:r>
    </w:p>
  </w:footnote>
  <w:footnote w:id="2967">
    <w:p>
      <w:pPr>
        <w:pStyle w:val="Funote"/>
        <w:rPr/>
      </w:pPr>
      <w:r>
        <w:rPr>
          <w:rStyle w:val="Funotenzeichen"/>
        </w:rPr>
        <w:footnoteRef/>
      </w:r>
      <w:r>
        <w:rPr/>
        <w:tab/>
        <w:t xml:space="preserve">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 </w:t>
      </w:r>
    </w:p>
  </w:footnote>
  <w:footnote w:id="2968">
    <w:p>
      <w:pPr>
        <w:pStyle w:val="Funote"/>
        <w:rPr/>
      </w:pPr>
      <w:r>
        <w:rPr>
          <w:rStyle w:val="Funotenzeichen"/>
        </w:rPr>
        <w:footnoteRef/>
      </w:r>
      <w:r>
        <w:rPr/>
        <w:tab/>
        <w:t xml:space="preserve">Von hier an ist der Text Aramäisch (Dan 2,4b-7,28). Neben diesem Abschnitt aus dem Danielbuch sind auch Esra 4,8-6,18; 7,12-26 auf Aramäisch verfasst bzw. aus aramäischen Quellen zitiert (zudem Jer 10,11 und ein Teil von Gen 31,47). </w:t>
      </w:r>
    </w:p>
  </w:footnote>
  <w:footnote w:id="2969">
    <w:p>
      <w:pPr>
        <w:pStyle w:val="Funote"/>
        <w:rPr/>
      </w:pPr>
      <w:r>
        <w:rPr>
          <w:rStyle w:val="Funotenzeichen"/>
        </w:rPr>
        <w:footnoteRef/>
      </w:r>
      <w:r>
        <w:rPr/>
        <w:tab/>
        <w:t>W. „Oh König, lebe {für} ewig!“</w:t>
      </w:r>
    </w:p>
  </w:footnote>
  <w:footnote w:id="2970">
    <w:p>
      <w:pPr>
        <w:pStyle w:val="Funote"/>
        <w:rPr/>
      </w:pPr>
      <w:r>
        <w:rPr>
          <w:rStyle w:val="Funotenzeichen"/>
        </w:rPr>
        <w:footnoteRef/>
      </w:r>
      <w:r>
        <w:rPr/>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971">
    <w:p>
      <w:pPr>
        <w:pStyle w:val="Funote"/>
        <w:rPr/>
      </w:pPr>
      <w:r>
        <w:rPr>
          <w:rStyle w:val="Funotenzeichen"/>
        </w:rPr>
        <w:footnoteRef/>
      </w:r>
      <w:r>
        <w:rPr/>
        <w:tab/>
        <w:t xml:space="preserve">D.h. „werdet ihr in Stücke gerissen/gehauen werden“ (vgl. Koch 2005, 90). </w:t>
      </w:r>
    </w:p>
  </w:footnote>
  <w:footnote w:id="2972">
    <w:p>
      <w:pPr>
        <w:pStyle w:val="Funote"/>
        <w:rPr/>
      </w:pPr>
      <w:r>
        <w:rPr>
          <w:rStyle w:val="Funotenzeichen"/>
        </w:rPr>
        <w:footnoteRef/>
      </w:r>
      <w:r>
        <w:rPr>
          <w:i/>
        </w:rPr>
        <w:tab/>
        <w:t>Müllhaufen (Latrinen, Trümmerhaufen)</w:t>
      </w:r>
      <w:r>
        <w:rPr/>
        <w:t xml:space="preserve"> Die Übersetzung dieses unbekannten Worts beruht auf Herleitungen, die auf einen widerwärtigen Ort wie einen Müllhaufen oder eine öffentliche Latrine schließen lassen. Die eigentliche Bedeutung könnte ganz anders lauten (Koch 2005, 90). </w:t>
      </w:r>
    </w:p>
  </w:footnote>
  <w:footnote w:id="2973">
    <w:p>
      <w:pPr>
        <w:pStyle w:val="Funote"/>
        <w:rPr/>
      </w:pPr>
      <w:r>
        <w:rPr>
          <w:rStyle w:val="Funotenzeichen"/>
        </w:rPr>
        <w:footnoteRef/>
      </w:r>
      <w:r>
        <w:rPr/>
        <w:tab/>
        <w:t xml:space="preserve">Ein unbekanntes Wort (Sg.). </w:t>
      </w:r>
      <w:r>
        <w:rPr>
          <w:i/>
        </w:rPr>
        <w:t>Belohnungen</w:t>
      </w:r>
      <w:r>
        <w:rPr/>
        <w:t xml:space="preserve"> nach DBL Aramaic, GesD tendiert zu „Geschenk, Gabe“, Koch 2011, 90 übersetzt „Ehrenurkunden/Kostbarkeiten“. </w:t>
      </w:r>
    </w:p>
  </w:footnote>
  <w:footnote w:id="2974">
    <w:p>
      <w:pPr>
        <w:pStyle w:val="Funote"/>
        <w:rPr/>
      </w:pPr>
      <w:r>
        <w:rPr>
          <w:rStyle w:val="Funotenzeichen"/>
        </w:rPr>
        <w:footnoteRef/>
      </w:r>
      <w:r>
        <w:rPr/>
        <w:tab/>
        <w:t xml:space="preserve">Die Einfügung von „jetzt“ und „versucht“ ist aufgrund des Partizips sowie sinngemäß angebracht. Der König erkennt also, was gerade vor sich geht: Die Wahrsager versuchen Zeit zu gewinnen. </w:t>
      </w:r>
    </w:p>
  </w:footnote>
  <w:footnote w:id="2975">
    <w:p>
      <w:pPr>
        <w:pStyle w:val="Funote"/>
        <w:rPr/>
      </w:pPr>
      <w:r>
        <w:rPr>
          <w:rStyle w:val="Funotenzeichen"/>
        </w:rPr>
        <w:footnoteRef/>
      </w:r>
      <w:r>
        <w:rPr/>
        <w:tab/>
        <w:t>S. die Fußnote in V. 5. Der Satz wird in V. 9 fortgesetzt (Koch 2005, 91). NLB (vgl. GNB): »dass ich meine Drohungen wahr machen werde.«</w:t>
      </w:r>
    </w:p>
  </w:footnote>
  <w:footnote w:id="2976">
    <w:p>
      <w:pPr>
        <w:pStyle w:val="Funote"/>
        <w:rPr/>
      </w:pPr>
      <w:r>
        <w:rPr>
          <w:rStyle w:val="Funotenzeichen"/>
        </w:rPr>
        <w:footnoteRef/>
      </w:r>
      <w:r>
        <w:rPr/>
        <w:tab/>
        <w:t xml:space="preserve">D.h. „kann das nur eines heißen“. Oder: „dass es nur ein … gibt, wenn ihr … nicht mitteilt. Aber (und) ihr habt euch [offenbar] abgesprochen...“ Der Vorwurf der bewussten Lüge ab 9b wäre dann nicht das Urteil, sondern eine daran angeschlossene Vermutung (so Koch 2005, 91, Zür). </w:t>
      </w:r>
    </w:p>
  </w:footnote>
  <w:footnote w:id="2977">
    <w:p>
      <w:pPr>
        <w:pStyle w:val="Funote"/>
        <w:rPr/>
      </w:pPr>
      <w:r>
        <w:rPr>
          <w:rStyle w:val="Funotenzeichen"/>
        </w:rPr>
        <w:footnoteRef/>
      </w:r>
      <w:r>
        <w:rPr/>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978">
    <w:p>
      <w:pPr>
        <w:pStyle w:val="Funote"/>
        <w:rPr/>
      </w:pPr>
      <w:r>
        <w:rPr>
          <w:rStyle w:val="Funotenzeichen"/>
        </w:rPr>
        <w:footnoteRef/>
      </w:r>
      <w:r>
        <w:rPr>
          <w:i/>
        </w:rPr>
        <w:tab/>
        <w:t>auf dem trockenen Land</w:t>
      </w:r>
      <w:r>
        <w:rPr/>
        <w:t xml:space="preserve"> Eine emphatische Metonymie des Subjekts für „auf der ganzen (bewohnbaren) Erde“. </w:t>
      </w:r>
    </w:p>
  </w:footnote>
  <w:footnote w:id="2979">
    <w:p>
      <w:pPr>
        <w:pStyle w:val="Funote"/>
        <w:rPr/>
      </w:pPr>
      <w:r>
        <w:rPr>
          <w:rStyle w:val="Funotenzeichen"/>
        </w:rPr>
        <w:footnoteRef/>
      </w:r>
      <w:r>
        <w:rPr/>
        <w:tab/>
        <w:t>W. »die Aufgabe (Wort, Sache) des Königs« GNB: »diese Forderung erfüllen«</w:t>
      </w:r>
    </w:p>
  </w:footnote>
  <w:footnote w:id="2980">
    <w:p>
      <w:pPr>
        <w:pStyle w:val="Funote"/>
        <w:rPr/>
      </w:pPr>
      <w:r>
        <w:rPr>
          <w:rStyle w:val="Funotenzeichen"/>
        </w:rPr>
        <w:footnoteRef/>
      </w:r>
      <w:r>
        <w:rPr/>
        <w:tab/>
        <w:t>W. »eine Aufgabe (Sache, Wort) wie diese (eine solche)« EÜ: »ein solches Ansinnen«</w:t>
      </w:r>
    </w:p>
  </w:footnote>
  <w:footnote w:id="2981">
    <w:p>
      <w:pPr>
        <w:pStyle w:val="Funote"/>
        <w:rPr/>
      </w:pPr>
      <w:r>
        <w:rPr>
          <w:rStyle w:val="Funotenzeichen"/>
        </w:rPr>
        <w:footnoteRef/>
      </w:r>
      <w:r>
        <w:rPr/>
        <w:tab/>
        <w:t>W. „Die Sache (Aufgabe, das Wort), die der König verlangt (fordert)“</w:t>
      </w:r>
    </w:p>
  </w:footnote>
  <w:footnote w:id="2982">
    <w:p>
      <w:pPr>
        <w:pStyle w:val="Funote"/>
        <w:rPr/>
      </w:pPr>
      <w:r>
        <w:rPr>
          <w:rStyle w:val="Funotenzeichen"/>
        </w:rPr>
        <w:footnoteRef/>
      </w:r>
      <w:r>
        <w:rPr/>
        <w:tab/>
        <w:t>Hier sind wohl die babylonischen Götter gemeint, es lässt sich jedoch nicht ausschließen (und ist auch grammatisch denkbar), dass von JHWH die Rede ist.</w:t>
      </w:r>
    </w:p>
  </w:footnote>
  <w:footnote w:id="2983">
    <w:p>
      <w:pPr>
        <w:pStyle w:val="Funote"/>
        <w:rPr/>
      </w:pPr>
      <w:r>
        <w:rPr>
          <w:rStyle w:val="Funotenzeichen"/>
        </w:rPr>
        <w:footnoteRef/>
      </w:r>
      <w:r>
        <w:rPr>
          <w:i/>
        </w:rPr>
        <w:tab/>
        <w:t>Fleisch</w:t>
      </w:r>
      <w:r>
        <w:rPr/>
        <w:t xml:space="preserve"> Metonymie der Adjunktion für die Sterblichen, d.h. „die Götter leben nicht unter den Menschen (Sterblichen)“.</w:t>
      </w:r>
    </w:p>
  </w:footnote>
  <w:footnote w:id="2984">
    <w:p>
      <w:pPr>
        <w:pStyle w:val="Funote"/>
        <w:rPr/>
      </w:pPr>
      <w:r>
        <w:rPr>
          <w:rStyle w:val="Funotenzeichen"/>
        </w:rPr>
        <w:footnoteRef/>
      </w:r>
      <w:r>
        <w:rPr>
          <w:i/>
        </w:rPr>
        <w:tab/>
        <w:t>wütend und sehr zornig</w:t>
      </w:r>
      <w:r>
        <w:rPr/>
        <w:t xml:space="preserve">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 xml:space="preserve">sehr eine sehr große Wut aus, die sich auch an seinem folgenden Befehl erkennen lässt. </w:t>
      </w:r>
    </w:p>
  </w:footnote>
  <w:footnote w:id="2985">
    <w:p>
      <w:pPr>
        <w:pStyle w:val="Funote"/>
        <w:rPr/>
      </w:pPr>
      <w:r>
        <w:rPr>
          <w:rStyle w:val="Funotenzeichen"/>
        </w:rPr>
        <w:footnoteRef/>
      </w:r>
      <w:r>
        <w:rPr>
          <w:i/>
        </w:rPr>
        <w:tab/>
        <w:t>Weisen</w:t>
      </w:r>
      <w:r>
        <w:rPr/>
        <w:t xml:space="preserve">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 </w:t>
      </w:r>
    </w:p>
  </w:footnote>
  <w:footnote w:id="2986">
    <w:p>
      <w:pPr>
        <w:pStyle w:val="Funote"/>
        <w:rPr/>
      </w:pPr>
      <w:r>
        <w:rPr>
          <w:rStyle w:val="Funotenzeichen"/>
        </w:rPr>
        <w:footnoteRef/>
      </w:r>
      <w:r>
        <w:rPr/>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987">
    <w:p>
      <w:pPr>
        <w:pStyle w:val="Funote"/>
        <w:rPr/>
      </w:pPr>
      <w:r>
        <w:rPr>
          <w:rStyle w:val="Funotenzeichen"/>
        </w:rPr>
        <w:footnoteRef/>
      </w:r>
      <w:r>
        <w:rPr/>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988">
    <w:p>
      <w:pPr>
        <w:pStyle w:val="Funote"/>
        <w:rPr/>
      </w:pPr>
      <w:r>
        <w:rPr>
          <w:rStyle w:val="Funotenzeichen"/>
        </w:rPr>
        <w:footnoteRef/>
      </w:r>
      <w:r>
        <w:rPr/>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989">
    <w:p>
      <w:pPr>
        <w:pStyle w:val="Funote"/>
        <w:rPr/>
      </w:pPr>
      <w:r>
        <w:rPr>
          <w:rStyle w:val="Funotenzeichen"/>
        </w:rPr>
        <w:footnoteRef/>
      </w:r>
      <w:r>
        <w:rPr/>
        <w:tab/>
        <w:t xml:space="preserve">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 </w:t>
      </w:r>
    </w:p>
  </w:footnote>
  <w:footnote w:id="2990">
    <w:p>
      <w:pPr>
        <w:pStyle w:val="Funote"/>
        <w:rPr/>
      </w:pPr>
      <w:r>
        <w:rPr>
          <w:rStyle w:val="Funotenzeichen"/>
        </w:rPr>
        <w:footnoteRef/>
      </w:r>
      <w:r>
        <w:rPr/>
        <w:tab/>
        <w:t xml:space="preserve">Die Bedeutung des Adjektivs muss rekonstruiert werden. </w:t>
      </w:r>
      <w:r>
        <w:rPr>
          <w:i/>
        </w:rPr>
        <w:t>übereilte</w:t>
      </w:r>
      <w:r>
        <w:rPr/>
        <w:t xml:space="preserve"> ist die bevorzugte Herleitung Kochs, der für die vermutete Bedeutung „streng“ (die meisten Übersetzungen) zu wenig Belege findet (Koch 2005, 93).</w:t>
      </w:r>
    </w:p>
  </w:footnote>
  <w:footnote w:id="2991">
    <w:p>
      <w:pPr>
        <w:pStyle w:val="Funote"/>
        <w:rPr/>
      </w:pPr>
      <w:r>
        <w:rPr>
          <w:rStyle w:val="Funotenzeichen"/>
        </w:rPr>
        <w:footnoteRef/>
      </w:r>
      <w:r>
        <w:rPr/>
        <w:tab/>
        <w:t>Ohne die vokativische Übersetzung (vgl. erste Fußnote) ist es auch möglich, die Frage indirekt zu übersetzen (EÜ, vgl. GNB).</w:t>
      </w:r>
    </w:p>
  </w:footnote>
  <w:footnote w:id="2992">
    <w:p>
      <w:pPr>
        <w:pStyle w:val="Funote"/>
        <w:rPr/>
      </w:pPr>
      <w:r>
        <w:rPr>
          <w:rStyle w:val="Funotenzeichen"/>
        </w:rPr>
        <w:footnoteRef/>
      </w:r>
      <w:r>
        <w:rPr/>
        <w:tab/>
        <w:t xml:space="preserve">Daniel kennt also den Erlass, erfährt aber erst jetzt die Geschichte, die dahinter steht, und kann die richtige Entscheidung treffen (vgl. Koch 2005, 157f.). </w:t>
      </w:r>
    </w:p>
  </w:footnote>
  <w:footnote w:id="2993">
    <w:p>
      <w:pPr>
        <w:pStyle w:val="Funote"/>
        <w:rPr/>
      </w:pPr>
      <w:r>
        <w:rPr>
          <w:rStyle w:val="Funotenzeichen"/>
        </w:rPr>
        <w:footnoteRef/>
      </w:r>
      <w:r>
        <w:rPr/>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994">
    <w:p>
      <w:pPr>
        <w:pStyle w:val="Funote"/>
        <w:rPr/>
      </w:pPr>
      <w:r>
        <w:rPr>
          <w:rStyle w:val="Funotenzeichen"/>
        </w:rPr>
        <w:footnoteRef/>
      </w:r>
      <w:r>
        <w:rPr/>
        <w:tab/>
        <w:t>Oder schöner „ersuchte beim König um eine Audienz“.</w:t>
      </w:r>
    </w:p>
  </w:footnote>
  <w:footnote w:id="2995">
    <w:p>
      <w:pPr>
        <w:pStyle w:val="Funote"/>
        <w:rPr/>
      </w:pPr>
      <w:r>
        <w:rPr>
          <w:rStyle w:val="Funotenzeichen"/>
        </w:rPr>
        <w:footnoteRef/>
      </w:r>
      <w:r>
        <w:rPr/>
        <w:tab/>
        <w:t xml:space="preserve">Meist als </w:t>
      </w:r>
      <w:r>
        <w:rPr>
          <w:i/>
        </w:rPr>
        <w:t>Geheimnis</w:t>
      </w:r>
      <w:r>
        <w:rPr/>
        <w:t xml:space="preserve"> übersetzt, doch vgl. DBL Aramaic, </w:t>
      </w:r>
      <w:r>
        <w:rPr>
          <w:rtl w:val="true"/>
          <w:lang w:bidi="he-IL"/>
        </w:rPr>
        <w:t>רָז</w:t>
      </w:r>
      <w:r>
        <w:rPr/>
        <w:t>: „</w:t>
      </w:r>
      <w:r>
        <w:rPr>
          <w:b/>
        </w:rPr>
        <w:t>mystery</w:t>
      </w:r>
      <w:r>
        <w:rPr/>
        <w:t xml:space="preserve">, secret, i.e., information or omens so enigmatic or baffling that only revelation from God can make it understandable “ Es geht hier also vordergründig um unerreichbares, rätselhaftes Wissen, nicht um ein Geheimnis (das ja nur eins des Königs wäre). </w:t>
      </w:r>
    </w:p>
  </w:footnote>
  <w:footnote w:id="2996">
    <w:p>
      <w:pPr>
        <w:pStyle w:val="Funote"/>
        <w:rPr/>
      </w:pPr>
      <w:r>
        <w:rPr>
          <w:rStyle w:val="Funotenzeichen"/>
        </w:rPr>
        <w:footnoteRef/>
      </w:r>
      <w:r>
        <w:rPr/>
        <w:tab/>
        <w:t xml:space="preserve">Unpersönliche Formulierung. Vgl. Fußnote in V. 13. </w:t>
      </w:r>
    </w:p>
  </w:footnote>
  <w:footnote w:id="2997">
    <w:p>
      <w:pPr>
        <w:pStyle w:val="Funote"/>
        <w:rPr/>
      </w:pPr>
      <w:r>
        <w:rPr>
          <w:rStyle w:val="Funotenzeichen"/>
        </w:rPr>
        <w:footnoteRef/>
      </w:r>
      <w:r>
        <w:rPr/>
        <w:tab/>
        <w:t>[Status: Ungeprüft]</w:t>
      </w:r>
    </w:p>
  </w:footnote>
  <w:footnote w:id="2998">
    <w:p>
      <w:pPr>
        <w:pStyle w:val="Funote"/>
        <w:rPr/>
      </w:pPr>
      <w:r>
        <w:rPr>
          <w:rStyle w:val="Funotenzeichen"/>
        </w:rPr>
        <w:footnoteRef/>
      </w:r>
      <w:r>
        <w:rPr/>
        <w:tab/>
        <w:t>[Status: Ungeprüft]</w:t>
      </w:r>
    </w:p>
  </w:footnote>
  <w:footnote w:id="2999">
    <w:p>
      <w:pPr>
        <w:pStyle w:val="Funote"/>
        <w:rPr/>
      </w:pPr>
      <w:r>
        <w:rPr>
          <w:rStyle w:val="Funotenzeichen"/>
        </w:rPr>
        <w:footnoteRef/>
      </w:r>
      <w:r>
        <w:rPr/>
        <w:tab/>
        <w:t>Übersetzung stammt aus Gesesius.</w:t>
      </w:r>
    </w:p>
  </w:footnote>
  <w:footnote w:id="3000">
    <w:p>
      <w:pPr>
        <w:pStyle w:val="Funote"/>
        <w:rPr/>
      </w:pPr>
      <w:r>
        <w:rPr>
          <w:rStyle w:val="Funotenzeichen"/>
        </w:rPr>
        <w:footnoteRef/>
      </w:r>
      <w:r>
        <w:rPr/>
        <w:tab/>
        <w:t>Übersetzung stammt aus Gesesius.</w:t>
      </w:r>
    </w:p>
  </w:footnote>
  <w:footnote w:id="3001">
    <w:p>
      <w:pPr>
        <w:pStyle w:val="Funote"/>
        <w:rPr/>
      </w:pPr>
      <w:r>
        <w:rPr>
          <w:rStyle w:val="Funotenzeichen"/>
        </w:rPr>
        <w:footnoteRef/>
      </w:r>
      <w:r>
        <w:rPr/>
        <w:tab/>
        <w:t>Hier stellt sich die Frage, wer mit er gemeint ist. Ist es einer der Männer oder Daniel selbst?</w:t>
      </w:r>
    </w:p>
  </w:footnote>
  <w:footnote w:id="3002">
    <w:p>
      <w:pPr>
        <w:pStyle w:val="Funote"/>
        <w:rPr/>
      </w:pPr>
      <w:r>
        <w:rPr>
          <w:rStyle w:val="Funotenzeichen"/>
        </w:rPr>
        <w:footnoteRef/>
      </w:r>
      <w:r>
        <w:rPr/>
        <w:tab/>
        <w:t>Gesenius übersetzt „Linnen“.</w:t>
      </w:r>
    </w:p>
  </w:footnote>
  <w:footnote w:id="3003">
    <w:p>
      <w:pPr>
        <w:pStyle w:val="Funote"/>
        <w:rPr/>
      </w:pPr>
      <w:r>
        <w:rPr>
          <w:rStyle w:val="Funotenzeichen"/>
        </w:rPr>
        <w:footnoteRef/>
      </w:r>
      <w:r>
        <w:rPr/>
        <w:tab/>
        <w:t>Gesenius übersetzt „Linnen“.</w:t>
      </w:r>
    </w:p>
  </w:footnote>
  <w:footnote w:id="3004">
    <w:p>
      <w:pPr>
        <w:pStyle w:val="Funote"/>
        <w:rPr/>
      </w:pPr>
      <w:r>
        <w:rPr>
          <w:rStyle w:val="Funotenzeichen"/>
        </w:rPr>
        <w:footnoteRef/>
      </w:r>
      <w:r>
        <w:rPr/>
        <w:tab/>
        <w:t>Ges: „ein Jahr und zwei Jahre“.</w:t>
      </w:r>
    </w:p>
  </w:footnote>
  <w:footnote w:id="3005">
    <w:p>
      <w:pPr>
        <w:pStyle w:val="Funote"/>
        <w:rPr/>
      </w:pPr>
      <w:r>
        <w:rPr>
          <w:rStyle w:val="Funotenzeichen"/>
        </w:rPr>
        <w:footnoteRef/>
      </w:r>
      <w:r>
        <w:rPr/>
        <w:tab/>
        <w:t>Hier steht eigentlich ein Kohortativ. Wie ist der genau zu übersetzen?</w:t>
      </w:r>
    </w:p>
  </w:footnote>
  <w:footnote w:id="3006">
    <w:p>
      <w:pPr>
        <w:pStyle w:val="Funote"/>
        <w:rPr/>
      </w:pPr>
      <w:r>
        <w:rPr>
          <w:rStyle w:val="Funotenzeichen"/>
        </w:rPr>
        <w:footnoteRef/>
      </w:r>
      <w:r>
        <w:rPr/>
        <w:tab/>
        <w:t>Gesesius: „Anteil am Messiasreich“</w:t>
      </w:r>
    </w:p>
  </w:footnote>
  <w:footnote w:id="3007">
    <w:p>
      <w:pPr>
        <w:pStyle w:val="Funote"/>
        <w:rPr/>
      </w:pPr>
      <w:r>
        <w:rPr>
          <w:rStyle w:val="Funotenzeichen"/>
        </w:rPr>
        <w:footnoteRef/>
      </w:r>
      <w:r>
        <w:rPr>
          <w:rtl w:val="true"/>
          <w:lang w:bidi="he-IL"/>
        </w:rPr>
        <w:tab/>
        <w:t>תַּלְאֻבות</w:t>
      </w:r>
      <w:r>
        <w:rPr/>
        <w:t xml:space="preserve"> </w:t>
      </w:r>
      <w:r>
        <w:rPr/>
        <w:t>übersetzt Elberfelder mit „Gluten“.</w:t>
      </w:r>
    </w:p>
  </w:footnote>
  <w:footnote w:id="3008">
    <w:p>
      <w:pPr>
        <w:pStyle w:val="Funote"/>
        <w:rPr/>
      </w:pPr>
      <w:r>
        <w:rPr>
          <w:rStyle w:val="Funotenzeichen"/>
        </w:rPr>
        <w:footnoteRef/>
      </w:r>
      <w:r>
        <w:rPr/>
        <w:tab/>
        <w:t>[Status: Ungeprüft]</w:t>
      </w:r>
    </w:p>
  </w:footnote>
  <w:footnote w:id="3009">
    <w:p>
      <w:pPr>
        <w:pStyle w:val="Funote"/>
        <w:rPr/>
      </w:pPr>
      <w:r>
        <w:rPr>
          <w:rStyle w:val="Funotenzeichen"/>
        </w:rPr>
        <w:footnoteRef/>
      </w:r>
      <w:r>
        <w:rPr/>
        <w:tab/>
        <w:t>Eigentlich Singular, jedoch im Sinne von pars pro toto.</w:t>
      </w:r>
    </w:p>
  </w:footnote>
  <w:footnote w:id="3010">
    <w:p>
      <w:pPr>
        <w:pStyle w:val="Funote"/>
        <w:rPr/>
      </w:pPr>
      <w:r>
        <w:rPr>
          <w:rStyle w:val="Funotenzeichen"/>
        </w:rPr>
        <w:footnoteRef/>
      </w:r>
      <w:r>
        <w:rPr/>
        <w:tab/>
        <w:t>[Status: Ungeprüft]</w:t>
      </w:r>
    </w:p>
  </w:footnote>
  <w:footnote w:id="3011">
    <w:p>
      <w:pPr>
        <w:pStyle w:val="Funote"/>
        <w:rPr/>
      </w:pPr>
      <w:r>
        <w:rPr>
          <w:rStyle w:val="Funotenzeichen"/>
        </w:rPr>
        <w:footnoteRef/>
      </w:r>
      <w:r>
        <w:rPr/>
        <w:tab/>
        <w:t>D.h. Widderhorn.</w:t>
      </w:r>
    </w:p>
  </w:footnote>
  <w:footnote w:id="3012">
    <w:p>
      <w:pPr>
        <w:pStyle w:val="Funote"/>
        <w:rPr/>
      </w:pPr>
      <w:r>
        <w:rPr>
          <w:rStyle w:val="Funotenzeichen"/>
        </w:rPr>
        <w:footnoteRef/>
      </w:r>
      <w:r>
        <w:rPr/>
        <w:tab/>
        <w:t>Das Verbum „schafat“, von dem das Substantiv gebildet ist, kann auch „herrschen“ bedeuten. Somit ist mit „Richter“ eine Herrscherrolle subsistiert.</w:t>
      </w:r>
    </w:p>
  </w:footnote>
  <w:footnote w:id="3013">
    <w:p>
      <w:pPr>
        <w:pStyle w:val="Funote"/>
        <w:rPr/>
      </w:pPr>
      <w:r>
        <w:rPr>
          <w:rStyle w:val="Funotenzeichen"/>
        </w:rPr>
        <w:footnoteRef/>
      </w:r>
      <w:r>
        <w:rPr/>
        <w:tab/>
        <w:t>Wörtlich: „…wegen ihres Verkaufens für Silber den Gerechten“.</w:t>
      </w:r>
    </w:p>
  </w:footnote>
  <w:footnote w:id="3014">
    <w:p>
      <w:pPr>
        <w:pStyle w:val="Funote"/>
        <w:rPr/>
      </w:pPr>
      <w:r>
        <w:rPr>
          <w:rStyle w:val="Funotenzeichen"/>
        </w:rPr>
        <w:footnoteRef/>
      </w:r>
      <w:r>
        <w:rPr/>
        <w:tab/>
        <w:t>Bei der Verbindung von „qum“ und „nabim“ handelt es sich um eine deuteronomistische Formulierung, vgl. Dtn 13,2; 18,15 und 18,18.</w:t>
      </w:r>
    </w:p>
  </w:footnote>
  <w:footnote w:id="3015">
    <w:p>
      <w:pPr>
        <w:pStyle w:val="Funote"/>
        <w:rPr/>
      </w:pPr>
      <w:r>
        <w:rPr>
          <w:rStyle w:val="Funotenzeichen"/>
        </w:rPr>
        <w:footnoteRef/>
      </w:r>
      <w:r>
        <w:rPr/>
        <w:tab/>
        <w:t>D.h. Gottgeweihte.</w:t>
      </w:r>
    </w:p>
  </w:footnote>
  <w:footnote w:id="3016">
    <w:p>
      <w:pPr>
        <w:pStyle w:val="Funote"/>
        <w:rPr/>
      </w:pPr>
      <w:r>
        <w:rPr>
          <w:rStyle w:val="Funotenzeichen"/>
        </w:rPr>
        <w:footnoteRef/>
      </w:r>
      <w:r>
        <w:rPr/>
        <w:tab/>
        <w:t>Oder: „Keinesfalls dürft ihr weissagen“.</w:t>
      </w:r>
    </w:p>
  </w:footnote>
  <w:footnote w:id="3017">
    <w:p>
      <w:pPr>
        <w:pStyle w:val="Funote"/>
        <w:rPr/>
      </w:pPr>
      <w:r>
        <w:rPr>
          <w:rStyle w:val="Funotenzeichen"/>
        </w:rPr>
        <w:footnoteRef/>
      </w:r>
      <w:r>
        <w:rPr/>
        <w:tab/>
        <w:t>Oder: „der schnell auf seinen Füßen [ist]“.</w:t>
      </w:r>
    </w:p>
  </w:footnote>
  <w:footnote w:id="3018">
    <w:p>
      <w:pPr>
        <w:pStyle w:val="Funote"/>
        <w:rPr/>
      </w:pPr>
      <w:r>
        <w:rPr>
          <w:rStyle w:val="Funotenzeichen"/>
        </w:rPr>
        <w:footnoteRef/>
      </w:r>
      <w:r>
        <w:rPr/>
        <w:tab/>
        <w:t>Es könnte hier ein Wagengespann gemeint sein.</w:t>
      </w:r>
    </w:p>
  </w:footnote>
  <w:footnote w:id="3019">
    <w:p>
      <w:pPr>
        <w:pStyle w:val="Funote"/>
        <w:rPr/>
      </w:pPr>
      <w:r>
        <w:rPr>
          <w:rStyle w:val="Funotenzeichen"/>
        </w:rPr>
        <w:footnoteRef/>
      </w:r>
      <w:r>
        <w:rPr/>
        <w:tab/>
        <w:t>[Status: Ungeprüft]</w:t>
      </w:r>
    </w:p>
  </w:footnote>
  <w:footnote w:id="3020">
    <w:p>
      <w:pPr>
        <w:pStyle w:val="Funote"/>
        <w:rPr/>
      </w:pPr>
      <w:r>
        <w:rPr>
          <w:rStyle w:val="Funotenzeichen"/>
        </w:rPr>
        <w:footnoteRef/>
      </w:r>
      <w:r>
        <w:rPr/>
        <w:tab/>
        <w:t>abgeleitet aus einer Figura Ethymologica, bestehend aus Inf. abs. + Verneinung + finites Verb, wörtlich etwa: zu fangen hat sie nicht gefangen.</w:t>
      </w:r>
    </w:p>
  </w:footnote>
  <w:footnote w:id="3021">
    <w:p>
      <w:pPr>
        <w:pStyle w:val="Funote"/>
        <w:rPr/>
      </w:pPr>
      <w:r>
        <w:rPr>
          <w:rStyle w:val="Funotenzeichen"/>
        </w:rPr>
        <w:footnoteRef/>
      </w:r>
      <w:r>
        <w:rPr/>
        <w:tab/>
        <w:t>Partizip, wörtlich: „dessen ich ein Anhebender bin“.</w:t>
      </w:r>
    </w:p>
  </w:footnote>
  <w:footnote w:id="3022">
    <w:p>
      <w:pPr>
        <w:pStyle w:val="Funote"/>
        <w:rPr/>
      </w:pPr>
      <w:r>
        <w:rPr>
          <w:rStyle w:val="Funotenzeichen"/>
        </w:rPr>
        <w:footnoteRef/>
      </w:r>
      <w:r>
        <w:rPr/>
        <w:tab/>
        <w:t>Partizip, wörtlich: „es gibt nicht einen sie Aufrichtenden“.</w:t>
      </w:r>
    </w:p>
  </w:footnote>
  <w:footnote w:id="3023">
    <w:p>
      <w:pPr>
        <w:pStyle w:val="Funote"/>
        <w:rPr/>
      </w:pPr>
      <w:r>
        <w:rPr>
          <w:rStyle w:val="Funotenzeichen"/>
        </w:rPr>
        <w:footnoteRef/>
      </w:r>
      <w:r>
        <w:rPr/>
        <w:tab/>
        <w:t>Partizip, wörtlich: „die Ausziehende von Tausend“.</w:t>
      </w:r>
    </w:p>
  </w:footnote>
  <w:footnote w:id="3024">
    <w:p>
      <w:pPr>
        <w:pStyle w:val="Funote"/>
        <w:rPr/>
      </w:pPr>
      <w:r>
        <w:rPr>
          <w:rStyle w:val="Funotenzeichen"/>
        </w:rPr>
        <w:footnoteRef/>
      </w:r>
      <w:r>
        <w:rPr/>
        <w:tab/>
        <w:t>Partizip, wörtlich: „die Ausziehende von Hundert“.</w:t>
      </w:r>
    </w:p>
  </w:footnote>
  <w:footnote w:id="3025">
    <w:p>
      <w:pPr>
        <w:pStyle w:val="Funote"/>
        <w:rPr/>
      </w:pPr>
      <w:r>
        <w:rPr>
          <w:rStyle w:val="Funotenzeichen"/>
        </w:rPr>
        <w:footnoteRef/>
      </w:r>
      <w:r>
        <w:rPr/>
        <w:tab/>
        <w:t>„</w:t>
      </w:r>
      <w:r>
        <w:rPr/>
        <w:t>Haus Gottes“. So wird das Wortspiel in diesem Vers möglich.</w:t>
      </w:r>
    </w:p>
  </w:footnote>
  <w:footnote w:id="3026">
    <w:p>
      <w:pPr>
        <w:pStyle w:val="Funote"/>
        <w:rPr/>
      </w:pPr>
      <w:r>
        <w:rPr>
          <w:rStyle w:val="Funotenzeichen"/>
        </w:rPr>
        <w:footnoteRef/>
      </w:r>
      <w:r>
        <w:rPr/>
        <w:tab/>
        <w:t>Als wörtl. wäre hier „Stein-Kreis“ oder „umzingelt von Steinen“ möglich.</w:t>
      </w:r>
    </w:p>
  </w:footnote>
  <w:footnote w:id="3027">
    <w:p>
      <w:pPr>
        <w:pStyle w:val="Funote"/>
        <w:rPr/>
      </w:pPr>
      <w:r>
        <w:rPr>
          <w:rStyle w:val="Funotenzeichen"/>
        </w:rPr>
        <w:footnoteRef/>
      </w:r>
      <w:r>
        <w:rPr/>
        <w:tab/>
        <w:t>Wörtl. Brunnen der Sieben (Schwüre), vgl. Gen 21,22-34.</w:t>
      </w:r>
    </w:p>
  </w:footnote>
  <w:footnote w:id="3028">
    <w:p>
      <w:pPr>
        <w:pStyle w:val="Funote"/>
        <w:rPr/>
      </w:pPr>
      <w:r>
        <w:rPr>
          <w:rStyle w:val="Funotenzeichen"/>
        </w:rPr>
        <w:footnoteRef/>
      </w:r>
      <w:r>
        <w:rPr/>
        <w:tab/>
        <w:t>„</w:t>
      </w:r>
      <w:r>
        <w:rPr/>
        <w:t xml:space="preserve">ist er“ ist eine Umschreibung für </w:t>
      </w:r>
      <w:r>
        <w:rPr>
          <w:rtl w:val="true"/>
          <w:lang w:bidi="he-IL"/>
        </w:rPr>
        <w:t>לוׄ</w:t>
      </w:r>
      <w:r>
        <w:rPr/>
        <w:t>, wörtlich „zu ihm“, „ihm zueigen“.</w:t>
      </w:r>
    </w:p>
  </w:footnote>
  <w:footnote w:id="3029">
    <w:p>
      <w:pPr>
        <w:pStyle w:val="Funote"/>
        <w:rPr/>
      </w:pPr>
      <w:r>
        <w:rPr>
          <w:rStyle w:val="Funotenzeichen"/>
        </w:rPr>
        <w:footnoteRef/>
      </w:r>
      <w:r>
        <w:rPr/>
        <w:tab/>
        <w:t>[Status: Ungeprüft]</w:t>
      </w:r>
    </w:p>
  </w:footnote>
  <w:footnote w:id="3030">
    <w:p>
      <w:pPr>
        <w:pStyle w:val="Funote"/>
        <w:rPr/>
      </w:pPr>
      <w:r>
        <w:rPr>
          <w:rStyle w:val="Funotenzeichen"/>
        </w:rPr>
        <w:footnoteRef/>
      </w:r>
      <w:r>
        <w:rPr/>
        <w:tab/>
        <w:t>Gemeint ist das Gras neben der Heuernte</w:t>
      </w:r>
    </w:p>
  </w:footnote>
  <w:footnote w:id="3031">
    <w:p>
      <w:pPr>
        <w:pStyle w:val="Funote"/>
        <w:rPr/>
      </w:pPr>
      <w:r>
        <w:rPr>
          <w:rStyle w:val="Funotenzeichen"/>
        </w:rPr>
        <w:footnoteRef/>
      </w:r>
      <w:r>
        <w:rPr/>
        <w:tab/>
        <w:t>Das Verb meint, im forensischen Sinn zu streiten</w:t>
      </w:r>
    </w:p>
  </w:footnote>
  <w:footnote w:id="3032">
    <w:p>
      <w:pPr>
        <w:pStyle w:val="Funote"/>
        <w:rPr/>
      </w:pPr>
      <w:r>
        <w:rPr>
          <w:rStyle w:val="Funotenzeichen"/>
        </w:rPr>
        <w:footnoteRef/>
      </w:r>
      <w:r>
        <w:rPr/>
        <w:tab/>
        <w:t>Oder: der Herr JHWH rief einen Feuerregen</w:t>
      </w:r>
    </w:p>
  </w:footnote>
  <w:footnote w:id="3033">
    <w:p>
      <w:pPr>
        <w:pStyle w:val="Funote"/>
        <w:rPr/>
      </w:pPr>
      <w:r>
        <w:rPr>
          <w:rStyle w:val="Funotenzeichen"/>
        </w:rPr>
        <w:footnoteRef/>
      </w:r>
      <w:r>
        <w:rPr/>
        <w:tab/>
        <w:t>im Sinne eines Senkbleis</w:t>
      </w:r>
    </w:p>
  </w:footnote>
  <w:footnote w:id="3034">
    <w:p>
      <w:pPr>
        <w:pStyle w:val="Funote"/>
        <w:rPr/>
      </w:pPr>
      <w:r>
        <w:rPr>
          <w:rStyle w:val="Funotenzeichen"/>
        </w:rPr>
        <w:footnoteRef/>
      </w:r>
      <w:r>
        <w:rPr/>
        <w:tab/>
        <w:t>Bamot kann einfach (Berg-)Höhen meinen, aber auch Höhenheiligtümer, die dem reinen JHWH-Kult nicht entsprachen.</w:t>
      </w:r>
    </w:p>
  </w:footnote>
  <w:footnote w:id="3035">
    <w:p>
      <w:pPr>
        <w:pStyle w:val="Funote"/>
        <w:rPr/>
      </w:pPr>
      <w:r>
        <w:rPr>
          <w:rStyle w:val="Funotenzeichen"/>
        </w:rPr>
        <w:footnoteRef/>
      </w:r>
      <w:r>
        <w:rPr/>
        <w:tab/>
        <w:t>d.h. Feigen anritzen, damit sie süßer werden. Eine damals sehr schlecht bezahlte Arbeit.</w:t>
      </w:r>
    </w:p>
  </w:footnote>
  <w:footnote w:id="3036">
    <w:p>
      <w:pPr>
        <w:pStyle w:val="Funote"/>
        <w:rPr/>
      </w:pPr>
      <w:r>
        <w:rPr>
          <w:rStyle w:val="Funotenzeichen"/>
        </w:rPr>
        <w:footnoteRef/>
      </w:r>
      <w:r>
        <w:rPr/>
        <w:tab/>
        <w:t>Wörtlich: „von hinter“.</w:t>
      </w:r>
    </w:p>
  </w:footnote>
  <w:footnote w:id="3037">
    <w:p>
      <w:pPr>
        <w:pStyle w:val="Funote"/>
        <w:rPr/>
      </w:pPr>
      <w:r>
        <w:rPr>
          <w:rStyle w:val="Funotenzeichen"/>
        </w:rPr>
        <w:footnoteRef/>
      </w:r>
      <w:r>
        <w:rPr/>
        <w:tab/>
        <w:t>Partizip, also wörtlich: „Du [bist] ein Sprechender“.</w:t>
      </w:r>
    </w:p>
  </w:footnote>
  <w:footnote w:id="3038">
    <w:p>
      <w:pPr>
        <w:pStyle w:val="Funote"/>
        <w:rPr/>
      </w:pPr>
      <w:r>
        <w:rPr>
          <w:rStyle w:val="Funotenzeichen"/>
        </w:rPr>
        <w:footnoteRef/>
      </w:r>
      <w:r>
        <w:rPr/>
        <w:tab/>
        <w:t>Das Verbum meint eigentlich nicht „weissagen“, sondern „herabtropfen lassen“, im Sinne von: die Rede über die Lippen tropfen/strömen lassen.</w:t>
      </w:r>
    </w:p>
  </w:footnote>
  <w:footnote w:id="3039">
    <w:p>
      <w:pPr>
        <w:pStyle w:val="Funote"/>
        <w:rPr/>
      </w:pPr>
      <w:r>
        <w:rPr>
          <w:rStyle w:val="Funotenzeichen"/>
        </w:rPr>
        <w:footnoteRef/>
      </w:r>
      <w:r>
        <w:rPr/>
        <w:tab/>
        <w:t>[Status: Ungeprüft]</w:t>
      </w:r>
    </w:p>
  </w:footnote>
  <w:footnote w:id="3040">
    <w:p>
      <w:pPr>
        <w:pStyle w:val="Funote"/>
        <w:rPr/>
      </w:pPr>
      <w:r>
        <w:rPr>
          <w:rStyle w:val="Funotenzeichen"/>
        </w:rPr>
        <w:footnoteRef/>
      </w:r>
      <w:r>
        <w:rPr/>
        <w:tab/>
        <w:t>Vers 3b ist schwer textnah zu übersetzen. Wörtlich steht dort: „Viele Leichen - an allen Orten - sie werfen schweigend.“</w:t>
      </w:r>
    </w:p>
  </w:footnote>
  <w:footnote w:id="3041">
    <w:p>
      <w:pPr>
        <w:pStyle w:val="Funote"/>
        <w:rPr/>
      </w:pPr>
      <w:r>
        <w:rPr>
          <w:rStyle w:val="Funotenzeichen"/>
        </w:rPr>
        <w:footnoteRef/>
      </w:r>
      <w:r>
        <w:rPr/>
        <w:tab/>
        <w:t>Es kann auch heißen: „…den Unterdrückten im Land ein Ende macht.“</w:t>
      </w:r>
    </w:p>
  </w:footnote>
  <w:footnote w:id="3042">
    <w:p>
      <w:pPr>
        <w:pStyle w:val="Funote"/>
        <w:rPr/>
      </w:pPr>
      <w:r>
        <w:rPr>
          <w:rStyle w:val="Funotenzeichen"/>
        </w:rPr>
        <w:footnoteRef/>
      </w:r>
      <w:r>
        <w:rPr/>
        <w:tab/>
        <w:t>So von einer vorexilischen Entstehung ausgegangen wird, meint Sabbat in diesem Zusammenhang nicht den wöchentlichen Ruhetag, sondern ist eine andere Bezeichnung für Vollmond.</w:t>
      </w:r>
    </w:p>
  </w:footnote>
  <w:footnote w:id="3043">
    <w:p>
      <w:pPr>
        <w:pStyle w:val="Funote"/>
        <w:rPr/>
      </w:pPr>
      <w:r>
        <w:rPr>
          <w:rStyle w:val="Funotenzeichen"/>
        </w:rPr>
        <w:footnoteRef/>
      </w:r>
      <w:r>
        <w:rPr/>
        <w:tab/>
        <w:t>D.h.: Getreidemaß.</w:t>
      </w:r>
    </w:p>
  </w:footnote>
  <w:footnote w:id="3044">
    <w:p>
      <w:pPr>
        <w:pStyle w:val="Funote"/>
        <w:rPr/>
      </w:pPr>
      <w:r>
        <w:rPr>
          <w:rStyle w:val="Funotenzeichen"/>
        </w:rPr>
        <w:footnoteRef/>
      </w:r>
      <w:r>
        <w:rPr/>
        <w:tab/>
        <w:t>wörtlich: „der Waage Trug“.</w:t>
      </w:r>
    </w:p>
  </w:footnote>
  <w:footnote w:id="3045">
    <w:p>
      <w:pPr>
        <w:pStyle w:val="Funote"/>
        <w:rPr/>
      </w:pPr>
      <w:r>
        <w:rPr>
          <w:rStyle w:val="Funotenzeichen"/>
        </w:rPr>
        <w:footnoteRef/>
      </w:r>
      <w:r>
        <w:rPr/>
        <w:tab/>
        <w:t>[Status: Ungeprüft]</w:t>
      </w:r>
    </w:p>
  </w:footnote>
  <w:footnote w:id="3046">
    <w:p>
      <w:pPr>
        <w:pStyle w:val="Funote"/>
        <w:rPr/>
      </w:pPr>
      <w:r>
        <w:rPr>
          <w:rStyle w:val="Funotenzeichen"/>
        </w:rPr>
        <w:footnoteRef/>
      </w:r>
      <w:r>
        <w:rPr/>
        <w:tab/>
        <w:t xml:space="preserve">hebr. für Unterwelt/Totenreich. siehe: </w:t>
      </w:r>
      <w:hyperlink r:id="rId236">
        <w:r>
          <w:rPr>
            <w:rStyle w:val="Internetverknpfung"/>
          </w:rPr>
          <w:t>Scheol</w:t>
        </w:r>
      </w:hyperlink>
    </w:p>
  </w:footnote>
  <w:footnote w:id="3047">
    <w:p>
      <w:pPr>
        <w:pStyle w:val="Funote"/>
        <w:rPr/>
      </w:pPr>
      <w:r>
        <w:rPr>
          <w:rStyle w:val="Funotenzeichen"/>
        </w:rPr>
        <w:footnoteRef/>
      </w:r>
      <w:r>
        <w:rPr/>
        <w:tab/>
        <w:t>Obergemach/Söller ist eine andere Lesart</w:t>
      </w:r>
    </w:p>
  </w:footnote>
  <w:footnote w:id="3048">
    <w:p>
      <w:pPr>
        <w:pStyle w:val="Funote"/>
        <w:rPr/>
      </w:pPr>
      <w:r>
        <w:rPr>
          <w:rStyle w:val="Funotenzeichen"/>
        </w:rPr>
        <w:footnoteRef/>
      </w:r>
      <w:r>
        <w:rPr/>
        <w:tab/>
        <w:t>wörtl. der Treter der Weintrauben an den Sähenden des Samens</w:t>
      </w:r>
    </w:p>
  </w:footnote>
  <w:footnote w:id="3049">
    <w:p>
      <w:pPr>
        <w:pStyle w:val="Funote"/>
        <w:rPr/>
      </w:pPr>
      <w:r>
        <w:rPr>
          <w:rStyle w:val="Funotenzeichen"/>
        </w:rPr>
        <w:footnoteRef/>
      </w:r>
      <w:r>
        <w:rPr/>
        <w:tab/>
        <w:t>hier ist eindeutig der Wein der Weinberge gemeint</w:t>
      </w:r>
    </w:p>
  </w:footnote>
  <w:footnote w:id="3050">
    <w:p>
      <w:pPr>
        <w:pStyle w:val="Funote"/>
        <w:rPr/>
      </w:pPr>
      <w:r>
        <w:rPr>
          <w:rStyle w:val="Funotenzeichen"/>
        </w:rPr>
        <w:footnoteRef/>
      </w:r>
      <w:r>
        <w:rPr/>
        <w:tab/>
        <w:t>[Status: Zuverlässig]</w:t>
      </w:r>
    </w:p>
  </w:footnote>
  <w:footnote w:id="3051">
    <w:p>
      <w:pPr>
        <w:pStyle w:val="Funote"/>
        <w:rPr/>
      </w:pPr>
      <w:r>
        <w:rPr>
          <w:rStyle w:val="Funotenzeichen"/>
        </w:rPr>
        <w:footnoteRef/>
      </w:r>
      <w:r>
        <w:rPr>
          <w:i/>
        </w:rPr>
        <w:tab/>
        <w:t>Jona</w:t>
      </w:r>
      <w:r>
        <w:rPr/>
        <w:t xml:space="preserve"> wird sonst nur in </w:t>
      </w:r>
      <w:hyperlink r:id="rId237">
        <w:r>
          <w:rPr>
            <w:rStyle w:val="Internetverknpfung"/>
          </w:rPr>
          <w:t>2. Könige 14,25</w:t>
        </w:r>
      </w:hyperlink>
      <w:r>
        <w:rPr/>
        <w:t xml:space="preserve"> erwähnt und dort als Prophet bezeichnet. Er lebte im 8. Jahrhundert v. Chr. (Price 1978, 50). Die Sprache des Jonabuchs deutet darauf hin, dass es wesentlich später (6.–4. Jh. v. Chr.) geschrieben wurde (Golka </w:t>
      </w:r>
      <w:r>
        <w:rPr>
          <w:position w:val="7"/>
          <w:sz w:val="16"/>
        </w:rPr>
        <w:t>2</w:t>
      </w:r>
      <w:r>
        <w:rPr/>
        <w:t xml:space="preserve">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w:t>
      </w:r>
      <w:r>
        <w:rPr>
          <w:position w:val="7"/>
          <w:sz w:val="16"/>
        </w:rPr>
        <w:t>2</w:t>
      </w:r>
      <w:r>
        <w:rPr/>
        <w:t>2007, 48)</w:t>
        <w:br/>
      </w:r>
      <w:r>
        <w:rPr>
          <w:i/>
        </w:rPr>
        <w:t>Und das Wort Gottes kam</w:t>
      </w:r>
      <w:r>
        <w:rPr/>
        <w:t xml:space="preserve"> kann daher im Sinne von „Es war einmal …“ verstanden werden (Golka </w:t>
      </w:r>
      <w:r>
        <w:rPr>
          <w:position w:val="7"/>
          <w:sz w:val="16"/>
        </w:rPr>
        <w:t>2</w:t>
      </w:r>
      <w:r>
        <w:rPr/>
        <w:t>2007, 48). Eine noch bessere deutsche Übertragung wäre vielleicht: „Eines Tages...“ oder „Einmal...“ (Price 1978, 48). So erklärt sich der Anfang mit „und“.</w:t>
      </w:r>
    </w:p>
  </w:footnote>
  <w:footnote w:id="3052">
    <w:p>
      <w:pPr>
        <w:pStyle w:val="Funote"/>
        <w:rPr/>
      </w:pPr>
      <w:r>
        <w:rPr>
          <w:rStyle w:val="Funotenzeichen"/>
        </w:rPr>
        <w:footnoteRef/>
      </w:r>
      <w:r>
        <w:rPr>
          <w:i/>
        </w:rPr>
        <w:tab/>
        <w:t>rufe [die Anklage] gegen sie</w:t>
      </w:r>
      <w:r>
        <w:rPr/>
        <w:t xml:space="preserve"> Die Formulierung „rufen gegen“ (</w:t>
      </w:r>
      <w:r>
        <w:rPr>
          <w:rtl w:val="true"/>
          <w:lang w:bidi="he-IL"/>
        </w:rPr>
        <w:t>קרא על</w:t>
      </w:r>
      <w:r>
        <w:rPr/>
        <w:t>) wird an anderen Stellen der hebräischen Bibel zur Bezeichnung von Anklagen (</w:t>
      </w:r>
      <w:hyperlink r:id="rId238">
        <w:r>
          <w:rPr>
            <w:rStyle w:val="Internetverknpfung"/>
          </w:rPr>
          <w:t>Dtn 15,9</w:t>
        </w:r>
      </w:hyperlink>
      <w:r>
        <w:rPr/>
        <w:t xml:space="preserve">, </w:t>
      </w:r>
      <w:hyperlink r:id="rId239">
        <w:r>
          <w:rPr>
            <w:rStyle w:val="Internetverknpfung"/>
          </w:rPr>
          <w:t>Dtn 24,15</w:t>
        </w:r>
      </w:hyperlink>
      <w:r>
        <w:rPr/>
        <w:t xml:space="preserve">, </w:t>
      </w:r>
      <w:hyperlink r:id="rId240">
        <w:r>
          <w:rPr>
            <w:rStyle w:val="Internetverknpfung"/>
          </w:rPr>
          <w:t>1 Kön 13,2</w:t>
        </w:r>
      </w:hyperlink>
      <w:r>
        <w:rPr/>
        <w:t>) und Angriffsrufen (</w:t>
      </w:r>
      <w:r>
        <w:fldChar w:fldCharType="begin"/>
      </w:r>
      <w:r>
        <w:rPr>
          <w:rStyle w:val="Internetverknpfung"/>
        </w:rPr>
        <w:instrText> HYPERLINK "../../../../../../../../../wiki/Klagelieder_1" \l "S15"</w:instrText>
      </w:r>
      <w:r>
        <w:rPr>
          <w:rStyle w:val="Internetverknpfung"/>
        </w:rPr>
        <w:fldChar w:fldCharType="separate"/>
      </w:r>
      <w:r>
        <w:rPr>
          <w:rStyle w:val="Internetverknpfung"/>
        </w:rPr>
        <w:t>Klgl 1:15</w:t>
      </w:r>
      <w:r>
        <w:rPr>
          <w:rStyle w:val="Internetverknpfung"/>
        </w:rPr>
        <w:fldChar w:fldCharType="end"/>
      </w:r>
      <w:r>
        <w:rPr/>
        <w:t xml:space="preserve">, </w:t>
      </w:r>
      <w:hyperlink r:id="rId241">
        <w:r>
          <w:rPr>
            <w:rStyle w:val="Internetverknpfung"/>
          </w:rPr>
          <w:t>Ez 38,21</w:t>
        </w:r>
      </w:hyperlink>
      <w:r>
        <w:rPr/>
        <w:t>) verwendet.</w:t>
      </w:r>
    </w:p>
  </w:footnote>
  <w:footnote w:id="3053">
    <w:p>
      <w:pPr>
        <w:pStyle w:val="Funote"/>
        <w:rPr/>
      </w:pPr>
      <w:r>
        <w:rPr>
          <w:rStyle w:val="Funotenzeichen"/>
        </w:rPr>
        <w:footnoteRef/>
      </w:r>
      <w:r>
        <w:rPr>
          <w:i/>
        </w:rPr>
        <w:tab/>
        <w:t>ihre</w:t>
      </w:r>
      <w:r>
        <w:rPr/>
        <w:t xml:space="preserve"> bezieht sich im Hebräischen nicht auf die Stadt, sondern auf ein nicht genanntes Objekt in der dritten Person Plural, wahrscheinlich ihre Bewohner (Hebr. </w:t>
      </w:r>
      <w:r>
        <w:rPr>
          <w:rtl w:val="true"/>
          <w:lang w:bidi="he-IL"/>
        </w:rPr>
        <w:t>יֹשְׁבִים</w:t>
      </w:r>
      <w:r>
        <w:rPr/>
        <w:t xml:space="preserve">; </w:t>
      </w:r>
      <w:hyperlink r:id="rId242">
        <w:r>
          <w:rPr>
            <w:rStyle w:val="Internetverknpfung"/>
          </w:rPr>
          <w:t>Constructio ad sensum</w:t>
        </w:r>
      </w:hyperlink>
      <w:r>
        <w:rPr/>
        <w:t>). Am Sinn ändert das jedoch nichts.</w:t>
      </w:r>
    </w:p>
  </w:footnote>
  <w:footnote w:id="3054">
    <w:p>
      <w:pPr>
        <w:pStyle w:val="Funote"/>
        <w:rPr/>
      </w:pPr>
      <w:r>
        <w:rPr>
          <w:rStyle w:val="Funotenzeichen"/>
        </w:rPr>
        <w:footnoteRef/>
      </w:r>
      <w:r>
        <w:rPr>
          <w:i/>
        </w:rPr>
        <w:tab/>
        <w:t>Tarschisch</w:t>
      </w:r>
      <w:r>
        <w:rPr/>
        <w:t xml:space="preserve"> war vermutlich ein Ort an der spanischen Küste, also in entgegengesetzter Richtung und am anderen Ende des Mittelmeers (vgl. Price 1978, 52).</w:t>
      </w:r>
    </w:p>
  </w:footnote>
  <w:footnote w:id="3055">
    <w:p>
      <w:pPr>
        <w:pStyle w:val="Funote"/>
        <w:rPr/>
      </w:pPr>
      <w:r>
        <w:rPr>
          <w:rStyle w:val="Funotenzeichen"/>
        </w:rPr>
        <w:footnoteRef/>
      </w:r>
      <w:r>
        <w:rPr>
          <w:i/>
        </w:rPr>
        <w:tab/>
        <w:t>traf auf</w:t>
      </w:r>
      <w:r>
        <w:rPr/>
        <w:t xml:space="preserve"> Oder „fand“. Gemeint ist jedoch nicht das Ergebnis einer Suche, sondern ein Finden im Sinne des zufälligen Antreffens (Price 1978, 52). </w:t>
      </w:r>
    </w:p>
  </w:footnote>
  <w:footnote w:id="3056">
    <w:p>
      <w:pPr>
        <w:pStyle w:val="Funote"/>
        <w:rPr/>
      </w:pPr>
      <w:r>
        <w:rPr>
          <w:rStyle w:val="Funotenzeichen"/>
        </w:rPr>
        <w:footnoteRef/>
      </w:r>
      <w:r>
        <w:rPr>
          <w:i/>
        </w:rPr>
        <w:tab/>
        <w:t>das im Begriff war ... zu fahren</w:t>
      </w:r>
      <w:r>
        <w:rPr/>
        <w:t xml:space="preserve"> ist die freie Wiedergabe eines Partizips, das etwa so zu verstehen ist. </w:t>
      </w:r>
    </w:p>
  </w:footnote>
  <w:footnote w:id="3057">
    <w:p>
      <w:pPr>
        <w:pStyle w:val="Funote"/>
        <w:rPr/>
      </w:pPr>
      <w:r>
        <w:rPr>
          <w:rStyle w:val="Funotenzeichen"/>
        </w:rPr>
        <w:footnoteRef/>
      </w:r>
      <w:r>
        <w:rPr>
          <w:i/>
        </w:rPr>
        <w:tab/>
        <w:t>mit ihnen</w:t>
      </w:r>
      <w:r>
        <w:rPr/>
        <w:t xml:space="preserve"> D.h. mit der Besatzung. Aus dieser Wendung lässt sich vielleicht schließen, dass Jona Teil der Besatzung wurde (Price 1978, 52). </w:t>
      </w:r>
    </w:p>
  </w:footnote>
  <w:footnote w:id="3058">
    <w:p>
      <w:pPr>
        <w:pStyle w:val="Funote"/>
        <w:rPr/>
      </w:pPr>
      <w:r>
        <w:rPr>
          <w:rStyle w:val="Funotenzeichen"/>
        </w:rPr>
        <w:footnoteRef/>
      </w:r>
      <w:r>
        <w:rPr/>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3059">
    <w:p>
      <w:pPr>
        <w:pStyle w:val="Funote"/>
        <w:rPr/>
      </w:pPr>
      <w:r>
        <w:rPr>
          <w:rStyle w:val="Funotenzeichen"/>
        </w:rPr>
        <w:footnoteRef/>
      </w:r>
      <w:r>
        <w:rPr>
          <w:i/>
        </w:rPr>
        <w:tab/>
        <w:t>ließ ... los</w:t>
      </w:r>
      <w:r>
        <w:rPr/>
        <w:t xml:space="preserve"> W. etwa „schleuderte“. </w:t>
      </w:r>
    </w:p>
  </w:footnote>
  <w:footnote w:id="3060">
    <w:p>
      <w:pPr>
        <w:pStyle w:val="Funote"/>
        <w:rPr/>
      </w:pPr>
      <w:r>
        <w:rPr>
          <w:rStyle w:val="Funotenzeichen"/>
        </w:rPr>
        <w:footnoteRef/>
      </w:r>
      <w:r>
        <w:rPr/>
        <w:tab/>
        <w:t>Im Hebräischen ist hier ein Anklang oder Wortspiel, der sich auf Deutsch am ehesten mit einem Reim wiedergeben ließe, z.B.: „so kam das Boot in große Not“</w:t>
      </w:r>
    </w:p>
  </w:footnote>
  <w:footnote w:id="3061">
    <w:p>
      <w:pPr>
        <w:pStyle w:val="Funote"/>
        <w:rPr/>
      </w:pPr>
      <w:r>
        <w:rPr>
          <w:rStyle w:val="Funotenzeichen"/>
        </w:rPr>
        <w:footnoteRef/>
      </w:r>
      <w:r>
        <w:rPr>
          <w:i/>
        </w:rPr>
        <w:tab/>
        <w:t>Gegenstände (Ladung, Ausrüstung)</w:t>
      </w:r>
      <w:r>
        <w:rPr/>
        <w:t xml:space="preserve"> Viele Übersetzungen entscheiden sich für „Ladung“, aber das zugrunde liegende hebräische Wort bezeichnet recht allgemein </w:t>
      </w:r>
      <w:r>
        <w:rPr>
          <w:i/>
        </w:rPr>
        <w:t>Gegenstände</w:t>
      </w:r>
      <w:r>
        <w:rPr/>
        <w:t xml:space="preserve">, bei denen es sich hier sowohl (aber nicht nur) um die Ladung als auch um die Ausrüstung handeln könnte (vgl. Price 1978, 56. </w:t>
      </w:r>
    </w:p>
  </w:footnote>
  <w:footnote w:id="3062">
    <w:p>
      <w:pPr>
        <w:pStyle w:val="Funote"/>
        <w:rPr/>
      </w:pPr>
      <w:r>
        <w:rPr>
          <w:rStyle w:val="Funotenzeichen"/>
        </w:rPr>
        <w:footnoteRef/>
      </w:r>
      <w:r>
        <w:rPr/>
        <w:tab/>
        <w:t>um [das Schiff] {von ihnen} leichter zu machen W. „um [sich/das Schiff] von ihnen (d.h. ihrer) zu erleichtern“. Einige Übersetzungen: „um die Gefahr zu verringern“ (z.B. GNB).</w:t>
      </w:r>
    </w:p>
  </w:footnote>
  <w:footnote w:id="3063">
    <w:p>
      <w:pPr>
        <w:pStyle w:val="Funote"/>
        <w:rPr/>
      </w:pPr>
      <w:r>
        <w:rPr>
          <w:rStyle w:val="Funotenzeichen"/>
        </w:rPr>
        <w:footnoteRef/>
      </w:r>
      <w:r>
        <w:rPr/>
        <w:tab/>
        <w:t>in den Rumpf (unter Deck) Das Wort bezeichnet quasi die hinterste Ecke oder den untersten Raum (so EÜ, ELB) des Schiffs, wo Jona seine Ruhe hatte. Wie groß das Schiff war, ist schwer abzuschätzen. GNB: „nach unten“.</w:t>
      </w:r>
    </w:p>
  </w:footnote>
  <w:footnote w:id="3064">
    <w:p>
      <w:pPr>
        <w:pStyle w:val="Funote"/>
        <w:rPr/>
      </w:pPr>
      <w:r>
        <w:rPr>
          <w:rStyle w:val="Funotenzeichen"/>
        </w:rPr>
        <w:footnoteRef/>
      </w:r>
      <w:r>
        <w:rPr>
          <w:i/>
        </w:rPr>
        <w:tab/>
        <w:t>der Oberste der Seeleute</w:t>
      </w:r>
      <w:r>
        <w:rPr/>
        <w:t xml:space="preserve"> D.h. wohl der Kapitän. </w:t>
      </w:r>
    </w:p>
  </w:footnote>
  <w:footnote w:id="3065">
    <w:p>
      <w:pPr>
        <w:pStyle w:val="Funote"/>
        <w:rPr/>
      </w:pPr>
      <w:r>
        <w:rPr>
          <w:rStyle w:val="Funotenzeichen"/>
        </w:rPr>
        <w:footnoteRef/>
      </w:r>
      <w:r>
        <w:rPr>
          <w:i/>
        </w:rPr>
        <w:tab/>
        <w:t>kam ... in seine Nähe</w:t>
      </w:r>
      <w:r>
        <w:rPr/>
        <w:t xml:space="preserve"> Das Verb heißt eigentlich „näherkommen“ oder „zu jmdm. kommen“. Hier ist es offenbar so zu verstehen, dass der Mann zufällig auf Jona stieß (Price 1978, 58). </w:t>
      </w:r>
    </w:p>
  </w:footnote>
  <w:footnote w:id="3066">
    <w:p>
      <w:pPr>
        <w:pStyle w:val="Funote"/>
        <w:rPr/>
      </w:pPr>
      <w:r>
        <w:rPr>
          <w:rStyle w:val="Funotenzeichen"/>
        </w:rPr>
        <w:footnoteRef/>
      </w:r>
      <w:r>
        <w:rPr>
          <w:i/>
        </w:rPr>
        <w:tab/>
        <w:t>Warum schläfst du?</w:t>
      </w:r>
      <w:r>
        <w:rPr/>
        <w:t xml:space="preserve"> Wörtlich: </w:t>
      </w:r>
      <w:r>
        <w:rPr>
          <w:i/>
        </w:rPr>
        <w:t>Was [ist mit] dir, (fest) Schlafender?</w:t>
      </w:r>
      <w:r>
        <w:rPr/>
        <w:t xml:space="preserve"> Die Frage hat einen zurechtweisenden Tonfall (Preice 1978, 58). </w:t>
      </w:r>
    </w:p>
  </w:footnote>
  <w:footnote w:id="3067">
    <w:p>
      <w:pPr>
        <w:pStyle w:val="Funote"/>
        <w:rPr/>
      </w:pPr>
      <w:r>
        <w:rPr>
          <w:rStyle w:val="Funotenzeichen"/>
        </w:rPr>
        <w:footnoteRef/>
      </w:r>
      <w:r>
        <w:rPr>
          <w:i/>
        </w:rPr>
        <w:tab/>
        <w:t>zueinander</w:t>
      </w:r>
      <w:r>
        <w:rPr/>
        <w:t xml:space="preserve"> W. „einer/ein jeder zu seinem Nachbarn/Nächsten“.</w:t>
      </w:r>
    </w:p>
  </w:footnote>
  <w:footnote w:id="3068">
    <w:p>
      <w:pPr>
        <w:pStyle w:val="Funote"/>
        <w:rPr/>
      </w:pPr>
      <w:r>
        <w:rPr>
          <w:rStyle w:val="Funotenzeichen"/>
        </w:rPr>
        <w:footnoteRef/>
      </w:r>
      <w:r>
        <w:rPr>
          <w:i/>
        </w:rPr>
        <w:tab/>
        <w:t>wie es kommt, dass</w:t>
      </w:r>
      <w:r>
        <w:rPr/>
        <w:t xml:space="preserve"> (V. 7 und 8) bzw. </w:t>
      </w:r>
      <w:r>
        <w:rPr>
          <w:i/>
        </w:rPr>
        <w:t>wer daran schuld ist, dass</w:t>
      </w:r>
      <w:r>
        <w:rPr/>
        <w:t xml:space="preserve"> (Alternative in V. 7) gibt eine Anhäufung von Partikeln wieder, die sich nicht wörtlich übersetzen lässt. Sie fragt im Grunde nach der Verantwortlichkeit (vgl. GK §150k). </w:t>
      </w:r>
    </w:p>
  </w:footnote>
  <w:footnote w:id="3069">
    <w:p>
      <w:pPr>
        <w:pStyle w:val="Funote"/>
        <w:rPr/>
      </w:pPr>
      <w:r>
        <w:rPr>
          <w:rStyle w:val="Funotenzeichen"/>
        </w:rPr>
        <w:footnoteRef/>
      </w:r>
      <w:r>
        <w:rPr>
          <w:i/>
        </w:rPr>
        <w:tab/>
        <w:t>Was [ist] dein Beruf</w:t>
      </w:r>
      <w:r>
        <w:rPr/>
        <w:t xml:space="preserve"> oder vielleicht „Was ist deine Mission“ im Sinne von „Was machst du eigentlich auf diesem Schiff?“ (Price 1978, 61). </w:t>
      </w:r>
    </w:p>
  </w:footnote>
  <w:footnote w:id="3070">
    <w:p>
      <w:pPr>
        <w:pStyle w:val="Funote"/>
        <w:rPr/>
      </w:pPr>
      <w:r>
        <w:rPr>
          <w:rStyle w:val="Funotenzeichen"/>
        </w:rPr>
        <w:footnoteRef/>
      </w:r>
      <w:r>
        <w:rPr/>
        <w:tab/>
        <w:t>„</w:t>
      </w:r>
      <w:r>
        <w:rPr/>
        <w:t xml:space="preserve">Himmelsgott“ ist in der persischen Verwaltungssprache die amtliche Bezeichung für den Gott der Juden (Golka </w:t>
      </w:r>
      <w:r>
        <w:rPr>
          <w:position w:val="7"/>
          <w:sz w:val="16"/>
        </w:rPr>
        <w:t>2</w:t>
      </w:r>
      <w:r>
        <w:rPr/>
        <w:t>2007, 56).</w:t>
      </w:r>
    </w:p>
  </w:footnote>
  <w:footnote w:id="3071">
    <w:p>
      <w:pPr>
        <w:pStyle w:val="Funote"/>
        <w:rPr/>
      </w:pPr>
      <w:r>
        <w:rPr>
          <w:rStyle w:val="Funotenzeichen"/>
        </w:rPr>
        <w:footnoteRef/>
      </w:r>
      <w:r>
        <w:rPr/>
        <w:tab/>
        <w:t xml:space="preserve">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 </w:t>
      </w:r>
    </w:p>
  </w:footnote>
  <w:footnote w:id="3072">
    <w:p>
      <w:pPr>
        <w:pStyle w:val="Funote"/>
        <w:rPr/>
      </w:pPr>
      <w:r>
        <w:rPr>
          <w:rStyle w:val="Funotenzeichen"/>
        </w:rPr>
        <w:footnoteRef/>
      </w:r>
      <w:r>
        <w:rPr/>
        <w:tab/>
        <w:t>vor JHWH Die Betonung (Kursivschreibung) ist auf die hebräische Satzstellung zurückzuführen. Dieser Zusammenhang ist also der Grund für das Erschrecken der Seeleute.</w:t>
      </w:r>
    </w:p>
  </w:footnote>
  <w:footnote w:id="3073">
    <w:p>
      <w:pPr>
        <w:pStyle w:val="Funote"/>
        <w:rPr/>
      </w:pPr>
      <w:r>
        <w:rPr>
          <w:rStyle w:val="Funotenzeichen"/>
        </w:rPr>
        <w:footnoteRef/>
      </w:r>
      <w:r>
        <w:rPr/>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3074">
    <w:p>
      <w:pPr>
        <w:pStyle w:val="Funote"/>
        <w:rPr/>
      </w:pPr>
      <w:r>
        <w:rPr>
          <w:rStyle w:val="Funotenzeichen"/>
        </w:rPr>
        <w:footnoteRef/>
      </w:r>
      <w:r>
        <w:rPr>
          <w:i/>
        </w:rPr>
        <w:tab/>
        <w:t>stürmte immer heftiger</w:t>
      </w:r>
      <w:r>
        <w:rPr/>
        <w:t xml:space="preserve"> den(V. 11 und V. 13) Hier stehen im Hebräischen zwei Partizipien nebeneinander: „gehend und stürmend“. Das Ptz. „gehend“ von </w:t>
      </w:r>
      <w:r>
        <w:rPr>
          <w:rtl w:val="true"/>
          <w:lang w:bidi="he-IL"/>
        </w:rPr>
        <w:t>הלך</w:t>
      </w:r>
      <w:r>
        <w:rPr/>
        <w:t xml:space="preserve"> </w:t>
      </w:r>
      <w:r>
        <w:rPr/>
        <w:t xml:space="preserve">mit einem anderen Ptz. drückt (sich steigernde) Fortdauer aus (GK §113u; Price 1978, 65f.). </w:t>
      </w:r>
    </w:p>
  </w:footnote>
  <w:footnote w:id="3075">
    <w:p>
      <w:pPr>
        <w:pStyle w:val="Funote"/>
        <w:rPr/>
      </w:pPr>
      <w:r>
        <w:rPr>
          <w:rStyle w:val="Funotenzeichen"/>
        </w:rPr>
        <w:footnoteRef/>
      </w:r>
      <w:r>
        <w:rPr/>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3076">
    <w:p>
      <w:pPr>
        <w:pStyle w:val="Funote"/>
        <w:rPr/>
      </w:pPr>
      <w:r>
        <w:rPr>
          <w:rStyle w:val="Funotenzeichen"/>
        </w:rPr>
        <w:footnoteRef/>
      </w:r>
      <w:r>
        <w:rPr>
          <w:i/>
        </w:rPr>
        <w:tab/>
        <w:t>Blut</w:t>
      </w:r>
      <w:r>
        <w:rPr/>
        <w:t xml:space="preserve"> steht stellvertretend für das genommene Leben, für den Tod Jonas, den die Seeleute für sicher halten, wenn sie ihn ins Meer werfen. Das Stilmittel ist wohl eine Metonymie (Konkretes für Abstraktes; Wirkung für Ursache) oder Synekdoche (Generelles für Spezifisches). </w:t>
      </w:r>
    </w:p>
  </w:footnote>
  <w:footnote w:id="3077">
    <w:p>
      <w:pPr>
        <w:pStyle w:val="Funote"/>
        <w:rPr/>
      </w:pPr>
      <w:r>
        <w:rPr>
          <w:rStyle w:val="Funotenzeichen"/>
        </w:rPr>
        <w:footnoteRef/>
      </w:r>
      <w:r>
        <w:rPr/>
        <w:tab/>
        <w:t xml:space="preserve">Dieser Vers enthält gleich drei figurae etymologicae. W. etwa „Da fürchteten sie große Furcht und da opferten sie Opfer und da gelobten sie Gelübde.“ </w:t>
      </w:r>
      <w:r>
        <w:rPr>
          <w:i/>
        </w:rPr>
        <w:t>Opfer</w:t>
      </w:r>
      <w:r>
        <w:rPr/>
        <w:t xml:space="preserve"> und </w:t>
      </w:r>
      <w:r>
        <w:rPr>
          <w:i/>
        </w:rPr>
        <w:t>Gelübde</w:t>
      </w:r>
      <w:r>
        <w:rPr/>
        <w:t xml:space="preserv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 </w:t>
      </w:r>
    </w:p>
  </w:footnote>
  <w:footnote w:id="3078">
    <w:p>
      <w:pPr>
        <w:pStyle w:val="Funote"/>
        <w:rPr/>
      </w:pPr>
      <w:r>
        <w:rPr>
          <w:rStyle w:val="Funotenzeichen"/>
        </w:rPr>
        <w:footnoteRef/>
      </w:r>
      <w:r>
        <w:rPr/>
        <w:tab/>
        <w:t>[Status: Ungeprüft]</w:t>
      </w:r>
    </w:p>
  </w:footnote>
  <w:footnote w:id="3079">
    <w:p>
      <w:pPr>
        <w:pStyle w:val="Funote"/>
        <w:rPr/>
      </w:pPr>
      <w:r>
        <w:rPr>
          <w:rStyle w:val="Funotenzeichen"/>
        </w:rPr>
        <w:footnoteRef/>
      </w:r>
      <w:r>
        <w:rPr/>
        <w:tab/>
        <w:t>„</w:t>
      </w:r>
      <w:r>
        <w:rPr/>
        <w:t>um Hilfe schreien“ ist auf Hebräisch ein Wort.</w:t>
      </w:r>
    </w:p>
  </w:footnote>
  <w:footnote w:id="3080">
    <w:p>
      <w:pPr>
        <w:pStyle w:val="Funote"/>
        <w:rPr/>
      </w:pPr>
      <w:r>
        <w:rPr>
          <w:rStyle w:val="Funotenzeichen"/>
        </w:rPr>
        <w:footnoteRef/>
      </w:r>
      <w:r>
        <w:rPr/>
        <w:tab/>
        <w:t>Wörtlich: „ins Herz der Meere“</w:t>
      </w:r>
    </w:p>
  </w:footnote>
  <w:footnote w:id="3081">
    <w:p>
      <w:pPr>
        <w:pStyle w:val="Funote"/>
        <w:rPr/>
      </w:pPr>
      <w:r>
        <w:rPr>
          <w:rStyle w:val="Funotenzeichen"/>
        </w:rPr>
        <w:footnoteRef/>
      </w:r>
      <w:r>
        <w:rPr/>
        <w:tab/>
        <w:t>Dann nominaler Hendiadyoin (vgl. NET Jona 2,3 Fußnote 11).</w:t>
      </w:r>
    </w:p>
  </w:footnote>
  <w:footnote w:id="3082">
    <w:p>
      <w:pPr>
        <w:pStyle w:val="Funote"/>
        <w:rPr/>
      </w:pPr>
      <w:r>
        <w:rPr>
          <w:rStyle w:val="Funotenzeichen"/>
        </w:rPr>
        <w:footnoteRef/>
      </w:r>
      <w:r>
        <w:rPr/>
        <w:tab/>
        <w:t xml:space="preserve">Hier wird ein eigenständiges Personalpronomen gebraucht, das oft zur Betonung benutzt wird (Übersetzung dann etwa: „ich selbst“). Es ist allerdings kein Bemühen zur Abgrenzung erkennbar; es muss wohl als pleonastisch verstanden werden. </w:t>
      </w:r>
    </w:p>
  </w:footnote>
  <w:footnote w:id="3083">
    <w:p>
      <w:pPr>
        <w:pStyle w:val="Funote"/>
        <w:rPr/>
      </w:pPr>
      <w:r>
        <w:rPr>
          <w:rStyle w:val="Funotenzeichen"/>
        </w:rPr>
        <w:footnoteRef/>
      </w:r>
      <w:r>
        <w:rPr/>
        <w:tab/>
        <w:t>Viele Übersetzungen (u.a. Lut, EÜ) übersetzen das Verb hier kontextbedingt als „denken“. Auf Hebräisch kann in Gedanken „gesagt“ werden, was auf Deutsch gedacht würde.</w:t>
      </w:r>
    </w:p>
  </w:footnote>
  <w:footnote w:id="3084">
    <w:p>
      <w:pPr>
        <w:pStyle w:val="Funote"/>
        <w:rPr/>
      </w:pPr>
      <w:r>
        <w:rPr>
          <w:rStyle w:val="Funotenzeichen"/>
        </w:rPr>
        <w:footnoteRef/>
      </w:r>
      <w:r>
        <w:rPr/>
        <w:tab/>
        <w:t>Oder: „Ich dachte, ich war verstoßen“, was das Perfekt des folgenden Verbs besser berücksichtigt.</w:t>
      </w:r>
    </w:p>
  </w:footnote>
  <w:footnote w:id="3085">
    <w:p>
      <w:pPr>
        <w:pStyle w:val="Funote"/>
        <w:rPr/>
      </w:pPr>
      <w:r>
        <w:rPr>
          <w:rStyle w:val="Funotenzeichen"/>
        </w:rPr>
        <w:footnoteRef/>
      </w:r>
      <w:r>
        <w:rPr/>
        <w:tab/>
        <w:t>D.h. aus dem Sichtbereich; w. „von vor deinen Augen {weg}“.</w:t>
      </w:r>
    </w:p>
  </w:footnote>
  <w:footnote w:id="3086">
    <w:p>
      <w:pPr>
        <w:pStyle w:val="Funote"/>
        <w:rPr/>
      </w:pPr>
      <w:r>
        <w:rPr>
          <w:rStyle w:val="Funotenzeichen"/>
        </w:rPr>
        <w:footnoteRef/>
      </w:r>
      <w:r>
        <w:rPr/>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3087">
    <w:p>
      <w:pPr>
        <w:pStyle w:val="Funote"/>
        <w:rPr/>
      </w:pPr>
      <w:r>
        <w:rPr>
          <w:rStyle w:val="Funotenzeichen"/>
        </w:rPr>
        <w:footnoteRef/>
      </w:r>
      <w:r>
        <w:rPr/>
        <w:tab/>
        <w:t>Oder wie manche Übersetzungen (LUT, GNB, NET): „Ich dachte, ich war verstoßen ... würde nicht wieder anschauen“ als direkt angehängte Fortsetzung von 5a (indirekte Rede).</w:t>
      </w:r>
    </w:p>
  </w:footnote>
  <w:footnote w:id="3088">
    <w:p>
      <w:pPr>
        <w:pStyle w:val="Funote"/>
        <w:rPr/>
      </w:pPr>
      <w:r>
        <w:rPr>
          <w:rStyle w:val="Funotenzeichen"/>
        </w:rPr>
        <w:footnoteRef/>
      </w:r>
      <w:r>
        <w:rPr/>
        <w:tab/>
        <w:t>Wörtl. „leeren Windhauch“, was bei Kohelet „das Eitle“ ist</w:t>
      </w:r>
    </w:p>
  </w:footnote>
  <w:footnote w:id="3089">
    <w:p>
      <w:pPr>
        <w:pStyle w:val="Funote"/>
        <w:rPr/>
      </w:pPr>
      <w:r>
        <w:rPr>
          <w:rStyle w:val="Funotenzeichen"/>
        </w:rPr>
        <w:footnoteRef/>
      </w:r>
      <w:r>
        <w:rPr/>
        <w:tab/>
        <w:t>[Status: Ungeprüft]</w:t>
      </w:r>
    </w:p>
  </w:footnote>
  <w:footnote w:id="3090">
    <w:p>
      <w:pPr>
        <w:pStyle w:val="Funote"/>
        <w:rPr/>
      </w:pPr>
      <w:r>
        <w:rPr>
          <w:rStyle w:val="Funotenzeichen"/>
        </w:rPr>
        <w:footnoteRef/>
      </w:r>
      <w:r>
        <w:rPr/>
        <w:tab/>
        <w:t>„</w:t>
      </w:r>
      <w:r>
        <w:rPr/>
        <w:t>Rufen“ und „Botschaft“ sind im Hebräischen von derselben Wurzel, d.h. es liegt eine figura ethymologica vor.</w:t>
      </w:r>
    </w:p>
  </w:footnote>
  <w:footnote w:id="3091">
    <w:p>
      <w:pPr>
        <w:pStyle w:val="Funote"/>
        <w:rPr/>
      </w:pPr>
      <w:r>
        <w:rPr>
          <w:rStyle w:val="Funotenzeichen"/>
        </w:rPr>
        <w:footnoteRef/>
      </w:r>
      <w:r>
        <w:rPr/>
        <w:tab/>
        <w:t>Wörtl.: „eine Reise(strecke) von drei Tagen“.</w:t>
      </w:r>
    </w:p>
  </w:footnote>
  <w:footnote w:id="3092">
    <w:p>
      <w:pPr>
        <w:pStyle w:val="Funote"/>
        <w:rPr/>
      </w:pPr>
      <w:r>
        <w:rPr>
          <w:rStyle w:val="Funotenzeichen"/>
        </w:rPr>
        <w:footnoteRef/>
      </w:r>
      <w:r>
        <w:rPr/>
        <w:tab/>
        <w:t>Nach dem Kontext eingefügt.</w:t>
      </w:r>
    </w:p>
  </w:footnote>
  <w:footnote w:id="3093">
    <w:p>
      <w:pPr>
        <w:pStyle w:val="Funote"/>
        <w:rPr/>
      </w:pPr>
      <w:r>
        <w:rPr>
          <w:rStyle w:val="Funotenzeichen"/>
        </w:rPr>
        <w:footnoteRef/>
      </w:r>
      <w:r>
        <w:rPr/>
        <w:tab/>
        <w:t>Wörtl.: „die Reise(strecke) eines Tages“.</w:t>
      </w:r>
    </w:p>
  </w:footnote>
  <w:footnote w:id="3094">
    <w:p>
      <w:pPr>
        <w:pStyle w:val="Funote"/>
        <w:rPr/>
      </w:pPr>
      <w:r>
        <w:rPr>
          <w:rStyle w:val="Funotenzeichen"/>
        </w:rPr>
        <w:footnoteRef/>
      </w:r>
      <w:r>
        <w:rPr/>
        <w:tab/>
        <w:t>Wörtl. „berührte“.</w:t>
      </w:r>
    </w:p>
  </w:footnote>
  <w:footnote w:id="3095">
    <w:p>
      <w:pPr>
        <w:pStyle w:val="Funote"/>
        <w:rPr/>
      </w:pPr>
      <w:r>
        <w:rPr>
          <w:rStyle w:val="Funotenzeichen"/>
        </w:rPr>
        <w:footnoteRef/>
      </w:r>
      <w:r>
        <w:rPr/>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3096">
    <w:p>
      <w:pPr>
        <w:pStyle w:val="Funote"/>
        <w:rPr/>
      </w:pPr>
      <w:r>
        <w:rPr>
          <w:rStyle w:val="Funotenzeichen"/>
        </w:rPr>
        <w:footnoteRef/>
      </w:r>
      <w:r>
        <w:rPr/>
        <w:tab/>
        <w:t>[Status: Ungeprüft]</w:t>
      </w:r>
    </w:p>
  </w:footnote>
  <w:footnote w:id="3097">
    <w:p>
      <w:pPr>
        <w:pStyle w:val="Funote"/>
        <w:rPr/>
      </w:pPr>
      <w:r>
        <w:rPr>
          <w:rStyle w:val="Funotenzeichen"/>
        </w:rPr>
        <w:footnoteRef/>
      </w:r>
      <w:r>
        <w:rPr/>
        <w:tab/>
        <w:t>Wieder eine fig. ethym., wörtl.: „er wütete große Wut“</w:t>
      </w:r>
    </w:p>
  </w:footnote>
  <w:footnote w:id="3098">
    <w:p>
      <w:pPr>
        <w:pStyle w:val="Funote"/>
        <w:rPr/>
      </w:pPr>
      <w:r>
        <w:rPr>
          <w:rStyle w:val="Funotenzeichen"/>
        </w:rPr>
        <w:footnoteRef/>
      </w:r>
      <w:r>
        <w:rPr/>
        <w:tab/>
        <w:t>Wörtl.: „er freute sich große Freude“</w:t>
      </w:r>
    </w:p>
  </w:footnote>
  <w:footnote w:id="3099">
    <w:p>
      <w:pPr>
        <w:pStyle w:val="Funote"/>
        <w:rPr/>
      </w:pPr>
      <w:r>
        <w:rPr>
          <w:rStyle w:val="Funotenzeichen"/>
        </w:rPr>
        <w:footnoteRef/>
      </w:r>
      <w:r>
        <w:rPr/>
        <w:tab/>
        <w:t>„</w:t>
      </w:r>
      <w:r>
        <w:rPr/>
        <w:t>Sohn von“ drückt im Hebräischen auch das Alter aus; Die Rizinusstaude wurde also nur einen Tag alt, war eine „Eintagsfliege“.</w:t>
      </w:r>
    </w:p>
  </w:footnote>
  <w:footnote w:id="3100">
    <w:p>
      <w:pPr>
        <w:pStyle w:val="Funote"/>
        <w:rPr/>
      </w:pPr>
      <w:r>
        <w:rPr>
          <w:rStyle w:val="Funotenzeichen"/>
        </w:rPr>
        <w:footnoteRef/>
      </w:r>
      <w:r>
        <w:rPr/>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3101">
    <w:p>
      <w:pPr>
        <w:pStyle w:val="Funote"/>
        <w:rPr/>
      </w:pPr>
      <w:r>
        <w:rPr>
          <w:rStyle w:val="Funotenzeichen"/>
        </w:rPr>
        <w:footnoteRef/>
      </w:r>
      <w:r>
        <w:rPr/>
        <w:tab/>
        <w:t>Hier und im folgenden ist wörtlich eigentlich „Wer“ zu übersetzeten. In der Verwendung von „Wer“ anstatt was kommt die Denweise zum Ausdruck, dass der Täter personell mitgedacht wird.</w:t>
      </w:r>
    </w:p>
  </w:footnote>
  <w:footnote w:id="3102">
    <w:p>
      <w:pPr>
        <w:pStyle w:val="Funote"/>
        <w:rPr/>
      </w:pPr>
      <w:r>
        <w:rPr>
          <w:rStyle w:val="Funotenzeichen"/>
        </w:rPr>
        <w:footnoteRef/>
      </w:r>
      <w:r>
        <w:rPr/>
        <w:tab/>
        <w:t>[Status: Ungeprüft]</w:t>
      </w:r>
    </w:p>
  </w:footnote>
  <w:footnote w:id="3103">
    <w:p>
      <w:pPr>
        <w:pStyle w:val="Funote"/>
        <w:rPr/>
      </w:pPr>
      <w:r>
        <w:rPr>
          <w:rStyle w:val="Funotenzeichen"/>
        </w:rPr>
        <w:footnoteRef/>
      </w:r>
      <w:r>
        <w:rPr/>
        <w:tab/>
        <w:t xml:space="preserve">Bei dem Wort für „Anhöhe“ hat der hebräische Text sprachliche Anklänge an das Wort </w:t>
      </w:r>
      <w:r>
        <w:rPr>
          <w:rtl w:val="true"/>
          <w:lang w:bidi="he-IL"/>
        </w:rPr>
        <w:t>מ֥וֹת</w:t>
      </w:r>
      <w:r>
        <w:rPr/>
        <w:t xml:space="preserve"> </w:t>
      </w:r>
      <w:r>
        <w:rPr/>
        <w:t>(Tod).</w:t>
      </w:r>
    </w:p>
  </w:footnote>
  <w:footnote w:id="3104">
    <w:p>
      <w:pPr>
        <w:pStyle w:val="Funote"/>
        <w:rPr/>
      </w:pPr>
      <w:r>
        <w:rPr>
          <w:rStyle w:val="Funotenzeichen"/>
        </w:rPr>
        <w:footnoteRef/>
      </w:r>
      <w:r>
        <w:rPr/>
        <w:tab/>
        <w:t>[Status: Zuverlässig]</w:t>
      </w:r>
    </w:p>
  </w:footnote>
  <w:footnote w:id="3105">
    <w:p>
      <w:pPr>
        <w:pStyle w:val="Funote"/>
        <w:rPr/>
      </w:pPr>
      <w:r>
        <w:rPr>
          <w:rStyle w:val="Funotenzeichen"/>
        </w:rPr>
        <w:footnoteRef/>
      </w:r>
      <w:r>
        <w:rPr>
          <w:i/>
        </w:rPr>
        <w:tab/>
        <w:t>in zukünftigen (späteren, letzten) Tagen (zu einer späteren Zeit, am Ende der Zeit)</w:t>
      </w:r>
      <w:r>
        <w:rPr/>
        <w:t xml:space="preserve"> Die so übersetzte Phrase </w:t>
      </w:r>
      <w:r>
        <w:rPr>
          <w:rtl w:val="true"/>
          <w:lang w:bidi="he-IL"/>
        </w:rPr>
        <w:t>בְּאַחֲרִ֣ית הַיָּמִ֗ים</w:t>
      </w:r>
      <w:r>
        <w:rPr/>
        <w:t xml:space="preserve"> </w:t>
      </w:r>
      <w:r>
        <w:rPr/>
        <w:t xml:space="preserve">kommt im AT 13 mal vor. Entgegen der aus der </w:t>
      </w:r>
      <w:hyperlink r:id="rId243">
        <w:r>
          <w:rPr>
            <w:rStyle w:val="Internetverknpfung"/>
          </w:rPr>
          <w:t>LXX</w:t>
        </w:r>
      </w:hyperlink>
      <w:r>
        <w:rPr/>
        <w:t xml:space="preserve">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 </w:t>
      </w:r>
    </w:p>
  </w:footnote>
  <w:footnote w:id="3106">
    <w:p>
      <w:pPr>
        <w:pStyle w:val="Funote"/>
        <w:rPr/>
      </w:pPr>
      <w:r>
        <w:rPr>
          <w:rStyle w:val="Funotenzeichen"/>
        </w:rPr>
        <w:footnoteRef/>
      </w:r>
      <w:r>
        <w:rPr>
          <w:i/>
        </w:rPr>
        <w:tab/>
        <w:t>Berg [mit dem] Haus</w:t>
      </w:r>
      <w:r>
        <w:rPr/>
        <w:t xml:space="preserve"> Appositiver Genitiv, der das Objekt näher identifiziert. </w:t>
      </w:r>
    </w:p>
  </w:footnote>
  <w:footnote w:id="3107">
    <w:p>
      <w:pPr>
        <w:pStyle w:val="Funote"/>
        <w:rPr/>
      </w:pPr>
      <w:r>
        <w:rPr>
          <w:rStyle w:val="Funotenzeichen"/>
        </w:rPr>
        <w:footnoteRef/>
      </w:r>
      <w:r>
        <w:rPr>
          <w:i/>
        </w:rPr>
        <w:tab/>
        <w:t>als Herausragender (Wichtigster, Höchster, Gipfel, Anführer) der Berge</w:t>
      </w:r>
      <w:r>
        <w:rPr/>
        <w:t xml:space="preserv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 xml:space="preserve">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w:t>
      </w:r>
      <w:r>
        <w:rPr>
          <w:i/>
        </w:rPr>
        <w:t>höher</w:t>
      </w:r>
      <w:r>
        <w:rPr/>
        <w:t xml:space="preserve">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 </w:t>
      </w:r>
    </w:p>
  </w:footnote>
  <w:footnote w:id="3108">
    <w:p>
      <w:pPr>
        <w:pStyle w:val="Funote"/>
        <w:rPr/>
      </w:pPr>
      <w:r>
        <w:rPr>
          <w:rStyle w:val="Funotenzeichen"/>
        </w:rPr>
        <w:footnoteRef/>
      </w:r>
      <w:r>
        <w:rPr/>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3109">
    <w:p>
      <w:pPr>
        <w:pStyle w:val="Funote"/>
        <w:rPr/>
      </w:pPr>
      <w:r>
        <w:rPr>
          <w:rStyle w:val="Funotenzeichen"/>
        </w:rPr>
        <w:footnoteRef/>
      </w:r>
      <w:r>
        <w:rPr>
          <w:i/>
        </w:rPr>
        <w:tab/>
        <w:t>anhand seiner Wege</w:t>
      </w:r>
      <w:r>
        <w:rPr/>
        <w:t xml:space="preserve"> und </w:t>
      </w:r>
      <w:r>
        <w:rPr>
          <w:i/>
        </w:rPr>
        <w:t>nach seiner Art leben/auf seinen Pfaden wandeln</w:t>
      </w:r>
      <w:r>
        <w:rPr/>
        <w:t xml:space="preserve"> sind parallel und sagen mit anderen Worten das gleiche aus. Die beiden Zeilen sind wiederum parallel zu den beiden folgenden Zeilen, wo (wiederum mit gleicher Aussage in anderen Worten) von </w:t>
      </w:r>
      <w:r>
        <w:rPr>
          <w:i/>
        </w:rPr>
        <w:t>Weisung/Torah</w:t>
      </w:r>
      <w:r>
        <w:rPr/>
        <w:t xml:space="preserve"> und </w:t>
      </w:r>
      <w:r>
        <w:rPr>
          <w:i/>
        </w:rPr>
        <w:t>JHWHs Botschaft aus Jerusalem</w:t>
      </w:r>
      <w:r>
        <w:rPr/>
        <w:t xml:space="preserve">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w:t>
      </w:r>
      <w:r>
        <w:fldChar w:fldCharType="begin"/>
      </w:r>
      <w:r>
        <w:rPr>
          <w:rStyle w:val="Internetverknpfung"/>
        </w:rPr>
        <w:instrText> HYPERLINK "../../../../../../../../../wiki/Lukas_24" \l "s47"</w:instrText>
      </w:r>
      <w:r>
        <w:rPr>
          <w:rStyle w:val="Internetverknpfung"/>
        </w:rPr>
        <w:fldChar w:fldCharType="separate"/>
      </w:r>
      <w:r>
        <w:rPr>
          <w:rStyle w:val="Internetverknpfung"/>
        </w:rPr>
        <w:t>Lk 24,47</w:t>
      </w:r>
      <w:r>
        <w:rPr>
          <w:rStyle w:val="Internetverknpfung"/>
        </w:rPr>
        <w:fldChar w:fldCharType="end"/>
      </w:r>
      <w:r>
        <w:rPr/>
        <w:t xml:space="preserve">). </w:t>
      </w:r>
    </w:p>
  </w:footnote>
  <w:footnote w:id="3110">
    <w:p>
      <w:pPr>
        <w:pStyle w:val="Funote"/>
        <w:rPr/>
      </w:pPr>
      <w:r>
        <w:rPr>
          <w:rStyle w:val="Funotenzeichen"/>
        </w:rPr>
        <w:footnoteRef/>
      </w:r>
      <w:r>
        <w:rPr/>
        <w:tab/>
        <w:t xml:space="preserve">Zum Schlusszeichen: Ob die Aussage der Pilger vor oder hinter die letzten beiden Zeilen von V. 2 endet, ist inhaltlich unerheblich. Sie liefern (mit </w:t>
      </w:r>
      <w:r>
        <w:rPr>
          <w:rtl w:val="true"/>
          <w:lang w:bidi="he-IL"/>
        </w:rPr>
        <w:t>כִּי</w:t>
      </w:r>
      <w:r>
        <w:rPr/>
        <w:t xml:space="preserve"> </w:t>
      </w:r>
      <w:r>
        <w:rPr>
          <w:i/>
        </w:rPr>
        <w:t>denn</w:t>
      </w:r>
      <w:r>
        <w:rPr/>
        <w:t xml:space="preserve">) die Grundlage für den in so großen Worten beschriebenen prophetischen Völkerzug zum Zion. Beide Möglichkeiten sind denkbar: dass die Angehörigen der anderen Völker sich auch diese Begründung zurufen, oder dass der Prophet sie als Erklärung für ihr Verhalten festhält. </w:t>
      </w:r>
    </w:p>
  </w:footnote>
  <w:footnote w:id="3111">
    <w:p>
      <w:pPr>
        <w:pStyle w:val="Funote"/>
        <w:rPr/>
      </w:pPr>
      <w:r>
        <w:rPr>
          <w:rStyle w:val="Funotenzeichen"/>
        </w:rPr>
        <w:footnoteRef/>
      </w:r>
      <w:r>
        <w:rPr>
          <w:i/>
        </w:rPr>
        <w:tab/>
        <w:t>[das] Schwert erheben</w:t>
      </w:r>
      <w:r>
        <w:rPr/>
        <w:t xml:space="preserve"> Es handelt sich um eine Metonymie der Adjunktion für die Provokation oder das Führen eines Kriegs. Dazu passt der parallele zweite Versteil. </w:t>
      </w:r>
    </w:p>
  </w:footnote>
  <w:footnote w:id="3112">
    <w:p>
      <w:pPr>
        <w:pStyle w:val="Funote"/>
        <w:rPr/>
      </w:pPr>
      <w:r>
        <w:rPr>
          <w:rStyle w:val="Funotenzeichen"/>
        </w:rPr>
        <w:footnoteRef/>
      </w:r>
      <w:r>
        <w:rPr>
          <w:i/>
        </w:rPr>
        <w:tab/>
        <w:t>niemanden, der [ihnen] Angst einflößt ([sie] aufstört, zum Zittern bringt)</w:t>
      </w:r>
      <w:r>
        <w:rPr/>
        <w:t xml:space="preserve">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 </w:t>
      </w:r>
    </w:p>
  </w:footnote>
  <w:footnote w:id="3113">
    <w:p>
      <w:pPr>
        <w:pStyle w:val="Funote"/>
        <w:rPr/>
      </w:pPr>
      <w:r>
        <w:rPr>
          <w:rStyle w:val="Funotenzeichen"/>
        </w:rPr>
        <w:footnoteRef/>
      </w:r>
      <w:r>
        <w:rPr>
          <w:i/>
        </w:rPr>
        <w:tab/>
        <w:t>die Hinkenden</w:t>
      </w:r>
      <w:r>
        <w:rPr/>
        <w:t xml:space="preserve"> und </w:t>
      </w:r>
      <w:r>
        <w:rPr>
          <w:i/>
        </w:rPr>
        <w:t>die Vertriebenen</w:t>
      </w:r>
      <w:r>
        <w:rPr/>
        <w:t xml:space="preserve">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 </w:t>
      </w:r>
    </w:p>
  </w:footnote>
  <w:footnote w:id="3114">
    <w:p>
      <w:pPr>
        <w:pStyle w:val="Funote"/>
        <w:rPr/>
      </w:pPr>
      <w:r>
        <w:rPr>
          <w:rStyle w:val="Funotenzeichen"/>
        </w:rPr>
        <w:footnoteRef/>
      </w:r>
      <w:r>
        <w:rPr>
          <w:i/>
        </w:rPr>
        <w:tab/>
        <w:t>will ich zusammenführen … sammeln</w:t>
      </w:r>
      <w:r>
        <w:rPr/>
        <w:t xml:space="preserve"> Kohortativ (Imperativ der 1. Person), hier modal übersetzt. </w:t>
      </w:r>
    </w:p>
  </w:footnote>
  <w:footnote w:id="3115">
    <w:p>
      <w:pPr>
        <w:pStyle w:val="Funote"/>
        <w:rPr/>
      </w:pPr>
      <w:r>
        <w:rPr>
          <w:rStyle w:val="Funotenzeichen"/>
        </w:rPr>
        <w:footnoteRef/>
      </w:r>
      <w:r>
        <w:rPr/>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3116">
    <w:p>
      <w:pPr>
        <w:pStyle w:val="Funote"/>
        <w:rPr/>
      </w:pPr>
      <w:r>
        <w:rPr>
          <w:rStyle w:val="Funotenzeichen"/>
        </w:rPr>
        <w:footnoteRef/>
      </w:r>
      <w:r>
        <w:rPr>
          <w:i/>
        </w:rPr>
        <w:tab/>
        <w:t>mächtigen Nation</w:t>
      </w:r>
      <w:r>
        <w:rPr/>
        <w:t xml:space="preserve"> Hier wird die Formulierung aus V. 3 aufgegriffen. </w:t>
      </w:r>
    </w:p>
  </w:footnote>
  <w:footnote w:id="3117">
    <w:p>
      <w:pPr>
        <w:pStyle w:val="Funote"/>
        <w:spacing w:before="0" w:after="283"/>
        <w:rPr/>
      </w:pPr>
      <w:r>
        <w:rPr>
          <w:rStyle w:val="Funotenzeichen"/>
        </w:rPr>
        <w:footnoteRef/>
      </w:r>
      <w:r>
        <w:rPr>
          <w:i/>
        </w:rPr>
        <w:tab/>
        <w:t>Turm der Herde (Migdal Eder)</w:t>
      </w:r>
      <w:r>
        <w:rPr/>
        <w:t xml:space="preserve">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w:t>
      </w:r>
      <w:r>
        <w:rPr>
          <w:i/>
        </w:rPr>
        <w:t>Tochter Zions</w:t>
      </w:r>
      <w:r>
        <w:rPr/>
        <w:t xml:space="preserve"> auch </w:t>
      </w:r>
      <w:r>
        <w:rPr>
          <w:i/>
        </w:rPr>
        <w:t>Turm der Herde</w:t>
      </w:r>
      <w:r>
        <w:rPr/>
        <w:t xml:space="preserve"> und </w:t>
      </w:r>
      <w:r>
        <w:rPr>
          <w:i/>
        </w:rPr>
        <w:t>Ophel</w:t>
      </w:r>
      <w:r>
        <w:rPr/>
        <w:t xml:space="preserve"> auf Jerusalem beziehen (bzw. metonymisch auf den israelitischen König; so Waltke, Micah, S. 229-31; Kessler, Micha, S. 199; Andersen, Micah, S. 439). Das AT bezeichnet den König häufiger als Hirten seines Volkes. Der Turm Davids aus Hld 4,4 könnte </w:t>
      </w:r>
    </w:p>
    <w:p>
      <w:pPr>
        <w:pStyle w:val="Textkrper"/>
        <w:rPr/>
      </w:pPr>
      <w:r>
        <w:rPr>
          <w:i/>
        </w:rPr>
        <w:tab/>
        <w:t>Ophel</w:t>
      </w:r>
      <w:r>
        <w:rPr/>
        <w:t xml:space="preserve"> (Hebr. </w:t>
      </w:r>
      <w:r>
        <w:rPr>
          <w:rtl w:val="true"/>
          <w:lang w:bidi="he-IL"/>
        </w:rPr>
        <w:t>עֹפֶל</w:t>
      </w:r>
      <w:r>
        <w:rPr/>
        <w:t xml:space="preserve">) kommt im AT achtmal vor und bezeichnet einen Ort in Jerusalem, nämlich eine Hügelfestung in der alten Davidsstadt (Wolff, Micha, S. 96). Obwohl der Bezug nicht ganz sicher ist, ist er der am besten belegte. </w:t>
      </w:r>
    </w:p>
    <w:p>
      <w:pPr>
        <w:pStyle w:val="Textkrper"/>
        <w:spacing w:before="0" w:after="283"/>
        <w:rPr/>
      </w:pPr>
      <w:r>
        <w:rPr>
          <w:i/>
        </w:rPr>
        <w:tab/>
        <w:t>Tochter Zions</w:t>
      </w:r>
      <w:r>
        <w:rPr/>
        <w:t xml:space="preserve"> Eine im AT häufige poetische Bezeichnung Jerusalems. </w:t>
      </w:r>
      <w:r>
        <w:rPr>
          <w:i/>
        </w:rPr>
        <w:t>Zion</w:t>
      </w:r>
      <w:r>
        <w:rPr/>
        <w:t xml:space="preserve"> ist der Tempelhügel. </w:t>
      </w:r>
    </w:p>
  </w:footnote>
  <w:footnote w:id="3118">
    <w:p>
      <w:pPr>
        <w:pStyle w:val="Funote"/>
        <w:rPr/>
      </w:pPr>
      <w:r>
        <w:rPr>
          <w:rStyle w:val="Funotenzeichen"/>
        </w:rPr>
        <w:footnoteRef/>
      </w:r>
      <w:r>
        <w:rPr>
          <w:i/>
        </w:rPr>
        <w:tab/>
        <w:t>Tochter Jerusalems</w:t>
      </w:r>
      <w:r>
        <w:rPr/>
        <w:t xml:space="preserve"> Wie </w:t>
      </w:r>
      <w:r>
        <w:rPr>
          <w:i/>
        </w:rPr>
        <w:t>Tochter Zions</w:t>
      </w:r>
      <w:r>
        <w:rPr/>
        <w:t xml:space="preserve"> eine poetische Bezeichnung Jerusalems (s. vorige Fußnote). </w:t>
      </w:r>
    </w:p>
  </w:footnote>
  <w:footnote w:id="3119">
    <w:p>
      <w:pPr>
        <w:pStyle w:val="Funote"/>
        <w:rPr/>
      </w:pPr>
      <w:r>
        <w:rPr>
          <w:rStyle w:val="Funotenzeichen"/>
        </w:rPr>
        <w:footnoteRef/>
      </w:r>
      <w:r>
        <w:rPr/>
        <w:tab/>
        <w:t>[Status: Ungeprüft]</w:t>
      </w:r>
    </w:p>
  </w:footnote>
  <w:footnote w:id="3120">
    <w:p>
      <w:pPr>
        <w:pStyle w:val="Funote"/>
        <w:rPr/>
      </w:pPr>
      <w:r>
        <w:rPr>
          <w:rStyle w:val="Funotenzeichen"/>
        </w:rPr>
        <w:footnoteRef/>
      </w:r>
      <w:r>
        <w:rPr/>
        <w:tab/>
        <w:t>[Status: Ungeprüft]</w:t>
      </w:r>
    </w:p>
  </w:footnote>
  <w:footnote w:id="3121">
    <w:p>
      <w:pPr>
        <w:pStyle w:val="Funote"/>
        <w:rPr/>
      </w:pPr>
      <w:r>
        <w:rPr>
          <w:rStyle w:val="Funotenzeichen"/>
        </w:rPr>
        <w:footnoteRef/>
      </w:r>
      <w:r>
        <w:rPr/>
        <w:tab/>
        <w:t>[Status: Ungeprüft]</w:t>
      </w:r>
    </w:p>
  </w:footnote>
  <w:footnote w:id="3122">
    <w:p>
      <w:pPr>
        <w:pStyle w:val="Funote"/>
        <w:rPr/>
      </w:pPr>
      <w:r>
        <w:rPr>
          <w:rStyle w:val="Funotenzeichen"/>
        </w:rPr>
        <w:footnoteRef/>
      </w:r>
      <w:r>
        <w:rPr/>
        <w:tab/>
        <w:t>[Status: Ungeprüft]</w:t>
      </w:r>
    </w:p>
  </w:footnote>
  <w:footnote w:id="3123">
    <w:p>
      <w:pPr>
        <w:pStyle w:val="Funote"/>
        <w:rPr/>
      </w:pPr>
      <w:r>
        <w:rPr>
          <w:rStyle w:val="Funotenzeichen"/>
        </w:rPr>
        <w:footnoteRef/>
      </w:r>
      <w:r>
        <w:rPr>
          <w:rtl w:val="true"/>
          <w:lang w:bidi="he-IL"/>
        </w:rPr>
        <w:tab/>
        <w:t>מַלְכָּם</w:t>
      </w:r>
      <w:r>
        <w:rPr/>
        <w:t xml:space="preserve"> </w:t>
      </w:r>
      <w:r>
        <w:rPr/>
        <w:t xml:space="preserve">= ihr König, vermutlich ein Anspielung auf </w:t>
      </w:r>
      <w:r>
        <w:rPr>
          <w:rtl w:val="true"/>
          <w:lang w:bidi="he-IL"/>
        </w:rPr>
        <w:t>מִלְכֹּם</w:t>
      </w:r>
      <w:r>
        <w:rPr/>
        <w:t>, der Name einer ammonitischen Gottheit.</w:t>
      </w:r>
    </w:p>
  </w:footnote>
  <w:footnote w:id="3124">
    <w:p>
      <w:pPr>
        <w:pStyle w:val="Funote"/>
        <w:rPr/>
      </w:pPr>
      <w:r>
        <w:rPr>
          <w:rStyle w:val="Funotenzeichen"/>
        </w:rPr>
        <w:footnoteRef/>
      </w:r>
      <w:r>
        <w:rPr/>
        <w:tab/>
        <w:t>[Status: Ungeprüft]</w:t>
      </w:r>
    </w:p>
  </w:footnote>
  <w:footnote w:id="3125">
    <w:p>
      <w:pPr>
        <w:pStyle w:val="Funote"/>
        <w:rPr/>
      </w:pPr>
      <w:r>
        <w:rPr>
          <w:rStyle w:val="Funotenzeichen"/>
        </w:rPr>
        <w:footnoteRef/>
      </w:r>
      <w:r>
        <w:rPr/>
        <w:tab/>
        <w:t xml:space="preserve">Da keine Ordinalzahl verwendet wurde, heißt es wörtlich „Tag eins“ (vgl. </w:t>
      </w:r>
      <w:r>
        <w:fldChar w:fldCharType="begin"/>
      </w:r>
      <w:r>
        <w:rPr>
          <w:rStyle w:val="Internetverknpfung"/>
        </w:rPr>
        <w:instrText> HYPERLINK "../../../../../../../../../wiki/Genesis_1" \l "s5"</w:instrText>
      </w:r>
      <w:r>
        <w:rPr>
          <w:rStyle w:val="Internetverknpfung"/>
        </w:rPr>
        <w:fldChar w:fldCharType="separate"/>
      </w:r>
      <w:r>
        <w:rPr>
          <w:rStyle w:val="Internetverknpfung"/>
        </w:rPr>
        <w:t>Gen 1,5</w:t>
      </w:r>
      <w:r>
        <w:rPr>
          <w:rStyle w:val="Internetverknpfung"/>
        </w:rPr>
        <w:fldChar w:fldCharType="end"/>
      </w:r>
      <w:r>
        <w:rPr/>
        <w:t>).</w:t>
      </w:r>
    </w:p>
  </w:footnote>
  <w:footnote w:id="3126">
    <w:p>
      <w:pPr>
        <w:pStyle w:val="Funote"/>
        <w:rPr/>
      </w:pPr>
      <w:r>
        <w:rPr>
          <w:rStyle w:val="Funotenzeichen"/>
        </w:rPr>
        <w:footnoteRef/>
      </w:r>
      <w:r>
        <w:rPr/>
        <w:tab/>
        <w:t>Datierung: 29. August 520 v.Chr.</w:t>
      </w:r>
    </w:p>
  </w:footnote>
  <w:footnote w:id="3127">
    <w:p>
      <w:pPr>
        <w:pStyle w:val="Funote"/>
        <w:rPr/>
      </w:pPr>
      <w:r>
        <w:rPr>
          <w:rStyle w:val="Funotenzeichen"/>
        </w:rPr>
        <w:footnoteRef/>
      </w:r>
      <w:r>
        <w:rPr/>
        <w:tab/>
        <w:t xml:space="preserve">Das Wort </w:t>
      </w:r>
      <w:r>
        <w:rPr>
          <w:rtl w:val="true"/>
          <w:lang w:bidi="he-IL"/>
        </w:rPr>
        <w:t>פֶּחַה</w:t>
      </w:r>
      <w:r>
        <w:rPr/>
        <w:t xml:space="preserve"> </w:t>
      </w:r>
      <w:r>
        <w:rPr/>
        <w:t>(</w:t>
      </w:r>
      <w:r>
        <w:rPr>
          <w:i/>
        </w:rPr>
        <w:t>pæchah</w:t>
      </w:r>
      <w:r>
        <w:rPr/>
        <w:t xml:space="preserve">), kommt aus dem akkadischen </w:t>
      </w:r>
      <w:r>
        <w:rPr>
          <w:i/>
        </w:rPr>
        <w:t>pāḫatu</w:t>
      </w:r>
      <w:r>
        <w:rPr/>
        <w:t xml:space="preserve"> und bedeutet „Amtsbezirk“ oder auch „Provinz“ - der Vorsteher eines solchen Bezirkes wird demnach als </w:t>
      </w:r>
      <w:r>
        <w:rPr>
          <w:i/>
        </w:rPr>
        <w:t>bēl pāḫati</w:t>
      </w:r>
      <w:r>
        <w:rPr/>
        <w:t xml:space="preserve"> bezeichnet. Ob </w:t>
      </w:r>
      <w:r>
        <w:rPr>
          <w:i/>
        </w:rPr>
        <w:t>pæchah</w:t>
      </w:r>
      <w:r>
        <w:rPr/>
        <w:t xml:space="preserve"> mit „Statthalter“ übersetzt werden kann, wie es in den traditionellen Übersetzungen der Fall ist, ist in der Forschung umstritten.</w:t>
      </w:r>
    </w:p>
  </w:footnote>
  <w:footnote w:id="3128">
    <w:p>
      <w:pPr>
        <w:pStyle w:val="Funote"/>
        <w:rPr/>
      </w:pPr>
      <w:r>
        <w:rPr>
          <w:rStyle w:val="Funotenzeichen"/>
        </w:rPr>
        <w:footnoteRef/>
      </w:r>
      <w:r>
        <w:rPr/>
        <w:tab/>
        <w:t>Wörtlich: „ein Mann“.</w:t>
      </w:r>
    </w:p>
  </w:footnote>
  <w:footnote w:id="3129">
    <w:p>
      <w:pPr>
        <w:pStyle w:val="Funote"/>
        <w:rPr/>
      </w:pPr>
      <w:r>
        <w:rPr>
          <w:rStyle w:val="Funotenzeichen"/>
        </w:rPr>
        <w:footnoteRef/>
      </w:r>
      <w:r>
        <w:rPr/>
        <w:tab/>
        <w:t>Datierung: 17. Oktober 520 v.Chr.</w:t>
      </w:r>
    </w:p>
  </w:footnote>
  <w:footnote w:id="3130">
    <w:p>
      <w:pPr>
        <w:pStyle w:val="Funote"/>
        <w:rPr/>
      </w:pPr>
      <w:r>
        <w:rPr>
          <w:rStyle w:val="Funotenzeichen"/>
        </w:rPr>
        <w:footnoteRef/>
      </w:r>
      <w:r>
        <w:rPr/>
        <w:tab/>
        <w:t>[Status: Ungeprüft]</w:t>
      </w:r>
    </w:p>
  </w:footnote>
  <w:footnote w:id="3131">
    <w:p>
      <w:pPr>
        <w:pStyle w:val="Funote"/>
        <w:rPr/>
      </w:pPr>
      <w:r>
        <w:rPr>
          <w:rStyle w:val="Funotenzeichen"/>
        </w:rPr>
        <w:footnoteRef/>
      </w:r>
      <w:r>
        <w:rPr/>
        <w:tab/>
        <w:t>Datierung: 17. Oktober 520 v.Chr.</w:t>
      </w:r>
    </w:p>
  </w:footnote>
  <w:footnote w:id="3132">
    <w:p>
      <w:pPr>
        <w:pStyle w:val="Funote"/>
        <w:rPr/>
      </w:pPr>
      <w:r>
        <w:rPr>
          <w:rStyle w:val="Funotenzeichen"/>
        </w:rPr>
        <w:footnoteRef/>
      </w:r>
      <w:r>
        <w:rPr/>
        <w:tab/>
        <w:t>Datierung: 18. Dezember 520 v.Chr.</w:t>
      </w:r>
    </w:p>
  </w:footnote>
  <w:footnote w:id="3133">
    <w:p>
      <w:pPr>
        <w:pStyle w:val="Funote"/>
        <w:rPr/>
      </w:pPr>
      <w:r>
        <w:rPr>
          <w:rStyle w:val="Funotenzeichen"/>
        </w:rPr>
        <w:footnoteRef/>
      </w:r>
      <w:r>
        <w:rPr/>
        <w:tab/>
        <w:t xml:space="preserve">Im MT steht hier </w:t>
      </w:r>
      <w:r>
        <w:rPr>
          <w:rtl w:val="true"/>
          <w:lang w:bidi="he-IL"/>
        </w:rPr>
        <w:t>תֹּורָה</w:t>
      </w:r>
      <w:r>
        <w:rPr/>
        <w:t>.</w:t>
      </w:r>
    </w:p>
  </w:footnote>
  <w:footnote w:id="3134">
    <w:p>
      <w:pPr>
        <w:pStyle w:val="Funote"/>
        <w:rPr/>
      </w:pPr>
      <w:r>
        <w:rPr>
          <w:rStyle w:val="Funotenzeichen"/>
        </w:rPr>
        <w:footnoteRef/>
      </w:r>
      <w:r>
        <w:rPr/>
        <w:tab/>
        <w:t>Präposition in Verbindung mit einem Inf. constr. mit Suffix der 3. Person maskulinum Plural (</w:t>
      </w:r>
      <w:r>
        <w:rPr>
          <w:rtl w:val="true"/>
          <w:lang w:bidi="he-IL"/>
        </w:rPr>
        <w:t>מִֽהְיֹותָ֥ם</w:t>
      </w:r>
      <w:r>
        <w:rPr/>
        <w:t>).</w:t>
      </w:r>
    </w:p>
  </w:footnote>
  <w:footnote w:id="3135">
    <w:p>
      <w:pPr>
        <w:pStyle w:val="Funote"/>
        <w:rPr/>
      </w:pPr>
      <w:r>
        <w:rPr>
          <w:rStyle w:val="Funotenzeichen"/>
        </w:rPr>
        <w:footnoteRef/>
      </w:r>
      <w:r>
        <w:rPr/>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3136">
    <w:p>
      <w:pPr>
        <w:pStyle w:val="Funote"/>
        <w:rPr/>
      </w:pPr>
      <w:r>
        <w:rPr>
          <w:rStyle w:val="Funotenzeichen"/>
        </w:rPr>
        <w:footnoteRef/>
      </w:r>
      <w:r>
        <w:rPr/>
        <w:tab/>
        <w:t>Gemeint ist das Verwelken von Gewächsen.</w:t>
      </w:r>
    </w:p>
  </w:footnote>
  <w:footnote w:id="3137">
    <w:p>
      <w:pPr>
        <w:pStyle w:val="Funote"/>
        <w:rPr/>
      </w:pPr>
      <w:r>
        <w:rPr>
          <w:rStyle w:val="Funotenzeichen"/>
        </w:rPr>
        <w:footnoteRef/>
      </w:r>
      <w:r>
        <w:rPr/>
        <w:tab/>
        <w:t>Wörtlich: „und nichts in Bezug auf euch zu mir“.</w:t>
      </w:r>
    </w:p>
  </w:footnote>
  <w:footnote w:id="3138">
    <w:p>
      <w:pPr>
        <w:pStyle w:val="Funote"/>
        <w:rPr/>
      </w:pPr>
      <w:r>
        <w:rPr>
          <w:rStyle w:val="Funotenzeichen"/>
        </w:rPr>
        <w:footnoteRef/>
      </w:r>
      <w:r>
        <w:rPr/>
        <w:tab/>
        <w:t>Vgl. V. 10.</w:t>
      </w:r>
    </w:p>
  </w:footnote>
  <w:footnote w:id="3139">
    <w:p>
      <w:pPr>
        <w:pStyle w:val="Funote"/>
        <w:rPr/>
      </w:pPr>
      <w:r>
        <w:rPr>
          <w:rStyle w:val="Funotenzeichen"/>
        </w:rPr>
        <w:footnoteRef/>
      </w:r>
      <w:r>
        <w:rPr/>
        <w:tab/>
        <w:t xml:space="preserve">Hier wird der </w:t>
      </w:r>
      <w:hyperlink r:id="rId244">
        <w:r>
          <w:rPr>
            <w:rStyle w:val="Internetverknpfung"/>
            <w:i/>
          </w:rPr>
          <w:t>futurus instanz</w:t>
        </w:r>
      </w:hyperlink>
      <w:r>
        <w:rPr/>
        <w:t xml:space="preserve"> als Ausdruck der unmittelbaren Zukunft benutzt.</w:t>
      </w:r>
    </w:p>
  </w:footnote>
  <w:footnote w:id="3140">
    <w:p>
      <w:pPr>
        <w:pStyle w:val="Funote"/>
        <w:rPr/>
      </w:pPr>
      <w:r>
        <w:rPr>
          <w:rStyle w:val="Funotenzeichen"/>
        </w:rPr>
        <w:footnoteRef/>
      </w:r>
      <w:r>
        <w:rPr/>
        <w:tab/>
        <w:t>[Status: Ungeprüft]</w:t>
      </w:r>
    </w:p>
  </w:footnote>
  <w:footnote w:id="3141">
    <w:p>
      <w:pPr>
        <w:pStyle w:val="Funote"/>
        <w:rPr/>
      </w:pPr>
      <w:r>
        <w:rPr>
          <w:rStyle w:val="Funotenzeichen"/>
        </w:rPr>
        <w:footnoteRef/>
      </w:r>
      <w:r>
        <w:rPr/>
        <w:tab/>
        <w:t>Datierung: Oktober/November 520 v. Chr.</w:t>
      </w:r>
    </w:p>
  </w:footnote>
  <w:footnote w:id="3142">
    <w:p>
      <w:pPr>
        <w:pStyle w:val="Funote"/>
        <w:rPr/>
      </w:pPr>
      <w:r>
        <w:rPr>
          <w:rStyle w:val="Funotenzeichen"/>
        </w:rPr>
        <w:footnoteRef/>
      </w:r>
      <w:r>
        <w:rPr>
          <w:i/>
        </w:rPr>
        <w:tab/>
        <w:t>Figura ethymologica</w:t>
      </w:r>
      <w:r>
        <w:rPr/>
        <w:t>, mögliche Übertragung: „hegt Zorn“.</w:t>
      </w:r>
    </w:p>
  </w:footnote>
  <w:footnote w:id="3143">
    <w:p>
      <w:pPr>
        <w:pStyle w:val="Funote"/>
        <w:rPr/>
      </w:pPr>
      <w:r>
        <w:rPr>
          <w:rStyle w:val="Funotenzeichen"/>
        </w:rPr>
        <w:footnoteRef/>
      </w:r>
      <w:r>
        <w:rPr/>
        <w:tab/>
        <w:t>Wörtlich: „wovon gilt, dass (Relativpartikel) die ersten Propheten zu ihnen riefen“.</w:t>
      </w:r>
    </w:p>
  </w:footnote>
  <w:footnote w:id="3144">
    <w:p>
      <w:pPr>
        <w:pStyle w:val="Funote"/>
        <w:rPr/>
      </w:pPr>
      <w:r>
        <w:rPr>
          <w:rStyle w:val="Funotenzeichen"/>
        </w:rPr>
        <w:footnoteRef/>
      </w:r>
      <w:r>
        <w:rPr/>
        <w:tab/>
        <w:t>Datierung: 15. Februar 519 v. Chr.</w:t>
      </w:r>
    </w:p>
  </w:footnote>
  <w:footnote w:id="3145">
    <w:p>
      <w:pPr>
        <w:pStyle w:val="Funote"/>
        <w:rPr/>
      </w:pPr>
      <w:r>
        <w:rPr>
          <w:rStyle w:val="Funotenzeichen"/>
        </w:rPr>
        <w:footnoteRef/>
      </w:r>
      <w:r>
        <w:rPr/>
        <w:tab/>
        <w:t>Partizip mask. singl.</w:t>
      </w:r>
    </w:p>
  </w:footnote>
  <w:footnote w:id="3146">
    <w:p>
      <w:pPr>
        <w:pStyle w:val="Funote"/>
        <w:rPr/>
      </w:pPr>
      <w:r>
        <w:rPr>
          <w:rStyle w:val="Funotenzeichen"/>
        </w:rPr>
        <w:footnoteRef/>
      </w:r>
      <w:r>
        <w:rPr/>
        <w:tab/>
        <w:t>Oder ein Ort bei Jerusalem.</w:t>
      </w:r>
    </w:p>
  </w:footnote>
  <w:footnote w:id="3147">
    <w:p>
      <w:pPr>
        <w:pStyle w:val="Funote"/>
        <w:rPr/>
      </w:pPr>
      <w:r>
        <w:rPr>
          <w:rStyle w:val="Funotenzeichen"/>
        </w:rPr>
        <w:footnoteRef/>
      </w:r>
      <w:r>
        <w:rPr/>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148">
    <w:p>
      <w:pPr>
        <w:pStyle w:val="Funote"/>
        <w:rPr/>
      </w:pPr>
      <w:r>
        <w:rPr>
          <w:rStyle w:val="Funotenzeichen"/>
        </w:rPr>
        <w:footnoteRef/>
      </w:r>
      <w:r>
        <w:rPr/>
        <w:tab/>
        <w:t>In dem Sinne von „jmd. seinen Zorn spüren lassen“ oder auch „verwünschen“.</w:t>
      </w:r>
    </w:p>
  </w:footnote>
  <w:footnote w:id="3149">
    <w:p>
      <w:pPr>
        <w:pStyle w:val="Funote"/>
        <w:rPr/>
      </w:pPr>
      <w:r>
        <w:rPr>
          <w:rStyle w:val="Funotenzeichen"/>
        </w:rPr>
        <w:footnoteRef/>
      </w:r>
      <w:r>
        <w:rPr/>
        <w:tab/>
        <w:t>Eigentliche Bedeutung des Nomens: „in Mutterleibern“, wobei sich die Wortwurzel von „sich erbarmen“ ableitet.</w:t>
      </w:r>
    </w:p>
  </w:footnote>
  <w:footnote w:id="3150">
    <w:p>
      <w:pPr>
        <w:pStyle w:val="Funote"/>
        <w:rPr/>
      </w:pPr>
      <w:r>
        <w:rPr>
          <w:rStyle w:val="Funotenzeichen"/>
        </w:rPr>
        <w:footnoteRef/>
      </w:r>
      <w:r>
        <w:rPr/>
        <w:tab/>
        <w:t>Die LXX liest „erbarmen“; eine ähnliche Übersetzung lässt auch die Nif'al-Form des Verbs zu.</w:t>
      </w:r>
    </w:p>
  </w:footnote>
  <w:footnote w:id="3151">
    <w:p>
      <w:pPr>
        <w:pStyle w:val="Funote"/>
        <w:rPr/>
      </w:pPr>
      <w:r>
        <w:rPr>
          <w:rStyle w:val="Funotenzeichen"/>
        </w:rPr>
        <w:footnoteRef/>
      </w:r>
      <w:r>
        <w:rPr/>
        <w:tab/>
        <w:t>[Status: Zuverlässig]</w:t>
      </w:r>
    </w:p>
  </w:footnote>
  <w:footnote w:id="3152">
    <w:p>
      <w:pPr>
        <w:pStyle w:val="Funote"/>
        <w:rPr/>
      </w:pPr>
      <w:r>
        <w:rPr>
          <w:rStyle w:val="Funotenzeichen"/>
        </w:rPr>
        <w:footnoteRef/>
      </w:r>
      <w:r>
        <w:rPr/>
        <w:tab/>
        <w:t>Kann auch „worfeln“ bedeuten; vgl. Koh 20,8.</w:t>
      </w:r>
    </w:p>
  </w:footnote>
  <w:footnote w:id="3153">
    <w:p>
      <w:pPr>
        <w:pStyle w:val="Funote"/>
        <w:rPr/>
      </w:pPr>
      <w:r>
        <w:rPr>
          <w:rStyle w:val="Funotenzeichen"/>
        </w:rPr>
        <w:footnoteRef/>
      </w:r>
      <w:r>
        <w:rPr/>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154">
    <w:p>
      <w:pPr>
        <w:pStyle w:val="Funote"/>
        <w:rPr/>
      </w:pPr>
      <w:r>
        <w:rPr>
          <w:rStyle w:val="Funotenzeichen"/>
        </w:rPr>
        <w:footnoteRef/>
      </w:r>
      <w:r>
        <w:rPr/>
        <w:tab/>
        <w:t>Auch: mit Steinen beschmeißen.</w:t>
      </w:r>
    </w:p>
  </w:footnote>
  <w:footnote w:id="3155">
    <w:p>
      <w:pPr>
        <w:pStyle w:val="Funote"/>
        <w:rPr/>
      </w:pPr>
      <w:r>
        <w:rPr>
          <w:rStyle w:val="Funotenzeichen"/>
        </w:rPr>
        <w:footnoteRef/>
      </w:r>
      <w:r>
        <w:rPr>
          <w:rtl w:val="true"/>
          <w:lang w:bidi="he-IL"/>
        </w:rPr>
        <w:tab/>
        <w:t>הַגֹּויִם</w:t>
      </w:r>
      <w:r>
        <w:rPr/>
        <w:t xml:space="preserve"> </w:t>
      </w:r>
      <w:r>
        <w:rPr/>
        <w:t>meint die fremden, nicht jüdischen Völker.</w:t>
      </w:r>
    </w:p>
  </w:footnote>
  <w:footnote w:id="3156">
    <w:p>
      <w:pPr>
        <w:pStyle w:val="Funote"/>
        <w:rPr/>
      </w:pPr>
      <w:r>
        <w:rPr>
          <w:rStyle w:val="Funotenzeichen"/>
        </w:rPr>
        <w:footnoteRef/>
      </w:r>
      <w:r>
        <w:rPr/>
        <w:tab/>
        <w:t>Die anderen dt. Übersetzungen sagen: „zu messen“; die hier verwendete Übersetzung folgt Gesenius</w:t>
      </w:r>
      <w:r>
        <w:rPr>
          <w:position w:val="7"/>
          <w:sz w:val="16"/>
        </w:rPr>
        <w:t>17</w:t>
      </w:r>
      <w:r>
        <w:rPr/>
        <w:t>, S. 387.</w:t>
      </w:r>
    </w:p>
  </w:footnote>
  <w:footnote w:id="3157">
    <w:p>
      <w:pPr>
        <w:pStyle w:val="Funote"/>
        <w:rPr/>
      </w:pPr>
      <w:r>
        <w:rPr>
          <w:rStyle w:val="Funotenzeichen"/>
        </w:rPr>
        <w:footnoteRef/>
      </w:r>
      <w:r>
        <w:rPr/>
        <w:tab/>
        <w:t>Also für Jerusalem.</w:t>
      </w:r>
    </w:p>
  </w:footnote>
  <w:footnote w:id="3158">
    <w:p>
      <w:pPr>
        <w:pStyle w:val="Funote"/>
        <w:rPr/>
      </w:pPr>
      <w:r>
        <w:rPr>
          <w:rStyle w:val="Funotenzeichen"/>
        </w:rPr>
        <w:footnoteRef/>
      </w:r>
      <w:r>
        <w:rPr/>
        <w:tab/>
        <w:t xml:space="preserve">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 </w:t>
      </w:r>
    </w:p>
  </w:footnote>
  <w:footnote w:id="3159">
    <w:p>
      <w:pPr>
        <w:pStyle w:val="Funote"/>
        <w:rPr/>
      </w:pPr>
      <w:r>
        <w:rPr>
          <w:rStyle w:val="Funotenzeichen"/>
        </w:rPr>
        <w:footnoteRef/>
      </w:r>
      <w:r>
        <w:rPr/>
        <w:tab/>
        <w:t>Alternativübersetzung: »[nach] Zion entkomme« (Menge, GNB, ESV, NRSV).</w:t>
      </w:r>
    </w:p>
  </w:footnote>
  <w:footnote w:id="3160">
    <w:p>
      <w:pPr>
        <w:pStyle w:val="Funote"/>
        <w:rPr/>
      </w:pPr>
      <w:r>
        <w:rPr>
          <w:rStyle w:val="Funotenzeichen"/>
        </w:rPr>
        <w:footnoteRef/>
      </w:r>
      <w:r>
        <w:rPr/>
        <w:tab/>
        <w:t xml:space="preserve">Attributives </w:t>
      </w:r>
      <w:hyperlink r:id="rId245">
        <w:r>
          <w:rPr>
            <w:rStyle w:val="Internetverknpfung"/>
          </w:rPr>
          <w:t>Ptz.</w:t>
        </w:r>
      </w:hyperlink>
      <w:r>
        <w:rPr/>
        <w:t>.</w:t>
      </w:r>
    </w:p>
  </w:footnote>
  <w:footnote w:id="3161">
    <w:p>
      <w:pPr>
        <w:pStyle w:val="Funote"/>
        <w:rPr/>
      </w:pPr>
      <w:r>
        <w:rPr>
          <w:rStyle w:val="Funotenzeichen"/>
        </w:rPr>
        <w:footnoteRef/>
      </w:r>
      <w:r>
        <w:rPr/>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162">
    <w:p>
      <w:pPr>
        <w:pStyle w:val="Funote"/>
        <w:rPr/>
      </w:pPr>
      <w:r>
        <w:rPr>
          <w:rStyle w:val="Funotenzeichen"/>
        </w:rPr>
        <w:footnoteRef/>
      </w:r>
      <w:r>
        <w:rPr/>
        <w:tab/>
        <w:t xml:space="preserve">Subst. </w:t>
      </w:r>
      <w:hyperlink r:id="rId246">
        <w:r>
          <w:rPr>
            <w:rStyle w:val="Internetverknpfung"/>
          </w:rPr>
          <w:t>Ptz.</w:t>
        </w:r>
      </w:hyperlink>
      <w:r>
        <w:rPr/>
        <w:t xml:space="preserve"> Pl.</w:t>
      </w:r>
    </w:p>
  </w:footnote>
  <w:footnote w:id="3163">
    <w:p>
      <w:pPr>
        <w:pStyle w:val="Funote"/>
        <w:rPr/>
      </w:pPr>
      <w:r>
        <w:rPr>
          <w:rStyle w:val="Funotenzeichen"/>
        </w:rPr>
        <w:footnoteRef/>
      </w:r>
      <w:r>
        <w:rPr/>
        <w:tab/>
        <w:t xml:space="preserve">Attributives </w:t>
      </w:r>
      <w:hyperlink r:id="rId247">
        <w:r>
          <w:rPr>
            <w:rStyle w:val="Internetverknpfung"/>
          </w:rPr>
          <w:t>Ptz.</w:t>
        </w:r>
      </w:hyperlink>
      <w:r>
        <w:rPr/>
        <w:t>.</w:t>
      </w:r>
    </w:p>
  </w:footnote>
  <w:footnote w:id="3164">
    <w:p>
      <w:pPr>
        <w:pStyle w:val="Funote"/>
        <w:rPr/>
      </w:pPr>
      <w:r>
        <w:rPr>
          <w:rStyle w:val="Funotenzeichen"/>
        </w:rPr>
        <w:footnoteRef/>
      </w:r>
      <w:r>
        <w:rPr/>
        <w:tab/>
        <w:t>Wörtlich: „Zentrum/Pupille seines Auges“.</w:t>
      </w:r>
    </w:p>
  </w:footnote>
  <w:footnote w:id="3165">
    <w:p>
      <w:pPr>
        <w:pStyle w:val="Funote"/>
        <w:rPr/>
      </w:pPr>
      <w:r>
        <w:rPr>
          <w:rStyle w:val="Funotenzeichen"/>
        </w:rPr>
        <w:footnoteRef/>
      </w:r>
      <w:r>
        <w:rPr/>
        <w:tab/>
        <w:t>„</w:t>
      </w:r>
      <w:r>
        <w:rPr/>
        <w:t xml:space="preserve">Siehe“ wirkt hier als Marker einer Ankündigung. Könnte den Aspekt der Unmittelbarkeit der angekündigten Handlung ausdrücken, steht hier wohl hauptsächlich zwecks Nachdruck. </w:t>
      </w:r>
    </w:p>
  </w:footnote>
  <w:footnote w:id="3166">
    <w:p>
      <w:pPr>
        <w:pStyle w:val="Funote"/>
        <w:rPr/>
      </w:pPr>
      <w:r>
        <w:rPr>
          <w:rStyle w:val="Funotenzeichen"/>
        </w:rPr>
        <w:footnoteRef/>
      </w:r>
      <w:r>
        <w:rPr/>
        <w:tab/>
        <w:t xml:space="preserve">Prädikatives </w:t>
      </w:r>
      <w:hyperlink r:id="rId248">
        <w:r>
          <w:rPr>
            <w:rStyle w:val="Internetverknpfung"/>
          </w:rPr>
          <w:t>Ptz.</w:t>
        </w:r>
      </w:hyperlink>
      <w:r>
        <w:rPr/>
        <w:t>; auch futurisch „werde schütteln“.</w:t>
      </w:r>
    </w:p>
  </w:footnote>
  <w:footnote w:id="3167">
    <w:p>
      <w:pPr>
        <w:pStyle w:val="Funote"/>
        <w:rPr/>
      </w:pPr>
      <w:r>
        <w:rPr>
          <w:rStyle w:val="Funotenzeichen"/>
        </w:rPr>
        <w:footnoteRef/>
      </w:r>
      <w:r>
        <w:rPr/>
        <w:tab/>
        <w:t>D.h. „ich werde sie bestrafen“ (s. NET Sach 2,9 Fußnote 12).</w:t>
      </w:r>
    </w:p>
  </w:footnote>
  <w:footnote w:id="3168">
    <w:p>
      <w:pPr>
        <w:pStyle w:val="Funote"/>
        <w:rPr/>
      </w:pPr>
      <w:r>
        <w:rPr>
          <w:rStyle w:val="Funotenzeichen"/>
        </w:rPr>
        <w:footnoteRef/>
      </w:r>
      <w:r>
        <w:rPr/>
        <w:tab/>
        <w:t>Direkter Rückbezug zu „ausplündern“ in V. 12 durch Verwendung derselben Wurzel (</w:t>
      </w:r>
      <w:r>
        <w:rPr>
          <w:rtl w:val="true"/>
          <w:lang w:bidi="he-IL"/>
        </w:rPr>
        <w:t>שלל</w:t>
      </w:r>
      <w:r>
        <w:rPr/>
        <w:t>).</w:t>
      </w:r>
    </w:p>
  </w:footnote>
  <w:footnote w:id="3169">
    <w:p>
      <w:pPr>
        <w:pStyle w:val="Funote"/>
        <w:rPr/>
      </w:pPr>
      <w:r>
        <w:rPr>
          <w:rStyle w:val="Funotenzeichen"/>
        </w:rPr>
        <w:footnoteRef/>
      </w:r>
      <w:r>
        <w:rPr/>
        <w:tab/>
        <w:t>„</w:t>
      </w:r>
      <w:r>
        <w:rPr/>
        <w:t xml:space="preserve">Siehe“ wirkt hier als Marker einer Ankündigung. Könnte den Aspekt der Unmittelbarkeit der angekündigten Handlung ausdrücken, steht hier wohl hauptsächlich zwecks Nachdruck. </w:t>
      </w:r>
    </w:p>
  </w:footnote>
  <w:footnote w:id="3170">
    <w:p>
      <w:pPr>
        <w:pStyle w:val="Funote"/>
        <w:rPr/>
      </w:pPr>
      <w:r>
        <w:rPr>
          <w:rStyle w:val="Funotenzeichen"/>
        </w:rPr>
        <w:footnoteRef/>
      </w:r>
      <w:r>
        <w:rPr/>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171">
    <w:p>
      <w:pPr>
        <w:pStyle w:val="Funote"/>
        <w:rPr/>
      </w:pPr>
      <w:r>
        <w:rPr>
          <w:rStyle w:val="Funotenzeichen"/>
        </w:rPr>
        <w:footnoteRef/>
      </w:r>
      <w:r>
        <w:rPr/>
        <w:tab/>
        <w:t>Selbe Wendung wie in 1,17; wirkt als Klammer um die Kapitel 1-2.</w:t>
      </w:r>
    </w:p>
  </w:footnote>
  <w:footnote w:id="3172">
    <w:p>
      <w:pPr>
        <w:pStyle w:val="Funote"/>
        <w:rPr/>
      </w:pPr>
      <w:r>
        <w:rPr>
          <w:rStyle w:val="Funotenzeichen"/>
        </w:rPr>
        <w:footnoteRef/>
      </w:r>
      <w:r>
        <w:rPr/>
        <w:tab/>
        <w:t>[Status: Ungeprüft]</w:t>
      </w:r>
    </w:p>
  </w:footnote>
  <w:footnote w:id="3173">
    <w:p>
      <w:pPr>
        <w:pStyle w:val="Funote"/>
        <w:rPr/>
      </w:pPr>
      <w:r>
        <w:rPr>
          <w:rStyle w:val="Funotenzeichen"/>
        </w:rPr>
        <w:footnoteRef/>
      </w:r>
      <w:r>
        <w:rPr/>
        <w:tab/>
        <w:t xml:space="preserve">Hif'il Impf. Cons. mit Suff. 1. Pers. Sg. von </w:t>
      </w:r>
      <w:r>
        <w:rPr>
          <w:rtl w:val="true"/>
          <w:lang w:bidi="he-IL"/>
        </w:rPr>
        <w:t>ראה</w:t>
      </w:r>
      <w:r>
        <w:rPr/>
        <w:t>.</w:t>
      </w:r>
    </w:p>
  </w:footnote>
  <w:footnote w:id="3174">
    <w:p>
      <w:pPr>
        <w:pStyle w:val="Funote"/>
        <w:rPr/>
      </w:pPr>
      <w:r>
        <w:rPr>
          <w:rStyle w:val="Funotenzeichen"/>
        </w:rPr>
        <w:footnoteRef/>
      </w:r>
      <w:r>
        <w:rPr/>
        <w:tab/>
        <w:t xml:space="preserve">Kal Pt. m. von </w:t>
      </w:r>
      <w:r>
        <w:rPr>
          <w:rtl w:val="true"/>
          <w:lang w:bidi="he-IL"/>
        </w:rPr>
        <w:t>בחר</w:t>
      </w:r>
      <w:r>
        <w:rPr/>
        <w:t>.</w:t>
      </w:r>
    </w:p>
  </w:footnote>
  <w:footnote w:id="3175">
    <w:p>
      <w:pPr>
        <w:pStyle w:val="Funote"/>
        <w:rPr/>
      </w:pPr>
      <w:r>
        <w:rPr>
          <w:rStyle w:val="Funotenzeichen"/>
        </w:rPr>
        <w:footnoteRef/>
      </w:r>
      <w:r>
        <w:rPr/>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176">
    <w:p>
      <w:pPr>
        <w:pStyle w:val="Funote"/>
        <w:rPr/>
      </w:pPr>
      <w:r>
        <w:rPr>
          <w:rStyle w:val="Funotenzeichen"/>
        </w:rPr>
        <w:footnoteRef/>
      </w:r>
      <w:r>
        <w:rPr/>
        <w:tab/>
        <w:t xml:space="preserve">Kal Pt. m. von </w:t>
      </w:r>
      <w:r>
        <w:rPr>
          <w:rtl w:val="true"/>
          <w:lang w:bidi="he-IL"/>
        </w:rPr>
        <w:t>עמד</w:t>
      </w:r>
      <w:r>
        <w:rPr/>
        <w:t>, parataktisch aufgelöst mit „und“. Die Kopula wurde darum mit „auch“ übersetzt.</w:t>
      </w:r>
    </w:p>
  </w:footnote>
  <w:footnote w:id="3177">
    <w:p>
      <w:pPr>
        <w:pStyle w:val="Funote"/>
        <w:rPr/>
      </w:pPr>
      <w:r>
        <w:rPr>
          <w:rStyle w:val="Funotenzeichen"/>
        </w:rPr>
        <w:footnoteRef/>
      </w:r>
      <w:r>
        <w:rPr/>
        <w:tab/>
        <w:t xml:space="preserve">Kal Inf. mit Suff. 3. Pers. Sg. von </w:t>
      </w:r>
      <w:r>
        <w:rPr>
          <w:rtl w:val="true"/>
          <w:lang w:bidi="he-IL"/>
        </w:rPr>
        <w:t>שׂטן</w:t>
      </w:r>
      <w:r>
        <w:rPr/>
        <w:t>; aus dieser Wurzel stammt auch das Wort „Satan“.</w:t>
      </w:r>
    </w:p>
  </w:footnote>
  <w:footnote w:id="3178">
    <w:p>
      <w:pPr>
        <w:pStyle w:val="Funote"/>
        <w:rPr/>
      </w:pPr>
      <w:r>
        <w:rPr>
          <w:rStyle w:val="Funotenzeichen"/>
        </w:rPr>
        <w:footnoteRef/>
      </w:r>
      <w:r>
        <w:rPr/>
        <w:tab/>
        <w:t xml:space="preserve">Kal Impf. von </w:t>
      </w:r>
      <w:r>
        <w:rPr>
          <w:rtl w:val="true"/>
          <w:lang w:bidi="he-IL"/>
        </w:rPr>
        <w:t>גער</w:t>
      </w:r>
      <w:r>
        <w:rPr/>
        <w:t>, ist wie Jussiv zu übersetzen.</w:t>
      </w:r>
    </w:p>
  </w:footnote>
  <w:footnote w:id="3179">
    <w:p>
      <w:pPr>
        <w:pStyle w:val="Funote"/>
        <w:rPr/>
      </w:pPr>
      <w:r>
        <w:rPr>
          <w:rStyle w:val="Funotenzeichen"/>
        </w:rPr>
        <w:footnoteRef/>
      </w:r>
      <w:r>
        <w:rPr/>
        <w:tab/>
        <w:t xml:space="preserve">Kal Impf. Cons. von </w:t>
      </w:r>
      <w:r>
        <w:rPr>
          <w:rtl w:val="true"/>
          <w:lang w:bidi="he-IL"/>
        </w:rPr>
        <w:t>גער</w:t>
      </w:r>
      <w:r>
        <w:rPr/>
        <w:t>.</w:t>
      </w:r>
    </w:p>
  </w:footnote>
  <w:footnote w:id="3180">
    <w:p>
      <w:pPr>
        <w:pStyle w:val="Funote"/>
        <w:rPr/>
      </w:pPr>
      <w:r>
        <w:rPr>
          <w:rStyle w:val="Funotenzeichen"/>
        </w:rPr>
        <w:footnoteRef/>
      </w:r>
      <w:r>
        <w:rPr/>
        <w:tab/>
        <w:t xml:space="preserve">Kal Pt. m. von </w:t>
      </w:r>
      <w:r>
        <w:rPr>
          <w:rtl w:val="true"/>
          <w:lang w:bidi="he-IL"/>
        </w:rPr>
        <w:t>בחר</w:t>
      </w:r>
      <w:r>
        <w:rPr/>
        <w:t>.</w:t>
      </w:r>
    </w:p>
  </w:footnote>
  <w:footnote w:id="3181">
    <w:p>
      <w:pPr>
        <w:pStyle w:val="Funote"/>
        <w:rPr/>
      </w:pPr>
      <w:r>
        <w:rPr>
          <w:rStyle w:val="Funotenzeichen"/>
        </w:rPr>
        <w:footnoteRef/>
      </w:r>
      <w:r>
        <w:rPr/>
        <w:tab/>
        <w:t xml:space="preserve">Hof'al Pt. m. von </w:t>
      </w:r>
      <w:r>
        <w:rPr>
          <w:rtl w:val="true"/>
          <w:lang w:bidi="he-IL"/>
        </w:rPr>
        <w:t>נצל</w:t>
      </w:r>
      <w:r>
        <w:rPr/>
        <w:t>.</w:t>
      </w:r>
    </w:p>
  </w:footnote>
  <w:footnote w:id="3182">
    <w:p>
      <w:pPr>
        <w:pStyle w:val="Funote"/>
        <w:rPr/>
      </w:pPr>
      <w:r>
        <w:rPr>
          <w:rStyle w:val="Funotenzeichen"/>
        </w:rPr>
        <w:footnoteRef/>
      </w:r>
      <w:r>
        <w:rPr/>
        <w:tab/>
        <w:t xml:space="preserve">Verbaladjektiv von </w:t>
      </w:r>
      <w:r>
        <w:rPr>
          <w:rtl w:val="true"/>
          <w:lang w:bidi="he-IL"/>
        </w:rPr>
        <w:t>לבשׁ</w:t>
      </w:r>
      <w:r>
        <w:rPr/>
        <w:t>.</w:t>
      </w:r>
    </w:p>
  </w:footnote>
  <w:footnote w:id="3183">
    <w:p>
      <w:pPr>
        <w:pStyle w:val="Funote"/>
        <w:rPr/>
      </w:pPr>
      <w:r>
        <w:rPr>
          <w:rStyle w:val="Funotenzeichen"/>
        </w:rPr>
        <w:footnoteRef/>
      </w:r>
      <w:r>
        <w:rPr/>
        <w:tab/>
        <w:t xml:space="preserve">Adj. zu </w:t>
      </w:r>
      <w:r>
        <w:rPr>
          <w:rtl w:val="true"/>
          <w:lang w:bidi="he-IL"/>
        </w:rPr>
        <w:t>צֵאָה</w:t>
      </w:r>
      <w:r>
        <w:rPr/>
        <w:t>. Die Bedeutung lautet eigentlich: „kotig“.</w:t>
      </w:r>
    </w:p>
  </w:footnote>
  <w:footnote w:id="3184">
    <w:p>
      <w:pPr>
        <w:pStyle w:val="Funote"/>
        <w:rPr/>
      </w:pPr>
      <w:r>
        <w:rPr>
          <w:rStyle w:val="Funotenzeichen"/>
        </w:rPr>
        <w:footnoteRef/>
      </w:r>
      <w:r>
        <w:rPr/>
        <w:tab/>
        <w:t>Ob das Subjekt JHWH oder der angelus interpres aus Vers 3 ist, wird in der exegetischen Literatur unterschiedlich beantwortet.</w:t>
      </w:r>
    </w:p>
  </w:footnote>
  <w:footnote w:id="3185">
    <w:p>
      <w:pPr>
        <w:pStyle w:val="Funote"/>
        <w:rPr/>
      </w:pPr>
      <w:r>
        <w:rPr>
          <w:rStyle w:val="Funotenzeichen"/>
        </w:rPr>
        <w:footnoteRef/>
      </w:r>
      <w:r>
        <w:rPr/>
        <w:tab/>
        <w:t xml:space="preserve">Kal Pt. Pl. m. von </w:t>
      </w:r>
      <w:r>
        <w:rPr>
          <w:rtl w:val="true"/>
          <w:lang w:bidi="he-IL"/>
        </w:rPr>
        <w:t>עמד</w:t>
      </w:r>
      <w:r>
        <w:rPr/>
        <w:t>.</w:t>
      </w:r>
    </w:p>
  </w:footnote>
  <w:footnote w:id="3186">
    <w:p>
      <w:pPr>
        <w:pStyle w:val="Funote"/>
        <w:rPr/>
      </w:pPr>
      <w:r>
        <w:rPr>
          <w:rStyle w:val="Funotenzeichen"/>
        </w:rPr>
        <w:footnoteRef/>
      </w:r>
      <w:r>
        <w:rPr/>
        <w:tab/>
        <w:t xml:space="preserve">Hif'il Imp. Pl. von </w:t>
      </w:r>
      <w:r>
        <w:rPr>
          <w:rtl w:val="true"/>
          <w:lang w:bidi="he-IL"/>
        </w:rPr>
        <w:t>סור</w:t>
      </w:r>
      <w:r>
        <w:rPr/>
        <w:t>.</w:t>
      </w:r>
    </w:p>
  </w:footnote>
  <w:footnote w:id="3187">
    <w:p>
      <w:pPr>
        <w:pStyle w:val="Funote"/>
        <w:rPr/>
      </w:pPr>
      <w:r>
        <w:rPr>
          <w:rStyle w:val="Funotenzeichen"/>
        </w:rPr>
        <w:footnoteRef/>
      </w:r>
      <w:r>
        <w:rPr/>
        <w:tab/>
        <w:t xml:space="preserve">Kal Imp. Sg. von </w:t>
      </w:r>
      <w:r>
        <w:rPr>
          <w:rtl w:val="true"/>
          <w:lang w:bidi="he-IL"/>
        </w:rPr>
        <w:t>ראה</w:t>
      </w:r>
      <w:r>
        <w:rPr/>
        <w:t>.</w:t>
      </w:r>
    </w:p>
  </w:footnote>
  <w:footnote w:id="3188">
    <w:p>
      <w:pPr>
        <w:pStyle w:val="Funote"/>
        <w:rPr/>
      </w:pPr>
      <w:r>
        <w:rPr>
          <w:rStyle w:val="Funotenzeichen"/>
        </w:rPr>
        <w:footnoteRef/>
      </w:r>
      <w:r>
        <w:rPr/>
        <w:tab/>
        <w:t xml:space="preserve">Hif'il Pf. von </w:t>
      </w:r>
      <w:r>
        <w:rPr>
          <w:rtl w:val="true"/>
          <w:lang w:bidi="he-IL"/>
        </w:rPr>
        <w:t>עבר</w:t>
      </w:r>
      <w:r>
        <w:rPr/>
        <w:t>.</w:t>
      </w:r>
    </w:p>
  </w:footnote>
  <w:footnote w:id="3189">
    <w:p>
      <w:pPr>
        <w:pStyle w:val="Funote"/>
        <w:rPr/>
      </w:pPr>
      <w:r>
        <w:rPr>
          <w:rStyle w:val="Funotenzeichen"/>
        </w:rPr>
        <w:footnoteRef/>
      </w:r>
      <w:r>
        <w:rPr/>
        <w:tab/>
        <w:t xml:space="preserve">Hif'il Inf abs. von </w:t>
      </w:r>
      <w:r>
        <w:rPr>
          <w:rtl w:val="true"/>
          <w:lang w:bidi="he-IL"/>
        </w:rPr>
        <w:t>לבשׁ</w:t>
      </w:r>
      <w:r>
        <w:rPr/>
        <w:t>.</w:t>
      </w:r>
    </w:p>
  </w:footnote>
  <w:footnote w:id="3190">
    <w:p>
      <w:pPr>
        <w:pStyle w:val="Funote"/>
        <w:rPr/>
      </w:pPr>
      <w:r>
        <w:rPr>
          <w:rStyle w:val="Funotenzeichen"/>
        </w:rPr>
        <w:footnoteRef/>
      </w:r>
      <w:r>
        <w:rPr/>
        <w:tab/>
        <w:t>Gesenius</w:t>
      </w:r>
      <w:r>
        <w:rPr>
          <w:position w:val="7"/>
          <w:sz w:val="16"/>
        </w:rPr>
        <w:t>17</w:t>
      </w:r>
      <w:r>
        <w:rPr/>
        <w:t xml:space="preserve"> übersetzt „köstliche Kleider“; vgl. S. 414.</w:t>
      </w:r>
    </w:p>
  </w:footnote>
  <w:footnote w:id="3191">
    <w:p>
      <w:pPr>
        <w:pStyle w:val="Funote"/>
        <w:rPr/>
      </w:pPr>
      <w:r>
        <w:rPr>
          <w:rStyle w:val="Funotenzeichen"/>
        </w:rPr>
        <w:footnoteRef/>
      </w:r>
      <w:r>
        <w:rPr/>
        <w:tab/>
        <w:t>So die Lesart des Marotetischen Textes. Andere Textzeugen (S, T, V und LXX) lesen: „Und er sprach: ...“</w:t>
      </w:r>
    </w:p>
  </w:footnote>
  <w:footnote w:id="3192">
    <w:p>
      <w:pPr>
        <w:pStyle w:val="Funote"/>
        <w:rPr/>
      </w:pPr>
      <w:r>
        <w:rPr>
          <w:rStyle w:val="Funotenzeichen"/>
        </w:rPr>
        <w:footnoteRef/>
      </w:r>
      <w:r>
        <w:rPr/>
        <w:tab/>
        <w:t xml:space="preserve">Kal Jussiv von </w:t>
      </w:r>
      <w:r>
        <w:rPr>
          <w:rtl w:val="true"/>
          <w:lang w:bidi="he-IL"/>
        </w:rPr>
        <w:t>שׂים</w:t>
      </w:r>
      <w:r>
        <w:rPr/>
        <w:t>.</w:t>
      </w:r>
    </w:p>
  </w:footnote>
  <w:footnote w:id="3193">
    <w:p>
      <w:pPr>
        <w:pStyle w:val="Funote"/>
        <w:rPr/>
      </w:pPr>
      <w:r>
        <w:rPr>
          <w:rStyle w:val="Funotenzeichen"/>
        </w:rPr>
        <w:footnoteRef/>
      </w:r>
      <w:r>
        <w:rPr/>
        <w:tab/>
        <w:t>Im Sinne von „kultisch rein“.</w:t>
      </w:r>
    </w:p>
  </w:footnote>
  <w:footnote w:id="3194">
    <w:p>
      <w:pPr>
        <w:pStyle w:val="Funote"/>
        <w:rPr/>
      </w:pPr>
      <w:r>
        <w:rPr>
          <w:rStyle w:val="Funotenzeichen"/>
        </w:rPr>
        <w:footnoteRef/>
      </w:r>
      <w:r>
        <w:rPr/>
        <w:tab/>
        <w:t>Gemeint ist wohl die Kopfbedeckung des Hohenpriesters.</w:t>
      </w:r>
    </w:p>
  </w:footnote>
  <w:footnote w:id="3195">
    <w:p>
      <w:pPr>
        <w:pStyle w:val="Funote"/>
        <w:rPr/>
      </w:pPr>
      <w:r>
        <w:rPr>
          <w:rStyle w:val="Funotenzeichen"/>
        </w:rPr>
        <w:footnoteRef/>
      </w:r>
      <w:r>
        <w:rPr/>
        <w:tab/>
        <w:t>Das Partizip wurde paraktisch mit „während“ übersetzt. Die Kopula zu Beginn wurde mit „auch“ aufgelöst.</w:t>
      </w:r>
    </w:p>
  </w:footnote>
  <w:footnote w:id="3196">
    <w:p>
      <w:pPr>
        <w:pStyle w:val="Funote"/>
        <w:rPr/>
      </w:pPr>
      <w:r>
        <w:rPr>
          <w:rStyle w:val="Funotenzeichen"/>
        </w:rPr>
        <w:footnoteRef/>
      </w:r>
      <w:r>
        <w:rPr/>
        <w:tab/>
        <w:t xml:space="preserve">Hif'il Impf. Cons. von </w:t>
      </w:r>
      <w:r>
        <w:rPr>
          <w:rtl w:val="true"/>
          <w:lang w:bidi="he-IL"/>
        </w:rPr>
        <w:t>עוד</w:t>
      </w:r>
      <w:r>
        <w:rPr/>
        <w:t>.</w:t>
      </w:r>
    </w:p>
  </w:footnote>
  <w:footnote w:id="3197">
    <w:p>
      <w:pPr>
        <w:pStyle w:val="Funote"/>
        <w:rPr/>
      </w:pPr>
      <w:r>
        <w:rPr>
          <w:rStyle w:val="Funotenzeichen"/>
        </w:rPr>
        <w:footnoteRef/>
      </w:r>
      <w:r>
        <w:rPr/>
        <w:tab/>
        <w:t xml:space="preserve">Kal Impf. von </w:t>
      </w:r>
      <w:r>
        <w:rPr>
          <w:rtl w:val="true"/>
          <w:lang w:bidi="he-IL"/>
        </w:rPr>
        <w:t>הלך</w:t>
      </w:r>
      <w:r>
        <w:rPr/>
        <w:t>.</w:t>
      </w:r>
    </w:p>
  </w:footnote>
  <w:footnote w:id="3198">
    <w:p>
      <w:pPr>
        <w:pStyle w:val="Funote"/>
        <w:rPr/>
      </w:pPr>
      <w:r>
        <w:rPr>
          <w:rStyle w:val="Funotenzeichen"/>
        </w:rPr>
        <w:footnoteRef/>
      </w:r>
      <w:r>
        <w:rPr/>
        <w:tab/>
        <w:t>Im MT eine unsichere Pluralform.</w:t>
      </w:r>
    </w:p>
  </w:footnote>
  <w:footnote w:id="3199">
    <w:p>
      <w:pPr>
        <w:pStyle w:val="Funote"/>
        <w:rPr/>
      </w:pPr>
      <w:r>
        <w:rPr>
          <w:rStyle w:val="Funotenzeichen"/>
        </w:rPr>
        <w:footnoteRef/>
      </w:r>
      <w:r>
        <w:rPr/>
        <w:tab/>
        <w:t>Kann auch mit „begegnen“ übersetzt werden.</w:t>
      </w:r>
    </w:p>
  </w:footnote>
  <w:footnote w:id="3200">
    <w:p>
      <w:pPr>
        <w:pStyle w:val="Funote"/>
        <w:rPr/>
      </w:pPr>
      <w:r>
        <w:rPr>
          <w:rStyle w:val="Funotenzeichen"/>
        </w:rPr>
        <w:footnoteRef/>
      </w:r>
      <w:r>
        <w:rPr/>
        <w:tab/>
        <w:t>[Status: Ungeprüft]</w:t>
      </w:r>
    </w:p>
  </w:footnote>
  <w:footnote w:id="3201">
    <w:p>
      <w:pPr>
        <w:pStyle w:val="Funote"/>
        <w:rPr/>
      </w:pPr>
      <w:r>
        <w:rPr>
          <w:rStyle w:val="Funotenzeichen"/>
        </w:rPr>
        <w:footnoteRef/>
      </w:r>
      <w:r>
        <w:rPr/>
        <w:tab/>
        <w:t>Wörtlich: „…, was jene diese?“.</w:t>
      </w:r>
    </w:p>
  </w:footnote>
  <w:footnote w:id="3202">
    <w:p>
      <w:pPr>
        <w:pStyle w:val="Funote"/>
        <w:rPr/>
      </w:pPr>
      <w:r>
        <w:rPr>
          <w:rStyle w:val="Funotenzeichen"/>
        </w:rPr>
        <w:footnoteRef/>
      </w:r>
      <w:r>
        <w:rPr/>
        <w:tab/>
        <w:t>Wörtlich: „oberster/erster/höchster Stein“.</w:t>
      </w:r>
    </w:p>
  </w:footnote>
  <w:footnote w:id="3203">
    <w:p>
      <w:pPr>
        <w:pStyle w:val="Funote"/>
        <w:rPr/>
      </w:pPr>
      <w:r>
        <w:rPr>
          <w:rStyle w:val="Funotenzeichen"/>
        </w:rPr>
        <w:footnoteRef/>
      </w:r>
      <w:r>
        <w:rPr/>
        <w:tab/>
        <w:t>Streng genommen müsste durch das Waw-Konsekutivum „und sie freuten sich“ übersetzt werden.</w:t>
      </w:r>
    </w:p>
  </w:footnote>
  <w:footnote w:id="3204">
    <w:p>
      <w:pPr>
        <w:pStyle w:val="Funote"/>
        <w:rPr/>
      </w:pPr>
      <w:r>
        <w:rPr>
          <w:rStyle w:val="Funotenzeichen"/>
        </w:rPr>
        <w:footnoteRef/>
      </w:r>
      <w:r>
        <w:rPr/>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205">
    <w:p>
      <w:pPr>
        <w:pStyle w:val="Funote"/>
        <w:rPr/>
      </w:pPr>
      <w:r>
        <w:rPr>
          <w:rStyle w:val="Funotenzeichen"/>
        </w:rPr>
        <w:footnoteRef/>
      </w:r>
      <w:r>
        <w:rPr/>
        <w:tab/>
        <w:t>[Status: Ungeprüft]</w:t>
      </w:r>
    </w:p>
  </w:footnote>
  <w:footnote w:id="3206">
    <w:p>
      <w:pPr>
        <w:pStyle w:val="Funote"/>
        <w:rPr/>
      </w:pPr>
      <w:r>
        <w:rPr>
          <w:rStyle w:val="Funotenzeichen"/>
        </w:rPr>
        <w:footnoteRef/>
      </w:r>
      <w:r>
        <w:rPr/>
        <w:tab/>
        <w:t>Qal Part. Pl. fem.</w:t>
      </w:r>
    </w:p>
  </w:footnote>
  <w:footnote w:id="3207">
    <w:p>
      <w:pPr>
        <w:pStyle w:val="Funote"/>
        <w:rPr/>
      </w:pPr>
      <w:r>
        <w:rPr>
          <w:rStyle w:val="Funotenzeichen"/>
        </w:rPr>
        <w:footnoteRef/>
      </w:r>
      <w:r>
        <w:rPr/>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208">
    <w:p>
      <w:pPr>
        <w:pStyle w:val="Funote"/>
        <w:rPr/>
      </w:pPr>
      <w:r>
        <w:rPr>
          <w:rStyle w:val="Funotenzeichen"/>
        </w:rPr>
        <w:footnoteRef/>
      </w:r>
      <w:r>
        <w:rPr/>
        <w:tab/>
        <w:t>Qal Part. Pl. fem.</w:t>
      </w:r>
    </w:p>
  </w:footnote>
  <w:footnote w:id="3209">
    <w:p>
      <w:pPr>
        <w:pStyle w:val="Funote"/>
        <w:rPr/>
      </w:pPr>
      <w:r>
        <w:rPr>
          <w:rStyle w:val="Funotenzeichen"/>
        </w:rPr>
        <w:footnoteRef/>
      </w:r>
      <w:r>
        <w:rPr/>
        <w:tab/>
        <w:t>Hitpa'el Part. Pl. fem., hier parataktisch übersetzt.</w:t>
      </w:r>
    </w:p>
  </w:footnote>
  <w:footnote w:id="3210">
    <w:p>
      <w:pPr>
        <w:pStyle w:val="Funote"/>
        <w:rPr/>
      </w:pPr>
      <w:r>
        <w:rPr>
          <w:rStyle w:val="Funotenzeichen"/>
        </w:rPr>
        <w:footnoteRef/>
      </w:r>
      <w:r>
        <w:rPr/>
        <w:tab/>
        <w:t>Siehe Diskussionseite.</w:t>
      </w:r>
    </w:p>
  </w:footnote>
  <w:footnote w:id="3211">
    <w:p>
      <w:pPr>
        <w:pStyle w:val="Funote"/>
        <w:rPr/>
      </w:pPr>
      <w:r>
        <w:rPr>
          <w:rStyle w:val="Funotenzeichen"/>
        </w:rPr>
        <w:footnoteRef/>
      </w:r>
      <w:r>
        <w:rPr/>
        <w:tab/>
        <w:t>Qal Part. Pl. fem., hier parataktisch übersetzt.</w:t>
      </w:r>
    </w:p>
  </w:footnote>
  <w:footnote w:id="3212">
    <w:p>
      <w:pPr>
        <w:pStyle w:val="Funote"/>
        <w:rPr/>
      </w:pPr>
      <w:r>
        <w:rPr>
          <w:rStyle w:val="Funotenzeichen"/>
        </w:rPr>
        <w:footnoteRef/>
      </w:r>
      <w:r>
        <w:rPr/>
        <w:tab/>
        <w:t>Perfekt consecutivum, ebenso die nachfolgenden Verben.</w:t>
      </w:r>
    </w:p>
  </w:footnote>
  <w:footnote w:id="3213">
    <w:p>
      <w:pPr>
        <w:pStyle w:val="Funote"/>
        <w:rPr/>
      </w:pPr>
      <w:r>
        <w:rPr>
          <w:rStyle w:val="Funotenzeichen"/>
        </w:rPr>
        <w:footnoteRef/>
      </w:r>
      <w:r>
        <w:rPr/>
        <w:tab/>
        <w:t>Die Wortverbindung kann evtl. auch „westlich“ oder „Westen“ bedeuten; vgl. Gesenius</w:t>
      </w:r>
      <w:r>
        <w:rPr>
          <w:position w:val="7"/>
          <w:sz w:val="16"/>
        </w:rPr>
        <w:t>17</w:t>
      </w:r>
      <w:r>
        <w:rPr/>
        <w:t xml:space="preserve"> S. 26.</w:t>
      </w:r>
    </w:p>
  </w:footnote>
  <w:footnote w:id="3214">
    <w:p>
      <w:pPr>
        <w:pStyle w:val="Funote"/>
        <w:rPr/>
      </w:pPr>
      <w:r>
        <w:rPr>
          <w:rStyle w:val="Funotenzeichen"/>
        </w:rPr>
        <w:footnoteRef/>
      </w:r>
      <w:r>
        <w:rPr/>
        <w:tab/>
        <w:t>Die eigentliche Wortbedeutung ist „suchen“. Um eine etwas antiquierte Wendung wie „sie suchten zu erreichen“ oder „trachteten“, wurde das Wort mit „wollen“ übertragen.</w:t>
      </w:r>
    </w:p>
  </w:footnote>
  <w:footnote w:id="3215">
    <w:p>
      <w:pPr>
        <w:pStyle w:val="Funote"/>
        <w:rPr/>
      </w:pPr>
      <w:r>
        <w:rPr>
          <w:rStyle w:val="Funotenzeichen"/>
        </w:rPr>
        <w:footnoteRef/>
      </w:r>
      <w:r>
        <w:rPr/>
        <w:tab/>
        <w:t xml:space="preserve">Im Hebräischen steht hier das Wort </w:t>
      </w:r>
      <w:r>
        <w:rPr>
          <w:rtl w:val="true"/>
          <w:lang w:bidi="he-IL"/>
        </w:rPr>
        <w:t>הַגֹּולָה</w:t>
      </w:r>
      <w:r>
        <w:rPr/>
        <w:t>, das „Exil“ und als Kollektivbezeichnung auch „Exulanten“ bedeutet.</w:t>
      </w:r>
    </w:p>
  </w:footnote>
  <w:footnote w:id="3216">
    <w:p>
      <w:pPr>
        <w:pStyle w:val="Funote"/>
        <w:rPr/>
      </w:pPr>
      <w:r>
        <w:rPr>
          <w:rStyle w:val="Funotenzeichen"/>
        </w:rPr>
        <w:footnoteRef/>
      </w:r>
      <w:r>
        <w:rPr/>
        <w:tab/>
        <w:t>Perfekt consecutivum mit Bezug auf den Imperativ von Vers 10a</w:t>
      </w:r>
      <w:r>
        <w:rPr>
          <w:lang w:val="el-GR"/>
        </w:rPr>
        <w:t>α</w:t>
      </w:r>
      <w:r>
        <w:rPr/>
        <w:t>. Dasselbe gilt für die nachfolgenden Imperative.</w:t>
      </w:r>
    </w:p>
  </w:footnote>
  <w:footnote w:id="3217">
    <w:p>
      <w:pPr>
        <w:pStyle w:val="Funote"/>
        <w:rPr/>
      </w:pPr>
      <w:r>
        <w:rPr>
          <w:rStyle w:val="Funotenzeichen"/>
        </w:rPr>
        <w:footnoteRef/>
      </w:r>
      <w:r>
        <w:rPr/>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218">
    <w:p>
      <w:pPr>
        <w:pStyle w:val="Funote"/>
        <w:rPr/>
      </w:pPr>
      <w:r>
        <w:rPr>
          <w:rStyle w:val="Funotenzeichen"/>
        </w:rPr>
        <w:footnoteRef/>
      </w:r>
      <w:r>
        <w:rPr/>
        <w:tab/>
        <w:t>Dieses Verb hat dieselbe Wurzel wie der „Spross“ (</w:t>
      </w:r>
      <w:r>
        <w:rPr>
          <w:rtl w:val="true"/>
          <w:lang w:bidi="he-IL"/>
        </w:rPr>
        <w:t>צֶמַח</w:t>
      </w:r>
      <w:r>
        <w:rPr/>
        <w:t>).</w:t>
      </w:r>
    </w:p>
  </w:footnote>
  <w:footnote w:id="3219">
    <w:p>
      <w:pPr>
        <w:pStyle w:val="Funote"/>
        <w:rPr/>
      </w:pPr>
      <w:r>
        <w:rPr>
          <w:rStyle w:val="Funotenzeichen"/>
        </w:rPr>
        <w:footnoteRef/>
      </w:r>
      <w:r>
        <w:rPr/>
        <w:tab/>
        <w:t xml:space="preserve">An dieser Stelle steht die finite Verbform </w:t>
      </w:r>
      <w:r>
        <w:rPr>
          <w:rtl w:val="true"/>
          <w:lang w:bidi="he-IL"/>
        </w:rPr>
        <w:t>הָיָה</w:t>
      </w:r>
      <w:r>
        <w:rPr/>
        <w:t>.</w:t>
      </w:r>
    </w:p>
  </w:footnote>
  <w:footnote w:id="3220">
    <w:p>
      <w:pPr>
        <w:pStyle w:val="Funote"/>
        <w:rPr/>
      </w:pPr>
      <w:r>
        <w:rPr>
          <w:rStyle w:val="Funotenzeichen"/>
        </w:rPr>
        <w:footnoteRef/>
      </w:r>
      <w:r>
        <w:rPr/>
        <w:tab/>
        <w:t>Andere Übersetzungsmöglichkeit: „auch (und) wird er Priester auf seinem Thron sein“.</w:t>
      </w:r>
    </w:p>
  </w:footnote>
  <w:footnote w:id="3221">
    <w:p>
      <w:pPr>
        <w:pStyle w:val="Funote"/>
        <w:rPr/>
      </w:pPr>
      <w:r>
        <w:rPr>
          <w:rStyle w:val="Funotenzeichen"/>
        </w:rPr>
        <w:footnoteRef/>
      </w:r>
      <w:r>
        <w:rPr/>
        <w:tab/>
        <w:t>„</w:t>
      </w:r>
      <w:r>
        <w:rPr/>
        <w:t>Kronen“ steht im Plural, das Verb jedoch im Singular. Hier wurde es pluralisch wiedergegeben, obwohl wörtlich dort steht: „die Kronen ist“.</w:t>
      </w:r>
    </w:p>
  </w:footnote>
  <w:footnote w:id="3222">
    <w:p>
      <w:pPr>
        <w:pStyle w:val="Funote"/>
        <w:rPr/>
      </w:pPr>
      <w:r>
        <w:rPr>
          <w:rStyle w:val="Funotenzeichen"/>
        </w:rPr>
        <w:footnoteRef/>
      </w:r>
      <w:r>
        <w:rPr/>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223">
    <w:p>
      <w:pPr>
        <w:pStyle w:val="Funote"/>
        <w:rPr/>
      </w:pPr>
      <w:r>
        <w:rPr>
          <w:rStyle w:val="Funotenzeichen"/>
        </w:rPr>
        <w:footnoteRef/>
      </w:r>
      <w:r>
        <w:rPr/>
        <w:tab/>
        <w:t>Also diejenigen, die weit entfernt sind. Gemeint sind die Exulanten. Eine andere Übersetzungsmöglichkeit ist: „Und [von] ferne werden…“</w:t>
      </w:r>
    </w:p>
  </w:footnote>
  <w:footnote w:id="3224">
    <w:p>
      <w:pPr>
        <w:pStyle w:val="Funote"/>
        <w:rPr>
          <w:lang w:bidi="he-IL"/>
        </w:rPr>
      </w:pPr>
      <w:r>
        <w:rPr>
          <w:rStyle w:val="Funotenzeichen"/>
        </w:rPr>
        <w:footnoteRef/>
      </w:r>
      <w:r>
        <w:rPr>
          <w:rtl w:val="true"/>
          <w:lang w:bidi="he-IL"/>
        </w:rPr>
        <w:tab/>
        <w:t>נְאֻם־יְהוָה</w:t>
      </w:r>
    </w:p>
  </w:footnote>
  <w:footnote w:id="3225">
    <w:p>
      <w:pPr>
        <w:pStyle w:val="Funote"/>
        <w:rPr/>
      </w:pPr>
      <w:r>
        <w:rPr>
          <w:rStyle w:val="Funotenzeichen"/>
        </w:rPr>
        <w:footnoteRef/>
      </w:r>
      <w:r>
        <w:rPr/>
        <w:tab/>
        <w:t xml:space="preserve">Vermutlich: „[überlasse] seinen Besitz den Schakalen der Wüste“. Weder die Schakale noch die Wüste stehen im </w:t>
      </w:r>
      <w:hyperlink r:id="rId249">
        <w:r>
          <w:rPr>
            <w:rStyle w:val="Internetverknpfung"/>
          </w:rPr>
          <w:t>Status constructus</w:t>
        </w:r>
      </w:hyperlink>
      <w:r>
        <w:rPr/>
        <w:t xml:space="preserve"> </w:t>
      </w:r>
    </w:p>
  </w:footnote>
  <w:footnote w:id="3226">
    <w:p>
      <w:pPr>
        <w:pStyle w:val="Funote"/>
        <w:rPr/>
      </w:pPr>
      <w:r>
        <w:rPr>
          <w:rStyle w:val="Funotenzeichen"/>
        </w:rPr>
        <w:footnoteRef/>
      </w:r>
      <w:r>
        <w:rPr/>
        <w:tab/>
        <w:t>[Status: Ungeprüft]</w:t>
      </w:r>
    </w:p>
  </w:footnote>
  <w:footnote w:id="3227">
    <w:p>
      <w:pPr>
        <w:pStyle w:val="Funote"/>
        <w:rPr/>
      </w:pPr>
      <w:r>
        <w:rPr>
          <w:rStyle w:val="Funotenzeichen"/>
        </w:rPr>
        <w:footnoteRef/>
      </w:r>
      <w:r>
        <w:rPr/>
        <w:tab/>
        <w:t xml:space="preserve">S. </w:t>
      </w:r>
      <w:hyperlink r:id="rId250">
        <w:r>
          <w:rPr>
            <w:rStyle w:val="Internetverknpfung"/>
          </w:rPr>
          <w:t>Diskussion:Matthäus_1</w:t>
        </w:r>
      </w:hyperlink>
    </w:p>
  </w:footnote>
  <w:footnote w:id="3228">
    <w:p>
      <w:pPr>
        <w:pStyle w:val="Funote"/>
        <w:rPr/>
      </w:pPr>
      <w:r>
        <w:rPr>
          <w:rStyle w:val="Funotenzeichen"/>
        </w:rPr>
        <w:footnoteRef/>
      </w:r>
      <w:r>
        <w:rPr/>
        <w:tab/>
        <w:t>Gemeint ist nicht die Verwandtschaft 1. Grades, sondern so etwas wie „Nachkomme“ oder „Spross“.</w:t>
      </w:r>
    </w:p>
  </w:footnote>
  <w:footnote w:id="3229">
    <w:p>
      <w:pPr>
        <w:pStyle w:val="Funote"/>
        <w:rPr/>
      </w:pPr>
      <w:r>
        <w:rPr>
          <w:rStyle w:val="Funotenzeichen"/>
        </w:rPr>
        <w:footnoteRef/>
      </w:r>
      <w:r>
        <w:rPr/>
        <w:tab/>
        <w:t>GNB: „Von Abraham stammte Isaak“.</w:t>
      </w:r>
    </w:p>
  </w:footnote>
  <w:footnote w:id="3230">
    <w:p>
      <w:pPr>
        <w:pStyle w:val="Funote"/>
        <w:rPr/>
      </w:pPr>
      <w:r>
        <w:rPr>
          <w:rStyle w:val="Funotenzeichen"/>
        </w:rPr>
        <w:footnoteRef/>
      </w:r>
      <w:r>
        <w:rPr/>
        <w:tab/>
        <w:t>In ein anderes Land versetzen. Ausdrücke mit Wertung: (Gewaltsame) Deportation, Verschleppung, Verbannung, Gefangenschaft.</w:t>
      </w:r>
    </w:p>
  </w:footnote>
  <w:footnote w:id="3231">
    <w:p>
      <w:pPr>
        <w:pStyle w:val="Funote"/>
        <w:rPr/>
      </w:pPr>
      <w:r>
        <w:rPr>
          <w:rStyle w:val="Funotenzeichen"/>
        </w:rPr>
        <w:footnoteRef/>
      </w:r>
      <w:r>
        <w:rPr/>
        <w:tab/>
        <w:t>Das griechische Wort bedeutet sowohl zeugen als auch gebären und hervorbringen.</w:t>
      </w:r>
    </w:p>
  </w:footnote>
  <w:footnote w:id="3232">
    <w:p>
      <w:pPr>
        <w:pStyle w:val="Funote"/>
        <w:rPr/>
      </w:pPr>
      <w:r>
        <w:rPr>
          <w:rStyle w:val="Funotenzeichen"/>
        </w:rPr>
        <w:footnoteRef/>
      </w:r>
      <w:r>
        <w:rPr/>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233">
    <w:p>
      <w:pPr>
        <w:pStyle w:val="Funote"/>
        <w:rPr/>
      </w:pPr>
      <w:r>
        <w:rPr>
          <w:rStyle w:val="Funotenzeichen"/>
        </w:rPr>
        <w:footnoteRef/>
      </w:r>
      <w:r>
        <w:rPr/>
        <w:tab/>
        <w:t>Textkritik: „Seine Geburt“ (ohne Namensnennung).</w:t>
      </w:r>
    </w:p>
  </w:footnote>
  <w:footnote w:id="3234">
    <w:p>
      <w:pPr>
        <w:pStyle w:val="Funote"/>
        <w:rPr/>
      </w:pPr>
      <w:r>
        <w:rPr>
          <w:rStyle w:val="Funotenzeichen"/>
        </w:rPr>
        <w:footnoteRef/>
      </w:r>
      <w:r>
        <w:rPr/>
        <w:tab/>
        <w:t>Partizip Aorist Passiv</w:t>
      </w:r>
    </w:p>
  </w:footnote>
  <w:footnote w:id="3235">
    <w:p>
      <w:pPr>
        <w:pStyle w:val="Funote"/>
        <w:rPr/>
      </w:pPr>
      <w:r>
        <w:rPr>
          <w:rStyle w:val="Funotenzeichen"/>
        </w:rPr>
        <w:footnoteRef/>
      </w:r>
      <w:r>
        <w:rPr/>
        <w:tab/>
        <w:t>Infinitiv Aorist</w:t>
      </w:r>
    </w:p>
  </w:footnote>
  <w:footnote w:id="3236">
    <w:p>
      <w:pPr>
        <w:pStyle w:val="Funote"/>
        <w:rPr/>
      </w:pPr>
      <w:r>
        <w:rPr>
          <w:rStyle w:val="Funotenzeichen"/>
        </w:rPr>
        <w:footnoteRef/>
      </w:r>
      <w:r>
        <w:rPr/>
        <w:tab/>
        <w:t>Im gr. Text wird der Heilige Geist am Ende des Satzes erwähnt, um zu betonen, dass das Kind von ihm gezeugt ist und nicht von einem Menschen.</w:t>
      </w:r>
    </w:p>
  </w:footnote>
  <w:footnote w:id="3237">
    <w:p>
      <w:pPr>
        <w:pStyle w:val="Funote"/>
        <w:rPr/>
      </w:pPr>
      <w:r>
        <w:rPr>
          <w:rStyle w:val="Funotenzeichen"/>
        </w:rPr>
        <w:footnoteRef/>
      </w:r>
      <w:r>
        <w:rPr/>
        <w:tab/>
        <w:t>Wörtlich: „Mann“ oder „Gatte“. Ihre Beziehung befindet sich in dem Stadium zwischen „schon verlobt“, aber noch nicht „die Ehe eingegangen“. GNB: „Josef, dem sie durch Verlobung schon rechtsgültig verbunden war“.</w:t>
      </w:r>
    </w:p>
  </w:footnote>
  <w:footnote w:id="3238">
    <w:p>
      <w:pPr>
        <w:pStyle w:val="Funote"/>
        <w:rPr/>
      </w:pPr>
      <w:r>
        <w:rPr>
          <w:rStyle w:val="Funotenzeichen"/>
        </w:rPr>
        <w:footnoteRef/>
      </w:r>
      <w:r>
        <w:rPr/>
        <w:tab/>
        <w:t>Partizip Präsenz</w:t>
      </w:r>
    </w:p>
  </w:footnote>
  <w:footnote w:id="3239">
    <w:p>
      <w:pPr>
        <w:pStyle w:val="Funote"/>
        <w:rPr/>
      </w:pPr>
      <w:r>
        <w:rPr>
          <w:rStyle w:val="Funotenzeichen"/>
        </w:rPr>
        <w:footnoteRef/>
      </w:r>
      <w:r>
        <w:rPr/>
        <w:tab/>
        <w:t>Partizip Präsenz</w:t>
      </w:r>
    </w:p>
  </w:footnote>
  <w:footnote w:id="3240">
    <w:p>
      <w:pPr>
        <w:pStyle w:val="Funote"/>
        <w:rPr/>
      </w:pPr>
      <w:r>
        <w:rPr>
          <w:rStyle w:val="Funotenzeichen"/>
        </w:rPr>
        <w:footnoteRef/>
      </w:r>
      <w:r>
        <w:rPr/>
        <w:tab/>
        <w:t>Partizip Aorist Passiv</w:t>
      </w:r>
    </w:p>
  </w:footnote>
  <w:footnote w:id="3241">
    <w:p>
      <w:pPr>
        <w:pStyle w:val="Funote"/>
        <w:rPr/>
      </w:pPr>
      <w:r>
        <w:rPr>
          <w:rStyle w:val="Funotenzeichen"/>
        </w:rPr>
        <w:footnoteRef/>
      </w:r>
      <w:r>
        <w:rPr/>
        <w:tab/>
        <w:t>Wörtlich: „Frau“ oder „Gattin“. Ihre Beziehung befindet sich in dem Stadium zwischen „schon verlobt“, aber noch nicht „die Ehe eingegangen“.</w:t>
      </w:r>
    </w:p>
  </w:footnote>
  <w:footnote w:id="3242">
    <w:p>
      <w:pPr>
        <w:pStyle w:val="Funote"/>
        <w:rPr/>
      </w:pPr>
      <w:r>
        <w:rPr>
          <w:rStyle w:val="Funotenzeichen"/>
        </w:rPr>
        <w:footnoteRef/>
      </w:r>
      <w:r>
        <w:rPr/>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243">
    <w:p>
      <w:pPr>
        <w:pStyle w:val="Funote"/>
        <w:rPr/>
      </w:pPr>
      <w:r>
        <w:rPr>
          <w:rStyle w:val="Funotenzeichen"/>
        </w:rPr>
        <w:footnoteRef/>
      </w:r>
      <w:r>
        <w:rPr/>
        <w:tab/>
        <w:t>Steht im gr. sehr pointiert am Anfang des Satzes, also mit dem Beiklang: „Er und kein anderer“.</w:t>
      </w:r>
    </w:p>
  </w:footnote>
  <w:footnote w:id="3244">
    <w:p>
      <w:pPr>
        <w:pStyle w:val="Funote"/>
        <w:rPr/>
      </w:pPr>
      <w:r>
        <w:rPr>
          <w:rStyle w:val="Funotenzeichen"/>
        </w:rPr>
        <w:footnoteRef/>
      </w:r>
      <w:r>
        <w:rPr/>
        <w:tab/>
        <w:t xml:space="preserve">Der Name „Jesus“ geht zurück auf das hebräische Wort </w:t>
      </w:r>
      <w:r>
        <w:rPr>
          <w:rtl w:val="true"/>
          <w:lang w:bidi="he-IL"/>
        </w:rPr>
        <w:t>ישע</w:t>
      </w:r>
      <w:r>
        <w:rPr/>
        <w:t>, was soviel wie „retten“ oder „freisetzen“ bedeutet.</w:t>
      </w:r>
    </w:p>
  </w:footnote>
  <w:footnote w:id="3245">
    <w:p>
      <w:pPr>
        <w:pStyle w:val="Funote"/>
        <w:rPr/>
      </w:pPr>
      <w:r>
        <w:rPr>
          <w:rStyle w:val="Funotenzeichen"/>
        </w:rPr>
        <w:footnoteRef/>
      </w:r>
      <w:r>
        <w:rPr/>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246">
    <w:p>
      <w:pPr>
        <w:pStyle w:val="Funote"/>
        <w:rPr/>
      </w:pPr>
      <w:r>
        <w:rPr>
          <w:rStyle w:val="Funotenzeichen"/>
        </w:rPr>
        <w:footnoteRef/>
      </w:r>
      <w:r>
        <w:rPr/>
        <w:tab/>
        <w:t>Wörtlich: „durch den Propheten“. Welcher Prophet tatsächlich gemeint ist, muss der Leser aus dem Zusammenhang erschließen.</w:t>
      </w:r>
    </w:p>
  </w:footnote>
  <w:footnote w:id="3247">
    <w:p>
      <w:pPr>
        <w:pStyle w:val="Funote"/>
        <w:rPr/>
      </w:pPr>
      <w:r>
        <w:rPr>
          <w:rStyle w:val="Funotenzeichen"/>
        </w:rPr>
        <w:footnoteRef/>
      </w:r>
      <w:r>
        <w:rPr/>
        <w:tab/>
        <w:t>Textkritik: Einige Handschriften ergänzen den Namen des Propheten: „Jesaja“.</w:t>
      </w:r>
    </w:p>
  </w:footnote>
  <w:footnote w:id="3248">
    <w:p>
      <w:pPr>
        <w:pStyle w:val="Funote"/>
        <w:rPr/>
      </w:pPr>
      <w:r>
        <w:rPr>
          <w:rStyle w:val="Funotenzeichen"/>
        </w:rPr>
        <w:footnoteRef/>
      </w:r>
      <w:r>
        <w:rPr/>
        <w:tab/>
        <w:t>Partizip Präsens</w:t>
      </w:r>
    </w:p>
  </w:footnote>
  <w:footnote w:id="3249">
    <w:p>
      <w:pPr>
        <w:pStyle w:val="Funote"/>
        <w:rPr/>
      </w:pPr>
      <w:r>
        <w:rPr>
          <w:rStyle w:val="Funotenzeichen"/>
        </w:rPr>
        <w:footnoteRef/>
      </w:r>
      <w:r>
        <w:rPr/>
        <w:tab/>
        <w:t xml:space="preserve">Der hebr. Ausdruck im zitierten Text lautet </w:t>
      </w:r>
      <w:r>
        <w:rPr>
          <w:rtl w:val="true"/>
          <w:lang w:bidi="he-IL"/>
        </w:rPr>
        <w:t>הָעַלְמָ֗ה</w:t>
      </w:r>
      <w:r>
        <w:rPr/>
        <w:t>, was ein „mannbares unverehelichtes jugendliches Frauenzimmer“ meint (KEK, Mayer 1864, S. 64).</w:t>
      </w:r>
    </w:p>
  </w:footnote>
  <w:footnote w:id="3250">
    <w:p>
      <w:pPr>
        <w:pStyle w:val="Funote"/>
        <w:rPr/>
      </w:pPr>
      <w:r>
        <w:rPr>
          <w:rStyle w:val="Funotenzeichen"/>
        </w:rPr>
        <w:footnoteRef/>
      </w:r>
      <w:r>
        <w:rPr/>
        <w:tab/>
        <w:t>Eigentlich Futur: „wird schwanger sein“. Der alttestamentliche Text nimmt das prophetisch vorweg, was sich jetzt ereignet (KEK, Mayer 1864, S. 66).</w:t>
      </w:r>
    </w:p>
  </w:footnote>
  <w:footnote w:id="3251">
    <w:p>
      <w:pPr>
        <w:pStyle w:val="Funote"/>
        <w:rPr/>
      </w:pPr>
      <w:r>
        <w:rPr>
          <w:rStyle w:val="Funotenzeichen"/>
        </w:rPr>
        <w:footnoteRef/>
      </w:r>
      <w:r>
        <w:rPr/>
        <w:tab/>
        <w:t xml:space="preserve">Hebr. </w:t>
      </w:r>
      <w:r>
        <w:rPr>
          <w:rtl w:val="true"/>
          <w:lang w:bidi="he-IL"/>
        </w:rPr>
        <w:t>עִמָּנוּ אֵל</w:t>
      </w:r>
      <w:r>
        <w:rPr/>
        <w:t>: „mit uns [ist] Gott“</w:t>
      </w:r>
    </w:p>
  </w:footnote>
  <w:footnote w:id="3252">
    <w:p>
      <w:pPr>
        <w:pStyle w:val="Funote"/>
        <w:rPr/>
      </w:pPr>
      <w:r>
        <w:rPr>
          <w:rStyle w:val="Funotenzeichen"/>
        </w:rPr>
        <w:footnoteRef/>
      </w:r>
      <w:r>
        <w:rPr/>
        <w:tab/>
        <w:t>Schreibweise unklar: Einheitsübersetzung schreibt „Immanuel“ (ohne Trema), Loccumer Richtlinien schreiben „Immanuël“ (mit Trema)</w:t>
      </w:r>
    </w:p>
  </w:footnote>
  <w:footnote w:id="3253">
    <w:p>
      <w:pPr>
        <w:pStyle w:val="Funote"/>
        <w:rPr/>
      </w:pPr>
      <w:r>
        <w:rPr>
          <w:rStyle w:val="Funotenzeichen"/>
        </w:rPr>
        <w:footnoteRef/>
      </w:r>
      <w:r>
        <w:rPr/>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254">
    <w:p>
      <w:pPr>
        <w:pStyle w:val="Funote"/>
        <w:rPr/>
      </w:pPr>
      <w:r>
        <w:rPr>
          <w:rStyle w:val="Funotenzeichen"/>
        </w:rPr>
        <w:footnoteRef/>
      </w:r>
      <w:r>
        <w:rPr/>
        <w:tab/>
        <w:t>Partizip Aorist. Aufgelöst: „Nachdem er aus dem Schlaf aufgewacht war“.</w:t>
      </w:r>
    </w:p>
  </w:footnote>
  <w:footnote w:id="3255">
    <w:p>
      <w:pPr>
        <w:pStyle w:val="Funote"/>
        <w:rPr/>
      </w:pPr>
      <w:r>
        <w:rPr>
          <w:rStyle w:val="Funotenzeichen"/>
        </w:rPr>
        <w:footnoteRef/>
      </w:r>
      <w:r>
        <w:rPr/>
        <w:tab/>
        <w:t>Atl. bzw. semitisierender Euphemismus für "schlief nicht mit ihr".</w:t>
      </w:r>
    </w:p>
  </w:footnote>
  <w:footnote w:id="3256">
    <w:p>
      <w:pPr>
        <w:pStyle w:val="Funote"/>
        <w:rPr/>
      </w:pPr>
      <w:r>
        <w:rPr>
          <w:rStyle w:val="Funotenzeichen"/>
        </w:rPr>
        <w:footnoteRef/>
      </w:r>
      <w:r>
        <w:rPr/>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257">
    <w:p>
      <w:pPr>
        <w:pStyle w:val="Funote"/>
        <w:rPr/>
      </w:pPr>
      <w:r>
        <w:rPr>
          <w:rStyle w:val="Funotenzeichen"/>
        </w:rPr>
        <w:footnoteRef/>
      </w:r>
      <w:r>
        <w:rPr/>
        <w:tab/>
        <w:t>Textkritik: Einige Handschriften ausführlicher: „ihren erstgeborenen Sohn“.</w:t>
      </w:r>
    </w:p>
  </w:footnote>
  <w:footnote w:id="3258">
    <w:p>
      <w:pPr>
        <w:pStyle w:val="Funote"/>
        <w:rPr/>
      </w:pPr>
      <w:r>
        <w:rPr>
          <w:rStyle w:val="Funotenzeichen"/>
        </w:rPr>
        <w:footnoteRef/>
      </w:r>
      <w:r>
        <w:rPr/>
        <w:tab/>
        <w:t>[Status: Ungeprüft]</w:t>
      </w:r>
    </w:p>
  </w:footnote>
  <w:footnote w:id="3259">
    <w:p>
      <w:pPr>
        <w:pStyle w:val="Funote"/>
        <w:rPr/>
      </w:pPr>
      <w:r>
        <w:rPr>
          <w:rStyle w:val="Funotenzeichen"/>
        </w:rPr>
        <w:footnoteRef/>
      </w:r>
      <w:r>
        <w:rPr/>
        <w:tab/>
        <w:t xml:space="preserve">Partizip Aorist, hier ist wohl ein zeitlicher Sprung, deswegen auch (leicht) Nachzeitig übersetzbar (Newman, UBS Handbook, S. 33) </w:t>
      </w:r>
    </w:p>
  </w:footnote>
  <w:footnote w:id="3260">
    <w:p>
      <w:pPr>
        <w:pStyle w:val="Funote"/>
        <w:rPr/>
      </w:pPr>
      <w:r>
        <w:rPr>
          <w:rStyle w:val="Funotenzeichen"/>
        </w:rPr>
        <w:footnoteRef/>
      </w:r>
      <w:r>
        <w:rPr/>
        <w:tab/>
        <w:t>Wörtlich: im Betlehem des Judäa. Der chorografische Genitiv meint: Judäa ist das Land, in dem sich die Stadt Bethlehem befindet (BDR, §164.3).</w:t>
      </w:r>
    </w:p>
  </w:footnote>
  <w:footnote w:id="3261">
    <w:p>
      <w:pPr>
        <w:pStyle w:val="Funote"/>
        <w:rPr/>
      </w:pPr>
      <w:r>
        <w:rPr>
          <w:rStyle w:val="Funotenzeichen"/>
        </w:rPr>
        <w:footnoteRef/>
      </w:r>
      <w:r>
        <w:rPr/>
        <w:tab/>
        <w:t>„</w:t>
      </w:r>
      <w:r>
        <w:rPr/>
        <w:t xml:space="preserve">Herodes der Große“, </w:t>
      </w:r>
    </w:p>
  </w:footnote>
  <w:footnote w:id="3262">
    <w:p>
      <w:pPr>
        <w:pStyle w:val="Funote"/>
        <w:rPr/>
      </w:pPr>
      <w:r>
        <w:rPr>
          <w:rStyle w:val="Funotenzeichen"/>
        </w:rPr>
        <w:footnoteRef/>
      </w:r>
      <w:r>
        <w:rPr/>
        <w:tab/>
        <w:t xml:space="preserve">Priester, die sich mit Astrologie beschäftigen (KEK, Mayer 1864, S. 72). „Angehörige einer vornehmen babylonischen Priester- und Gelehrtenklasse“ (Rienecker 2008, S. 36), also Adlige, die auch naturwissenschaftlich und astronomisch geschult sind. Zum Wort allgemein s. </w:t>
      </w:r>
      <w:hyperlink r:id="rId251">
        <w:r>
          <w:rPr>
            <w:rStyle w:val="Internetverknpfung"/>
          </w:rPr>
          <w:t>Magier</w:t>
        </w:r>
      </w:hyperlink>
      <w:r>
        <w:rPr/>
        <w:t>.</w:t>
      </w:r>
    </w:p>
  </w:footnote>
  <w:footnote w:id="3263">
    <w:p>
      <w:pPr>
        <w:pStyle w:val="Funote"/>
        <w:rPr/>
      </w:pPr>
      <w:r>
        <w:rPr>
          <w:rStyle w:val="Funotenzeichen"/>
        </w:rPr>
        <w:footnoteRef/>
      </w:r>
      <w:r>
        <w:rPr/>
        <w:tab/>
        <w:t>„</w:t>
      </w:r>
      <w:r>
        <w:rPr/>
        <w:t>What is meant by the East is not known precisely, though most commentators assume Babylonia is intended“ (Newman, S. 33) Die Übersetzung „aus dem Osten“ scheint also am treffendsten zu sein.</w:t>
      </w:r>
    </w:p>
  </w:footnote>
  <w:footnote w:id="3264">
    <w:p>
      <w:pPr>
        <w:pStyle w:val="Funote"/>
        <w:rPr/>
      </w:pPr>
      <w:r>
        <w:rPr>
          <w:rStyle w:val="Funotenzeichen"/>
        </w:rPr>
        <w:footnoteRef/>
      </w:r>
      <w:r>
        <w:rPr/>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265">
    <w:p>
      <w:pPr>
        <w:pStyle w:val="Funote"/>
        <w:rPr/>
      </w:pPr>
      <w:r>
        <w:rPr>
          <w:rStyle w:val="Funotenzeichen"/>
        </w:rPr>
        <w:footnoteRef/>
      </w:r>
      <w:r>
        <w:rPr/>
        <w:tab/>
        <w:t>Nach Rienecker ist hier die Übersetzung „huldigen“ am umfassendsten, da alle anderen Begriffe nur die äußere Umschreibung der allumfassenden Unterwerfung seien (Rienecker 2008, S. 36)</w:t>
      </w:r>
    </w:p>
  </w:footnote>
  <w:footnote w:id="3266">
    <w:p>
      <w:pPr>
        <w:pStyle w:val="Funote"/>
        <w:rPr/>
      </w:pPr>
      <w:r>
        <w:rPr>
          <w:rStyle w:val="Funotenzeichen"/>
        </w:rPr>
        <w:footnoteRef/>
      </w:r>
      <w:r>
        <w:rPr/>
        <w:tab/>
        <w:t>Partizip Präsens</w:t>
      </w:r>
    </w:p>
  </w:footnote>
  <w:footnote w:id="3267">
    <w:p>
      <w:pPr>
        <w:pStyle w:val="Funote"/>
        <w:rPr/>
      </w:pPr>
      <w:r>
        <w:rPr>
          <w:rStyle w:val="Funotenzeichen"/>
        </w:rPr>
        <w:footnoteRef/>
      </w:r>
      <w:r>
        <w:rPr/>
        <w:tab/>
        <w:t>Ist an eine Sitzung des Hohen Rats/Sanhedrins gedacht (KEK, Mayer 1864, S. 76)? Laut Rienecker handelt es sich um eine feststehende Formulierung dafür (WSB, Rienecker, S. 37).</w:t>
      </w:r>
    </w:p>
  </w:footnote>
  <w:footnote w:id="3268">
    <w:p>
      <w:pPr>
        <w:pStyle w:val="Funote"/>
        <w:rPr/>
      </w:pPr>
      <w:r>
        <w:rPr>
          <w:rStyle w:val="Funotenzeichen"/>
        </w:rPr>
        <w:footnoteRef/>
      </w:r>
      <w:r>
        <w:rPr/>
        <w:tab/>
        <w:t xml:space="preserve">Technischer Fachbegriff der Schriftgelehrten (Bauer zu </w:t>
      </w:r>
      <w:r>
        <w:rPr>
          <w:lang w:val="el-GR"/>
        </w:rPr>
        <w:t>γράΦω</w:t>
      </w:r>
      <w:r>
        <w:rPr/>
        <w:t>).</w:t>
      </w:r>
    </w:p>
  </w:footnote>
  <w:footnote w:id="3269">
    <w:p>
      <w:pPr>
        <w:pStyle w:val="Funote"/>
        <w:rPr/>
      </w:pPr>
      <w:r>
        <w:rPr>
          <w:rStyle w:val="Funotenzeichen"/>
        </w:rPr>
        <w:footnoteRef/>
      </w:r>
      <w:r>
        <w:rPr/>
        <w:tab/>
        <w:t>Die göttliche Botschaft stammt von Gott, wird aber durch einen Propheten weiterverbreitet.</w:t>
      </w:r>
    </w:p>
  </w:footnote>
  <w:footnote w:id="3270">
    <w:p>
      <w:pPr>
        <w:pStyle w:val="Funote"/>
        <w:rPr/>
      </w:pPr>
      <w:r>
        <w:rPr>
          <w:rStyle w:val="Funotenzeichen"/>
        </w:rPr>
        <w:footnoteRef/>
      </w:r>
      <w:r>
        <w:rPr/>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271">
    <w:p>
      <w:pPr>
        <w:pStyle w:val="Funote"/>
        <w:rPr/>
      </w:pPr>
      <w:r>
        <w:rPr>
          <w:rStyle w:val="Funotenzeichen"/>
        </w:rPr>
        <w:footnoteRef/>
      </w:r>
      <w:r>
        <w:rPr/>
        <w:tab/>
        <w:t xml:space="preserve">Partizip von </w:t>
      </w:r>
      <w:r>
        <w:rPr>
          <w:lang w:val="el-GR"/>
        </w:rPr>
        <w:t>ἡγέομαι</w:t>
      </w:r>
      <w:r>
        <w:rPr/>
        <w:t xml:space="preserve">, nicht </w:t>
      </w:r>
      <w:r>
        <w:rPr>
          <w:lang w:val="el-GR"/>
        </w:rPr>
        <w:t>ἡγεμῶν</w:t>
      </w:r>
      <w:r>
        <w:rPr/>
        <w:t>.</w:t>
      </w:r>
    </w:p>
  </w:footnote>
  <w:footnote w:id="3272">
    <w:p>
      <w:pPr>
        <w:pStyle w:val="Funote"/>
        <w:rPr/>
      </w:pPr>
      <w:r>
        <w:rPr>
          <w:rStyle w:val="Funotenzeichen"/>
        </w:rPr>
        <w:footnoteRef/>
      </w:r>
      <w:r>
        <w:rPr/>
        <w:tab/>
        <w:t xml:space="preserve">Eine freie Wiedergabe von </w:t>
      </w:r>
      <w:r>
        <w:fldChar w:fldCharType="begin"/>
      </w:r>
      <w:r>
        <w:rPr>
          <w:rStyle w:val="Internetverknpfung"/>
        </w:rPr>
        <w:instrText> HYPERLINK "../../../../../../../../../wiki/Micha_5" \l "s1"</w:instrText>
      </w:r>
      <w:r>
        <w:rPr>
          <w:rStyle w:val="Internetverknpfung"/>
        </w:rPr>
        <w:fldChar w:fldCharType="separate"/>
      </w:r>
      <w:r>
        <w:rPr>
          <w:rStyle w:val="Internetverknpfung"/>
        </w:rPr>
        <w:t>Mi 5,1.3</w:t>
      </w:r>
      <w:r>
        <w:rPr>
          <w:rStyle w:val="Internetverknpfung"/>
        </w:rPr>
        <w:fldChar w:fldCharType="end"/>
      </w:r>
      <w:r>
        <w:rPr/>
        <w:t>.</w:t>
      </w:r>
    </w:p>
  </w:footnote>
  <w:footnote w:id="3273">
    <w:p>
      <w:pPr>
        <w:pStyle w:val="Funote"/>
        <w:rPr/>
      </w:pPr>
      <w:r>
        <w:rPr>
          <w:rStyle w:val="Funotenzeichen"/>
        </w:rPr>
        <w:footnoteRef/>
      </w:r>
      <w:r>
        <w:rPr/>
        <w:tab/>
        <w:t>Partizip Aorist. Vorzeitig: „Nachdem Herodes die Magier heimlich [zu sich] gerufen hatte.“</w:t>
      </w:r>
    </w:p>
  </w:footnote>
  <w:footnote w:id="3274">
    <w:p>
      <w:pPr>
        <w:pStyle w:val="Funote"/>
        <w:rPr/>
      </w:pPr>
      <w:r>
        <w:rPr>
          <w:rStyle w:val="Funotenzeichen"/>
        </w:rPr>
        <w:footnoteRef/>
      </w:r>
      <w:r>
        <w:rPr/>
        <w:tab/>
        <w:t>Partizip Präs.</w:t>
      </w:r>
    </w:p>
  </w:footnote>
  <w:footnote w:id="3275">
    <w:p>
      <w:pPr>
        <w:pStyle w:val="Funote"/>
        <w:rPr/>
      </w:pPr>
      <w:r>
        <w:rPr>
          <w:rStyle w:val="Funotenzeichen"/>
        </w:rPr>
        <w:footnoteRef/>
      </w:r>
      <w:r>
        <w:rPr/>
        <w:tab/>
        <w:t>Partizip Aorist. Also eigentlich vorzeitig: „Nachdem er sie nach Bethlehem geschickt hatte, sagte er...“. Vielleicht so: „Er schickte sie nach Bethlehem und erwähnte dabei noch beiläufig...“?</w:t>
      </w:r>
    </w:p>
  </w:footnote>
  <w:footnote w:id="3276">
    <w:p>
      <w:pPr>
        <w:pStyle w:val="Funote"/>
        <w:rPr/>
      </w:pPr>
      <w:r>
        <w:rPr>
          <w:rStyle w:val="Funotenzeichen"/>
        </w:rPr>
        <w:footnoteRef/>
      </w:r>
      <w:r>
        <w:rPr/>
        <w:tab/>
        <w:t>Kein Imperativ, sondern Konjunktiv.</w:t>
      </w:r>
    </w:p>
  </w:footnote>
  <w:footnote w:id="3277">
    <w:p>
      <w:pPr>
        <w:pStyle w:val="Funote"/>
        <w:rPr/>
      </w:pPr>
      <w:r>
        <w:rPr>
          <w:rStyle w:val="Funotenzeichen"/>
        </w:rPr>
        <w:footnoteRef/>
      </w:r>
      <w:r>
        <w:rPr>
          <w:lang w:val="el-GR"/>
        </w:rPr>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278">
    <w:p>
      <w:pPr>
        <w:pStyle w:val="Funote"/>
        <w:rPr/>
      </w:pPr>
      <w:r>
        <w:rPr>
          <w:rStyle w:val="Funotenzeichen"/>
        </w:rPr>
        <w:footnoteRef/>
      </w:r>
      <w:r>
        <w:rPr/>
        <w:tab/>
        <w:t>Partizip Aorist</w:t>
      </w:r>
    </w:p>
  </w:footnote>
  <w:footnote w:id="3279">
    <w:p>
      <w:pPr>
        <w:pStyle w:val="Funote"/>
        <w:rPr/>
      </w:pPr>
      <w:r>
        <w:rPr>
          <w:rStyle w:val="Funotenzeichen"/>
        </w:rPr>
        <w:footnoteRef/>
      </w:r>
      <w:r>
        <w:rPr/>
        <w:tab/>
        <w:t>Impf.</w:t>
      </w:r>
    </w:p>
  </w:footnote>
  <w:footnote w:id="3280">
    <w:p>
      <w:pPr>
        <w:pStyle w:val="Funote"/>
        <w:rPr/>
      </w:pPr>
      <w:r>
        <w:rPr>
          <w:rStyle w:val="Funotenzeichen"/>
        </w:rPr>
        <w:footnoteRef/>
      </w:r>
      <w:r>
        <w:rPr/>
        <w:tab/>
        <w:t>Impf.</w:t>
      </w:r>
    </w:p>
  </w:footnote>
  <w:footnote w:id="3281">
    <w:p>
      <w:pPr>
        <w:pStyle w:val="Funote"/>
        <w:rPr/>
      </w:pPr>
      <w:r>
        <w:rPr>
          <w:rStyle w:val="Funotenzeichen"/>
        </w:rPr>
        <w:footnoteRef/>
      </w:r>
      <w:r>
        <w:rPr/>
        <w:tab/>
        <w:t>Partizip Aorist, hier als Partizip übersetzt. Eventl. "indem sie niederfielen"?</w:t>
      </w:r>
    </w:p>
  </w:footnote>
  <w:footnote w:id="3282">
    <w:p>
      <w:pPr>
        <w:pStyle w:val="Funote"/>
        <w:rPr/>
      </w:pPr>
      <w:r>
        <w:rPr>
          <w:rStyle w:val="Funotenzeichen"/>
        </w:rPr>
        <w:footnoteRef/>
      </w:r>
      <w:r>
        <w:rPr/>
        <w:tab/>
        <w:t xml:space="preserve">Laut Haubeck/Siebenthal 2008 </w:t>
      </w:r>
      <w:r>
        <w:rPr>
          <w:lang w:val="el-GR"/>
        </w:rPr>
        <w:t>κατ’ ὄναρ</w:t>
      </w:r>
      <w:r>
        <w:rPr/>
        <w:t xml:space="preserve"> bei Mt. immer "im Traum"</w:t>
      </w:r>
    </w:p>
  </w:footnote>
  <w:footnote w:id="3283">
    <w:p>
      <w:pPr>
        <w:pStyle w:val="Funote"/>
        <w:rPr/>
      </w:pPr>
      <w:r>
        <w:rPr>
          <w:rStyle w:val="Funotenzeichen"/>
        </w:rPr>
        <w:footnoteRef/>
      </w:r>
      <w:r>
        <w:rPr/>
        <w:tab/>
        <w:t>Part. Aor. Übersetzung vrmtl. kausal: "Weil ihnen in einem Traum befohlen wurde"</w:t>
      </w:r>
    </w:p>
  </w:footnote>
  <w:footnote w:id="3284">
    <w:p>
      <w:pPr>
        <w:pStyle w:val="Funote"/>
        <w:rPr/>
      </w:pPr>
      <w:r>
        <w:rPr>
          <w:rStyle w:val="Funotenzeichen"/>
        </w:rPr>
        <w:footnoteRef/>
      </w:r>
      <w:r>
        <w:rPr/>
        <w:tab/>
        <w:t>Aor. Inf. Übersetzung als NcI, da Part. Aor. im Nom.</w:t>
      </w:r>
    </w:p>
  </w:footnote>
  <w:footnote w:id="3285">
    <w:p>
      <w:pPr>
        <w:pStyle w:val="Funote"/>
        <w:rPr/>
      </w:pPr>
      <w:r>
        <w:rPr>
          <w:rStyle w:val="Funotenzeichen"/>
        </w:rPr>
        <w:footnoteRef/>
      </w:r>
      <w:r>
        <w:rPr/>
        <w:tab/>
        <w:t>Vgl. Anmerkungen zu Mt 2,12</w:t>
      </w:r>
    </w:p>
  </w:footnote>
  <w:footnote w:id="3286">
    <w:p>
      <w:pPr>
        <w:pStyle w:val="Funote"/>
        <w:rPr/>
      </w:pPr>
      <w:r>
        <w:rPr>
          <w:rStyle w:val="Funotenzeichen"/>
        </w:rPr>
        <w:footnoteRef/>
      </w:r>
      <w:r>
        <w:rPr/>
        <w:tab/>
        <w:t>Eig. Partizip: "sagend"</w:t>
      </w:r>
    </w:p>
  </w:footnote>
  <w:footnote w:id="3287">
    <w:p>
      <w:pPr>
        <w:pStyle w:val="Funote"/>
        <w:rPr/>
      </w:pPr>
      <w:r>
        <w:rPr>
          <w:rStyle w:val="Funotenzeichen"/>
        </w:rPr>
        <w:footnoteRef/>
      </w:r>
      <w:r>
        <w:rPr/>
        <w:tab/>
        <w:t>hier könnte eine sinngemäße Ergänzung stehen: „es“ oder den Gegensatz implizierend „anderes“. Haubeck/Siebenthal schlägt vor: „bis ich's dir sage“ (Haubeck/Siebthal 2008, S. 8)</w:t>
      </w:r>
    </w:p>
  </w:footnote>
  <w:footnote w:id="3288">
    <w:p>
      <w:pPr>
        <w:pStyle w:val="Funote"/>
        <w:rPr/>
      </w:pPr>
      <w:r>
        <w:rPr>
          <w:rStyle w:val="Funotenzeichen"/>
        </w:rPr>
        <w:footnoteRef/>
      </w:r>
      <w:r>
        <w:rPr/>
        <w:tab/>
        <w:t>AcI</w:t>
      </w:r>
    </w:p>
  </w:footnote>
  <w:footnote w:id="3289">
    <w:p>
      <w:pPr>
        <w:pStyle w:val="Funote"/>
        <w:rPr/>
      </w:pPr>
      <w:r>
        <w:rPr>
          <w:rStyle w:val="Funotenzeichen"/>
        </w:rPr>
        <w:footnoteRef/>
      </w:r>
      <w:r>
        <w:rPr/>
        <w:tab/>
        <w:t>Rienecker weist auf den identischen Aufbau von den Teilen in Vers 13 und 14: Das deute auf eine große Eile hin (Rienecker 2008, S. 44).</w:t>
      </w:r>
    </w:p>
  </w:footnote>
  <w:footnote w:id="3290">
    <w:p>
      <w:pPr>
        <w:pStyle w:val="Funote"/>
        <w:rPr/>
      </w:pPr>
      <w:r>
        <w:rPr>
          <w:rStyle w:val="Funotenzeichen"/>
        </w:rPr>
        <w:footnoteRef/>
      </w:r>
      <w:r>
        <w:rPr/>
        <w:tab/>
        <w:t>Impf.</w:t>
      </w:r>
    </w:p>
  </w:footnote>
  <w:footnote w:id="3291">
    <w:p>
      <w:pPr>
        <w:pStyle w:val="Funote"/>
        <w:rPr/>
      </w:pPr>
      <w:r>
        <w:rPr>
          <w:rStyle w:val="Funotenzeichen"/>
        </w:rPr>
        <w:footnoteRef/>
      </w:r>
      <w:r>
        <w:rPr/>
        <w:tab/>
        <w:t>Partizip Aorist</w:t>
      </w:r>
    </w:p>
  </w:footnote>
  <w:footnote w:id="3292">
    <w:p>
      <w:pPr>
        <w:pStyle w:val="Funote"/>
        <w:rPr/>
      </w:pPr>
      <w:r>
        <w:rPr>
          <w:rStyle w:val="Funotenzeichen"/>
        </w:rPr>
        <w:footnoteRef/>
      </w:r>
      <w:r>
        <w:rPr/>
        <w:tab/>
        <w:t>Nach Rienecker im Gr. eine direkte übersetzung von Hos 11,1 aus dem Hebräischen (Rienecker 2008, S. 44)</w:t>
      </w:r>
    </w:p>
  </w:footnote>
  <w:footnote w:id="3293">
    <w:p>
      <w:pPr>
        <w:pStyle w:val="Funote"/>
        <w:rPr/>
      </w:pPr>
      <w:r>
        <w:rPr>
          <w:rStyle w:val="Funotenzeichen"/>
        </w:rPr>
        <w:footnoteRef/>
      </w:r>
      <w:r>
        <w:rPr/>
        <w:tab/>
        <w:t>Part. Aor. vermutlich am besten übersetzen mit lassen</w:t>
      </w:r>
    </w:p>
  </w:footnote>
  <w:footnote w:id="3294">
    <w:p>
      <w:pPr>
        <w:pStyle w:val="Funote"/>
        <w:rPr/>
      </w:pPr>
      <w:r>
        <w:rPr>
          <w:rStyle w:val="Funotenzeichen"/>
        </w:rPr>
        <w:footnoteRef/>
      </w:r>
      <w:r>
        <w:rPr/>
        <w:tab/>
        <w:t>Aor. Inf.</w:t>
      </w:r>
    </w:p>
  </w:footnote>
  <w:footnote w:id="3295">
    <w:p>
      <w:pPr>
        <w:pStyle w:val="Funote"/>
        <w:rPr/>
      </w:pPr>
      <w:r>
        <w:rPr>
          <w:rStyle w:val="Funotenzeichen"/>
        </w:rPr>
        <w:footnoteRef/>
      </w:r>
      <w:r>
        <w:rPr/>
        <w:tab/>
        <w:t>Vgl. Vers 13 für Formen, Satz ist gleich aufgebaut</w:t>
      </w:r>
    </w:p>
  </w:footnote>
  <w:footnote w:id="3296">
    <w:p>
      <w:pPr>
        <w:pStyle w:val="Funote"/>
        <w:rPr/>
      </w:pPr>
      <w:r>
        <w:rPr>
          <w:rStyle w:val="Funotenzeichen"/>
        </w:rPr>
        <w:footnoteRef/>
      </w:r>
      <w:r>
        <w:rPr/>
        <w:tab/>
        <w:t>Perfekt, resultativer Aspekt für die Gegenwart</w:t>
      </w:r>
    </w:p>
  </w:footnote>
  <w:footnote w:id="3297">
    <w:p>
      <w:pPr>
        <w:pStyle w:val="Funote"/>
        <w:rPr/>
      </w:pPr>
      <w:r>
        <w:rPr>
          <w:rStyle w:val="Funotenzeichen"/>
        </w:rPr>
        <w:footnoteRef/>
      </w:r>
      <w:r>
        <w:rPr/>
        <w:tab/>
        <w:t>atl. Idiom für „nach dem Leben trachten“(Haubeck/Siebthal 2007, S. 9)</w:t>
      </w:r>
    </w:p>
  </w:footnote>
  <w:footnote w:id="3298">
    <w:p>
      <w:pPr>
        <w:pStyle w:val="Funote"/>
        <w:rPr/>
      </w:pPr>
      <w:r>
        <w:rPr>
          <w:rStyle w:val="Funotenzeichen"/>
        </w:rPr>
        <w:footnoteRef/>
      </w:r>
      <w:r>
        <w:rPr/>
        <w:tab/>
        <w:t>Aor. Inf.</w:t>
      </w:r>
    </w:p>
  </w:footnote>
  <w:footnote w:id="3299">
    <w:p>
      <w:pPr>
        <w:pStyle w:val="Funote"/>
        <w:rPr/>
      </w:pPr>
      <w:r>
        <w:rPr>
          <w:rStyle w:val="Funotenzeichen"/>
        </w:rPr>
        <w:footnoteRef/>
      </w:r>
      <w:r>
        <w:rPr/>
        <w:tab/>
        <w:t>Part. Aor. Passiv, eventl. auch temporal "als ihm eine Weisung gegeben wurde..."</w:t>
      </w:r>
    </w:p>
  </w:footnote>
  <w:footnote w:id="3300">
    <w:p>
      <w:pPr>
        <w:pStyle w:val="Funote"/>
        <w:rPr/>
      </w:pPr>
      <w:r>
        <w:rPr>
          <w:rStyle w:val="Funotenzeichen"/>
        </w:rPr>
        <w:footnoteRef/>
      </w:r>
      <w:r>
        <w:rPr/>
        <w:tab/>
        <w:t>Dieses findet sich so nicht im AT, Rienecker vermutet ein Wortspiel in Anlehnung an Jes 11,1 (Rienecker 2008, S. 49), Haubeck/Siebenthal vermuten hingegen eine Zusammenfassung verschiedener prophetischer Aussagen (Haubeck/Siebthal 2007, S. 10)</w:t>
      </w:r>
    </w:p>
  </w:footnote>
  <w:footnote w:id="3301">
    <w:p>
      <w:pPr>
        <w:pStyle w:val="Funote"/>
        <w:rPr/>
      </w:pPr>
      <w:r>
        <w:rPr>
          <w:rStyle w:val="Funotenzeichen"/>
        </w:rPr>
        <w:footnoteRef/>
      </w:r>
      <w:r>
        <w:rPr/>
        <w:tab/>
        <w:t>[Status: Ungeprüft]</w:t>
      </w:r>
    </w:p>
  </w:footnote>
  <w:footnote w:id="3302">
    <w:p>
      <w:pPr>
        <w:pStyle w:val="Funote"/>
        <w:rPr/>
      </w:pPr>
      <w:r>
        <w:rPr>
          <w:rStyle w:val="Funotenzeichen"/>
        </w:rPr>
        <w:footnoteRef/>
      </w:r>
      <w:r>
        <w:rPr/>
        <w:tab/>
        <w:t>Wird das Partizip mit dem Prädikat des Wortes zu „predigte“ vermengt, fällt es weg. Sonst „tritt auf ... um zu verkündigen“</w:t>
      </w:r>
    </w:p>
  </w:footnote>
  <w:footnote w:id="3303">
    <w:p>
      <w:pPr>
        <w:pStyle w:val="Funote"/>
        <w:rPr/>
      </w:pPr>
      <w:r>
        <w:rPr>
          <w:rStyle w:val="Funotenzeichen"/>
        </w:rPr>
        <w:footnoteRef/>
      </w:r>
      <w:r>
        <w:rPr/>
        <w:tab/>
        <w:t xml:space="preserve">Im Sinne des AT ist wohl eher eine Bekehrung gemeint, weniger ein Buße tun (Rienecker 2008, S. 52) </w:t>
      </w:r>
    </w:p>
  </w:footnote>
  <w:footnote w:id="3304">
    <w:p>
      <w:pPr>
        <w:pStyle w:val="Funote"/>
        <w:rPr/>
      </w:pPr>
      <w:r>
        <w:rPr>
          <w:rStyle w:val="Funotenzeichen"/>
        </w:rPr>
        <w:footnoteRef/>
      </w:r>
      <w:r>
        <w:rPr/>
        <w:tab/>
        <w:t>Wörtlich: Bringt rechte Frucht der Umkehr(Buße) hervor!</w:t>
      </w:r>
    </w:p>
  </w:footnote>
  <w:footnote w:id="3305">
    <w:p>
      <w:pPr>
        <w:pStyle w:val="Funote"/>
        <w:rPr/>
      </w:pPr>
      <w:r>
        <w:rPr>
          <w:rStyle w:val="Funotenzeichen"/>
        </w:rPr>
        <w:footnoteRef/>
      </w:r>
      <w:r>
        <w:rPr/>
        <w:tab/>
        <w:t>Oder: „wenn er nicht ... hervorbringt“</w:t>
      </w:r>
    </w:p>
  </w:footnote>
  <w:footnote w:id="3306">
    <w:p>
      <w:pPr>
        <w:pStyle w:val="Funote"/>
        <w:rPr/>
      </w:pPr>
      <w:r>
        <w:rPr>
          <w:rStyle w:val="Funotenzeichen"/>
        </w:rPr>
        <w:footnoteRef/>
      </w:r>
      <w:r>
        <w:rPr/>
        <w:tab/>
        <w:t>s.o.</w:t>
      </w:r>
    </w:p>
  </w:footnote>
  <w:footnote w:id="3307">
    <w:p>
      <w:pPr>
        <w:pStyle w:val="Funote"/>
        <w:rPr/>
      </w:pPr>
      <w:r>
        <w:rPr>
          <w:rStyle w:val="Funotenzeichen"/>
        </w:rPr>
        <w:footnoteRef/>
      </w:r>
      <w:r>
        <w:rPr/>
        <w:tab/>
        <w:t>Leichtester Dienst von Haussklaven (Rienecker 2008, S. 60)</w:t>
      </w:r>
    </w:p>
  </w:footnote>
  <w:footnote w:id="3308">
    <w:p>
      <w:pPr>
        <w:pStyle w:val="Funote"/>
        <w:rPr/>
      </w:pPr>
      <w:r>
        <w:rPr>
          <w:rStyle w:val="Funotenzeichen"/>
        </w:rPr>
        <w:footnoteRef/>
      </w:r>
      <w:r>
        <w:rPr/>
        <w:tab/>
        <w:t>oder: wurde, da Aor. aber Passiv.</w:t>
      </w:r>
    </w:p>
  </w:footnote>
  <w:footnote w:id="3309">
    <w:p>
      <w:pPr>
        <w:pStyle w:val="Funote"/>
        <w:rPr/>
      </w:pPr>
      <w:r>
        <w:rPr>
          <w:rStyle w:val="Funotenzeichen"/>
        </w:rPr>
        <w:footnoteRef/>
      </w:r>
      <w:r>
        <w:rPr/>
        <w:tab/>
        <w:t>[Status: Ungeprüft]</w:t>
      </w:r>
    </w:p>
  </w:footnote>
  <w:footnote w:id="3310">
    <w:p>
      <w:pPr>
        <w:pStyle w:val="Funote"/>
        <w:rPr/>
      </w:pPr>
      <w:r>
        <w:rPr>
          <w:rStyle w:val="Funotenzeichen"/>
        </w:rPr>
        <w:footnoteRef/>
      </w:r>
      <w:r>
        <w:rPr/>
        <w:tab/>
        <w:t>Hier steht ein Infinitiv, vermutlich Final am besten zu übersetzen. Alternativ: „um vom.... versucht zu werden....“</w:t>
      </w:r>
    </w:p>
  </w:footnote>
  <w:footnote w:id="3311">
    <w:p>
      <w:pPr>
        <w:pStyle w:val="Funote"/>
        <w:rPr/>
      </w:pPr>
      <w:r>
        <w:rPr>
          <w:rStyle w:val="Funotenzeichen"/>
        </w:rPr>
        <w:footnoteRef/>
      </w:r>
      <w:r>
        <w:rPr/>
        <w:tab/>
        <w:t>eigentlich Partizip. Hier final, man könnte auch temporal übersetzen: „Nachdem er...“ wobei das nachzeitig wäre, das weitere Verb aber auch Aorist.</w:t>
      </w:r>
    </w:p>
  </w:footnote>
  <w:footnote w:id="3312">
    <w:p>
      <w:pPr>
        <w:pStyle w:val="Funote"/>
        <w:rPr/>
      </w:pPr>
      <w:r>
        <w:rPr>
          <w:rStyle w:val="Funotenzeichen"/>
        </w:rPr>
        <w:footnoteRef/>
      </w:r>
      <w:r>
        <w:rPr/>
        <w:tab/>
        <w:t>Eig. Partizip</w:t>
      </w:r>
    </w:p>
  </w:footnote>
  <w:footnote w:id="3313">
    <w:p>
      <w:pPr>
        <w:pStyle w:val="Funote"/>
        <w:rPr/>
      </w:pPr>
      <w:r>
        <w:rPr>
          <w:rStyle w:val="Funotenzeichen"/>
        </w:rPr>
        <w:footnoteRef/>
      </w:r>
      <w:r>
        <w:rPr/>
        <w:tab/>
        <w:t>wörtl.: sagte antwortend</w:t>
      </w:r>
    </w:p>
  </w:footnote>
  <w:footnote w:id="3314">
    <w:p>
      <w:pPr>
        <w:pStyle w:val="Funote"/>
        <w:rPr/>
      </w:pPr>
      <w:r>
        <w:rPr>
          <w:rStyle w:val="Funotenzeichen"/>
        </w:rPr>
        <w:footnoteRef/>
      </w:r>
      <w:r>
        <w:rPr/>
        <w:tab/>
        <w:t>Partizip. Wörtlich: herauskommend</w:t>
      </w:r>
    </w:p>
  </w:footnote>
  <w:footnote w:id="3315">
    <w:p>
      <w:pPr>
        <w:pStyle w:val="Funote"/>
        <w:rPr/>
      </w:pPr>
      <w:r>
        <w:rPr>
          <w:rStyle w:val="Funotenzeichen"/>
        </w:rPr>
        <w:footnoteRef/>
      </w:r>
      <w:r>
        <w:rPr/>
        <w:tab/>
        <w:t>Gemeint ist wohl: Die Zinne auf dem Tempel, bzw. den Rand des Daches des Tempels</w:t>
      </w:r>
    </w:p>
  </w:footnote>
  <w:footnote w:id="3316">
    <w:p>
      <w:pPr>
        <w:pStyle w:val="Funote"/>
        <w:rPr/>
      </w:pPr>
      <w:r>
        <w:rPr>
          <w:rStyle w:val="Funotenzeichen"/>
        </w:rPr>
        <w:footnoteRef/>
      </w:r>
      <w:r>
        <w:rPr/>
        <w:tab/>
        <w:t>Eig. Futur, aber mit Verneinung oft Gebot</w:t>
      </w:r>
    </w:p>
  </w:footnote>
  <w:footnote w:id="3317">
    <w:p>
      <w:pPr>
        <w:pStyle w:val="Funote"/>
        <w:rPr/>
      </w:pPr>
      <w:r>
        <w:rPr>
          <w:rStyle w:val="Funotenzeichen"/>
        </w:rPr>
        <w:footnoteRef/>
      </w:r>
      <w:r>
        <w:rPr/>
        <w:tab/>
        <w:t>Dieses Partizip sollte man auflösen. Da beide Worte die Bedeutung "niederknien" haben vlt. einfach final: „wenn du niederfällst und mich anbetest“ oder „wenn du, in dem du niederfällst, mich anbetest“</w:t>
      </w:r>
    </w:p>
  </w:footnote>
  <w:footnote w:id="3318">
    <w:p>
      <w:pPr>
        <w:pStyle w:val="Funote"/>
        <w:rPr/>
      </w:pPr>
      <w:r>
        <w:rPr>
          <w:rStyle w:val="Funotenzeichen"/>
        </w:rPr>
        <w:footnoteRef/>
      </w:r>
      <w:r>
        <w:rPr/>
        <w:tab/>
        <w:t>Fut. mit Befehlsbedeutung</w:t>
      </w:r>
    </w:p>
  </w:footnote>
  <w:footnote w:id="3319">
    <w:p>
      <w:pPr>
        <w:pStyle w:val="Funote"/>
        <w:rPr/>
      </w:pPr>
      <w:r>
        <w:rPr>
          <w:rStyle w:val="Funotenzeichen"/>
        </w:rPr>
        <w:footnoteRef/>
      </w:r>
      <w:r>
        <w:rPr/>
        <w:tab/>
        <w:t>Part., wörtlich: „gehört habend“</w:t>
      </w:r>
    </w:p>
  </w:footnote>
  <w:footnote w:id="3320">
    <w:p>
      <w:pPr>
        <w:pStyle w:val="Funote"/>
        <w:rPr/>
      </w:pPr>
      <w:r>
        <w:rPr>
          <w:rStyle w:val="Funotenzeichen"/>
        </w:rPr>
        <w:footnoteRef/>
      </w:r>
      <w:r>
        <w:rPr/>
        <w:tab/>
        <w:t>Eig. Partizip: „Nazareth verlassend“</w:t>
      </w:r>
    </w:p>
  </w:footnote>
  <w:footnote w:id="3321">
    <w:p>
      <w:pPr>
        <w:pStyle w:val="Funote"/>
        <w:rPr/>
      </w:pPr>
      <w:r>
        <w:rPr>
          <w:rStyle w:val="Funotenzeichen"/>
        </w:rPr>
        <w:footnoteRef/>
      </w:r>
      <w:r>
        <w:rPr/>
        <w:tab/>
        <w:t>Eig. Partizip: „gehend“</w:t>
      </w:r>
    </w:p>
  </w:footnote>
  <w:footnote w:id="3322">
    <w:p>
      <w:pPr>
        <w:pStyle w:val="Funote"/>
        <w:rPr/>
      </w:pPr>
      <w:r>
        <w:rPr>
          <w:rStyle w:val="Funotenzeichen"/>
        </w:rPr>
        <w:footnoteRef/>
      </w:r>
      <w:r>
        <w:rPr/>
        <w:tab/>
        <w:t>wörtlich „in den Grenzen“</w:t>
      </w:r>
    </w:p>
  </w:footnote>
  <w:footnote w:id="3323">
    <w:p>
      <w:pPr>
        <w:pStyle w:val="Funote"/>
        <w:rPr/>
      </w:pPr>
      <w:r>
        <w:rPr>
          <w:rStyle w:val="Funotenzeichen"/>
        </w:rPr>
        <w:footnoteRef/>
      </w:r>
      <w:r>
        <w:rPr/>
        <w:tab/>
        <w:t>„</w:t>
      </w:r>
      <w:r>
        <w:rPr/>
        <w:t>zum…hin“ Hebraismus, wörtlich „einen Weg“</w:t>
      </w:r>
    </w:p>
  </w:footnote>
  <w:footnote w:id="3324">
    <w:p>
      <w:pPr>
        <w:pStyle w:val="Funote"/>
        <w:rPr/>
      </w:pPr>
      <w:r>
        <w:rPr>
          <w:rStyle w:val="Funotenzeichen"/>
        </w:rPr>
        <w:footnoteRef/>
      </w:r>
      <w:r>
        <w:rPr/>
        <w:tab/>
        <w:t>Partizip. Alternative Übersetzung: „den dort Wohnenden“</w:t>
      </w:r>
    </w:p>
  </w:footnote>
  <w:footnote w:id="3325">
    <w:p>
      <w:pPr>
        <w:pStyle w:val="Funote"/>
        <w:rPr/>
      </w:pPr>
      <w:r>
        <w:rPr>
          <w:rStyle w:val="Funotenzeichen"/>
        </w:rPr>
        <w:footnoteRef/>
      </w:r>
      <w:r>
        <w:rPr/>
        <w:tab/>
        <w:t>Plural, gemeint sind die verschiedenen Sphären des Himmels (Quelle??)</w:t>
      </w:r>
    </w:p>
  </w:footnote>
  <w:footnote w:id="3326">
    <w:p>
      <w:pPr>
        <w:pStyle w:val="Funote"/>
        <w:rPr/>
      </w:pPr>
      <w:r>
        <w:rPr>
          <w:rStyle w:val="Funotenzeichen"/>
        </w:rPr>
        <w:footnoteRef/>
      </w:r>
      <w:r>
        <w:rPr/>
        <w:tab/>
        <w:t>Partizip Präsens, Übersetzung hier gleichzeitig</w:t>
      </w:r>
    </w:p>
  </w:footnote>
  <w:footnote w:id="3327">
    <w:p>
      <w:pPr>
        <w:pStyle w:val="Funote"/>
        <w:rPr/>
      </w:pPr>
      <w:r>
        <w:rPr>
          <w:rStyle w:val="Funotenzeichen"/>
        </w:rPr>
        <w:footnoteRef/>
      </w:r>
      <w:r>
        <w:rPr/>
        <w:tab/>
        <w:t>Partizip. Wörtlich „den genannten“</w:t>
      </w:r>
    </w:p>
  </w:footnote>
  <w:footnote w:id="3328">
    <w:p>
      <w:pPr>
        <w:pStyle w:val="Funote"/>
        <w:rPr/>
      </w:pPr>
      <w:r>
        <w:rPr>
          <w:rStyle w:val="Funotenzeichen"/>
        </w:rPr>
        <w:footnoteRef/>
      </w:r>
      <w:r>
        <w:rPr/>
        <w:tab/>
        <w:t>Partizip. Vielleicht besser: „während“? Wohl aber temporal, eventl. kausal</w:t>
      </w:r>
    </w:p>
  </w:footnote>
  <w:footnote w:id="3329">
    <w:p>
      <w:pPr>
        <w:pStyle w:val="Funote"/>
        <w:rPr/>
      </w:pPr>
      <w:r>
        <w:rPr>
          <w:rStyle w:val="Funotenzeichen"/>
        </w:rPr>
        <w:footnoteRef/>
      </w:r>
      <w:r>
        <w:rPr/>
        <w:tab/>
        <w:t>Gemeint ist wohl etwas wie: „Auf, folgt mir nach!“</w:t>
      </w:r>
    </w:p>
  </w:footnote>
  <w:footnote w:id="3330">
    <w:p>
      <w:pPr>
        <w:pStyle w:val="Funote"/>
        <w:rPr/>
      </w:pPr>
      <w:r>
        <w:rPr>
          <w:rStyle w:val="Funotenzeichen"/>
        </w:rPr>
        <w:footnoteRef/>
      </w:r>
      <w:r>
        <w:rPr/>
        <w:tab/>
        <w:t>Eig. Partizip: „Diese aber, sofort die Netze zurücklassend...“. Übersetzung vlt. kausal (indem) oder einfach auflösen</w:t>
      </w:r>
    </w:p>
  </w:footnote>
  <w:footnote w:id="3331">
    <w:p>
      <w:pPr>
        <w:pStyle w:val="Funote"/>
        <w:rPr/>
      </w:pPr>
      <w:r>
        <w:rPr>
          <w:rStyle w:val="Funotenzeichen"/>
        </w:rPr>
        <w:footnoteRef/>
      </w:r>
      <w:r>
        <w:rPr/>
        <w:tab/>
        <w:t>Partizip. Übersetzung aufgelöst oder temporal („während er von dort weiterging“ oder „als...“</w:t>
      </w:r>
    </w:p>
  </w:footnote>
  <w:footnote w:id="3332">
    <w:p>
      <w:pPr>
        <w:pStyle w:val="Funote"/>
        <w:rPr/>
      </w:pPr>
      <w:r>
        <w:rPr>
          <w:rStyle w:val="Funotenzeichen"/>
        </w:rPr>
        <w:footnoteRef/>
      </w:r>
      <w:r>
        <w:rPr/>
        <w:tab/>
        <w:t>Partizip, hier temporal</w:t>
      </w:r>
    </w:p>
  </w:footnote>
  <w:footnote w:id="3333">
    <w:p>
      <w:pPr>
        <w:pStyle w:val="Funote"/>
        <w:rPr/>
      </w:pPr>
      <w:r>
        <w:rPr>
          <w:rStyle w:val="Funotenzeichen"/>
        </w:rPr>
        <w:footnoteRef/>
      </w:r>
      <w:r>
        <w:rPr/>
        <w:tab/>
        <w:t>Partizip. Vgl. Vers 20)</w:t>
      </w:r>
    </w:p>
  </w:footnote>
  <w:footnote w:id="3334">
    <w:p>
      <w:pPr>
        <w:pStyle w:val="Funote"/>
        <w:rPr/>
      </w:pPr>
      <w:r>
        <w:rPr>
          <w:rStyle w:val="Funotenzeichen"/>
        </w:rPr>
        <w:footnoteRef/>
      </w:r>
      <w:r>
        <w:rPr/>
        <w:tab/>
        <w:t>Partizip. Eventl. auch „um...zu“</w:t>
      </w:r>
    </w:p>
  </w:footnote>
  <w:footnote w:id="3335">
    <w:p>
      <w:pPr>
        <w:pStyle w:val="Funote"/>
        <w:rPr/>
      </w:pPr>
      <w:r>
        <w:rPr>
          <w:rStyle w:val="Funotenzeichen"/>
        </w:rPr>
        <w:footnoteRef/>
      </w:r>
      <w:r>
        <w:rPr/>
        <w:tab/>
        <w:t>Partizip. Eventl. auch „um...zu“</w:t>
      </w:r>
    </w:p>
  </w:footnote>
  <w:footnote w:id="3336">
    <w:p>
      <w:pPr>
        <w:pStyle w:val="Funote"/>
        <w:rPr/>
      </w:pPr>
      <w:r>
        <w:rPr>
          <w:rStyle w:val="Funotenzeichen"/>
        </w:rPr>
        <w:footnoteRef/>
      </w:r>
      <w:r>
        <w:rPr/>
        <w:tab/>
        <w:t>Partizip</w:t>
      </w:r>
    </w:p>
  </w:footnote>
  <w:footnote w:id="3337">
    <w:p>
      <w:pPr>
        <w:pStyle w:val="Funote"/>
        <w:rPr/>
      </w:pPr>
      <w:r>
        <w:rPr>
          <w:rStyle w:val="Funotenzeichen"/>
        </w:rPr>
        <w:footnoteRef/>
      </w:r>
      <w:r>
        <w:rPr/>
        <w:tab/>
        <w:t>Partizip</w:t>
      </w:r>
    </w:p>
  </w:footnote>
  <w:footnote w:id="3338">
    <w:p>
      <w:pPr>
        <w:pStyle w:val="Funote"/>
        <w:rPr/>
      </w:pPr>
      <w:r>
        <w:rPr>
          <w:rStyle w:val="Funotenzeichen"/>
        </w:rPr>
        <w:footnoteRef/>
      </w:r>
      <w:r>
        <w:rPr/>
        <w:tab/>
        <w:t xml:space="preserve">Griech. für „[Gebiet der] zehn Städte“, ein heidnisch bewohntes Gebiet östlich des Toten Meeres. </w:t>
      </w:r>
    </w:p>
  </w:footnote>
  <w:footnote w:id="3339">
    <w:p>
      <w:pPr>
        <w:pStyle w:val="Funote"/>
        <w:rPr/>
      </w:pPr>
      <w:r>
        <w:rPr>
          <w:rStyle w:val="Funotenzeichen"/>
        </w:rPr>
        <w:footnoteRef/>
      </w:r>
      <w:r>
        <w:rPr/>
        <w:tab/>
        <w:t>[Status: Ungeprüft]</w:t>
      </w:r>
    </w:p>
  </w:footnote>
  <w:footnote w:id="3340">
    <w:p>
      <w:pPr>
        <w:pStyle w:val="Funote"/>
        <w:rPr/>
      </w:pPr>
      <w:r>
        <w:rPr>
          <w:rStyle w:val="Funotenzeichen"/>
        </w:rPr>
        <w:footnoteRef/>
      </w:r>
      <w:r>
        <w:rPr/>
        <w:tab/>
        <w:t>Partizip. Wörtlich: „die Volksmenge erblickend...“</w:t>
      </w:r>
    </w:p>
  </w:footnote>
  <w:footnote w:id="3341">
    <w:p>
      <w:pPr>
        <w:pStyle w:val="Funote"/>
        <w:rPr/>
      </w:pPr>
      <w:r>
        <w:rPr>
          <w:rStyle w:val="Funotenzeichen"/>
        </w:rPr>
        <w:footnoteRef/>
      </w:r>
      <w:r>
        <w:rPr/>
        <w:tab/>
        <w:t>Partizip. Alternativ: „als er sich setzte“</w:t>
      </w:r>
    </w:p>
  </w:footnote>
  <w:footnote w:id="3342">
    <w:p>
      <w:pPr>
        <w:pStyle w:val="Funote"/>
        <w:rPr/>
      </w:pPr>
      <w:r>
        <w:rPr>
          <w:rStyle w:val="Funotenzeichen"/>
        </w:rPr>
        <w:footnoteRef/>
      </w:r>
      <w:r>
        <w:rPr/>
        <w:tab/>
        <w:t xml:space="preserve">Beschreibendes adv. </w:t>
      </w:r>
      <w:hyperlink r:id="rId252">
        <w:r>
          <w:rPr>
            <w:rStyle w:val="Internetverknpfung"/>
          </w:rPr>
          <w:t>Partizip</w:t>
        </w:r>
      </w:hyperlink>
      <w:r>
        <w:rPr/>
        <w:t xml:space="preserve"> Aorist Aktiv, gleichgeordnet aufgelöst. Redewendung, die eine feierliche Rede einleitet (Haubeck/Siebthal 2007, S. 18)</w:t>
      </w:r>
    </w:p>
  </w:footnote>
  <w:footnote w:id="3343">
    <w:p>
      <w:pPr>
        <w:pStyle w:val="Funote"/>
        <w:rPr/>
      </w:pPr>
      <w:r>
        <w:rPr>
          <w:rStyle w:val="Funotenzeichen"/>
        </w:rPr>
        <w:footnoteRef/>
      </w:r>
      <w:r>
        <w:rPr/>
        <w:tab/>
        <w:t>Gemeint ist wohl die Haltung gegenüber Gott bzw. die Beziehung mit ihm. „sie sind sich bewusst, dass sie m[it] leeren Händen vor ihm [Gott] stehen u[nd] daher ganz auf seine Hilfe angewiesen sind“ (Haubeck/Siebthal 2007, S. 18)</w:t>
      </w:r>
    </w:p>
  </w:footnote>
  <w:footnote w:id="3344">
    <w:p>
      <w:pPr>
        <w:pStyle w:val="Funote"/>
        <w:rPr/>
      </w:pPr>
      <w:r>
        <w:rPr>
          <w:rStyle w:val="Funotenzeichen"/>
        </w:rPr>
        <w:footnoteRef/>
      </w:r>
      <w:r>
        <w:rPr/>
        <w:tab/>
        <w:t>Aber auch: Frömmigkeit, Aufrichtigkeit, dem Willen Gott entsprechend!</w:t>
      </w:r>
    </w:p>
  </w:footnote>
  <w:footnote w:id="3345">
    <w:p>
      <w:pPr>
        <w:pStyle w:val="Funote"/>
        <w:rPr/>
      </w:pPr>
      <w:r>
        <w:rPr>
          <w:rStyle w:val="Funotenzeichen"/>
        </w:rPr>
        <w:footnoteRef/>
      </w:r>
      <w:hyperlink r:id="rId253">
        <w:r>
          <w:rPr>
            <w:rStyle w:val="Internetverknpfung"/>
          </w:rPr>
          <w:tab/>
          <w:t>generisches Maskulinum</w:t>
        </w:r>
      </w:hyperlink>
    </w:p>
  </w:footnote>
  <w:footnote w:id="3346">
    <w:p>
      <w:pPr>
        <w:pStyle w:val="Funote"/>
        <w:rPr/>
      </w:pPr>
      <w:r>
        <w:rPr>
          <w:rStyle w:val="Funotenzeichen"/>
        </w:rPr>
        <w:footnoteRef/>
      </w:r>
      <w:r>
        <w:rPr/>
        <w:tab/>
        <w:t>Eig. „Arbeitslohn“ (Haubeck/Siebenthal 2008, S. 20)</w:t>
      </w:r>
    </w:p>
  </w:footnote>
  <w:footnote w:id="3347">
    <w:p>
      <w:pPr>
        <w:pStyle w:val="Funote"/>
        <w:rPr/>
      </w:pPr>
      <w:r>
        <w:rPr>
          <w:rStyle w:val="Funotenzeichen"/>
        </w:rPr>
        <w:footnoteRef/>
      </w:r>
      <w:r>
        <w:rPr/>
        <w:tab/>
        <w:t>Steht betont.</w:t>
      </w:r>
    </w:p>
  </w:footnote>
  <w:footnote w:id="3348">
    <w:p>
      <w:pPr>
        <w:pStyle w:val="Funote"/>
        <w:rPr/>
      </w:pPr>
      <w:r>
        <w:rPr>
          <w:rStyle w:val="Funotenzeichen"/>
        </w:rPr>
        <w:footnoteRef/>
      </w:r>
      <w:r>
        <w:rPr/>
        <w:tab/>
        <w:t>Alle drei Varianten sind möglich, auch wenn sie sich sehr unterscheiden. Die letzte Variante geht von einem passivum divinum aus.</w:t>
      </w:r>
    </w:p>
  </w:footnote>
  <w:footnote w:id="3349">
    <w:p>
      <w:pPr>
        <w:pStyle w:val="Funote"/>
        <w:rPr/>
      </w:pPr>
      <w:r>
        <w:rPr>
          <w:rStyle w:val="Funotenzeichen"/>
        </w:rPr>
        <w:footnoteRef/>
      </w:r>
      <w:r>
        <w:rPr/>
        <w:tab/>
        <w:t>Steht betont.</w:t>
      </w:r>
    </w:p>
  </w:footnote>
  <w:footnote w:id="3350">
    <w:p>
      <w:pPr>
        <w:pStyle w:val="Funote"/>
        <w:rPr/>
      </w:pPr>
      <w:r>
        <w:rPr>
          <w:rStyle w:val="Funotenzeichen"/>
        </w:rPr>
        <w:footnoteRef/>
      </w:r>
      <w:r>
        <w:rPr/>
        <w:tab/>
        <w:t>Das Griech. Wort kommt vom Lat. modium und bezeichnet eine Maßeinheit von ca. 8 ¾ Litern - groß genug, um eine Öllampe darunter zu stellen.</w:t>
      </w:r>
    </w:p>
  </w:footnote>
  <w:footnote w:id="3351">
    <w:p>
      <w:pPr>
        <w:pStyle w:val="Funote"/>
        <w:rPr/>
      </w:pPr>
      <w:r>
        <w:rPr>
          <w:rStyle w:val="Funotenzeichen"/>
        </w:rPr>
        <w:footnoteRef/>
      </w:r>
      <w:r>
        <w:rPr/>
        <w:tab/>
        <w:t>Steht betont.</w:t>
      </w:r>
    </w:p>
  </w:footnote>
  <w:footnote w:id="3352">
    <w:p>
      <w:pPr>
        <w:pStyle w:val="Funote"/>
        <w:rPr/>
      </w:pPr>
      <w:r>
        <w:rPr>
          <w:rStyle w:val="Funotenzeichen"/>
        </w:rPr>
        <w:footnoteRef/>
      </w:r>
      <w:r>
        <w:rPr/>
        <w:tab/>
        <w:t xml:space="preserve">Hier wird immer die Konstruktion </w:t>
      </w:r>
      <w:r>
        <w:rPr>
          <w:lang w:val="el-GR"/>
        </w:rPr>
        <w:t>ἔνοχος ἔσται</w:t>
      </w:r>
      <w:r>
        <w:rPr/>
        <w:t xml:space="preserve"> verwendet: Ist festgehalten/schuldig(Verfallen dem ... </w:t>
      </w:r>
    </w:p>
  </w:footnote>
  <w:footnote w:id="3353">
    <w:p>
      <w:pPr>
        <w:pStyle w:val="Funote"/>
        <w:rPr/>
      </w:pPr>
      <w:r>
        <w:rPr>
          <w:rStyle w:val="Funotenzeichen"/>
        </w:rPr>
        <w:footnoteRef/>
      </w:r>
      <w:r>
        <w:rPr/>
        <w:tab/>
        <w:t>Opfergabe, Geschenk</w:t>
      </w:r>
    </w:p>
  </w:footnote>
  <w:footnote w:id="3354">
    <w:p>
      <w:pPr>
        <w:pStyle w:val="Funote"/>
        <w:rPr/>
      </w:pPr>
      <w:r>
        <w:rPr>
          <w:rStyle w:val="Funotenzeichen"/>
        </w:rPr>
        <w:footnoteRef/>
      </w:r>
      <w:r>
        <w:rPr/>
        <w:tab/>
        <w:t>Hingehen oder gehen, weggehen</w:t>
      </w:r>
    </w:p>
  </w:footnote>
  <w:footnote w:id="3355">
    <w:p>
      <w:pPr>
        <w:pStyle w:val="Funote"/>
        <w:rPr/>
      </w:pPr>
      <w:r>
        <w:rPr>
          <w:rStyle w:val="Funotenzeichen"/>
        </w:rPr>
        <w:footnoteRef/>
      </w:r>
      <w:r>
        <w:rPr/>
        <w:tab/>
        <w:t>Eigentlich Partizip. Andere Übersetzungsmöglichkeiten „Sei jemand, der...“</w:t>
      </w:r>
    </w:p>
  </w:footnote>
  <w:footnote w:id="3356">
    <w:p>
      <w:pPr>
        <w:pStyle w:val="Funote"/>
        <w:rPr/>
      </w:pPr>
      <w:r>
        <w:rPr>
          <w:rStyle w:val="Funotenzeichen"/>
        </w:rPr>
        <w:footnoteRef/>
      </w:r>
      <w:r>
        <w:rPr/>
        <w:tab/>
        <w:t xml:space="preserve">Die Konstruktion </w:t>
      </w:r>
      <w:r>
        <w:rPr>
          <w:lang w:val="el-GR"/>
        </w:rPr>
        <w:t>πρὸς τὸ</w:t>
      </w:r>
      <w:r>
        <w:rPr/>
        <w:t xml:space="preserve"> bedeutet wohl „Wobei“ oder „und dabei“</w:t>
      </w:r>
    </w:p>
  </w:footnote>
  <w:footnote w:id="3357">
    <w:p>
      <w:pPr>
        <w:pStyle w:val="Funote"/>
        <w:rPr/>
      </w:pPr>
      <w:r>
        <w:rPr>
          <w:rStyle w:val="Funotenzeichen"/>
        </w:rPr>
        <w:footnoteRef/>
      </w:r>
      <w:r>
        <w:rPr/>
        <w:tab/>
        <w:t>Siebenthal weist auf den Befehlscharakter hin: abhängiger begehrssatz mit Infinitiv (Haubeck/Siebthal 2008, S. 25)</w:t>
      </w:r>
    </w:p>
  </w:footnote>
  <w:footnote w:id="3358">
    <w:p>
      <w:pPr>
        <w:pStyle w:val="Funote"/>
        <w:rPr/>
      </w:pPr>
      <w:r>
        <w:rPr>
          <w:rStyle w:val="Funotenzeichen"/>
        </w:rPr>
        <w:footnoteRef/>
      </w:r>
      <w:r>
        <w:rPr/>
        <w:tab/>
        <w:t>Gemeint ist wohl Gott (Haubeck/Siebthal 2008, S. 25)</w:t>
      </w:r>
    </w:p>
  </w:footnote>
  <w:footnote w:id="3359">
    <w:p>
      <w:pPr>
        <w:pStyle w:val="Funote"/>
        <w:rPr/>
      </w:pPr>
      <w:r>
        <w:rPr>
          <w:rStyle w:val="Funotenzeichen"/>
        </w:rPr>
        <w:footnoteRef/>
      </w:r>
      <w:r>
        <w:rPr/>
        <w:tab/>
        <w:t xml:space="preserve">die zwei Infinitive stehen </w:t>
      </w:r>
      <w:r>
        <w:rPr>
          <w:lang w:val="el-GR"/>
        </w:rPr>
        <w:t>θέλοντί</w:t>
      </w:r>
      <w:r>
        <w:rPr/>
        <w:t xml:space="preserve"> beigestellt, sinngemäß natürlich „um dein Gewand zu nehmen“</w:t>
      </w:r>
    </w:p>
  </w:footnote>
  <w:footnote w:id="3360">
    <w:p>
      <w:pPr>
        <w:pStyle w:val="Funote"/>
        <w:rPr/>
      </w:pPr>
      <w:r>
        <w:rPr>
          <w:rStyle w:val="Funotenzeichen"/>
        </w:rPr>
        <w:footnoteRef/>
      </w:r>
      <w:r>
        <w:rPr/>
        <w:tab/>
        <w:t xml:space="preserve">Das Wort </w:t>
      </w:r>
      <w:r>
        <w:rPr>
          <w:lang w:val="el-GR"/>
        </w:rPr>
        <w:t>ἀγγαρεύω</w:t>
      </w:r>
      <w:r>
        <w:rPr/>
        <w:t xml:space="preserve"> bezeichnet häufig erzwungene Dienste zugunsten des römischen Militärs. In seinem Kommentar hält Ulrich Luz (</w:t>
      </w:r>
      <w:r>
        <w:rPr>
          <w:position w:val="7"/>
          <w:sz w:val="16"/>
        </w:rPr>
        <w:t>5</w:t>
      </w:r>
      <w:r>
        <w:rPr/>
        <w:t>2002, 386) eine Anspielung hierauf für denkbar, aber nicht für gesichert. Siebenthal geht von einer Zwangsarbeit für den Beförderungsdienst aus (Haubeck/Siebthal 2008, S. 27)</w:t>
      </w:r>
    </w:p>
  </w:footnote>
  <w:footnote w:id="3361">
    <w:p>
      <w:pPr>
        <w:pStyle w:val="Funote"/>
        <w:rPr/>
      </w:pPr>
      <w:r>
        <w:rPr>
          <w:rStyle w:val="Funotenzeichen"/>
        </w:rPr>
        <w:footnoteRef/>
      </w:r>
      <w:r>
        <w:rPr/>
        <w:tab/>
        <w:t>Partizip, dass man hier sinnvoll nur final auflösen kann</w:t>
      </w:r>
    </w:p>
  </w:footnote>
  <w:footnote w:id="3362">
    <w:p>
      <w:pPr>
        <w:pStyle w:val="Funote"/>
        <w:rPr/>
      </w:pPr>
      <w:r>
        <w:rPr>
          <w:rStyle w:val="Funotenzeichen"/>
        </w:rPr>
        <w:footnoteRef/>
      </w:r>
      <w:r>
        <w:rPr/>
        <w:tab/>
        <w:t>Hier steht Futur, das aber ein Gebot ausdrückt</w:t>
      </w:r>
    </w:p>
  </w:footnote>
  <w:footnote w:id="3363">
    <w:p>
      <w:pPr>
        <w:pStyle w:val="Funote"/>
        <w:rPr/>
      </w:pPr>
      <w:r>
        <w:rPr>
          <w:rStyle w:val="Funotenzeichen"/>
        </w:rPr>
        <w:footnoteRef/>
      </w:r>
      <w:r>
        <w:rPr/>
        <w:tab/>
        <w:t>[Status: Ungeprüft]</w:t>
      </w:r>
    </w:p>
  </w:footnote>
  <w:footnote w:id="3364">
    <w:p>
      <w:pPr>
        <w:pStyle w:val="Funote"/>
        <w:rPr/>
      </w:pPr>
      <w:r>
        <w:rPr>
          <w:rStyle w:val="Funotenzeichen"/>
        </w:rPr>
        <w:footnoteRef/>
      </w:r>
      <w:r>
        <w:rPr/>
        <w:tab/>
        <w:t>Diese Formulierung entspricht natürlich dem „herausposaunen“ - „rede nicht darüber, was (wie viel) du gespendet hast“</w:t>
      </w:r>
    </w:p>
  </w:footnote>
  <w:footnote w:id="3365">
    <w:p>
      <w:pPr>
        <w:pStyle w:val="Funote"/>
        <w:rPr/>
      </w:pPr>
      <w:r>
        <w:rPr>
          <w:rStyle w:val="Funotenzeichen"/>
        </w:rPr>
        <w:footnoteRef/>
      </w:r>
      <w:r>
        <w:rPr/>
        <w:tab/>
        <w:t>perfektisches Präs. also auch möglich: „sie haben den Lohn (damit schon) erhalten“(Haubeck/Siebthal 2007, 28f)</w:t>
      </w:r>
    </w:p>
  </w:footnote>
  <w:footnote w:id="3366">
    <w:p>
      <w:pPr>
        <w:pStyle w:val="Funote"/>
        <w:rPr/>
      </w:pPr>
      <w:r>
        <w:rPr>
          <w:rStyle w:val="Funotenzeichen"/>
        </w:rPr>
        <w:footnoteRef/>
      </w:r>
      <w:r>
        <w:rPr/>
        <w:tab/>
        <w:t>Gemeint ist wohl: linke Hand</w:t>
      </w:r>
    </w:p>
  </w:footnote>
  <w:footnote w:id="3367">
    <w:p>
      <w:pPr>
        <w:pStyle w:val="Funote"/>
        <w:rPr/>
      </w:pPr>
      <w:r>
        <w:rPr>
          <w:rStyle w:val="Funotenzeichen"/>
        </w:rPr>
        <w:footnoteRef/>
      </w:r>
      <w:r>
        <w:rPr/>
        <w:tab/>
        <w:t>perfektisches Präs. also auch möglich: „sie haben den Lohn (damit schon) erhalten“(Haubeck/Siebthal 2007, 28f)</w:t>
      </w:r>
    </w:p>
  </w:footnote>
  <w:footnote w:id="3368">
    <w:p>
      <w:pPr>
        <w:pStyle w:val="Funote"/>
        <w:rPr/>
      </w:pPr>
      <w:r>
        <w:rPr>
          <w:rStyle w:val="Funotenzeichen"/>
        </w:rPr>
        <w:footnoteRef/>
      </w:r>
      <w:r>
        <w:rPr/>
        <w:tab/>
        <w:t>eventl. konativ „wenn du ... möchtes“(Haubeck/Siebthal 2007, 29)</w:t>
      </w:r>
    </w:p>
  </w:footnote>
  <w:footnote w:id="3369">
    <w:p>
      <w:pPr>
        <w:pStyle w:val="Funote"/>
        <w:rPr/>
      </w:pPr>
      <w:r>
        <w:rPr>
          <w:rStyle w:val="Funotenzeichen"/>
        </w:rPr>
        <w:footnoteRef/>
      </w:r>
      <w:r>
        <w:rPr/>
        <w:tab/>
        <w:t>[Status: Zuverlässig]</w:t>
      </w:r>
    </w:p>
  </w:footnote>
  <w:footnote w:id="3370">
    <w:p>
      <w:pPr>
        <w:pStyle w:val="Funote"/>
        <w:rPr/>
      </w:pPr>
      <w:r>
        <w:rPr>
          <w:rStyle w:val="Funotenzeichen"/>
        </w:rPr>
        <w:footnoteRef/>
      </w:r>
      <w:r>
        <w:rPr/>
        <w:tab/>
        <w:t>Ihr steht im Griechischen betont am Ende des Satzes und grenzt so die Jünger von den „plappernden Heuchlern“ ab (Hagner 1993, S. 147): Im Gegensatz zu diesen sollen die Jünger „folgendermaßen beten“.</w:t>
      </w:r>
    </w:p>
  </w:footnote>
  <w:footnote w:id="3371">
    <w:p>
      <w:pPr>
        <w:pStyle w:val="Funote"/>
        <w:rPr/>
      </w:pPr>
      <w:r>
        <w:rPr>
          <w:rStyle w:val="Funotenzeichen"/>
        </w:rPr>
        <w:footnoteRef/>
      </w:r>
      <w:r>
        <w:rPr>
          <w:i/>
        </w:rPr>
        <w:tab/>
        <w:t>im Himmel</w:t>
      </w:r>
      <w:r>
        <w:rPr/>
        <w:t xml:space="preserve"> - W. „in den Himmeln“; idiomatischer Plural, der sich häufiger im NT findet (wohl ein Semitismus). In der LF sollte mit Einzahl übersetzt werden.</w:t>
      </w:r>
    </w:p>
  </w:footnote>
  <w:footnote w:id="3372">
    <w:p>
      <w:pPr>
        <w:pStyle w:val="Funote"/>
        <w:rPr/>
      </w:pPr>
      <w:r>
        <w:rPr>
          <w:rStyle w:val="Funotenzeichen"/>
        </w:rPr>
        <w:footnoteRef/>
      </w:r>
      <w:r>
        <w:rPr/>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373">
    <w:p>
      <w:pPr>
        <w:pStyle w:val="Funote"/>
        <w:rPr/>
      </w:pPr>
      <w:r>
        <w:rPr>
          <w:rStyle w:val="Funotenzeichen"/>
        </w:rPr>
        <w:footnoteRef/>
      </w:r>
      <w:r>
        <w:rPr/>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374">
    <w:p>
      <w:pPr>
        <w:pStyle w:val="Funote"/>
        <w:rPr/>
      </w:pPr>
      <w:r>
        <w:rPr>
          <w:rStyle w:val="Funotenzeichen"/>
        </w:rPr>
        <w:footnoteRef/>
      </w:r>
      <w:r>
        <w:rPr/>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375">
    <w:p>
      <w:pPr>
        <w:pStyle w:val="Funote"/>
        <w:rPr/>
      </w:pPr>
      <w:r>
        <w:rPr>
          <w:rStyle w:val="Funotenzeichen"/>
        </w:rPr>
        <w:footnoteRef/>
      </w:r>
      <w:r>
        <w:rPr/>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376">
    <w:p>
      <w:pPr>
        <w:pStyle w:val="Funote"/>
        <w:rPr/>
      </w:pPr>
      <w:r>
        <w:rPr>
          <w:rStyle w:val="Funotenzeichen"/>
        </w:rPr>
        <w:footnoteRef/>
      </w:r>
      <w:r>
        <w:rPr>
          <w:i/>
        </w:rPr>
        <w:tab/>
        <w:t>kommen</w:t>
      </w:r>
      <w:r>
        <w:rPr/>
        <w:t xml:space="preserve">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377">
    <w:p>
      <w:pPr>
        <w:pStyle w:val="Funote"/>
        <w:rPr/>
      </w:pPr>
      <w:r>
        <w:rPr>
          <w:rStyle w:val="Funotenzeichen"/>
        </w:rPr>
        <w:footnoteRef/>
      </w:r>
      <w:r>
        <w:rPr/>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378">
    <w:p>
      <w:pPr>
        <w:pStyle w:val="Funote"/>
        <w:rPr/>
      </w:pPr>
      <w:r>
        <w:rPr>
          <w:rStyle w:val="Funotenzeichen"/>
        </w:rPr>
        <w:footnoteRef/>
      </w:r>
      <w:r>
        <w:rPr/>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379">
    <w:p>
      <w:pPr>
        <w:pStyle w:val="Funote"/>
        <w:rPr/>
      </w:pPr>
      <w:r>
        <w:rPr>
          <w:rStyle w:val="Funotenzeichen"/>
        </w:rPr>
        <w:footnoteRef/>
      </w:r>
      <w:r>
        <w:rPr/>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380">
    <w:p>
      <w:pPr>
        <w:pStyle w:val="Funote"/>
        <w:rPr/>
      </w:pPr>
      <w:r>
        <w:rPr>
          <w:rStyle w:val="Funotenzeichen"/>
        </w:rPr>
        <w:footnoteRef/>
      </w:r>
      <w:r>
        <w:rPr/>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381">
    <w:p>
      <w:pPr>
        <w:pStyle w:val="Funote"/>
        <w:rPr/>
      </w:pPr>
      <w:r>
        <w:rPr>
          <w:rStyle w:val="Funotenzeichen"/>
        </w:rPr>
        <w:footnoteRef/>
      </w:r>
      <w:r>
        <w:rPr/>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382">
    <w:p>
      <w:pPr>
        <w:pStyle w:val="Funote"/>
        <w:rPr/>
      </w:pPr>
      <w:r>
        <w:rPr>
          <w:rStyle w:val="Funotenzeichen"/>
        </w:rPr>
        <w:footnoteRef/>
      </w:r>
      <w:r>
        <w:rPr/>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383">
    <w:p>
      <w:pPr>
        <w:pStyle w:val="Funote"/>
        <w:rPr/>
      </w:pPr>
      <w:r>
        <w:rPr>
          <w:rStyle w:val="Funotenzeichen"/>
        </w:rPr>
        <w:footnoteRef/>
      </w:r>
      <w:r>
        <w:rPr/>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384">
    <w:p>
      <w:pPr>
        <w:pStyle w:val="Funote"/>
        <w:rPr/>
      </w:pPr>
      <w:r>
        <w:rPr>
          <w:rStyle w:val="Funotenzeichen"/>
        </w:rPr>
        <w:footnoteRef/>
      </w:r>
      <w:r>
        <w:rPr/>
        <w:tab/>
        <w:t>[Status: Ungeprüft]</w:t>
      </w:r>
    </w:p>
  </w:footnote>
  <w:footnote w:id="3385">
    <w:p>
      <w:pPr>
        <w:pStyle w:val="Funote"/>
        <w:rPr/>
      </w:pPr>
      <w:r>
        <w:rPr>
          <w:rStyle w:val="Funotenzeichen"/>
        </w:rPr>
        <w:footnoteRef/>
      </w:r>
      <w:r>
        <w:rPr/>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386">
    <w:p>
      <w:pPr>
        <w:pStyle w:val="Funote"/>
        <w:rPr/>
      </w:pPr>
      <w:r>
        <w:rPr>
          <w:rStyle w:val="Funotenzeichen"/>
        </w:rPr>
        <w:footnoteRef/>
      </w:r>
      <w:r>
        <w:rPr/>
        <w:tab/>
        <w:t>wörtlich: mit finsterem Blick/ traurig/mürrisch dreinschauend</w:t>
      </w:r>
    </w:p>
  </w:footnote>
  <w:footnote w:id="3387">
    <w:p>
      <w:pPr>
        <w:pStyle w:val="Funote"/>
        <w:rPr/>
      </w:pPr>
      <w:r>
        <w:rPr>
          <w:rStyle w:val="Funotenzeichen"/>
        </w:rPr>
        <w:footnoteRef/>
      </w:r>
      <w:r>
        <w:rPr>
          <w:lang w:val="el-GR"/>
        </w:rPr>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388">
    <w:p>
      <w:pPr>
        <w:pStyle w:val="Funote"/>
        <w:rPr/>
      </w:pPr>
      <w:r>
        <w:rPr>
          <w:rStyle w:val="Funotenzeichen"/>
        </w:rPr>
        <w:footnoteRef/>
      </w:r>
      <w:r>
        <w:rPr/>
        <w:tab/>
        <w:t>wörtlich: damit sie den Leuten als Fastende erscheinen</w:t>
      </w:r>
    </w:p>
  </w:footnote>
  <w:footnote w:id="3389">
    <w:p>
      <w:pPr>
        <w:pStyle w:val="Funote"/>
        <w:rPr/>
      </w:pPr>
      <w:r>
        <w:rPr>
          <w:rStyle w:val="Funotenzeichen"/>
        </w:rPr>
        <w:footnoteRef/>
      </w:r>
      <w:r>
        <w:rPr/>
        <w:tab/>
        <w:t>nämlich dadurch, dass die Leute ihr Fasten bemerkt haben - d.h. sie haben um der Anerkennung durch die Leute willen gefastet, nicht um Gottes willen</w:t>
      </w:r>
    </w:p>
  </w:footnote>
  <w:footnote w:id="3390">
    <w:p>
      <w:pPr>
        <w:pStyle w:val="Funote"/>
        <w:rPr/>
      </w:pPr>
      <w:r>
        <w:rPr>
          <w:rStyle w:val="Funotenzeichen"/>
        </w:rPr>
        <w:footnoteRef/>
      </w:r>
      <w:r>
        <w:rPr/>
        <w:tab/>
        <w:t>perfektisches Präs. also auch möglich: „sie haben den Lohn (damit schon) erhalten“(Haubeck/Siebthal 2007, 28f)</w:t>
      </w:r>
    </w:p>
  </w:footnote>
  <w:footnote w:id="3391">
    <w:p>
      <w:pPr>
        <w:pStyle w:val="Funote"/>
        <w:rPr/>
      </w:pPr>
      <w:r>
        <w:rPr>
          <w:rStyle w:val="Funotenzeichen"/>
        </w:rPr>
        <w:footnoteRef/>
      </w:r>
      <w:r>
        <w:rPr/>
        <w:tab/>
        <w:t>das ist zu frei übersetzt: du bei den Menschen nicht den falschen Eindruck erweckst, dass du ein Fastender bist, sondern zu deinem verborgenen Vater, der dir im Verborgenen zusieht und dir vergibt (vergilt)</w:t>
      </w:r>
    </w:p>
  </w:footnote>
  <w:footnote w:id="3392">
    <w:p>
      <w:pPr>
        <w:pStyle w:val="Funote"/>
        <w:rPr/>
      </w:pPr>
      <w:r>
        <w:rPr>
          <w:rStyle w:val="Funotenzeichen"/>
        </w:rPr>
        <w:footnoteRef/>
      </w:r>
      <w:r>
        <w:rPr/>
        <w:tab/>
        <w:t>wörtl.: damit du nicht den Leuten als Fastender erscheinst</w:t>
      </w:r>
    </w:p>
  </w:footnote>
  <w:footnote w:id="3393">
    <w:p>
      <w:pPr>
        <w:pStyle w:val="Funote"/>
        <w:rPr/>
      </w:pPr>
      <w:r>
        <w:rPr>
          <w:rStyle w:val="Funotenzeichen"/>
        </w:rPr>
        <w:footnoteRef/>
      </w:r>
      <w:r>
        <w:rPr/>
        <w:tab/>
        <w:t>Kollektiver Singular</w:t>
      </w:r>
    </w:p>
  </w:footnote>
  <w:footnote w:id="3394">
    <w:p>
      <w:pPr>
        <w:pStyle w:val="Funote"/>
        <w:rPr/>
      </w:pPr>
      <w:r>
        <w:rPr>
          <w:rStyle w:val="Funotenzeichen"/>
        </w:rPr>
        <w:footnoteRef/>
      </w:r>
      <w:r>
        <w:rPr/>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395">
    <w:p>
      <w:pPr>
        <w:pStyle w:val="Funote"/>
        <w:rPr/>
      </w:pPr>
      <w:r>
        <w:rPr>
          <w:rStyle w:val="Funotenzeichen"/>
        </w:rPr>
        <w:footnoteRef/>
      </w:r>
      <w:r>
        <w:rPr/>
        <w:tab/>
        <w:t>wörtl.: durchgraben (von Lehmwänden), aber der Begriff ist zum t.t. für "einbrechen" geworden.</w:t>
      </w:r>
    </w:p>
  </w:footnote>
  <w:footnote w:id="3396">
    <w:p>
      <w:pPr>
        <w:pStyle w:val="Funote"/>
        <w:rPr/>
      </w:pPr>
      <w:r>
        <w:rPr>
          <w:rStyle w:val="Funotenzeichen"/>
        </w:rPr>
        <w:footnoteRef/>
      </w:r>
      <w:r>
        <w:rPr/>
        <w:tab/>
        <w:t>Kollektiver Singular</w:t>
      </w:r>
    </w:p>
  </w:footnote>
  <w:footnote w:id="3397">
    <w:p>
      <w:pPr>
        <w:pStyle w:val="Funote"/>
        <w:rPr/>
      </w:pPr>
      <w:r>
        <w:rPr>
          <w:rStyle w:val="Funotenzeichen"/>
        </w:rPr>
        <w:footnoteRef/>
      </w:r>
      <w:r>
        <w:rPr>
          <w:lang w:val="el-GR"/>
        </w:rPr>
        <w:tab/>
        <w:t>ἐστιν</w:t>
      </w:r>
      <w:r>
        <w:rPr/>
        <w:t>: 3.Sg. Präsenz akt.</w:t>
      </w:r>
    </w:p>
  </w:footnote>
  <w:footnote w:id="3398">
    <w:p>
      <w:pPr>
        <w:pStyle w:val="Funote"/>
        <w:rPr/>
      </w:pPr>
      <w:r>
        <w:rPr>
          <w:rStyle w:val="Funotenzeichen"/>
        </w:rPr>
        <w:footnoteRef/>
      </w:r>
      <w:r>
        <w:rPr>
          <w:lang w:val="el-GR"/>
        </w:rPr>
        <w:tab/>
        <w:t>ἔσται</w:t>
      </w:r>
      <w:r>
        <w:rPr/>
        <w:t>: 3.Sg. Futur med.</w:t>
      </w:r>
    </w:p>
  </w:footnote>
  <w:footnote w:id="3399">
    <w:p>
      <w:pPr>
        <w:pStyle w:val="Funote"/>
        <w:rPr/>
      </w:pPr>
      <w:r>
        <w:rPr>
          <w:rStyle w:val="Funotenzeichen"/>
        </w:rPr>
        <w:footnoteRef/>
      </w:r>
      <w:r>
        <w:rPr/>
        <w:tab/>
        <w:t>heißt: „niemand kann“ bzw. „niemandem ist es möglich“</w:t>
      </w:r>
    </w:p>
  </w:footnote>
  <w:footnote w:id="3400">
    <w:p>
      <w:pPr>
        <w:pStyle w:val="Funote"/>
        <w:rPr/>
      </w:pPr>
      <w:r>
        <w:rPr>
          <w:rStyle w:val="Funotenzeichen"/>
        </w:rPr>
        <w:footnoteRef/>
      </w:r>
      <w:r>
        <w:rPr/>
        <w:tab/>
        <w:t>In manchen Handschriften fehlt das Trinken (</w:t>
      </w:r>
      <w:r>
        <w:rPr>
          <w:lang w:val="el-GR"/>
        </w:rPr>
        <w:t>ἢ τί πίητε</w:t>
      </w:r>
      <w:r>
        <w:rPr/>
        <w:t>), das SBLGNT lässt es weg, NA27 setzt es in Klammern.</w:t>
      </w:r>
    </w:p>
  </w:footnote>
  <w:footnote w:id="3401">
    <w:p>
      <w:pPr>
        <w:pStyle w:val="Funote"/>
        <w:rPr/>
      </w:pPr>
      <w:r>
        <w:rPr>
          <w:rStyle w:val="Funotenzeichen"/>
        </w:rPr>
        <w:footnoteRef/>
      </w:r>
      <w:r>
        <w:rPr/>
        <w:tab/>
        <w:t>Koll. Singular</w:t>
      </w:r>
    </w:p>
  </w:footnote>
  <w:footnote w:id="3402">
    <w:p>
      <w:pPr>
        <w:pStyle w:val="Funote"/>
        <w:rPr/>
      </w:pPr>
      <w:r>
        <w:rPr>
          <w:rStyle w:val="Funotenzeichen"/>
        </w:rPr>
        <w:footnoteRef/>
      </w:r>
      <w:r>
        <w:rPr/>
        <w:tab/>
        <w:t>„</w:t>
      </w:r>
      <w:r>
        <w:rPr/>
        <w:t>Mehr wert sein“ ist keine wörtliche Übersetzung, aber natürlich die Bedeutung von „</w:t>
      </w:r>
      <w:r>
        <w:rPr>
          <w:lang w:val="el-GR"/>
        </w:rPr>
        <w:t>διαφέρετε αὐτῶν</w:t>
      </w:r>
      <w:r>
        <w:rPr/>
        <w:t>“, „sich von ihnen unterscheiden“</w:t>
      </w:r>
    </w:p>
  </w:footnote>
  <w:footnote w:id="3403">
    <w:p>
      <w:pPr>
        <w:pStyle w:val="Funote"/>
        <w:rPr/>
      </w:pPr>
      <w:r>
        <w:rPr>
          <w:rStyle w:val="Funotenzeichen"/>
        </w:rPr>
        <w:footnoteRef/>
      </w:r>
      <w:r>
        <w:rPr/>
        <w:tab/>
        <w:t>D.h. „sein Leben auch nur ein bisschen verlängern“ bzw. „einen Tag hinzufügen“.</w:t>
      </w:r>
    </w:p>
  </w:footnote>
  <w:footnote w:id="3404">
    <w:p>
      <w:pPr>
        <w:pStyle w:val="Funote"/>
        <w:rPr/>
      </w:pPr>
      <w:r>
        <w:rPr>
          <w:rStyle w:val="Funotenzeichen"/>
        </w:rPr>
        <w:footnoteRef/>
      </w:r>
      <w:r>
        <w:rPr/>
        <w:tab/>
        <w:t>Koll. Singular „um Kleideung“</w:t>
      </w:r>
    </w:p>
  </w:footnote>
  <w:footnote w:id="3405">
    <w:p>
      <w:pPr>
        <w:pStyle w:val="Funote"/>
        <w:rPr/>
      </w:pPr>
      <w:r>
        <w:rPr>
          <w:rStyle w:val="Funotenzeichen"/>
        </w:rPr>
        <w:footnoteRef/>
      </w:r>
      <w:r>
        <w:rPr/>
        <w:tab/>
        <w:t>Feldblumen. „Lilien“ ist nicht gesichert.</w:t>
      </w:r>
    </w:p>
  </w:footnote>
  <w:footnote w:id="3406">
    <w:p>
      <w:pPr>
        <w:pStyle w:val="Funote"/>
        <w:rPr/>
      </w:pPr>
      <w:r>
        <w:rPr>
          <w:rStyle w:val="Funotenzeichen"/>
        </w:rPr>
        <w:footnoteRef/>
      </w:r>
      <w:r>
        <w:rPr/>
        <w:tab/>
        <w:t>Pars pro toto für „machen sich Kleider“</w:t>
      </w:r>
    </w:p>
  </w:footnote>
  <w:footnote w:id="3407">
    <w:p>
      <w:pPr>
        <w:pStyle w:val="Funote"/>
        <w:rPr/>
      </w:pPr>
      <w:r>
        <w:rPr>
          <w:rStyle w:val="Funotenzeichen"/>
        </w:rPr>
        <w:footnoteRef/>
      </w:r>
      <w:r>
        <w:rPr/>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408">
    <w:p>
      <w:pPr>
        <w:pStyle w:val="Funote"/>
        <w:rPr/>
      </w:pPr>
      <w:r>
        <w:rPr>
          <w:rStyle w:val="Funotenzeichen"/>
        </w:rPr>
        <w:footnoteRef/>
      </w:r>
      <w:r>
        <w:rPr/>
        <w:tab/>
        <w:t>Frei übersetzt: „dafür werden euch alle anderen Dinge gegeben werden“</w:t>
      </w:r>
    </w:p>
  </w:footnote>
  <w:footnote w:id="3409">
    <w:p>
      <w:pPr>
        <w:pStyle w:val="Funote"/>
        <w:rPr/>
      </w:pPr>
      <w:r>
        <w:rPr>
          <w:rStyle w:val="Funotenzeichen"/>
        </w:rPr>
        <w:footnoteRef/>
      </w:r>
      <w:r>
        <w:rPr/>
        <w:tab/>
        <w:t>Der Versuch, einer wörtlicheren Wiedergabe: „Das dem [einzelnen] Tag zugehörige Schlechte ist genug.“</w:t>
      </w:r>
    </w:p>
  </w:footnote>
  <w:footnote w:id="3410">
    <w:p>
      <w:pPr>
        <w:pStyle w:val="Funote"/>
        <w:rPr/>
      </w:pPr>
      <w:r>
        <w:rPr>
          <w:rStyle w:val="Funotenzeichen"/>
        </w:rPr>
        <w:footnoteRef/>
      </w:r>
      <w:r>
        <w:rPr/>
        <w:tab/>
        <w:t>[Status: Ungeprüft]</w:t>
      </w:r>
    </w:p>
  </w:footnote>
  <w:footnote w:id="3411">
    <w:p>
      <w:pPr>
        <w:pStyle w:val="Funote"/>
        <w:rPr/>
      </w:pPr>
      <w:r>
        <w:rPr>
          <w:rStyle w:val="Funotenzeichen"/>
        </w:rPr>
        <w:footnoteRef/>
      </w:r>
      <w:r>
        <w:rPr>
          <w:lang w:val="el-GR"/>
        </w:rPr>
        <w:tab/>
        <w:t>ἐστί</w:t>
      </w:r>
      <w:r>
        <w:rPr/>
        <w:t xml:space="preserve"> ist zu ergänzen</w:t>
      </w:r>
    </w:p>
  </w:footnote>
  <w:footnote w:id="3412">
    <w:p>
      <w:pPr>
        <w:pStyle w:val="Funote"/>
        <w:rPr/>
      </w:pPr>
      <w:r>
        <w:rPr>
          <w:rStyle w:val="Funotenzeichen"/>
        </w:rPr>
        <w:footnoteRef/>
      </w:r>
      <w:r>
        <w:rPr/>
        <w:tab/>
        <w:t>Konstruktion mit Infinitv</w:t>
      </w:r>
    </w:p>
  </w:footnote>
  <w:footnote w:id="3413">
    <w:p>
      <w:pPr>
        <w:pStyle w:val="Funote"/>
        <w:rPr/>
      </w:pPr>
      <w:r>
        <w:rPr>
          <w:rStyle w:val="Funotenzeichen"/>
        </w:rPr>
        <w:footnoteRef/>
      </w:r>
      <w:r>
        <w:rPr>
          <w:lang w:val="el-GR"/>
        </w:rPr>
        <w:tab/>
        <w:t>αἰτῶν, ζητῶν</w:t>
      </w:r>
      <w:r>
        <w:rPr/>
        <w:t xml:space="preserve"> und </w:t>
      </w:r>
      <w:r>
        <w:rPr>
          <w:lang w:val="el-GR"/>
        </w:rPr>
        <w:t>κρούοντι</w:t>
      </w:r>
      <w:r>
        <w:rPr/>
        <w:t xml:space="preserve"> sind jeweils Partizipien. Andere Übersetzungsmöglichkeiten: „der Bittende empfängt“</w:t>
      </w:r>
    </w:p>
  </w:footnote>
  <w:footnote w:id="3414">
    <w:p>
      <w:pPr>
        <w:pStyle w:val="Funote"/>
        <w:rPr/>
      </w:pPr>
      <w:r>
        <w:rPr>
          <w:rStyle w:val="Funotenzeichen"/>
        </w:rPr>
        <w:footnoteRef/>
      </w:r>
      <w:r>
        <w:rPr/>
        <w:tab/>
        <w:t>Partizip, andere Übersetzungsmöglichkeit temporal: „wenn ihr ihn bittet“</w:t>
      </w:r>
    </w:p>
  </w:footnote>
  <w:footnote w:id="3415">
    <w:p>
      <w:pPr>
        <w:pStyle w:val="Funote"/>
        <w:rPr/>
      </w:pPr>
      <w:r>
        <w:rPr>
          <w:rStyle w:val="Funotenzeichen"/>
        </w:rPr>
        <w:footnoteRef/>
      </w:r>
      <w:r>
        <w:rPr/>
        <w:tab/>
        <w:t>Partizip</w:t>
      </w:r>
    </w:p>
  </w:footnote>
  <w:footnote w:id="3416">
    <w:p>
      <w:pPr>
        <w:pStyle w:val="Funote"/>
        <w:rPr/>
      </w:pPr>
      <w:r>
        <w:rPr>
          <w:rStyle w:val="Funotenzeichen"/>
        </w:rPr>
        <w:footnoteRef/>
      </w:r>
      <w:r>
        <w:rPr/>
        <w:tab/>
        <w:t>Partizip, wörtlich: führend</w:t>
      </w:r>
    </w:p>
  </w:footnote>
  <w:footnote w:id="3417">
    <w:p>
      <w:pPr>
        <w:pStyle w:val="Funote"/>
        <w:rPr/>
      </w:pPr>
      <w:r>
        <w:rPr>
          <w:rStyle w:val="Funotenzeichen"/>
        </w:rPr>
        <w:footnoteRef/>
      </w:r>
      <w:r>
        <w:rPr/>
        <w:tab/>
        <w:t>Gemeint sind wohl Taten</w:t>
      </w:r>
    </w:p>
  </w:footnote>
  <w:footnote w:id="3418">
    <w:p>
      <w:pPr>
        <w:pStyle w:val="Funote"/>
        <w:rPr/>
      </w:pPr>
      <w:r>
        <w:rPr>
          <w:rStyle w:val="Funotenzeichen"/>
        </w:rPr>
        <w:footnoteRef/>
      </w:r>
      <w:r>
        <w:rPr/>
        <w:tab/>
        <w:t>Oder „... kann nicht ....“</w:t>
      </w:r>
    </w:p>
  </w:footnote>
  <w:footnote w:id="3419">
    <w:p>
      <w:pPr>
        <w:pStyle w:val="Funote"/>
        <w:rPr/>
      </w:pPr>
      <w:r>
        <w:rPr>
          <w:rStyle w:val="Funotenzeichen"/>
        </w:rPr>
        <w:footnoteRef/>
      </w:r>
      <w:r>
        <w:rPr/>
        <w:tab/>
        <w:t>Eig. Infinitiv, aber hier in den Nebensatz eingegliedert</w:t>
      </w:r>
    </w:p>
  </w:footnote>
  <w:footnote w:id="3420">
    <w:p>
      <w:pPr>
        <w:pStyle w:val="Funote"/>
        <w:rPr/>
      </w:pPr>
      <w:r>
        <w:rPr>
          <w:rStyle w:val="Funotenzeichen"/>
        </w:rPr>
        <w:footnoteRef/>
      </w:r>
      <w:r>
        <w:rPr/>
        <w:tab/>
        <w:t>oder Kollektivum, also Pluralbedeutung</w:t>
      </w:r>
    </w:p>
  </w:footnote>
  <w:footnote w:id="3421">
    <w:p>
      <w:pPr>
        <w:pStyle w:val="Funote"/>
        <w:rPr/>
      </w:pPr>
      <w:r>
        <w:rPr>
          <w:rStyle w:val="Funotenzeichen"/>
        </w:rPr>
        <w:footnoteRef/>
      </w:r>
      <w:r>
        <w:rPr/>
        <w:tab/>
        <w:t>Partizip. Wörtl. „nicht tragend“ eventl. auch temporal: „wenn er keine guten Früchte trägt“</w:t>
      </w:r>
    </w:p>
  </w:footnote>
  <w:footnote w:id="3422">
    <w:p>
      <w:pPr>
        <w:pStyle w:val="Funote"/>
        <w:rPr/>
      </w:pPr>
      <w:r>
        <w:rPr>
          <w:rStyle w:val="Funotenzeichen"/>
        </w:rPr>
        <w:footnoteRef/>
      </w:r>
      <w:r>
        <w:rPr/>
        <w:tab/>
        <w:t>Beide Verben Präsens Passiv, eventl. futuristisch übersetzten</w:t>
      </w:r>
    </w:p>
  </w:footnote>
  <w:footnote w:id="3423">
    <w:p>
      <w:pPr>
        <w:pStyle w:val="Funote"/>
        <w:rPr/>
      </w:pPr>
      <w:r>
        <w:rPr>
          <w:rStyle w:val="Funotenzeichen"/>
        </w:rPr>
        <w:footnoteRef/>
      </w:r>
      <w:r>
        <w:rPr/>
        <w:tab/>
        <w:t>Vgl. Vers 16</w:t>
      </w:r>
    </w:p>
  </w:footnote>
  <w:footnote w:id="3424">
    <w:p>
      <w:pPr>
        <w:pStyle w:val="Funote"/>
        <w:rPr/>
      </w:pPr>
      <w:r>
        <w:rPr>
          <w:rStyle w:val="Funotenzeichen"/>
        </w:rPr>
        <w:footnoteRef/>
      </w:r>
      <w:r>
        <w:rPr/>
        <w:tab/>
        <w:t>Partizip, hier als Relativsatz aufgelöst</w:t>
      </w:r>
    </w:p>
  </w:footnote>
  <w:footnote w:id="3425">
    <w:p>
      <w:pPr>
        <w:pStyle w:val="Funote"/>
        <w:rPr/>
      </w:pPr>
      <w:r>
        <w:rPr>
          <w:rStyle w:val="Funotenzeichen"/>
        </w:rPr>
        <w:footnoteRef/>
      </w:r>
      <w:r>
        <w:rPr/>
        <w:tab/>
        <w:t>Partizip, hier als Relativsatz aufgelöst</w:t>
      </w:r>
    </w:p>
  </w:footnote>
  <w:footnote w:id="3426">
    <w:p>
      <w:pPr>
        <w:pStyle w:val="Funote"/>
        <w:rPr/>
      </w:pPr>
      <w:r>
        <w:rPr>
          <w:rStyle w:val="Funotenzeichen"/>
        </w:rPr>
        <w:footnoteRef/>
      </w:r>
      <w:r>
        <w:rPr/>
        <w:tab/>
        <w:t>Partizip, hier als Relativsatz aufgelöst</w:t>
      </w:r>
    </w:p>
  </w:footnote>
  <w:footnote w:id="3427">
    <w:p>
      <w:pPr>
        <w:pStyle w:val="Funote"/>
        <w:rPr/>
      </w:pPr>
      <w:r>
        <w:rPr>
          <w:rStyle w:val="Funotenzeichen"/>
        </w:rPr>
        <w:footnoteRef/>
      </w:r>
      <w:r>
        <w:rPr/>
        <w:tab/>
        <w:t>Partizip, hier final aufgelöst</w:t>
      </w:r>
    </w:p>
  </w:footnote>
  <w:footnote w:id="3428">
    <w:p>
      <w:pPr>
        <w:pStyle w:val="Funote"/>
        <w:rPr/>
      </w:pPr>
      <w:r>
        <w:rPr>
          <w:rStyle w:val="Funotenzeichen"/>
        </w:rPr>
        <w:footnoteRef/>
      </w:r>
      <w:r>
        <w:rPr/>
        <w:tab/>
        <w:t>gemeint bspw. „ihr, die im Widerspruch zu Gottes Gesetz lebt“, „ihr, die fern von Gottes Gesetzen tätig seid“ oder etwas wie „ihr Übertreter des Gesetzes“</w:t>
      </w:r>
    </w:p>
  </w:footnote>
  <w:footnote w:id="3429">
    <w:p>
      <w:pPr>
        <w:pStyle w:val="Funote"/>
        <w:rPr/>
      </w:pPr>
      <w:r>
        <w:rPr>
          <w:rStyle w:val="Funotenzeichen"/>
        </w:rPr>
        <w:footnoteRef/>
      </w:r>
      <w:r>
        <w:rPr/>
        <w:tab/>
        <w:t>Impf.</w:t>
      </w:r>
    </w:p>
  </w:footnote>
  <w:footnote w:id="3430">
    <w:p>
      <w:pPr>
        <w:pStyle w:val="Funote"/>
        <w:rPr/>
      </w:pPr>
      <w:r>
        <w:rPr>
          <w:rStyle w:val="Funotenzeichen"/>
        </w:rPr>
        <w:footnoteRef/>
      </w:r>
      <w:r>
        <w:rPr/>
        <w:tab/>
        <w:t>Partizip. Wohl einfach auflösen „denn er lehrte, wie...“</w:t>
      </w:r>
    </w:p>
  </w:footnote>
  <w:footnote w:id="3431">
    <w:p>
      <w:pPr>
        <w:pStyle w:val="Funote"/>
        <w:rPr/>
      </w:pPr>
      <w:r>
        <w:rPr>
          <w:rStyle w:val="Funotenzeichen"/>
        </w:rPr>
        <w:footnoteRef/>
      </w:r>
      <w:r>
        <w:rPr/>
        <w:tab/>
        <w:t>[Status: Ungeprüft]</w:t>
      </w:r>
    </w:p>
  </w:footnote>
  <w:footnote w:id="3432">
    <w:p>
      <w:pPr>
        <w:pStyle w:val="Funote"/>
        <w:rPr/>
      </w:pPr>
      <w:r>
        <w:rPr>
          <w:rStyle w:val="Funotenzeichen"/>
        </w:rPr>
        <w:footnoteRef/>
      </w:r>
      <w:r>
        <w:rPr/>
        <w:tab/>
        <w:t>Partizip, hier temporal aufgelöst. Wörtlich: „Herabsteigend vom Berg...“</w:t>
      </w:r>
    </w:p>
  </w:footnote>
  <w:footnote w:id="3433">
    <w:p>
      <w:pPr>
        <w:pStyle w:val="Funote"/>
        <w:rPr/>
      </w:pPr>
      <w:r>
        <w:rPr>
          <w:rStyle w:val="Funotenzeichen"/>
        </w:rPr>
        <w:footnoteRef/>
      </w:r>
      <w:r>
        <w:rPr/>
        <w:tab/>
        <w:t>Oder: „Unreiner“, mit dem Wort scheinen mehrere Hauterkrankungen, die zur kultischen Unreinheit führten, bezeichnet worden zu sein</w:t>
      </w:r>
    </w:p>
  </w:footnote>
  <w:footnote w:id="3434">
    <w:p>
      <w:pPr>
        <w:pStyle w:val="Funote"/>
        <w:rPr/>
      </w:pPr>
      <w:r>
        <w:rPr>
          <w:rStyle w:val="Funotenzeichen"/>
        </w:rPr>
        <w:footnoteRef/>
      </w:r>
      <w:r>
        <w:rPr/>
        <w:tab/>
        <w:t>Partizip, hier einfach als finites Verb aufgelöst. Möglicherweise auch temporal auflösbar.</w:t>
      </w:r>
    </w:p>
  </w:footnote>
  <w:footnote w:id="3435">
    <w:p>
      <w:pPr>
        <w:pStyle w:val="Funote"/>
        <w:rPr/>
      </w:pPr>
      <w:r>
        <w:rPr>
          <w:rStyle w:val="Funotenzeichen"/>
        </w:rPr>
        <w:footnoteRef/>
      </w:r>
      <w:r>
        <w:rPr/>
        <w:tab/>
        <w:t>Partizip, hier einfach als finites Verb aufgelöst.</w:t>
      </w:r>
    </w:p>
  </w:footnote>
  <w:footnote w:id="3436">
    <w:p>
      <w:pPr>
        <w:pStyle w:val="Funote"/>
        <w:rPr/>
      </w:pPr>
      <w:r>
        <w:rPr>
          <w:rStyle w:val="Funotenzeichen"/>
        </w:rPr>
        <w:footnoteRef/>
      </w:r>
      <w:r>
        <w:rPr/>
        <w:tab/>
        <w:t>Partizip, vlt. auch einfach final auflösen: „er streckte seine Hand aus und berührte ihn“</w:t>
      </w:r>
    </w:p>
  </w:footnote>
  <w:footnote w:id="3437">
    <w:p>
      <w:pPr>
        <w:pStyle w:val="Funote"/>
        <w:rPr/>
      </w:pPr>
      <w:r>
        <w:rPr>
          <w:rStyle w:val="Funotenzeichen"/>
        </w:rPr>
        <w:footnoteRef/>
      </w:r>
      <w:r>
        <w:rPr/>
        <w:tab/>
        <w:t>gemeint: die Priester. Eventl. „sei“ ergänzen.</w:t>
      </w:r>
    </w:p>
  </w:footnote>
  <w:footnote w:id="3438">
    <w:p>
      <w:pPr>
        <w:pStyle w:val="Funote"/>
        <w:rPr/>
      </w:pPr>
      <w:r>
        <w:rPr>
          <w:rStyle w:val="Funotenzeichen"/>
        </w:rPr>
        <w:footnoteRef/>
      </w:r>
      <w:r>
        <w:rPr/>
        <w:tab/>
        <w:t>Partizip, vermutlich am besten mit „um...zu“ zu übersetzen oder final auflösen</w:t>
      </w:r>
    </w:p>
  </w:footnote>
  <w:footnote w:id="3439">
    <w:p>
      <w:pPr>
        <w:pStyle w:val="Funote"/>
        <w:rPr/>
      </w:pPr>
      <w:r>
        <w:rPr>
          <w:rStyle w:val="Funotenzeichen"/>
        </w:rPr>
        <w:footnoteRef/>
      </w:r>
      <w:r>
        <w:rPr/>
        <w:tab/>
        <w:t>Partizip, hier final aufgelöst</w:t>
      </w:r>
    </w:p>
  </w:footnote>
  <w:footnote w:id="3440">
    <w:p>
      <w:pPr>
        <w:pStyle w:val="Funote"/>
        <w:rPr/>
      </w:pPr>
      <w:r>
        <w:rPr>
          <w:rStyle w:val="Funotenzeichen"/>
        </w:rPr>
        <w:footnoteRef/>
      </w:r>
      <w:r>
        <w:rPr/>
        <w:tab/>
        <w:t>Partizip. Wohl: „hat furchtbare (schreckliche) Schmerzen (Qualen)“</w:t>
      </w:r>
    </w:p>
  </w:footnote>
  <w:footnote w:id="3441">
    <w:p>
      <w:pPr>
        <w:pStyle w:val="Funote"/>
        <w:rPr/>
      </w:pPr>
      <w:r>
        <w:rPr>
          <w:rStyle w:val="Funotenzeichen"/>
        </w:rPr>
        <w:footnoteRef/>
      </w:r>
      <w:r>
        <w:rPr/>
        <w:tab/>
        <w:t>Partizip. Hier final aufgelöst.</w:t>
      </w:r>
    </w:p>
  </w:footnote>
  <w:footnote w:id="3442">
    <w:p>
      <w:pPr>
        <w:pStyle w:val="Funote"/>
        <w:rPr/>
      </w:pPr>
      <w:r>
        <w:rPr>
          <w:rStyle w:val="Funotenzeichen"/>
        </w:rPr>
        <w:footnoteRef/>
      </w:r>
      <w:r>
        <w:rPr/>
        <w:tab/>
        <w:t>Partizip. Eigentlich „antwortend“, hier final aufgelöst</w:t>
      </w:r>
    </w:p>
  </w:footnote>
  <w:footnote w:id="3443">
    <w:p>
      <w:pPr>
        <w:pStyle w:val="Funote"/>
        <w:rPr/>
      </w:pPr>
      <w:r>
        <w:rPr>
          <w:rStyle w:val="Funotenzeichen"/>
        </w:rPr>
        <w:footnoteRef/>
      </w:r>
      <w:r>
        <w:rPr/>
        <w:tab/>
        <w:t>Dies ist der unbestimmte Artikel, ein Zahlwort fehlt hier</w:t>
      </w:r>
    </w:p>
  </w:footnote>
  <w:footnote w:id="3444">
    <w:p>
      <w:pPr>
        <w:pStyle w:val="Funote"/>
        <w:rPr/>
      </w:pPr>
      <w:r>
        <w:rPr>
          <w:rStyle w:val="Funotenzeichen"/>
        </w:rPr>
        <w:footnoteRef/>
      </w:r>
      <w:r>
        <w:rPr/>
        <w:tab/>
        <w:t>Steht betont</w:t>
      </w:r>
    </w:p>
  </w:footnote>
  <w:footnote w:id="3445">
    <w:p>
      <w:pPr>
        <w:pStyle w:val="Funote"/>
        <w:rPr/>
      </w:pPr>
      <w:r>
        <w:rPr>
          <w:rStyle w:val="Funotenzeichen"/>
        </w:rPr>
        <w:footnoteRef/>
      </w:r>
      <w:r>
        <w:rPr/>
        <w:tab/>
        <w:t>Partizip. Wörtlich: „unter mir Soldaten habend“</w:t>
      </w:r>
    </w:p>
  </w:footnote>
  <w:footnote w:id="3446">
    <w:p>
      <w:pPr>
        <w:pStyle w:val="Funote"/>
        <w:rPr/>
      </w:pPr>
      <w:r>
        <w:rPr>
          <w:rStyle w:val="Funotenzeichen"/>
        </w:rPr>
        <w:footnoteRef/>
      </w:r>
      <w:r>
        <w:rPr/>
        <w:tab/>
        <w:t>Partizip;</w:t>
      </w:r>
    </w:p>
  </w:footnote>
  <w:footnote w:id="3447">
    <w:p>
      <w:pPr>
        <w:pStyle w:val="Funote"/>
        <w:rPr/>
      </w:pPr>
      <w:r>
        <w:rPr>
          <w:rStyle w:val="Funotenzeichen"/>
        </w:rPr>
        <w:footnoteRef/>
      </w:r>
      <w:r>
        <w:rPr/>
        <w:tab/>
        <w:t>Eigentlich Partizip: „den Nachfolgenden“ bzw. „denen, die Jünger sind“</w:t>
      </w:r>
    </w:p>
  </w:footnote>
  <w:footnote w:id="3448">
    <w:p>
      <w:pPr>
        <w:pStyle w:val="Funote"/>
        <w:rPr/>
      </w:pPr>
      <w:r>
        <w:rPr>
          <w:rStyle w:val="Funotenzeichen"/>
        </w:rPr>
        <w:footnoteRef/>
      </w:r>
      <w:r>
        <w:rPr/>
        <w:tab/>
        <w:t>Partizip, hier temporal aufgelöst</w:t>
      </w:r>
    </w:p>
  </w:footnote>
  <w:footnote w:id="3449">
    <w:p>
      <w:pPr>
        <w:pStyle w:val="Funote"/>
        <w:rPr/>
      </w:pPr>
      <w:r>
        <w:rPr>
          <w:rStyle w:val="Funotenzeichen"/>
        </w:rPr>
        <w:footnoteRef/>
      </w:r>
      <w:r>
        <w:rPr/>
        <w:tab/>
        <w:t>Beides Partizipien, hier final aufgelöst.</w:t>
      </w:r>
    </w:p>
  </w:footnote>
  <w:footnote w:id="3450">
    <w:p>
      <w:pPr>
        <w:pStyle w:val="Funote"/>
        <w:rPr/>
      </w:pPr>
      <w:r>
        <w:rPr>
          <w:rStyle w:val="Funotenzeichen"/>
        </w:rPr>
        <w:footnoteRef/>
      </w:r>
      <w:r>
        <w:rPr/>
        <w:tab/>
        <w:t>Partizip;</w:t>
      </w:r>
    </w:p>
  </w:footnote>
  <w:footnote w:id="3451">
    <w:p>
      <w:pPr>
        <w:pStyle w:val="Funote"/>
        <w:rPr/>
      </w:pPr>
      <w:r>
        <w:rPr>
          <w:rStyle w:val="Funotenzeichen"/>
        </w:rPr>
        <w:footnoteRef/>
      </w:r>
      <w:r>
        <w:rPr/>
        <w:tab/>
        <w:t>Partizip wörtl. „schlechtes habende“</w:t>
      </w:r>
    </w:p>
  </w:footnote>
  <w:footnote w:id="3452">
    <w:p>
      <w:pPr>
        <w:pStyle w:val="Funote"/>
        <w:rPr/>
      </w:pPr>
      <w:r>
        <w:rPr>
          <w:rStyle w:val="Funotenzeichen"/>
        </w:rPr>
        <w:footnoteRef/>
      </w:r>
      <w:r>
        <w:rPr/>
        <w:tab/>
        <w:t>Siebenthal weist auf das prophetische Perfekt im Hebr. mit futuristischer Bedeutung hin</w:t>
      </w:r>
    </w:p>
  </w:footnote>
  <w:footnote w:id="3453">
    <w:p>
      <w:pPr>
        <w:pStyle w:val="Funote"/>
        <w:rPr/>
      </w:pPr>
      <w:r>
        <w:rPr>
          <w:rStyle w:val="Funotenzeichen"/>
        </w:rPr>
        <w:footnoteRef/>
      </w:r>
      <w:r>
        <w:rPr/>
        <w:tab/>
        <w:t xml:space="preserve">Partizip. Vlt. auch einfach final: „... kam hinzu ...“ </w:t>
      </w:r>
    </w:p>
  </w:footnote>
  <w:footnote w:id="3454">
    <w:p>
      <w:pPr>
        <w:pStyle w:val="Funote"/>
        <w:rPr/>
      </w:pPr>
      <w:r>
        <w:rPr>
          <w:rStyle w:val="Funotenzeichen"/>
        </w:rPr>
        <w:footnoteRef/>
      </w:r>
      <w:r>
        <w:rPr/>
        <w:tab/>
        <w:t>Die Partizipkonstruktion „</w:t>
      </w:r>
      <w:r>
        <w:rPr>
          <w:lang w:val="el-GR"/>
        </w:rPr>
        <w:t>ἐμβάντι αὐτῷ</w:t>
      </w:r>
      <w:r>
        <w:rPr/>
        <w:t xml:space="preserve">“ lässt sich nicht wörtlich wiedergeben. Partizip Aorist, also Gleichzeitigkeit zum Hauptsatz. </w:t>
      </w:r>
    </w:p>
  </w:footnote>
  <w:footnote w:id="3455">
    <w:p>
      <w:pPr>
        <w:pStyle w:val="Funote"/>
        <w:rPr/>
      </w:pPr>
      <w:r>
        <w:rPr>
          <w:rStyle w:val="Funotenzeichen"/>
        </w:rPr>
        <w:footnoteRef/>
      </w:r>
      <w:r>
        <w:rPr/>
        <w:tab/>
        <w:t>Partizip. Wört. „herantretend“</w:t>
      </w:r>
    </w:p>
  </w:footnote>
  <w:footnote w:id="3456">
    <w:p>
      <w:pPr>
        <w:pStyle w:val="Funote"/>
        <w:rPr/>
      </w:pPr>
      <w:r>
        <w:rPr>
          <w:rStyle w:val="Funotenzeichen"/>
        </w:rPr>
        <w:footnoteRef/>
      </w:r>
      <w:r>
        <w:rPr/>
        <w:tab/>
        <w:t>Hier steht ein Partizip. Möglich auch etwa: „ihr, die ihr von schwachem Vertrauen seid“</w:t>
      </w:r>
    </w:p>
  </w:footnote>
  <w:footnote w:id="3457">
    <w:p>
      <w:pPr>
        <w:pStyle w:val="Funote"/>
        <w:rPr/>
      </w:pPr>
      <w:r>
        <w:rPr>
          <w:rStyle w:val="Funotenzeichen"/>
        </w:rPr>
        <w:footnoteRef/>
      </w:r>
      <w:r>
        <w:rPr/>
        <w:tab/>
        <w:t>Partizip. Wörtlich: „aufgestanden“</w:t>
      </w:r>
    </w:p>
  </w:footnote>
  <w:footnote w:id="3458">
    <w:p>
      <w:pPr>
        <w:pStyle w:val="Funote"/>
        <w:rPr/>
      </w:pPr>
      <w:r>
        <w:rPr>
          <w:rStyle w:val="Funotenzeichen"/>
        </w:rPr>
        <w:footnoteRef/>
      </w:r>
      <w:r>
        <w:rPr/>
        <w:tab/>
        <w:t>Partizip, hier temporal aufgelöst</w:t>
      </w:r>
    </w:p>
  </w:footnote>
  <w:footnote w:id="3459">
    <w:p>
      <w:pPr>
        <w:pStyle w:val="Funote"/>
        <w:rPr/>
      </w:pPr>
      <w:r>
        <w:rPr>
          <w:rStyle w:val="Funotenzeichen"/>
        </w:rPr>
        <w:footnoteRef/>
      </w:r>
      <w:r>
        <w:rPr/>
        <w:tab/>
        <w:t>Partizip. Wörtlich: „aus den Gräbern kommend“</w:t>
      </w:r>
    </w:p>
  </w:footnote>
  <w:footnote w:id="3460">
    <w:p>
      <w:pPr>
        <w:pStyle w:val="Funote"/>
        <w:rPr/>
      </w:pPr>
      <w:r>
        <w:rPr>
          <w:rStyle w:val="Funotenzeichen"/>
        </w:rPr>
        <w:footnoteRef/>
      </w:r>
      <w:r>
        <w:rPr/>
        <w:tab/>
        <w:t>Wörtlich: Was (haben) wir und du (gemeinsam), ein Ausruf der Ablehnung.</w:t>
      </w:r>
    </w:p>
  </w:footnote>
  <w:footnote w:id="3461">
    <w:p>
      <w:pPr>
        <w:pStyle w:val="Funote"/>
        <w:rPr/>
      </w:pPr>
      <w:r>
        <w:rPr>
          <w:rStyle w:val="Funotenzeichen"/>
        </w:rPr>
        <w:footnoteRef/>
      </w:r>
      <w:r>
        <w:rPr/>
        <w:tab/>
        <w:t>Gemeint ist wohl: Vor dem Tag des jüngsten Gerichtes</w:t>
      </w:r>
    </w:p>
  </w:footnote>
  <w:footnote w:id="3462">
    <w:p>
      <w:pPr>
        <w:pStyle w:val="Funote"/>
        <w:rPr/>
      </w:pPr>
      <w:r>
        <w:rPr>
          <w:rStyle w:val="Funotenzeichen"/>
        </w:rPr>
        <w:footnoteRef/>
      </w:r>
      <w:r>
        <w:rPr/>
        <w:tab/>
        <w:t>Hier steht ein Partizip. Wörtlich: „die Hütenden“ oder „die Weidenden“.</w:t>
      </w:r>
    </w:p>
  </w:footnote>
  <w:footnote w:id="3463">
    <w:p>
      <w:pPr>
        <w:pStyle w:val="Funote"/>
        <w:rPr/>
      </w:pPr>
      <w:r>
        <w:rPr>
          <w:rStyle w:val="Funotenzeichen"/>
        </w:rPr>
        <w:footnoteRef/>
      </w:r>
      <w:r>
        <w:rPr/>
        <w:tab/>
        <w:t>Gemeint ist sinngemäß: „alles, nämlich die Begebenheit mit den Besessenen“ oder „alles, auch das mit den Besessenen“</w:t>
      </w:r>
    </w:p>
  </w:footnote>
  <w:footnote w:id="3464">
    <w:p>
      <w:pPr>
        <w:pStyle w:val="Funote"/>
        <w:rPr/>
      </w:pPr>
      <w:r>
        <w:rPr>
          <w:rStyle w:val="Funotenzeichen"/>
        </w:rPr>
        <w:footnoteRef/>
      </w:r>
      <w:r>
        <w:rPr/>
        <w:tab/>
        <w:t>Partizip, hier temporal aufgelöst</w:t>
      </w:r>
    </w:p>
  </w:footnote>
  <w:footnote w:id="3465">
    <w:p>
      <w:pPr>
        <w:pStyle w:val="Funote"/>
        <w:rPr/>
      </w:pPr>
      <w:r>
        <w:rPr>
          <w:rStyle w:val="Funotenzeichen"/>
        </w:rPr>
        <w:footnoteRef/>
      </w:r>
      <w:r>
        <w:rPr/>
        <w:tab/>
        <w:t>[Status: Ungeprüft]</w:t>
      </w:r>
    </w:p>
  </w:footnote>
  <w:footnote w:id="3466">
    <w:p>
      <w:pPr>
        <w:pStyle w:val="Funote"/>
        <w:rPr/>
      </w:pPr>
      <w:r>
        <w:rPr>
          <w:rStyle w:val="Funotenzeichen"/>
        </w:rPr>
        <w:footnoteRef/>
      </w:r>
      <w:r>
        <w:rPr/>
        <w:tab/>
        <w:t>Partizip. Wörtlich: „liegend“</w:t>
      </w:r>
    </w:p>
  </w:footnote>
  <w:footnote w:id="3467">
    <w:p>
      <w:pPr>
        <w:pStyle w:val="Funote"/>
        <w:rPr/>
      </w:pPr>
      <w:r>
        <w:rPr>
          <w:rStyle w:val="Funotenzeichen"/>
        </w:rPr>
        <w:footnoteRef/>
      </w:r>
      <w:r>
        <w:rPr/>
        <w:tab/>
        <w:t>Partizip. Eventl. auch temporal.</w:t>
      </w:r>
    </w:p>
  </w:footnote>
  <w:footnote w:id="3468">
    <w:p>
      <w:pPr>
        <w:pStyle w:val="Funote"/>
        <w:rPr/>
      </w:pPr>
      <w:r>
        <w:rPr>
          <w:rStyle w:val="Funotenzeichen"/>
        </w:rPr>
        <w:footnoteRef/>
      </w:r>
      <w:r>
        <w:rPr/>
        <w:tab/>
        <w:t>Partizip. Wohl temporal: „als er von dort weiterging“</w:t>
      </w:r>
    </w:p>
  </w:footnote>
  <w:footnote w:id="3469">
    <w:p>
      <w:pPr>
        <w:pStyle w:val="Funote"/>
        <w:rPr/>
      </w:pPr>
      <w:r>
        <w:rPr>
          <w:rStyle w:val="Funotenzeichen"/>
        </w:rPr>
        <w:footnoteRef/>
      </w:r>
      <w:r>
        <w:rPr/>
        <w:tab/>
        <w:t>Partizip: „einen Menschen, der bei der Zollstelle saß“</w:t>
      </w:r>
    </w:p>
  </w:footnote>
  <w:footnote w:id="3470">
    <w:p>
      <w:pPr>
        <w:pStyle w:val="Funote"/>
        <w:rPr/>
      </w:pPr>
      <w:r>
        <w:rPr>
          <w:rStyle w:val="Funotenzeichen"/>
        </w:rPr>
        <w:footnoteRef/>
      </w:r>
      <w:r>
        <w:rPr/>
        <w:tab/>
        <w:t>Partizip</w:t>
      </w:r>
    </w:p>
  </w:footnote>
  <w:footnote w:id="3471">
    <w:p>
      <w:pPr>
        <w:pStyle w:val="Funote"/>
        <w:rPr/>
      </w:pPr>
      <w:r>
        <w:rPr>
          <w:rStyle w:val="Funotenzeichen"/>
        </w:rPr>
        <w:footnoteRef/>
      </w:r>
      <w:r>
        <w:rPr/>
        <w:tab/>
        <w:t>Partizip. Vielleicht auch temporal: „als er es hörte“</w:t>
      </w:r>
    </w:p>
  </w:footnote>
  <w:footnote w:id="3472">
    <w:p>
      <w:pPr>
        <w:pStyle w:val="Funote"/>
        <w:rPr/>
      </w:pPr>
      <w:r>
        <w:rPr>
          <w:rStyle w:val="Funotenzeichen"/>
        </w:rPr>
        <w:footnoteRef/>
      </w:r>
      <w:r>
        <w:rPr/>
        <w:tab/>
        <w:t>Hos. 6,6</w:t>
      </w:r>
    </w:p>
  </w:footnote>
  <w:footnote w:id="3473">
    <w:p>
      <w:pPr>
        <w:pStyle w:val="Funote"/>
        <w:rPr/>
      </w:pPr>
      <w:r>
        <w:rPr>
          <w:rStyle w:val="Funotenzeichen"/>
        </w:rPr>
        <w:footnoteRef/>
      </w:r>
      <w:r>
        <w:rPr/>
        <w:tab/>
        <w:t>Partizip. Oder: während</w:t>
      </w:r>
    </w:p>
  </w:footnote>
  <w:footnote w:id="3474">
    <w:p>
      <w:pPr>
        <w:pStyle w:val="Funote"/>
        <w:rPr/>
      </w:pPr>
      <w:r>
        <w:rPr>
          <w:rStyle w:val="Funotenzeichen"/>
        </w:rPr>
        <w:footnoteRef/>
      </w:r>
      <w:r>
        <w:rPr/>
        <w:tab/>
        <w:t>Partizip</w:t>
      </w:r>
    </w:p>
  </w:footnote>
  <w:footnote w:id="3475">
    <w:p>
      <w:pPr>
        <w:pStyle w:val="Funote"/>
        <w:rPr/>
      </w:pPr>
      <w:r>
        <w:rPr>
          <w:rStyle w:val="Funotenzeichen"/>
        </w:rPr>
        <w:footnoteRef/>
      </w:r>
      <w:r>
        <w:rPr/>
        <w:tab/>
        <w:t>Partizip</w:t>
      </w:r>
    </w:p>
  </w:footnote>
  <w:footnote w:id="3476">
    <w:p>
      <w:pPr>
        <w:pStyle w:val="Funote"/>
        <w:rPr/>
      </w:pPr>
      <w:r>
        <w:rPr>
          <w:rStyle w:val="Funotenzeichen"/>
        </w:rPr>
        <w:footnoteRef/>
      </w:r>
      <w:r>
        <w:rPr/>
        <w:tab/>
        <w:t>Etwa: Unterwegs</w:t>
      </w:r>
    </w:p>
  </w:footnote>
  <w:footnote w:id="3477">
    <w:p>
      <w:pPr>
        <w:pStyle w:val="Funote"/>
        <w:rPr/>
      </w:pPr>
      <w:r>
        <w:rPr>
          <w:rStyle w:val="Funotenzeichen"/>
        </w:rPr>
        <w:footnoteRef/>
      </w:r>
      <w:r>
        <w:rPr/>
        <w:tab/>
        <w:t>Partizip</w:t>
      </w:r>
    </w:p>
  </w:footnote>
  <w:footnote w:id="3478">
    <w:p>
      <w:pPr>
        <w:pStyle w:val="Funote"/>
        <w:rPr/>
      </w:pPr>
      <w:r>
        <w:rPr>
          <w:rStyle w:val="Funotenzeichen"/>
        </w:rPr>
        <w:footnoteRef/>
      </w:r>
      <w:r>
        <w:rPr/>
        <w:tab/>
        <w:t>Partizip</w:t>
      </w:r>
    </w:p>
  </w:footnote>
  <w:footnote w:id="3479">
    <w:p>
      <w:pPr>
        <w:pStyle w:val="Funote"/>
        <w:rPr/>
      </w:pPr>
      <w:r>
        <w:rPr>
          <w:rStyle w:val="Funotenzeichen"/>
        </w:rPr>
        <w:footnoteRef/>
      </w:r>
      <w:r>
        <w:rPr/>
        <w:tab/>
        <w:t>Partizip</w:t>
      </w:r>
    </w:p>
  </w:footnote>
  <w:footnote w:id="3480">
    <w:p>
      <w:pPr>
        <w:pStyle w:val="Funote"/>
        <w:rPr/>
      </w:pPr>
      <w:r>
        <w:rPr>
          <w:rStyle w:val="Funotenzeichen"/>
        </w:rPr>
        <w:footnoteRef/>
      </w:r>
      <w:r>
        <w:rPr/>
        <w:tab/>
        <w:t>Siehe Vers 18</w:t>
      </w:r>
    </w:p>
  </w:footnote>
  <w:footnote w:id="3481">
    <w:p>
      <w:pPr>
        <w:pStyle w:val="Funote"/>
        <w:rPr/>
      </w:pPr>
      <w:r>
        <w:rPr>
          <w:rStyle w:val="Funotenzeichen"/>
        </w:rPr>
        <w:footnoteRef/>
      </w:r>
      <w:r>
        <w:rPr/>
        <w:tab/>
        <w:t>Partizip</w:t>
      </w:r>
    </w:p>
  </w:footnote>
  <w:footnote w:id="3482">
    <w:p>
      <w:pPr>
        <w:pStyle w:val="Funote"/>
        <w:rPr/>
      </w:pPr>
      <w:r>
        <w:rPr>
          <w:rStyle w:val="Funotenzeichen"/>
        </w:rPr>
        <w:footnoteRef/>
      </w:r>
      <w:r>
        <w:rPr/>
        <w:tab/>
        <w:t>Partizip</w:t>
      </w:r>
    </w:p>
  </w:footnote>
  <w:footnote w:id="3483">
    <w:p>
      <w:pPr>
        <w:pStyle w:val="Funote"/>
        <w:rPr/>
      </w:pPr>
      <w:r>
        <w:rPr>
          <w:rStyle w:val="Funotenzeichen"/>
        </w:rPr>
        <w:footnoteRef/>
      </w:r>
      <w:r>
        <w:rPr/>
        <w:tab/>
        <w:t>Partizip</w:t>
      </w:r>
    </w:p>
  </w:footnote>
  <w:footnote w:id="3484">
    <w:p>
      <w:pPr>
        <w:pStyle w:val="Funote"/>
        <w:rPr/>
      </w:pPr>
      <w:r>
        <w:rPr>
          <w:rStyle w:val="Funotenzeichen"/>
        </w:rPr>
        <w:footnoteRef/>
      </w:r>
      <w:r>
        <w:rPr/>
        <w:tab/>
        <w:t>Partizip</w:t>
      </w:r>
    </w:p>
  </w:footnote>
  <w:footnote w:id="3485">
    <w:p>
      <w:pPr>
        <w:pStyle w:val="Funote"/>
        <w:rPr/>
      </w:pPr>
      <w:r>
        <w:rPr>
          <w:rStyle w:val="Funotenzeichen"/>
        </w:rPr>
        <w:footnoteRef/>
      </w:r>
      <w:r>
        <w:rPr/>
        <w:tab/>
        <w:t>Partizip</w:t>
      </w:r>
    </w:p>
  </w:footnote>
  <w:footnote w:id="3486">
    <w:p>
      <w:pPr>
        <w:pStyle w:val="Funote"/>
        <w:rPr/>
      </w:pPr>
      <w:r>
        <w:rPr>
          <w:rStyle w:val="Funotenzeichen"/>
        </w:rPr>
        <w:footnoteRef/>
      </w:r>
      <w:r>
        <w:rPr/>
        <w:tab/>
        <w:t>Partizip, wörtlich: lehrend</w:t>
      </w:r>
    </w:p>
  </w:footnote>
  <w:footnote w:id="3487">
    <w:p>
      <w:pPr>
        <w:pStyle w:val="Funote"/>
        <w:rPr/>
      </w:pPr>
      <w:r>
        <w:rPr>
          <w:rStyle w:val="Funotenzeichen"/>
        </w:rPr>
        <w:footnoteRef/>
      </w:r>
      <w:r>
        <w:rPr/>
        <w:tab/>
        <w:t>Partizip, wörtlich: verkündend</w:t>
      </w:r>
    </w:p>
  </w:footnote>
  <w:footnote w:id="3488">
    <w:p>
      <w:pPr>
        <w:pStyle w:val="Funote"/>
        <w:rPr/>
      </w:pPr>
      <w:r>
        <w:rPr>
          <w:rStyle w:val="Funotenzeichen"/>
        </w:rPr>
        <w:footnoteRef/>
      </w:r>
      <w:r>
        <w:rPr/>
        <w:tab/>
        <w:t>Partizip, wörtlich: heilend</w:t>
      </w:r>
    </w:p>
  </w:footnote>
  <w:footnote w:id="3489">
    <w:p>
      <w:pPr>
        <w:pStyle w:val="Funote"/>
        <w:rPr/>
      </w:pPr>
      <w:r>
        <w:rPr>
          <w:rStyle w:val="Funotenzeichen"/>
        </w:rPr>
        <w:footnoteRef/>
      </w:r>
      <w:r>
        <w:rPr/>
        <w:tab/>
        <w:t>Partizip</w:t>
      </w:r>
    </w:p>
  </w:footnote>
  <w:footnote w:id="3490">
    <w:p>
      <w:pPr>
        <w:pStyle w:val="Funote"/>
        <w:rPr/>
      </w:pPr>
      <w:r>
        <w:rPr>
          <w:rStyle w:val="Funotenzeichen"/>
        </w:rPr>
        <w:footnoteRef/>
      </w:r>
      <w:r>
        <w:rPr/>
        <w:tab/>
        <w:t>[Status: Ungeprüft]</w:t>
      </w:r>
    </w:p>
  </w:footnote>
  <w:footnote w:id="3491">
    <w:p>
      <w:pPr>
        <w:pStyle w:val="Funote"/>
        <w:rPr/>
      </w:pPr>
      <w:r>
        <w:rPr>
          <w:rStyle w:val="Funotenzeichen"/>
        </w:rPr>
        <w:footnoteRef/>
      </w:r>
      <w:r>
        <w:rPr/>
        <w:tab/>
        <w:t>Partizip Aorist</w:t>
      </w:r>
    </w:p>
  </w:footnote>
  <w:footnote w:id="3492">
    <w:p>
      <w:pPr>
        <w:pStyle w:val="Funote"/>
        <w:rPr/>
      </w:pPr>
      <w:r>
        <w:rPr>
          <w:rStyle w:val="Funotenzeichen"/>
        </w:rPr>
        <w:footnoteRef/>
      </w:r>
      <w:r>
        <w:rPr/>
        <w:tab/>
        <w:t>Partizip. Oder: der Zwölf, die ausgesendet wurden</w:t>
      </w:r>
    </w:p>
  </w:footnote>
  <w:footnote w:id="3493">
    <w:p>
      <w:pPr>
        <w:pStyle w:val="Funote"/>
        <w:rPr/>
      </w:pPr>
      <w:r>
        <w:rPr>
          <w:rStyle w:val="Funotenzeichen"/>
        </w:rPr>
        <w:footnoteRef/>
      </w:r>
      <w:r>
        <w:rPr/>
        <w:tab/>
        <w:t>Vrmtl. pars pro toto: Speise, Nahrung - Lebensunterhalt</w:t>
      </w:r>
    </w:p>
  </w:footnote>
  <w:footnote w:id="3494">
    <w:p>
      <w:pPr>
        <w:pStyle w:val="Funote"/>
        <w:rPr/>
      </w:pPr>
      <w:r>
        <w:rPr>
          <w:rStyle w:val="Funotenzeichen"/>
        </w:rPr>
        <w:footnoteRef/>
      </w:r>
      <w:r>
        <w:rPr/>
        <w:tab/>
        <w:t>Partizip. Wörtlich: hineingehend</w:t>
      </w:r>
    </w:p>
  </w:footnote>
  <w:footnote w:id="3495">
    <w:p>
      <w:pPr>
        <w:pStyle w:val="Funote"/>
        <w:rPr/>
      </w:pPr>
      <w:r>
        <w:rPr>
          <w:rStyle w:val="Funotenzeichen"/>
        </w:rPr>
        <w:footnoteRef/>
      </w:r>
      <w:r>
        <w:rPr/>
        <w:tab/>
        <w:t>Vrmtl. ein Gruß oder Segenswunsch</w:t>
      </w:r>
    </w:p>
  </w:footnote>
  <w:footnote w:id="3496">
    <w:p>
      <w:pPr>
        <w:pStyle w:val="Funote"/>
        <w:rPr/>
      </w:pPr>
      <w:r>
        <w:rPr>
          <w:rStyle w:val="Funotenzeichen"/>
        </w:rPr>
        <w:footnoteRef/>
      </w:r>
      <w:r>
        <w:rPr/>
        <w:tab/>
        <w:t>Partizip. Wörtlich: was gesagt wird</w:t>
      </w:r>
    </w:p>
  </w:footnote>
  <w:footnote w:id="3497">
    <w:p>
      <w:pPr>
        <w:pStyle w:val="Funote"/>
        <w:rPr/>
      </w:pPr>
      <w:r>
        <w:rPr>
          <w:rStyle w:val="Funotenzeichen"/>
        </w:rPr>
        <w:footnoteRef/>
      </w:r>
      <w:r>
        <w:rPr/>
        <w:tab/>
        <w:t>Eigentlich: "einen Menschen"</w:t>
      </w:r>
    </w:p>
  </w:footnote>
  <w:footnote w:id="3498">
    <w:p>
      <w:pPr>
        <w:pStyle w:val="Funote"/>
        <w:rPr/>
      </w:pPr>
      <w:r>
        <w:rPr>
          <w:rStyle w:val="Funotenzeichen"/>
        </w:rPr>
        <w:footnoteRef/>
      </w:r>
      <w:r>
        <w:rPr/>
        <w:tab/>
        <w:t>Gemeint ist wohl "Schwiegertochter"</w:t>
      </w:r>
    </w:p>
  </w:footnote>
  <w:footnote w:id="3499">
    <w:p>
      <w:pPr>
        <w:pStyle w:val="Funote"/>
        <w:rPr/>
      </w:pPr>
      <w:r>
        <w:rPr>
          <w:rStyle w:val="Funotenzeichen"/>
        </w:rPr>
        <w:footnoteRef/>
      </w:r>
      <w:r>
        <w:rPr/>
        <w:tab/>
        <w:t>Vgl. Mi 7,6</w:t>
      </w:r>
    </w:p>
  </w:footnote>
  <w:footnote w:id="3500">
    <w:p>
      <w:pPr>
        <w:pStyle w:val="Funote"/>
        <w:rPr/>
      </w:pPr>
      <w:r>
        <w:rPr>
          <w:rStyle w:val="Funotenzeichen"/>
        </w:rPr>
        <w:footnoteRef/>
      </w:r>
      <w:r>
        <w:rPr/>
        <w:tab/>
        <w:t>wörtl.: Seele</w:t>
      </w:r>
    </w:p>
  </w:footnote>
  <w:footnote w:id="3501">
    <w:p>
      <w:pPr>
        <w:pStyle w:val="Funote"/>
        <w:rPr/>
      </w:pPr>
      <w:r>
        <w:rPr>
          <w:rStyle w:val="Funotenzeichen"/>
        </w:rPr>
        <w:footnoteRef/>
      </w:r>
      <w:r>
        <w:rPr/>
        <w:tab/>
        <w:t>Wört.: wegen seines prophetischen Namens</w:t>
      </w:r>
    </w:p>
  </w:footnote>
  <w:footnote w:id="3502">
    <w:p>
      <w:pPr>
        <w:pStyle w:val="Funote"/>
        <w:rPr/>
      </w:pPr>
      <w:r>
        <w:rPr>
          <w:rStyle w:val="Funotenzeichen"/>
        </w:rPr>
        <w:footnoteRef/>
      </w:r>
      <w:r>
        <w:rPr/>
        <w:tab/>
        <w:t>s.o.</w:t>
      </w:r>
    </w:p>
  </w:footnote>
  <w:footnote w:id="3503">
    <w:p>
      <w:pPr>
        <w:pStyle w:val="Funote"/>
        <w:rPr/>
      </w:pPr>
      <w:r>
        <w:rPr>
          <w:rStyle w:val="Funotenzeichen"/>
        </w:rPr>
        <w:footnoteRef/>
      </w:r>
      <w:r>
        <w:rPr/>
        <w:tab/>
        <w:t>[Status: Ungeprüft]</w:t>
      </w:r>
    </w:p>
  </w:footnote>
  <w:footnote w:id="3504">
    <w:p>
      <w:pPr>
        <w:pStyle w:val="Funote"/>
        <w:rPr/>
      </w:pPr>
      <w:r>
        <w:rPr>
          <w:rStyle w:val="Funotenzeichen"/>
        </w:rPr>
        <w:footnoteRef/>
      </w:r>
      <w:r>
        <w:rPr/>
        <w:tab/>
        <w:t>Das "du" steht betont</w:t>
      </w:r>
    </w:p>
  </w:footnote>
  <w:footnote w:id="3505">
    <w:p>
      <w:pPr>
        <w:pStyle w:val="Funote"/>
        <w:rPr/>
      </w:pPr>
      <w:r>
        <w:rPr>
          <w:rStyle w:val="Funotenzeichen"/>
        </w:rPr>
        <w:footnoteRef/>
      </w:r>
      <w:r>
        <w:rPr/>
        <w:tab/>
        <w:t>Mal 3,1</w:t>
      </w:r>
    </w:p>
  </w:footnote>
  <w:footnote w:id="3506">
    <w:p>
      <w:pPr>
        <w:pStyle w:val="Funote"/>
        <w:rPr/>
      </w:pPr>
      <w:r>
        <w:rPr>
          <w:rStyle w:val="Funotenzeichen"/>
        </w:rPr>
        <w:footnoteRef/>
      </w:r>
      <w:r>
        <w:rPr/>
        <w:tab/>
        <w:t xml:space="preserve">Diese Stelle ist nicht ganz eindeuig. Alternativ: bis zum heutigen Tag wird dem Königreich der Himmeln Gewalt angetan. </w:t>
      </w:r>
      <w:r>
        <w:rPr>
          <w:lang w:val="el-GR"/>
        </w:rPr>
        <w:t>βιάζεται</w:t>
      </w:r>
      <w:r>
        <w:rPr/>
        <w:t xml:space="preserve"> ist Medium.</w:t>
      </w:r>
    </w:p>
  </w:footnote>
  <w:footnote w:id="3507">
    <w:p>
      <w:pPr>
        <w:pStyle w:val="Funote"/>
        <w:rPr/>
      </w:pPr>
      <w:r>
        <w:rPr>
          <w:rStyle w:val="Funotenzeichen"/>
        </w:rPr>
        <w:footnoteRef/>
      </w:r>
      <w:r>
        <w:rPr/>
        <w:tab/>
        <w:t>Unklar ob zeitlich oder ausschließlich gemeint ist.</w:t>
      </w:r>
    </w:p>
  </w:footnote>
  <w:footnote w:id="3508">
    <w:p>
      <w:pPr>
        <w:pStyle w:val="Funote"/>
        <w:rPr/>
      </w:pPr>
      <w:r>
        <w:rPr>
          <w:rStyle w:val="Funotenzeichen"/>
        </w:rPr>
        <w:footnoteRef/>
      </w:r>
      <w:r>
        <w:rPr/>
        <w:tab/>
        <w:t>Partizip. Wörtlich: der Ohren habende</w:t>
      </w:r>
    </w:p>
  </w:footnote>
  <w:footnote w:id="3509">
    <w:p>
      <w:pPr>
        <w:pStyle w:val="Funote"/>
        <w:rPr/>
      </w:pPr>
      <w:r>
        <w:rPr>
          <w:rStyle w:val="Funotenzeichen"/>
        </w:rPr>
        <w:footnoteRef/>
      </w:r>
      <w:r>
        <w:rPr/>
        <w:tab/>
        <w:t>Beides Partizipien. Vlt. "Denn Johannes aß weder noch trank er"</w:t>
      </w:r>
    </w:p>
  </w:footnote>
  <w:footnote w:id="3510">
    <w:p>
      <w:pPr>
        <w:pStyle w:val="Funote"/>
        <w:rPr/>
      </w:pPr>
      <w:r>
        <w:rPr>
          <w:rStyle w:val="Funotenzeichen"/>
        </w:rPr>
        <w:footnoteRef/>
      </w:r>
      <w:r>
        <w:rPr/>
        <w:tab/>
        <w:t>Partizipien, s.o.</w:t>
      </w:r>
    </w:p>
  </w:footnote>
  <w:footnote w:id="3511">
    <w:p>
      <w:pPr>
        <w:pStyle w:val="Funote"/>
        <w:rPr/>
      </w:pPr>
      <w:r>
        <w:rPr>
          <w:rStyle w:val="Funotenzeichen"/>
        </w:rPr>
        <w:footnoteRef/>
      </w:r>
      <w:r>
        <w:rPr/>
        <w:tab/>
        <w:t>[Status: Ungeprüft]</w:t>
      </w:r>
    </w:p>
  </w:footnote>
  <w:footnote w:id="3512">
    <w:p>
      <w:pPr>
        <w:pStyle w:val="Funote"/>
        <w:rPr/>
      </w:pPr>
      <w:r>
        <w:rPr>
          <w:rStyle w:val="Funotenzeichen"/>
        </w:rPr>
        <w:footnoteRef/>
      </w:r>
      <w:r>
        <w:rPr/>
        <w:tab/>
        <w:t>Eigentlich Plural</w:t>
      </w:r>
    </w:p>
  </w:footnote>
  <w:footnote w:id="3513">
    <w:p>
      <w:pPr>
        <w:pStyle w:val="Funote"/>
        <w:rPr/>
      </w:pPr>
      <w:r>
        <w:rPr>
          <w:rStyle w:val="Funotenzeichen"/>
        </w:rPr>
        <w:footnoteRef/>
      </w:r>
      <w:r>
        <w:rPr/>
        <w:tab/>
        <w:t>Plusquamperfekt, also mit Resultat in der Vergangenheit</w:t>
      </w:r>
    </w:p>
  </w:footnote>
  <w:footnote w:id="3514">
    <w:p>
      <w:pPr>
        <w:pStyle w:val="Funote"/>
        <w:rPr/>
      </w:pPr>
      <w:r>
        <w:rPr>
          <w:rStyle w:val="Funotenzeichen"/>
        </w:rPr>
        <w:footnoteRef/>
      </w:r>
      <w:r>
        <w:rPr/>
        <w:tab/>
        <w:t>Wörtlich: was das ist</w:t>
      </w:r>
    </w:p>
  </w:footnote>
  <w:footnote w:id="3515">
    <w:p>
      <w:pPr>
        <w:pStyle w:val="Funote"/>
        <w:rPr/>
      </w:pPr>
      <w:r>
        <w:rPr>
          <w:rStyle w:val="Funotenzeichen"/>
        </w:rPr>
        <w:footnoteRef/>
      </w:r>
      <w:r>
        <w:rPr/>
        <w:tab/>
        <w:t>Partizip Aorist, also Gleichzeitigkeit zum Verb</w:t>
      </w:r>
    </w:p>
  </w:footnote>
  <w:footnote w:id="3516">
    <w:p>
      <w:pPr>
        <w:pStyle w:val="Funote"/>
        <w:rPr/>
      </w:pPr>
      <w:r>
        <w:rPr>
          <w:rStyle w:val="Funotenzeichen"/>
        </w:rPr>
        <w:footnoteRef/>
      </w:r>
      <w:r>
        <w:rPr/>
        <w:tab/>
        <w:t>Partizip, final aufgelöst</w:t>
      </w:r>
    </w:p>
  </w:footnote>
  <w:footnote w:id="3517">
    <w:p>
      <w:pPr>
        <w:pStyle w:val="Funote"/>
        <w:rPr/>
      </w:pPr>
      <w:r>
        <w:rPr>
          <w:rStyle w:val="Funotenzeichen"/>
        </w:rPr>
        <w:footnoteRef/>
      </w:r>
      <w:r>
        <w:rPr/>
        <w:tab/>
        <w:t>Partizip Aorist, Gleichzeitig. Vlt. auch: "Als die Pharisäer aber herausgingen"</w:t>
      </w:r>
    </w:p>
  </w:footnote>
  <w:footnote w:id="3518">
    <w:p>
      <w:pPr>
        <w:pStyle w:val="Funote"/>
        <w:rPr/>
      </w:pPr>
      <w:r>
        <w:rPr>
          <w:rStyle w:val="Funotenzeichen"/>
        </w:rPr>
        <w:footnoteRef/>
      </w:r>
      <w:r>
        <w:rPr/>
        <w:tab/>
        <w:t>Oder als Nebensatz mit Infinitiv "ihn zu töten"</w:t>
      </w:r>
    </w:p>
  </w:footnote>
  <w:footnote w:id="3519">
    <w:p>
      <w:pPr>
        <w:pStyle w:val="Funote"/>
        <w:rPr/>
      </w:pPr>
      <w:r>
        <w:rPr>
          <w:rStyle w:val="Funotenzeichen"/>
        </w:rPr>
        <w:footnoteRef/>
      </w:r>
      <w:r>
        <w:rPr/>
        <w:tab/>
        <w:t xml:space="preserve">Andere Handschriften ergänzen </w:t>
      </w:r>
      <w:r>
        <w:rPr>
          <w:lang w:val="el-GR"/>
        </w:rPr>
        <w:t>οχλοι</w:t>
      </w:r>
      <w:r>
        <w:rPr/>
        <w:t>, eine große Volksmenge</w:t>
      </w:r>
    </w:p>
  </w:footnote>
  <w:footnote w:id="3520">
    <w:p>
      <w:pPr>
        <w:pStyle w:val="Funote"/>
        <w:rPr/>
      </w:pPr>
      <w:r>
        <w:rPr>
          <w:rStyle w:val="Funotenzeichen"/>
        </w:rPr>
        <w:footnoteRef/>
      </w:r>
      <w:r>
        <w:rPr/>
        <w:tab/>
        <w:t>eventl. auch als Nebensatz mit "dass" übersetzen</w:t>
      </w:r>
    </w:p>
  </w:footnote>
  <w:footnote w:id="3521">
    <w:p>
      <w:pPr>
        <w:pStyle w:val="Funote"/>
        <w:rPr/>
      </w:pPr>
      <w:r>
        <w:rPr>
          <w:rStyle w:val="Funotenzeichen"/>
        </w:rPr>
        <w:footnoteRef/>
      </w:r>
      <w:r>
        <w:rPr/>
        <w:tab/>
        <w:t>Jes 42,1-4</w:t>
      </w:r>
    </w:p>
  </w:footnote>
  <w:footnote w:id="3522">
    <w:p>
      <w:pPr>
        <w:pStyle w:val="Funote"/>
        <w:rPr/>
      </w:pPr>
      <w:r>
        <w:rPr>
          <w:rStyle w:val="Funotenzeichen"/>
        </w:rPr>
        <w:footnoteRef/>
      </w:r>
      <w:r>
        <w:rPr/>
        <w:tab/>
        <w:t>Nach LXX eventl. auch mein Erwählter</w:t>
      </w:r>
    </w:p>
  </w:footnote>
  <w:footnote w:id="3523">
    <w:p>
      <w:pPr>
        <w:pStyle w:val="Funote"/>
        <w:rPr/>
      </w:pPr>
      <w:r>
        <w:rPr>
          <w:rStyle w:val="Funotenzeichen"/>
        </w:rPr>
        <w:footnoteRef/>
      </w:r>
      <w:r>
        <w:rPr/>
        <w:tab/>
        <w:t>Partizip Perfekt Passiv, also Vorzeitigkeit</w:t>
      </w:r>
    </w:p>
  </w:footnote>
  <w:footnote w:id="3524">
    <w:p>
      <w:pPr>
        <w:pStyle w:val="Funote"/>
        <w:rPr/>
      </w:pPr>
      <w:r>
        <w:rPr>
          <w:rStyle w:val="Funotenzeichen"/>
        </w:rPr>
        <w:footnoteRef/>
      </w:r>
      <w:r>
        <w:rPr/>
        <w:tab/>
        <w:t>Partizip Aorist, hier temporal aufgelöst</w:t>
      </w:r>
    </w:p>
  </w:footnote>
  <w:footnote w:id="3525">
    <w:p>
      <w:pPr>
        <w:pStyle w:val="Funote"/>
        <w:rPr/>
      </w:pPr>
      <w:r>
        <w:rPr>
          <w:rStyle w:val="Funotenzeichen"/>
        </w:rPr>
        <w:footnoteRef/>
      </w:r>
      <w:r>
        <w:rPr/>
        <w:tab/>
        <w:t>Partizip Aortist, hier temporal aufgelöst. Mit Vers 24 vlt. auch kausal?</w:t>
      </w:r>
    </w:p>
  </w:footnote>
  <w:footnote w:id="3526">
    <w:p>
      <w:pPr>
        <w:pStyle w:val="Funote"/>
        <w:rPr/>
      </w:pPr>
      <w:r>
        <w:rPr>
          <w:rStyle w:val="Funotenzeichen"/>
        </w:rPr>
        <w:footnoteRef/>
      </w:r>
      <w:r>
        <w:rPr/>
        <w:tab/>
        <w:t>Partizip Aorist, hier final aufgelöst</w:t>
      </w:r>
    </w:p>
  </w:footnote>
  <w:footnote w:id="3527">
    <w:p>
      <w:pPr>
        <w:pStyle w:val="Funote"/>
        <w:rPr/>
      </w:pPr>
      <w:r>
        <w:rPr>
          <w:rStyle w:val="Funotenzeichen"/>
        </w:rPr>
        <w:footnoteRef/>
      </w:r>
      <w:r>
        <w:rPr/>
        <w:tab/>
        <w:t>Partizip Aorist, hier final aufgelöst</w:t>
      </w:r>
    </w:p>
  </w:footnote>
  <w:footnote w:id="3528">
    <w:p>
      <w:pPr>
        <w:pStyle w:val="Funote"/>
        <w:rPr/>
      </w:pPr>
      <w:r>
        <w:rPr>
          <w:rStyle w:val="Funotenzeichen"/>
        </w:rPr>
        <w:footnoteRef/>
      </w:r>
      <w:r>
        <w:rPr/>
        <w:tab/>
        <w:t>Wörtl: Entweder nimm an der gute Baum und seine guten Früchte</w:t>
      </w:r>
    </w:p>
  </w:footnote>
  <w:footnote w:id="3529">
    <w:p>
      <w:pPr>
        <w:pStyle w:val="Funote"/>
        <w:rPr/>
      </w:pPr>
      <w:r>
        <w:rPr>
          <w:rStyle w:val="Funotenzeichen"/>
        </w:rPr>
        <w:footnoteRef/>
      </w:r>
      <w:r>
        <w:rPr/>
        <w:tab/>
        <w:t>s.o.</w:t>
      </w:r>
    </w:p>
  </w:footnote>
  <w:footnote w:id="3530">
    <w:p>
      <w:pPr>
        <w:pStyle w:val="Funote"/>
        <w:rPr/>
      </w:pPr>
      <w:r>
        <w:rPr>
          <w:rStyle w:val="Funotenzeichen"/>
        </w:rPr>
        <w:footnoteRef/>
      </w:r>
      <w:r>
        <w:rPr/>
        <w:tab/>
        <w:t>Partizip</w:t>
      </w:r>
    </w:p>
  </w:footnote>
  <w:footnote w:id="3531">
    <w:p>
      <w:pPr>
        <w:pStyle w:val="Funote"/>
        <w:rPr/>
      </w:pPr>
      <w:r>
        <w:rPr>
          <w:rStyle w:val="Funotenzeichen"/>
        </w:rPr>
        <w:footnoteRef/>
      </w:r>
      <w:r>
        <w:rPr/>
        <w:tab/>
        <w:t>Partizip. Wohl am besten einfach "antworteten"</w:t>
      </w:r>
    </w:p>
  </w:footnote>
  <w:footnote w:id="3532">
    <w:p>
      <w:pPr>
        <w:pStyle w:val="Funote"/>
        <w:rPr/>
      </w:pPr>
      <w:r>
        <w:rPr>
          <w:rStyle w:val="Funotenzeichen"/>
        </w:rPr>
        <w:footnoteRef/>
      </w:r>
      <w:r>
        <w:rPr/>
        <w:tab/>
        <w:t>Aufgelöstes Ptz. Aor.</w:t>
      </w:r>
    </w:p>
  </w:footnote>
  <w:footnote w:id="3533">
    <w:p>
      <w:pPr>
        <w:pStyle w:val="Funote"/>
        <w:rPr/>
      </w:pPr>
      <w:r>
        <w:rPr>
          <w:rStyle w:val="Funotenzeichen"/>
        </w:rPr>
        <w:footnoteRef/>
      </w:r>
      <w:r>
        <w:rPr/>
        <w:tab/>
        <w:t>wörtlich: im Herzen</w:t>
      </w:r>
    </w:p>
  </w:footnote>
  <w:footnote w:id="3534">
    <w:p>
      <w:pPr>
        <w:pStyle w:val="Funote"/>
        <w:rPr/>
      </w:pPr>
      <w:r>
        <w:rPr>
          <w:rStyle w:val="Funotenzeichen"/>
        </w:rPr>
        <w:footnoteRef/>
      </w:r>
      <w:r>
        <w:rPr/>
        <w:tab/>
        <w:t>Partizip</w:t>
      </w:r>
    </w:p>
  </w:footnote>
  <w:footnote w:id="3535">
    <w:p>
      <w:pPr>
        <w:pStyle w:val="Funote"/>
        <w:rPr/>
      </w:pPr>
      <w:r>
        <w:rPr>
          <w:rStyle w:val="Funotenzeichen"/>
        </w:rPr>
        <w:footnoteRef/>
      </w:r>
      <w:r>
        <w:rPr/>
        <w:tab/>
        <w:t>Partizip</w:t>
      </w:r>
    </w:p>
  </w:footnote>
  <w:footnote w:id="3536">
    <w:p>
      <w:pPr>
        <w:pStyle w:val="Funote"/>
        <w:rPr/>
      </w:pPr>
      <w:r>
        <w:rPr>
          <w:rStyle w:val="Funotenzeichen"/>
        </w:rPr>
        <w:footnoteRef/>
      </w:r>
      <w:r>
        <w:rPr/>
        <w:tab/>
        <w:t>Partizip</w:t>
      </w:r>
    </w:p>
  </w:footnote>
  <w:footnote w:id="3537">
    <w:p>
      <w:pPr>
        <w:pStyle w:val="Funote"/>
        <w:rPr/>
      </w:pPr>
      <w:r>
        <w:rPr>
          <w:rStyle w:val="Funotenzeichen"/>
        </w:rPr>
        <w:footnoteRef/>
      </w:r>
      <w:r>
        <w:rPr/>
        <w:tab/>
        <w:t>Partizip</w:t>
      </w:r>
    </w:p>
  </w:footnote>
  <w:footnote w:id="3538">
    <w:p>
      <w:pPr>
        <w:pStyle w:val="Funote"/>
        <w:rPr/>
      </w:pPr>
      <w:r>
        <w:rPr>
          <w:rStyle w:val="Funotenzeichen"/>
        </w:rPr>
        <w:footnoteRef/>
      </w:r>
      <w:r>
        <w:rPr/>
        <w:tab/>
        <w:t>steht betont</w:t>
      </w:r>
    </w:p>
  </w:footnote>
  <w:footnote w:id="3539">
    <w:p>
      <w:pPr>
        <w:pStyle w:val="Funote"/>
        <w:rPr/>
      </w:pPr>
      <w:r>
        <w:rPr>
          <w:rStyle w:val="Funotenzeichen"/>
        </w:rPr>
        <w:footnoteRef/>
      </w:r>
      <w:r>
        <w:rPr/>
        <w:tab/>
        <w:t>[Status: Ungeprüft]</w:t>
      </w:r>
    </w:p>
  </w:footnote>
  <w:footnote w:id="3540">
    <w:p>
      <w:pPr>
        <w:pStyle w:val="Funote"/>
        <w:rPr/>
      </w:pPr>
      <w:r>
        <w:rPr>
          <w:rStyle w:val="Funotenzeichen"/>
        </w:rPr>
        <w:footnoteRef/>
      </w:r>
      <w:r>
        <w:rPr/>
        <w:tab/>
        <w:t>Eigentlich Partizip, hier final aufgelöst</w:t>
      </w:r>
    </w:p>
  </w:footnote>
  <w:footnote w:id="3541">
    <w:p>
      <w:pPr>
        <w:pStyle w:val="Funote"/>
        <w:rPr/>
      </w:pPr>
      <w:r>
        <w:rPr>
          <w:rStyle w:val="Funotenzeichen"/>
        </w:rPr>
        <w:footnoteRef/>
      </w:r>
      <w:r>
        <w:rPr/>
        <w:tab/>
        <w:t xml:space="preserve">Partizip, hier final aufgelöst. </w:t>
      </w:r>
    </w:p>
  </w:footnote>
  <w:footnote w:id="3542">
    <w:p>
      <w:pPr>
        <w:pStyle w:val="Funote"/>
        <w:rPr/>
      </w:pPr>
      <w:r>
        <w:rPr>
          <w:rStyle w:val="Funotenzeichen"/>
        </w:rPr>
        <w:footnoteRef/>
      </w:r>
      <w:r>
        <w:rPr/>
        <w:tab/>
        <w:t>Wörtlich: "die einen"</w:t>
      </w:r>
    </w:p>
  </w:footnote>
  <w:footnote w:id="3543">
    <w:p>
      <w:pPr>
        <w:pStyle w:val="Funote"/>
        <w:rPr/>
      </w:pPr>
      <w:r>
        <w:rPr>
          <w:rStyle w:val="Funotenzeichen"/>
        </w:rPr>
        <w:footnoteRef/>
      </w:r>
      <w:r>
        <w:rPr/>
        <w:tab/>
        <w:t>Partizip, hier temporal aufgelöst</w:t>
      </w:r>
    </w:p>
  </w:footnote>
  <w:footnote w:id="3544">
    <w:p>
      <w:pPr>
        <w:pStyle w:val="Funote"/>
        <w:rPr/>
      </w:pPr>
      <w:r>
        <w:rPr>
          <w:rStyle w:val="Funotenzeichen"/>
        </w:rPr>
        <w:footnoteRef/>
      </w:r>
      <w:r>
        <w:rPr/>
        <w:tab/>
        <w:t xml:space="preserve">Partizip, hier final aufgelöst. </w:t>
      </w:r>
    </w:p>
  </w:footnote>
  <w:footnote w:id="3545">
    <w:p>
      <w:pPr>
        <w:pStyle w:val="Funote"/>
        <w:rPr/>
      </w:pPr>
      <w:r>
        <w:rPr>
          <w:rStyle w:val="Funotenzeichen"/>
        </w:rPr>
        <w:footnoteRef/>
      </w:r>
      <w:r>
        <w:rPr/>
        <w:tab/>
        <w:t>Partizip</w:t>
      </w:r>
    </w:p>
  </w:footnote>
  <w:footnote w:id="3546">
    <w:p>
      <w:pPr>
        <w:pStyle w:val="Funote"/>
        <w:rPr/>
      </w:pPr>
      <w:r>
        <w:rPr>
          <w:rStyle w:val="Funotenzeichen"/>
        </w:rPr>
        <w:footnoteRef/>
      </w:r>
      <w:r>
        <w:rPr/>
        <w:tab/>
        <w:t>Partizip</w:t>
      </w:r>
    </w:p>
  </w:footnote>
  <w:footnote w:id="3547">
    <w:p>
      <w:pPr>
        <w:pStyle w:val="Funote"/>
        <w:rPr/>
      </w:pPr>
      <w:r>
        <w:rPr>
          <w:rStyle w:val="Funotenzeichen"/>
        </w:rPr>
        <w:footnoteRef/>
      </w:r>
      <w:r>
        <w:rPr/>
        <w:tab/>
        <w:t>Partizip</w:t>
      </w:r>
    </w:p>
  </w:footnote>
  <w:footnote w:id="3548">
    <w:p>
      <w:pPr>
        <w:pStyle w:val="Funote"/>
        <w:rPr/>
      </w:pPr>
      <w:r>
        <w:rPr>
          <w:rStyle w:val="Funotenzeichen"/>
        </w:rPr>
        <w:footnoteRef/>
      </w:r>
      <w:r>
        <w:rPr/>
        <w:tab/>
        <w:t>Jesaja 6,9-10</w:t>
      </w:r>
    </w:p>
  </w:footnote>
  <w:footnote w:id="3549">
    <w:p>
      <w:pPr>
        <w:pStyle w:val="Funote"/>
        <w:rPr/>
      </w:pPr>
      <w:r>
        <w:rPr>
          <w:rStyle w:val="Funotenzeichen"/>
        </w:rPr>
        <w:footnoteRef/>
      </w:r>
      <w:r>
        <w:rPr/>
        <w:tab/>
        <w:t>Partizip</w:t>
      </w:r>
    </w:p>
  </w:footnote>
  <w:footnote w:id="3550">
    <w:p>
      <w:pPr>
        <w:pStyle w:val="Funote"/>
        <w:rPr/>
      </w:pPr>
      <w:r>
        <w:rPr>
          <w:rStyle w:val="Funotenzeichen"/>
        </w:rPr>
        <w:footnoteRef/>
      </w:r>
      <w:r>
        <w:rPr/>
        <w:tab/>
        <w:t>steht betont</w:t>
      </w:r>
    </w:p>
  </w:footnote>
  <w:footnote w:id="3551">
    <w:p>
      <w:pPr>
        <w:pStyle w:val="Funote"/>
        <w:rPr/>
      </w:pPr>
      <w:r>
        <w:rPr>
          <w:rStyle w:val="Funotenzeichen"/>
        </w:rPr>
        <w:footnoteRef/>
      </w:r>
      <w:r>
        <w:rPr/>
        <w:tab/>
        <w:t>Imperativ</w:t>
      </w:r>
    </w:p>
  </w:footnote>
  <w:footnote w:id="3552">
    <w:p>
      <w:pPr>
        <w:pStyle w:val="Funote"/>
        <w:rPr/>
      </w:pPr>
      <w:r>
        <w:rPr>
          <w:rStyle w:val="Funotenzeichen"/>
        </w:rPr>
        <w:footnoteRef/>
      </w:r>
      <w:r>
        <w:rPr/>
        <w:tab/>
        <w:t>Partizip</w:t>
      </w:r>
    </w:p>
  </w:footnote>
  <w:footnote w:id="3553">
    <w:p>
      <w:pPr>
        <w:pStyle w:val="Funote"/>
        <w:rPr/>
      </w:pPr>
      <w:r>
        <w:rPr>
          <w:rStyle w:val="Funotenzeichen"/>
        </w:rPr>
        <w:footnoteRef/>
      </w:r>
      <w:r>
        <w:rPr/>
        <w:tab/>
        <w:t>Partizip</w:t>
      </w:r>
    </w:p>
  </w:footnote>
  <w:footnote w:id="3554">
    <w:p>
      <w:pPr>
        <w:pStyle w:val="Funote"/>
        <w:rPr/>
      </w:pPr>
      <w:r>
        <w:rPr>
          <w:rStyle w:val="Funotenzeichen"/>
        </w:rPr>
        <w:footnoteRef/>
      </w:r>
      <w:r>
        <w:rPr/>
        <w:tab/>
        <w:t>mit Ergänzung: das ist der Mensch, bei dem der Samen auf den Weg fiel</w:t>
      </w:r>
    </w:p>
  </w:footnote>
  <w:footnote w:id="3555">
    <w:p>
      <w:pPr>
        <w:pStyle w:val="Funote"/>
        <w:rPr/>
      </w:pPr>
      <w:r>
        <w:rPr>
          <w:rStyle w:val="Funotenzeichen"/>
        </w:rPr>
        <w:footnoteRef/>
      </w:r>
      <w:r>
        <w:rPr/>
        <w:tab/>
        <w:t>zur Konstruktion s.o.</w:t>
      </w:r>
    </w:p>
  </w:footnote>
  <w:footnote w:id="3556">
    <w:p>
      <w:pPr>
        <w:pStyle w:val="Funote"/>
        <w:rPr/>
      </w:pPr>
      <w:r>
        <w:rPr>
          <w:rStyle w:val="Funotenzeichen"/>
        </w:rPr>
        <w:footnoteRef/>
      </w:r>
      <w:r>
        <w:rPr/>
        <w:tab/>
        <w:t>Partizip</w:t>
      </w:r>
    </w:p>
  </w:footnote>
  <w:footnote w:id="3557">
    <w:p>
      <w:pPr>
        <w:pStyle w:val="Funote"/>
        <w:rPr/>
      </w:pPr>
      <w:r>
        <w:rPr>
          <w:rStyle w:val="Funotenzeichen"/>
        </w:rPr>
        <w:footnoteRef/>
      </w:r>
      <w:r>
        <w:rPr/>
        <w:tab/>
        <w:t>Partizip</w:t>
      </w:r>
    </w:p>
  </w:footnote>
  <w:footnote w:id="3558">
    <w:p>
      <w:pPr>
        <w:pStyle w:val="Funote"/>
        <w:rPr/>
      </w:pPr>
      <w:r>
        <w:rPr>
          <w:rStyle w:val="Funotenzeichen"/>
        </w:rPr>
        <w:footnoteRef/>
      </w:r>
      <w:r>
        <w:rPr/>
        <w:tab/>
        <w:t>Partizip</w:t>
      </w:r>
    </w:p>
  </w:footnote>
  <w:footnote w:id="3559">
    <w:p>
      <w:pPr>
        <w:pStyle w:val="Funote"/>
        <w:rPr/>
      </w:pPr>
      <w:r>
        <w:rPr>
          <w:rStyle w:val="Funotenzeichen"/>
        </w:rPr>
        <w:footnoteRef/>
      </w:r>
      <w:r>
        <w:rPr/>
        <w:tab/>
        <w:t>Partizip</w:t>
      </w:r>
    </w:p>
  </w:footnote>
  <w:footnote w:id="3560">
    <w:p>
      <w:pPr>
        <w:pStyle w:val="Funote"/>
        <w:rPr/>
      </w:pPr>
      <w:r>
        <w:rPr>
          <w:rStyle w:val="Funotenzeichen"/>
        </w:rPr>
        <w:footnoteRef/>
      </w:r>
      <w:r>
        <w:rPr/>
        <w:tab/>
        <w:t>Partizip</w:t>
      </w:r>
    </w:p>
  </w:footnote>
  <w:footnote w:id="3561">
    <w:p>
      <w:pPr>
        <w:pStyle w:val="Funote"/>
        <w:rPr/>
      </w:pPr>
      <w:r>
        <w:rPr>
          <w:rStyle w:val="Funotenzeichen"/>
        </w:rPr>
        <w:footnoteRef/>
      </w:r>
      <w:r>
        <w:rPr/>
        <w:tab/>
        <w:t>Partizip</w:t>
      </w:r>
    </w:p>
  </w:footnote>
  <w:footnote w:id="3562">
    <w:p>
      <w:pPr>
        <w:pStyle w:val="Funote"/>
        <w:rPr/>
      </w:pPr>
      <w:r>
        <w:rPr>
          <w:rStyle w:val="Funotenzeichen"/>
        </w:rPr>
        <w:footnoteRef/>
      </w:r>
      <w:r>
        <w:rPr/>
        <w:tab/>
        <w:t>Partizip</w:t>
      </w:r>
    </w:p>
  </w:footnote>
  <w:footnote w:id="3563">
    <w:p>
      <w:pPr>
        <w:pStyle w:val="Funote"/>
        <w:rPr/>
      </w:pPr>
      <w:r>
        <w:rPr>
          <w:rStyle w:val="Funotenzeichen"/>
        </w:rPr>
        <w:footnoteRef/>
      </w:r>
      <w:r>
        <w:rPr/>
        <w:tab/>
        <w:t>Futur, eventl. "will"</w:t>
      </w:r>
    </w:p>
  </w:footnote>
  <w:footnote w:id="3564">
    <w:p>
      <w:pPr>
        <w:pStyle w:val="Funote"/>
        <w:rPr/>
      </w:pPr>
      <w:r>
        <w:rPr>
          <w:rStyle w:val="Funotenzeichen"/>
        </w:rPr>
        <w:footnoteRef/>
      </w:r>
      <w:r>
        <w:rPr/>
        <w:tab/>
        <w:t>Futur, eventl. "will"</w:t>
      </w:r>
    </w:p>
  </w:footnote>
  <w:footnote w:id="3565">
    <w:p>
      <w:pPr>
        <w:pStyle w:val="Funote"/>
        <w:rPr/>
      </w:pPr>
      <w:r>
        <w:rPr>
          <w:rStyle w:val="Funotenzeichen"/>
        </w:rPr>
        <w:footnoteRef/>
      </w:r>
      <w:r>
        <w:rPr/>
        <w:tab/>
        <w:t>Partizip</w:t>
      </w:r>
    </w:p>
  </w:footnote>
  <w:footnote w:id="3566">
    <w:p>
      <w:pPr>
        <w:pStyle w:val="Funote"/>
        <w:rPr/>
      </w:pPr>
      <w:r>
        <w:rPr>
          <w:rStyle w:val="Funotenzeichen"/>
        </w:rPr>
        <w:footnoteRef/>
      </w:r>
      <w:r>
        <w:rPr/>
        <w:tab/>
        <w:t>Die selbe Konstruktion wie in Vers 39</w:t>
      </w:r>
    </w:p>
  </w:footnote>
  <w:footnote w:id="3567">
    <w:p>
      <w:pPr>
        <w:pStyle w:val="Funote"/>
        <w:rPr/>
      </w:pPr>
      <w:r>
        <w:rPr>
          <w:rStyle w:val="Funotenzeichen"/>
        </w:rPr>
        <w:footnoteRef/>
      </w:r>
      <w:r>
        <w:rPr/>
        <w:tab/>
        <w:t>Zur Konstruktion vgl. Vers 39</w:t>
      </w:r>
    </w:p>
  </w:footnote>
  <w:footnote w:id="3568">
    <w:p>
      <w:pPr>
        <w:pStyle w:val="Funote"/>
        <w:rPr/>
      </w:pPr>
      <w:r>
        <w:rPr>
          <w:rStyle w:val="Funotenzeichen"/>
        </w:rPr>
        <w:footnoteRef/>
      </w:r>
      <w:r>
        <w:rPr/>
        <w:tab/>
        <w:t>Partizip</w:t>
      </w:r>
    </w:p>
  </w:footnote>
  <w:footnote w:id="3569">
    <w:p>
      <w:pPr>
        <w:pStyle w:val="Funote"/>
        <w:rPr/>
      </w:pPr>
      <w:r>
        <w:rPr>
          <w:rStyle w:val="Funotenzeichen"/>
        </w:rPr>
        <w:footnoteRef/>
      </w:r>
      <w:r>
        <w:rPr/>
        <w:tab/>
        <w:t>Partizip Aorist, gleichzeitig</w:t>
      </w:r>
    </w:p>
  </w:footnote>
  <w:footnote w:id="3570">
    <w:p>
      <w:pPr>
        <w:pStyle w:val="Funote"/>
        <w:rPr/>
      </w:pPr>
      <w:r>
        <w:rPr>
          <w:rStyle w:val="Funotenzeichen"/>
        </w:rPr>
        <w:footnoteRef/>
      </w:r>
      <w:r>
        <w:rPr/>
        <w:tab/>
        <w:t>[Status: Ungeprüft]</w:t>
      </w:r>
    </w:p>
  </w:footnote>
  <w:footnote w:id="3571">
    <w:p>
      <w:pPr>
        <w:pStyle w:val="Funote"/>
        <w:rPr/>
      </w:pPr>
      <w:r>
        <w:rPr>
          <w:rStyle w:val="Funotenzeichen"/>
        </w:rPr>
        <w:footnoteRef/>
      </w:r>
      <w:r>
        <w:rPr/>
        <w:tab/>
        <w:t>Eig. passiv: er ist von den Toten auferweckt worden</w:t>
      </w:r>
    </w:p>
  </w:footnote>
  <w:footnote w:id="3572">
    <w:p>
      <w:pPr>
        <w:pStyle w:val="Funote"/>
        <w:rPr/>
      </w:pPr>
      <w:r>
        <w:rPr>
          <w:rStyle w:val="Funotenzeichen"/>
        </w:rPr>
        <w:footnoteRef/>
      </w:r>
      <w:r>
        <w:rPr/>
        <w:tab/>
        <w:t>Partizip</w:t>
      </w:r>
    </w:p>
  </w:footnote>
  <w:footnote w:id="3573">
    <w:p>
      <w:pPr>
        <w:pStyle w:val="Funote"/>
        <w:rPr/>
      </w:pPr>
      <w:r>
        <w:rPr>
          <w:rStyle w:val="Funotenzeichen"/>
        </w:rPr>
        <w:footnoteRef/>
      </w:r>
      <w:r>
        <w:rPr/>
        <w:tab/>
        <w:t>Partizp, hier final aufgelöst. Vlt. besser: "und sie auf Drängen ihrer Mutter" oder "und sie, weil sie von ihrer Mutter angestiftet wurde"</w:t>
      </w:r>
    </w:p>
  </w:footnote>
  <w:footnote w:id="3574">
    <w:p>
      <w:pPr>
        <w:pStyle w:val="Funote"/>
        <w:rPr/>
      </w:pPr>
      <w:r>
        <w:rPr>
          <w:rStyle w:val="Funotenzeichen"/>
        </w:rPr>
        <w:footnoteRef/>
      </w:r>
      <w:r>
        <w:rPr/>
        <w:tab/>
        <w:t>Partizip</w:t>
      </w:r>
    </w:p>
  </w:footnote>
  <w:footnote w:id="3575">
    <w:p>
      <w:pPr>
        <w:pStyle w:val="Funote"/>
        <w:rPr/>
      </w:pPr>
      <w:r>
        <w:rPr>
          <w:rStyle w:val="Funotenzeichen"/>
        </w:rPr>
        <w:footnoteRef/>
      </w:r>
      <w:r>
        <w:rPr/>
        <w:tab/>
        <w:t>Partizip, wörtlich: "der zusammen am Tisch sitzenden"</w:t>
      </w:r>
    </w:p>
  </w:footnote>
  <w:footnote w:id="3576">
    <w:p>
      <w:pPr>
        <w:pStyle w:val="Funote"/>
        <w:rPr/>
      </w:pPr>
      <w:r>
        <w:rPr>
          <w:rStyle w:val="Funotenzeichen"/>
        </w:rPr>
        <w:footnoteRef/>
      </w:r>
      <w:r>
        <w:rPr/>
        <w:tab/>
        <w:t>Partizip, hier final aufgelöst</w:t>
      </w:r>
    </w:p>
  </w:footnote>
  <w:footnote w:id="3577">
    <w:p>
      <w:pPr>
        <w:pStyle w:val="Funote"/>
        <w:rPr/>
      </w:pPr>
      <w:r>
        <w:rPr>
          <w:rStyle w:val="Funotenzeichen"/>
        </w:rPr>
        <w:footnoteRef/>
      </w:r>
      <w:r>
        <w:rPr/>
        <w:tab/>
        <w:t>Partizip, hier temporal. Eventl. auch final</w:t>
      </w:r>
    </w:p>
  </w:footnote>
  <w:footnote w:id="3578">
    <w:p>
      <w:pPr>
        <w:pStyle w:val="Funote"/>
        <w:rPr/>
      </w:pPr>
      <w:r>
        <w:rPr>
          <w:rStyle w:val="Funotenzeichen"/>
        </w:rPr>
        <w:footnoteRef/>
      </w:r>
      <w:r>
        <w:rPr/>
        <w:tab/>
        <w:t>Partizip</w:t>
      </w:r>
    </w:p>
  </w:footnote>
  <w:footnote w:id="3579">
    <w:p>
      <w:pPr>
        <w:pStyle w:val="Funote"/>
        <w:rPr/>
      </w:pPr>
      <w:r>
        <w:rPr>
          <w:rStyle w:val="Funotenzeichen"/>
        </w:rPr>
        <w:footnoteRef/>
      </w:r>
      <w:r>
        <w:rPr/>
        <w:tab/>
        <w:t>Partizip, hier temporal. Eventl. auch final</w:t>
      </w:r>
    </w:p>
  </w:footnote>
  <w:footnote w:id="3580">
    <w:p>
      <w:pPr>
        <w:pStyle w:val="Funote"/>
        <w:rPr/>
      </w:pPr>
      <w:r>
        <w:rPr>
          <w:rStyle w:val="Funotenzeichen"/>
        </w:rPr>
        <w:footnoteRef/>
      </w:r>
      <w:r>
        <w:rPr/>
        <w:tab/>
        <w:t>Partizip</w:t>
      </w:r>
    </w:p>
  </w:footnote>
  <w:footnote w:id="3581">
    <w:p>
      <w:pPr>
        <w:pStyle w:val="Funote"/>
        <w:rPr/>
      </w:pPr>
      <w:r>
        <w:rPr>
          <w:rStyle w:val="Funotenzeichen"/>
        </w:rPr>
        <w:footnoteRef/>
      </w:r>
      <w:r>
        <w:rPr/>
        <w:tab/>
        <w:t>Partizip, wörtlich: "sagend"</w:t>
      </w:r>
    </w:p>
  </w:footnote>
  <w:footnote w:id="3582">
    <w:p>
      <w:pPr>
        <w:pStyle w:val="Funote"/>
        <w:rPr/>
      </w:pPr>
      <w:r>
        <w:rPr>
          <w:rStyle w:val="Funotenzeichen"/>
        </w:rPr>
        <w:footnoteRef/>
      </w:r>
      <w:r>
        <w:rPr/>
        <w:tab/>
        <w:t>Partizip Aorist, d.h. Gleichzeitigkeit zum Hauptsatz</w:t>
      </w:r>
    </w:p>
  </w:footnote>
  <w:footnote w:id="3583">
    <w:p>
      <w:pPr>
        <w:pStyle w:val="Funote"/>
        <w:rPr/>
      </w:pPr>
      <w:r>
        <w:rPr>
          <w:rStyle w:val="Funotenzeichen"/>
        </w:rPr>
        <w:footnoteRef/>
      </w:r>
      <w:r>
        <w:rPr/>
        <w:tab/>
        <w:t>Partizip Aorist</w:t>
      </w:r>
    </w:p>
  </w:footnote>
  <w:footnote w:id="3584">
    <w:p>
      <w:pPr>
        <w:pStyle w:val="Funote"/>
        <w:rPr/>
      </w:pPr>
      <w:r>
        <w:rPr>
          <w:rStyle w:val="Funotenzeichen"/>
        </w:rPr>
        <w:footnoteRef/>
      </w:r>
      <w:r>
        <w:rPr/>
        <w:tab/>
        <w:t>Partizip Aorist, vlt. temporal "während"</w:t>
      </w:r>
    </w:p>
  </w:footnote>
  <w:footnote w:id="3585">
    <w:p>
      <w:pPr>
        <w:pStyle w:val="Funote"/>
        <w:rPr/>
      </w:pPr>
      <w:r>
        <w:rPr>
          <w:rStyle w:val="Funotenzeichen"/>
        </w:rPr>
        <w:footnoteRef/>
      </w:r>
      <w:r>
        <w:rPr/>
        <w:tab/>
        <w:t>Steht im Plural</w:t>
      </w:r>
    </w:p>
  </w:footnote>
  <w:footnote w:id="3586">
    <w:p>
      <w:pPr>
        <w:pStyle w:val="Funote"/>
        <w:rPr/>
      </w:pPr>
      <w:r>
        <w:rPr>
          <w:rStyle w:val="Funotenzeichen"/>
        </w:rPr>
        <w:footnoteRef/>
      </w:r>
      <w:r>
        <w:rPr/>
        <w:tab/>
        <w:t>Partizip Aorist</w:t>
      </w:r>
    </w:p>
  </w:footnote>
  <w:footnote w:id="3587">
    <w:p>
      <w:pPr>
        <w:pStyle w:val="Funote"/>
        <w:rPr/>
      </w:pPr>
      <w:r>
        <w:rPr>
          <w:rStyle w:val="Funotenzeichen"/>
        </w:rPr>
        <w:footnoteRef/>
      </w:r>
      <w:r>
        <w:rPr/>
        <w:tab/>
        <w:t>Partizip Aorist</w:t>
      </w:r>
    </w:p>
  </w:footnote>
  <w:footnote w:id="3588">
    <w:p>
      <w:pPr>
        <w:pStyle w:val="Funote"/>
        <w:rPr/>
      </w:pPr>
      <w:r>
        <w:rPr>
          <w:rStyle w:val="Funotenzeichen"/>
        </w:rPr>
        <w:footnoteRef/>
      </w:r>
      <w:r>
        <w:rPr/>
        <w:tab/>
        <w:t>Partizip Aorist</w:t>
      </w:r>
    </w:p>
  </w:footnote>
  <w:footnote w:id="3589">
    <w:p>
      <w:pPr>
        <w:pStyle w:val="Funote"/>
        <w:rPr/>
      </w:pPr>
      <w:r>
        <w:rPr>
          <w:rStyle w:val="Funotenzeichen"/>
        </w:rPr>
        <w:footnoteRef/>
      </w:r>
      <w:r>
        <w:rPr/>
        <w:tab/>
        <w:t>Partizip Aorist</w:t>
      </w:r>
    </w:p>
  </w:footnote>
  <w:footnote w:id="3590">
    <w:p>
      <w:pPr>
        <w:pStyle w:val="Funote"/>
        <w:rPr/>
      </w:pPr>
      <w:r>
        <w:rPr>
          <w:rStyle w:val="Funotenzeichen"/>
        </w:rPr>
        <w:footnoteRef/>
      </w:r>
      <w:r>
        <w:rPr/>
        <w:tab/>
        <w:t>Partizip Aorist</w:t>
      </w:r>
    </w:p>
  </w:footnote>
  <w:footnote w:id="3591">
    <w:p>
      <w:pPr>
        <w:pStyle w:val="Funote"/>
        <w:rPr/>
      </w:pPr>
      <w:r>
        <w:rPr>
          <w:rStyle w:val="Funotenzeichen"/>
        </w:rPr>
        <w:footnoteRef/>
      </w:r>
      <w:r>
        <w:rPr/>
        <w:tab/>
        <w:t>Partizip</w:t>
      </w:r>
    </w:p>
  </w:footnote>
  <w:footnote w:id="3592">
    <w:p>
      <w:pPr>
        <w:pStyle w:val="Funote"/>
        <w:rPr/>
      </w:pPr>
      <w:r>
        <w:rPr>
          <w:rStyle w:val="Funotenzeichen"/>
        </w:rPr>
        <w:footnoteRef/>
      </w:r>
      <w:r>
        <w:rPr/>
        <w:tab/>
        <w:t>Partizip, eventl. die Konstruktion anders trennen, etwa "... fürchtete er sich. Und als er anfing zu sinken..."</w:t>
      </w:r>
    </w:p>
  </w:footnote>
  <w:footnote w:id="3593">
    <w:p>
      <w:pPr>
        <w:pStyle w:val="Funote"/>
        <w:rPr/>
      </w:pPr>
      <w:r>
        <w:rPr>
          <w:rStyle w:val="Funotenzeichen"/>
        </w:rPr>
        <w:footnoteRef/>
      </w:r>
      <w:r>
        <w:rPr/>
        <w:tab/>
        <w:t>Partizip</w:t>
      </w:r>
    </w:p>
  </w:footnote>
  <w:footnote w:id="3594">
    <w:p>
      <w:pPr>
        <w:pStyle w:val="Funote"/>
        <w:rPr/>
      </w:pPr>
      <w:r>
        <w:rPr>
          <w:rStyle w:val="Funotenzeichen"/>
        </w:rPr>
        <w:footnoteRef/>
      </w:r>
      <w:r>
        <w:rPr/>
        <w:tab/>
        <w:t>Partizip</w:t>
      </w:r>
    </w:p>
  </w:footnote>
  <w:footnote w:id="3595">
    <w:p>
      <w:pPr>
        <w:pStyle w:val="Funote"/>
        <w:rPr/>
      </w:pPr>
      <w:r>
        <w:rPr>
          <w:rStyle w:val="Funotenzeichen"/>
        </w:rPr>
        <w:footnoteRef/>
      </w:r>
      <w:r>
        <w:rPr/>
        <w:tab/>
        <w:t>Partizip</w:t>
      </w:r>
    </w:p>
  </w:footnote>
  <w:footnote w:id="3596">
    <w:p>
      <w:pPr>
        <w:pStyle w:val="Funote"/>
        <w:rPr/>
      </w:pPr>
      <w:r>
        <w:rPr>
          <w:rStyle w:val="Funotenzeichen"/>
        </w:rPr>
        <w:footnoteRef/>
      </w:r>
      <w:r>
        <w:rPr/>
        <w:tab/>
        <w:t>Partizip</w:t>
      </w:r>
    </w:p>
  </w:footnote>
  <w:footnote w:id="3597">
    <w:p>
      <w:pPr>
        <w:pStyle w:val="Funote"/>
        <w:rPr/>
      </w:pPr>
      <w:r>
        <w:rPr>
          <w:rStyle w:val="Funotenzeichen"/>
        </w:rPr>
        <w:footnoteRef/>
      </w:r>
      <w:r>
        <w:rPr/>
        <w:tab/>
        <w:t>Partizip</w:t>
      </w:r>
    </w:p>
  </w:footnote>
  <w:footnote w:id="3598">
    <w:p>
      <w:pPr>
        <w:pStyle w:val="Funote"/>
        <w:rPr/>
      </w:pPr>
      <w:r>
        <w:rPr>
          <w:rStyle w:val="Funotenzeichen"/>
        </w:rPr>
        <w:footnoteRef/>
      </w:r>
      <w:r>
        <w:rPr/>
        <w:tab/>
        <w:t>[Status: Ungeprüft]</w:t>
      </w:r>
    </w:p>
  </w:footnote>
  <w:footnote w:id="3599">
    <w:p>
      <w:pPr>
        <w:pStyle w:val="Funote"/>
        <w:rPr/>
      </w:pPr>
      <w:r>
        <w:rPr>
          <w:rStyle w:val="Funotenzeichen"/>
        </w:rPr>
        <w:footnoteRef/>
      </w:r>
      <w:r>
        <w:rPr/>
        <w:tab/>
        <w:t>Partizip. Wörtlich: sagend</w:t>
      </w:r>
    </w:p>
  </w:footnote>
  <w:footnote w:id="3600">
    <w:p>
      <w:pPr>
        <w:pStyle w:val="Funote"/>
        <w:rPr/>
      </w:pPr>
      <w:r>
        <w:rPr>
          <w:rStyle w:val="Funotenzeichen"/>
        </w:rPr>
        <w:footnoteRef/>
      </w:r>
      <w:r>
        <w:rPr/>
        <w:tab/>
        <w:t>Partizip</w:t>
      </w:r>
    </w:p>
  </w:footnote>
  <w:footnote w:id="3601">
    <w:p>
      <w:pPr>
        <w:pStyle w:val="Funote"/>
        <w:rPr/>
      </w:pPr>
      <w:r>
        <w:rPr>
          <w:rStyle w:val="Funotenzeichen"/>
        </w:rPr>
        <w:footnoteRef/>
      </w:r>
      <w:r>
        <w:rPr/>
        <w:tab/>
        <w:t>Partizip. Wörtlich: sagend</w:t>
      </w:r>
    </w:p>
  </w:footnote>
  <w:footnote w:id="3602">
    <w:p>
      <w:pPr>
        <w:pStyle w:val="Funote"/>
        <w:rPr/>
      </w:pPr>
      <w:r>
        <w:rPr>
          <w:rStyle w:val="Funotenzeichen"/>
        </w:rPr>
        <w:footnoteRef/>
      </w:r>
      <w:r>
        <w:rPr/>
        <w:tab/>
        <w:t>Jesaja 29,13</w:t>
      </w:r>
    </w:p>
  </w:footnote>
  <w:footnote w:id="3603">
    <w:p>
      <w:pPr>
        <w:pStyle w:val="Funote"/>
        <w:rPr/>
      </w:pPr>
      <w:r>
        <w:rPr>
          <w:rStyle w:val="Funotenzeichen"/>
        </w:rPr>
        <w:footnoteRef/>
      </w:r>
      <w:r>
        <w:rPr/>
        <w:tab/>
        <w:t>Partizip</w:t>
      </w:r>
    </w:p>
  </w:footnote>
  <w:footnote w:id="3604">
    <w:p>
      <w:pPr>
        <w:pStyle w:val="Funote"/>
        <w:rPr/>
      </w:pPr>
      <w:r>
        <w:rPr>
          <w:rStyle w:val="Funotenzeichen"/>
        </w:rPr>
        <w:footnoteRef/>
      </w:r>
      <w:r>
        <w:rPr/>
        <w:tab/>
        <w:t>Partizip</w:t>
      </w:r>
    </w:p>
  </w:footnote>
  <w:footnote w:id="3605">
    <w:p>
      <w:pPr>
        <w:pStyle w:val="Funote"/>
        <w:rPr/>
      </w:pPr>
      <w:r>
        <w:rPr>
          <w:rStyle w:val="Funotenzeichen"/>
        </w:rPr>
        <w:footnoteRef/>
      </w:r>
      <w:r>
        <w:rPr/>
        <w:tab/>
        <w:t>Partizip</w:t>
      </w:r>
    </w:p>
  </w:footnote>
  <w:footnote w:id="3606">
    <w:p>
      <w:pPr>
        <w:pStyle w:val="Funote"/>
        <w:rPr/>
      </w:pPr>
      <w:r>
        <w:rPr>
          <w:rStyle w:val="Funotenzeichen"/>
        </w:rPr>
        <w:footnoteRef/>
      </w:r>
      <w:r>
        <w:rPr/>
        <w:tab/>
        <w:t>Partizip</w:t>
      </w:r>
    </w:p>
  </w:footnote>
  <w:footnote w:id="3607">
    <w:p>
      <w:pPr>
        <w:pStyle w:val="Funote"/>
        <w:rPr/>
      </w:pPr>
      <w:r>
        <w:rPr>
          <w:rStyle w:val="Funotenzeichen"/>
        </w:rPr>
        <w:footnoteRef/>
      </w:r>
      <w:r>
        <w:rPr/>
        <w:tab/>
        <w:t>Partizip</w:t>
      </w:r>
    </w:p>
  </w:footnote>
  <w:footnote w:id="3608">
    <w:p>
      <w:pPr>
        <w:pStyle w:val="Funote"/>
        <w:rPr/>
      </w:pPr>
      <w:r>
        <w:rPr>
          <w:rStyle w:val="Funotenzeichen"/>
        </w:rPr>
        <w:footnoteRef/>
      </w:r>
      <w:r>
        <w:rPr/>
        <w:tab/>
        <w:t>Partizip</w:t>
      </w:r>
    </w:p>
  </w:footnote>
  <w:footnote w:id="3609">
    <w:p>
      <w:pPr>
        <w:pStyle w:val="Funote"/>
        <w:rPr/>
      </w:pPr>
      <w:r>
        <w:rPr>
          <w:rStyle w:val="Funotenzeichen"/>
        </w:rPr>
        <w:footnoteRef/>
      </w:r>
      <w:r>
        <w:rPr/>
        <w:tab/>
        <w:t>Vlt: "Habt ihr auch nichts verstanden?"</w:t>
      </w:r>
    </w:p>
  </w:footnote>
  <w:footnote w:id="3610">
    <w:p>
      <w:pPr>
        <w:pStyle w:val="Funote"/>
        <w:rPr/>
      </w:pPr>
      <w:r>
        <w:rPr>
          <w:rStyle w:val="Funotenzeichen"/>
        </w:rPr>
        <w:footnoteRef/>
      </w:r>
      <w:r>
        <w:rPr/>
        <w:tab/>
        <w:t>Partizip</w:t>
      </w:r>
    </w:p>
  </w:footnote>
  <w:footnote w:id="3611">
    <w:p>
      <w:pPr>
        <w:pStyle w:val="Funote"/>
        <w:rPr/>
      </w:pPr>
      <w:r>
        <w:rPr>
          <w:rStyle w:val="Funotenzeichen"/>
        </w:rPr>
        <w:footnoteRef/>
      </w:r>
      <w:r>
        <w:rPr/>
        <w:tab/>
        <w:t>Partizip</w:t>
      </w:r>
    </w:p>
  </w:footnote>
  <w:footnote w:id="3612">
    <w:p>
      <w:pPr>
        <w:pStyle w:val="Funote"/>
        <w:rPr/>
      </w:pPr>
      <w:r>
        <w:rPr>
          <w:rStyle w:val="Funotenzeichen"/>
        </w:rPr>
        <w:footnoteRef/>
      </w:r>
      <w:r>
        <w:rPr/>
        <w:tab/>
        <w:t>Partizip</w:t>
      </w:r>
    </w:p>
  </w:footnote>
  <w:footnote w:id="3613">
    <w:p>
      <w:pPr>
        <w:pStyle w:val="Funote"/>
        <w:rPr/>
      </w:pPr>
      <w:r>
        <w:rPr>
          <w:rStyle w:val="Funotenzeichen"/>
        </w:rPr>
        <w:footnoteRef/>
      </w:r>
      <w:r>
        <w:rPr/>
        <w:tab/>
        <w:t>Partizip</w:t>
      </w:r>
    </w:p>
  </w:footnote>
  <w:footnote w:id="3614">
    <w:p>
      <w:pPr>
        <w:pStyle w:val="Funote"/>
        <w:rPr/>
      </w:pPr>
      <w:r>
        <w:rPr>
          <w:rStyle w:val="Funotenzeichen"/>
        </w:rPr>
        <w:footnoteRef/>
      </w:r>
      <w:r>
        <w:rPr/>
        <w:tab/>
        <w:t>Partizip, hier final augelöst</w:t>
      </w:r>
    </w:p>
  </w:footnote>
  <w:footnote w:id="3615">
    <w:p>
      <w:pPr>
        <w:pStyle w:val="Funote"/>
        <w:rPr/>
      </w:pPr>
      <w:r>
        <w:rPr>
          <w:rStyle w:val="Funotenzeichen"/>
        </w:rPr>
        <w:footnoteRef/>
      </w:r>
      <w:r>
        <w:rPr/>
        <w:tab/>
        <w:t>oder vlt.:"Was du willst, geschehe"</w:t>
      </w:r>
    </w:p>
  </w:footnote>
  <w:footnote w:id="3616">
    <w:p>
      <w:pPr>
        <w:pStyle w:val="Funote"/>
        <w:rPr/>
      </w:pPr>
      <w:r>
        <w:rPr>
          <w:rStyle w:val="Funotenzeichen"/>
        </w:rPr>
        <w:footnoteRef/>
      </w:r>
      <w:r>
        <w:rPr/>
        <w:tab/>
        <w:t>Partizip</w:t>
      </w:r>
    </w:p>
  </w:footnote>
  <w:footnote w:id="3617">
    <w:p>
      <w:pPr>
        <w:pStyle w:val="Funote"/>
        <w:rPr/>
      </w:pPr>
      <w:r>
        <w:rPr>
          <w:rStyle w:val="Funotenzeichen"/>
        </w:rPr>
        <w:footnoteRef/>
      </w:r>
      <w:r>
        <w:rPr/>
        <w:tab/>
        <w:t>Partizip</w:t>
      </w:r>
    </w:p>
  </w:footnote>
  <w:footnote w:id="3618">
    <w:p>
      <w:pPr>
        <w:pStyle w:val="Funote"/>
        <w:rPr/>
      </w:pPr>
      <w:r>
        <w:rPr>
          <w:rStyle w:val="Funotenzeichen"/>
        </w:rPr>
        <w:footnoteRef/>
      </w:r>
      <w:r>
        <w:rPr/>
        <w:tab/>
        <w:t>Partizip</w:t>
      </w:r>
    </w:p>
  </w:footnote>
  <w:footnote w:id="3619">
    <w:p>
      <w:pPr>
        <w:pStyle w:val="Funote"/>
        <w:rPr/>
      </w:pPr>
      <w:r>
        <w:rPr>
          <w:rStyle w:val="Funotenzeichen"/>
        </w:rPr>
        <w:footnoteRef/>
      </w:r>
      <w:r>
        <w:rPr/>
        <w:tab/>
        <w:t>Partizip</w:t>
      </w:r>
    </w:p>
  </w:footnote>
  <w:footnote w:id="3620">
    <w:p>
      <w:pPr>
        <w:pStyle w:val="Funote"/>
        <w:rPr/>
      </w:pPr>
      <w:r>
        <w:rPr>
          <w:rStyle w:val="Funotenzeichen"/>
        </w:rPr>
        <w:footnoteRef/>
      </w:r>
      <w:r>
        <w:rPr/>
        <w:tab/>
        <w:t>Partizip</w:t>
      </w:r>
    </w:p>
  </w:footnote>
  <w:footnote w:id="3621">
    <w:p>
      <w:pPr>
        <w:pStyle w:val="Funote"/>
        <w:rPr/>
      </w:pPr>
      <w:r>
        <w:rPr>
          <w:rStyle w:val="Funotenzeichen"/>
        </w:rPr>
        <w:footnoteRef/>
      </w:r>
      <w:r>
        <w:rPr/>
        <w:tab/>
        <w:t>Partizip</w:t>
      </w:r>
    </w:p>
  </w:footnote>
  <w:footnote w:id="3622">
    <w:p>
      <w:pPr>
        <w:pStyle w:val="Funote"/>
        <w:rPr/>
      </w:pPr>
      <w:r>
        <w:rPr>
          <w:rStyle w:val="Funotenzeichen"/>
        </w:rPr>
        <w:footnoteRef/>
      </w:r>
      <w:r>
        <w:rPr/>
        <w:tab/>
        <w:t>[Status: Zuverlässig]</w:t>
      </w:r>
    </w:p>
  </w:footnote>
  <w:footnote w:id="3623">
    <w:p>
      <w:pPr>
        <w:pStyle w:val="Funote"/>
        <w:rPr/>
      </w:pPr>
      <w:r>
        <w:rPr>
          <w:rStyle w:val="Funotenzeichen"/>
        </w:rPr>
        <w:footnoteRef/>
      </w:r>
      <w:r>
        <w:rPr>
          <w:i/>
        </w:rPr>
        <w:tab/>
        <w:t>{</w:t>
      </w:r>
      <w:r>
        <w:rPr>
          <w:i/>
          <w:strike/>
        </w:rPr>
        <w:t>Und</w:t>
      </w:r>
      <w:r>
        <w:rPr>
          <w:i/>
        </w:rPr>
        <w:t>}</w:t>
      </w:r>
      <w:r>
        <w:rPr/>
        <w:t xml:space="preserve"> - Übliche Markierung im Griechischen zur Eröffnung eines neuen Abschnittes. Im Dt. ist dies unüblich.</w:t>
      </w:r>
    </w:p>
  </w:footnote>
  <w:footnote w:id="3624">
    <w:p>
      <w:pPr>
        <w:pStyle w:val="Funote"/>
        <w:rPr/>
      </w:pPr>
      <w:r>
        <w:rPr>
          <w:rStyle w:val="Funotenzeichen"/>
        </w:rPr>
        <w:footnoteRef/>
      </w:r>
      <w:r>
        <w:rPr/>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625">
    <w:p>
      <w:pPr>
        <w:pStyle w:val="Funote"/>
        <w:rPr/>
      </w:pPr>
      <w:r>
        <w:rPr>
          <w:rStyle w:val="Funotenzeichen"/>
        </w:rPr>
        <w:footnoteRef/>
      </w:r>
      <w:r>
        <w:rPr>
          <w:i/>
        </w:rPr>
        <w:tab/>
        <w:t>Zeit</w:t>
      </w:r>
      <w:r>
        <w:rPr/>
        <w:t xml:space="preserve"> - W. „Zeiten“.</w:t>
      </w:r>
    </w:p>
  </w:footnote>
  <w:footnote w:id="3626">
    <w:p>
      <w:pPr>
        <w:pStyle w:val="Funote"/>
        <w:rPr/>
      </w:pPr>
      <w:r>
        <w:rPr>
          <w:rStyle w:val="Funotenzeichen"/>
        </w:rPr>
        <w:footnoteRef/>
      </w:r>
      <w:r>
        <w:rPr/>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627">
    <w:p>
      <w:pPr>
        <w:pStyle w:val="Funote"/>
        <w:rPr/>
      </w:pPr>
      <w:r>
        <w:rPr>
          <w:rStyle w:val="Funotenzeichen"/>
        </w:rPr>
        <w:footnoteRef/>
      </w:r>
      <w:r>
        <w:rPr/>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628">
    <w:p>
      <w:pPr>
        <w:pStyle w:val="Funote"/>
        <w:rPr/>
      </w:pPr>
      <w:r>
        <w:rPr>
          <w:rStyle w:val="Funotenzeichen"/>
        </w:rPr>
        <w:footnoteRef/>
      </w:r>
      <w:r>
        <w:rPr/>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629">
    <w:p>
      <w:pPr>
        <w:pStyle w:val="Funote"/>
        <w:rPr/>
      </w:pPr>
      <w:r>
        <w:rPr>
          <w:rStyle w:val="Funotenzeichen"/>
        </w:rPr>
        <w:footnoteRef/>
      </w:r>
      <w:r>
        <w:rPr>
          <w:i/>
        </w:rPr>
        <w:tab/>
        <w:t>an das jenseitige [Ufer]</w:t>
      </w:r>
      <w:r>
        <w:rPr/>
        <w:t xml:space="preserve"> - W. „an das Jenseitige“; stehende Formulierung für eine Überquerung des Sees Gennesaret.</w:t>
      </w:r>
    </w:p>
  </w:footnote>
  <w:footnote w:id="3630">
    <w:p>
      <w:pPr>
        <w:pStyle w:val="Funote"/>
        <w:rPr/>
      </w:pPr>
      <w:r>
        <w:rPr>
          <w:rStyle w:val="Funotenzeichen"/>
        </w:rPr>
        <w:footnoteRef/>
      </w:r>
      <w:r>
        <w:rPr/>
        <w:tab/>
        <w:t>Als die Jünger ... kamen - Nach der Darstellung des Mt ist offenbar Jesus in Mt 15,39 allein nach Magadan gefahren; die Jünger stoßen nun nachträglich zu ihm (vgl. z.B. Luz 1990, S. 447).</w:t>
      </w:r>
    </w:p>
  </w:footnote>
  <w:footnote w:id="3631">
    <w:p>
      <w:pPr>
        <w:pStyle w:val="Funote"/>
        <w:rPr/>
      </w:pPr>
      <w:r>
        <w:rPr>
          <w:rStyle w:val="Funotenzeichen"/>
        </w:rPr>
        <w:footnoteRef/>
      </w:r>
      <w:r>
        <w:rPr>
          <w:i/>
        </w:rPr>
        <w:tab/>
        <w:t>[gerade]</w:t>
      </w:r>
      <w:r>
        <w:rPr/>
        <w:t xml:space="preserve"> - Das Verb steht im Gr. im Imperfekt, um zu markieren, dass die Handlung gerade im Vollzug ist.</w:t>
      </w:r>
    </w:p>
  </w:footnote>
  <w:footnote w:id="3632">
    <w:p>
      <w:pPr>
        <w:pStyle w:val="Funote"/>
        <w:rPr/>
      </w:pPr>
      <w:r>
        <w:rPr>
          <w:rStyle w:val="Funotenzeichen"/>
        </w:rPr>
        <w:footnoteRef/>
      </w:r>
      <w:r>
        <w:rPr/>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633">
    <w:p>
      <w:pPr>
        <w:pStyle w:val="Funote"/>
        <w:rPr/>
      </w:pPr>
      <w:r>
        <w:rPr>
          <w:rStyle w:val="Funotenzeichen"/>
        </w:rPr>
        <w:footnoteRef/>
      </w:r>
      <w:r>
        <w:rPr>
          <w:i/>
        </w:rPr>
        <w:tab/>
        <w:t>dass (weil)</w:t>
      </w:r>
      <w:r>
        <w:rPr/>
        <w:t xml:space="preserve"> - Auch hier steht ein </w:t>
      </w:r>
      <w:r>
        <w:rPr>
          <w:i/>
        </w:rPr>
        <w:t>hoti</w:t>
      </w:r>
      <w:r>
        <w:rPr/>
        <w:t xml:space="preserve">; die Übersetzung hängt ab von der Deutung des </w:t>
      </w:r>
      <w:r>
        <w:rPr>
          <w:i/>
        </w:rPr>
        <w:t>hoti</w:t>
      </w:r>
      <w:r>
        <w:rPr/>
        <w:t xml:space="preserve"> in V. 7 (s. </w:t>
      </w:r>
      <w:r>
        <w:fldChar w:fldCharType="begin"/>
      </w:r>
      <w:r>
        <w:rPr>
          <w:rStyle w:val="Internetverknpfung"/>
        </w:rPr>
        <w:instrText> HYPERLINK "http://offene-bibel.de/mediawiki/index.php?title=Matthäus_16" \l "note_j"</w:instrText>
      </w:r>
      <w:r>
        <w:rPr>
          <w:rStyle w:val="Internetverknpfung"/>
        </w:rPr>
        <w:fldChar w:fldCharType="separate"/>
      </w:r>
      <w:r>
        <w:rPr>
          <w:rStyle w:val="Internetverknpfung"/>
        </w:rPr>
        <w:t>FN j</w:t>
      </w:r>
      <w:r>
        <w:rPr>
          <w:rStyle w:val="Internetverknpfung"/>
        </w:rPr>
        <w:fldChar w:fldCharType="end"/>
      </w:r>
      <w:r>
        <w:rPr/>
        <w:t>).</w:t>
      </w:r>
    </w:p>
  </w:footnote>
  <w:footnote w:id="3634">
    <w:p>
      <w:pPr>
        <w:pStyle w:val="Funote"/>
        <w:rPr/>
      </w:pPr>
      <w:r>
        <w:rPr>
          <w:rStyle w:val="Funotenzeichen"/>
        </w:rPr>
        <w:footnoteRef/>
      </w:r>
      <w:r>
        <w:rPr/>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635">
    <w:p>
      <w:pPr>
        <w:pStyle w:val="Funote"/>
        <w:rPr/>
      </w:pPr>
      <w:r>
        <w:rPr>
          <w:rStyle w:val="Funotenzeichen"/>
        </w:rPr>
        <w:footnoteRef/>
      </w:r>
      <w:r>
        <w:rPr/>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636">
    <w:p>
      <w:pPr>
        <w:pStyle w:val="Funote"/>
        <w:rPr/>
      </w:pPr>
      <w:r>
        <w:rPr>
          <w:rStyle w:val="Funotenzeichen"/>
        </w:rPr>
        <w:footnoteRef/>
      </w:r>
      <w:r>
        <w:rPr/>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637">
    <w:p>
      <w:pPr>
        <w:pStyle w:val="Funote"/>
        <w:rPr/>
      </w:pPr>
      <w:r>
        <w:rPr>
          <w:rStyle w:val="Funotenzeichen"/>
        </w:rPr>
        <w:footnoteRef/>
      </w:r>
      <w:r>
        <w:rPr/>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638">
    <w:p>
      <w:pPr>
        <w:pStyle w:val="Funote"/>
        <w:rPr/>
      </w:pPr>
      <w:r>
        <w:rPr>
          <w:rStyle w:val="Funotenzeichen"/>
        </w:rPr>
        <w:footnoteRef/>
      </w:r>
      <w:r>
        <w:rPr>
          <w:i/>
        </w:rPr>
        <w:tab/>
        <w:t>der Gesalbte</w:t>
      </w:r>
      <w:r>
        <w:rPr/>
        <w:t xml:space="preserve"> - Gr. </w:t>
      </w:r>
      <w:r>
        <w:rPr>
          <w:i/>
        </w:rPr>
        <w:t>christos</w:t>
      </w:r>
      <w:r>
        <w:rPr/>
        <w:t xml:space="preserve">. Im Alten Israel wurden Könige durch eine „Salbung“ eingesetzt. Zur Zeit Jesu war die Hoffnung verbreitet, dass dereinst ein endzeitlicher König erstehen und Israel retten werde (s. z.B. </w:t>
      </w:r>
      <w:r>
        <w:fldChar w:fldCharType="begin"/>
      </w:r>
      <w:r>
        <w:rPr>
          <w:rStyle w:val="Internetverknpfung"/>
        </w:rPr>
        <w:instrText> HYPERLINK "https://www.bibelwissenschaft.de/stichwort/51997/" \l "h1"</w:instrText>
      </w:r>
      <w:r>
        <w:rPr>
          <w:rStyle w:val="Internetverknpfung"/>
        </w:rPr>
        <w:fldChar w:fldCharType="separate"/>
      </w:r>
      <w:r>
        <w:rPr>
          <w:rStyle w:val="Internetverknpfung"/>
        </w:rPr>
        <w:t>Messias / Christus (WiBiLex)</w:t>
      </w:r>
      <w:r>
        <w:rPr>
          <w:rStyle w:val="Internetverknpfung"/>
        </w:rPr>
        <w:fldChar w:fldCharType="end"/>
      </w:r>
      <w:r>
        <w:rPr/>
        <w:t>). Als diesen endzeitlichen König identifiziert Petrus hier Jesus.</w:t>
      </w:r>
    </w:p>
  </w:footnote>
  <w:footnote w:id="3639">
    <w:p>
      <w:pPr>
        <w:pStyle w:val="Funote"/>
        <w:rPr/>
      </w:pPr>
      <w:r>
        <w:rPr>
          <w:rStyle w:val="Funotenzeichen"/>
        </w:rPr>
        <w:footnoteRef/>
      </w:r>
      <w:r>
        <w:rPr/>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640">
    <w:p>
      <w:pPr>
        <w:pStyle w:val="Funote"/>
        <w:rPr/>
      </w:pPr>
      <w:r>
        <w:rPr>
          <w:rStyle w:val="Funotenzeichen"/>
        </w:rPr>
        <w:footnoteRef/>
      </w:r>
      <w:r>
        <w:rPr>
          <w:i/>
        </w:rPr>
        <w:tab/>
        <w:t>bar Jona</w:t>
      </w:r>
      <w:r>
        <w:rPr/>
        <w:t xml:space="preserve"> - W. „Sohn des Jona“. Solche sog. „Patronyme“ waren im Alten Israel in etwa die Entsprechung eines Nachnamens.</w:t>
      </w:r>
    </w:p>
  </w:footnote>
  <w:footnote w:id="3641">
    <w:p>
      <w:pPr>
        <w:pStyle w:val="Funote"/>
        <w:rPr/>
      </w:pPr>
      <w:r>
        <w:rPr>
          <w:rStyle w:val="Funotenzeichen"/>
        </w:rPr>
        <w:footnoteRef/>
      </w:r>
      <w:r>
        <w:rPr/>
        <w:tab/>
        <w:t>Fleisch und Blut - d.h.: Menschen (vgl. Luz 1990, S. 461, FN 58) - was Petrus hier ausspricht, ist menschliches Wissen übersteigendes Wissen, das ihm daher nur von Gottvater offenbart worden sein konnte.</w:t>
      </w:r>
    </w:p>
  </w:footnote>
  <w:footnote w:id="3642">
    <w:p>
      <w:pPr>
        <w:pStyle w:val="Funote"/>
        <w:rPr/>
      </w:pPr>
      <w:r>
        <w:rPr>
          <w:rStyle w:val="Funotenzeichen"/>
        </w:rPr>
        <w:footnoteRef/>
      </w:r>
      <w:r>
        <w:rPr>
          <w:i/>
        </w:rPr>
        <w:tab/>
        <w:t>Himmel</w:t>
      </w:r>
      <w:r>
        <w:rPr/>
        <w:t xml:space="preserve"> - Im Gr. Plural; „Himmel“ steht im Gr. meist im Pl., wo das Dt. Sg. verwenden würde.</w:t>
      </w:r>
    </w:p>
  </w:footnote>
  <w:footnote w:id="3643">
    <w:p>
      <w:pPr>
        <w:pStyle w:val="Funote"/>
        <w:rPr/>
      </w:pPr>
      <w:r>
        <w:rPr>
          <w:rStyle w:val="Funotenzeichen"/>
        </w:rPr>
        <w:footnoteRef/>
      </w:r>
      <w:r>
        <w:rPr/>
        <w:tab/>
        <w:t>Petrus (Fels) ... Gefels - Wortspiel im Gr.: petros (»Fels«) - petra (»Gefels«). S. dazu und zum Rest von Vv. 18f. die Anmerkungen; zu den sprachlichen Aspekten des Wortspiels vgl. immer noch gut z.B. Lampe 1979.</w:t>
      </w:r>
    </w:p>
  </w:footnote>
  <w:footnote w:id="3644">
    <w:p>
      <w:pPr>
        <w:pStyle w:val="Funote"/>
        <w:rPr/>
      </w:pPr>
      <w:r>
        <w:rPr>
          <w:rStyle w:val="Funotenzeichen"/>
        </w:rPr>
        <w:footnoteRef/>
      </w:r>
      <w:r>
        <w:rPr/>
        <w:tab/>
        <w:t>Die Pforten des Hades sind im Weltbild des Alten Israel die Eingänge zur Unterwelt, dem »Hades«. S. auch dazu die Anmerkungen und vgl. zu Näherem z.B. Lewis 1995.</w:t>
      </w:r>
    </w:p>
  </w:footnote>
  <w:footnote w:id="3645">
    <w:p>
      <w:pPr>
        <w:pStyle w:val="Funote"/>
        <w:rPr/>
      </w:pPr>
      <w:r>
        <w:rPr>
          <w:rStyle w:val="Funotenzeichen"/>
        </w:rPr>
        <w:footnoteRef/>
      </w:r>
      <w:r>
        <w:rPr/>
        <w:tab/>
        <w:t>sie (es) - Gr. autäs könnte sich entweder beziehen auf petra (»Gefels«) oder, syntaktisch wahrscheinlicher, ekkläsia (»Gemeinde«); vgl. z.B. Luz 1990, S. 464.</w:t>
      </w:r>
    </w:p>
  </w:footnote>
  <w:footnote w:id="3646">
    <w:p>
      <w:pPr>
        <w:pStyle w:val="Funote"/>
        <w:rPr/>
      </w:pPr>
      <w:r>
        <w:rPr>
          <w:rStyle w:val="Funotenzeichen"/>
        </w:rPr>
        <w:footnoteRef/>
      </w:r>
      <w:r>
        <w:rPr/>
        <w:tab/>
        <w:t>Zu diesem Vers s. die Anmerkungen.</w:t>
      </w:r>
    </w:p>
  </w:footnote>
  <w:footnote w:id="3647">
    <w:p>
      <w:pPr>
        <w:pStyle w:val="Funote"/>
        <w:rPr/>
      </w:pPr>
      <w:r>
        <w:rPr>
          <w:rStyle w:val="Funotenzeichen"/>
        </w:rPr>
        <w:footnoteRef/>
      </w:r>
      <w:r>
        <w:rPr>
          <w:i/>
        </w:rPr>
        <w:tab/>
        <w:t>müsse</w:t>
      </w:r>
      <w:r>
        <w:rPr/>
        <w:t xml:space="preserve"> - Signalwort im NT: Was </w:t>
      </w:r>
      <w:r>
        <w:rPr>
          <w:i/>
        </w:rPr>
        <w:t>dei</w:t>
      </w:r>
      <w:r>
        <w:rPr/>
        <w:t xml:space="preserve"> („[sein] muss“), ist Teil des göttlichen Heilsplans: Gott hat die in V. 21 zusammengefassten Begebenheiten vorausgeplant und sie spielen eine wichtige Rolle in seinem Plan für seine Schöpfung.</w:t>
      </w:r>
    </w:p>
  </w:footnote>
  <w:footnote w:id="3648">
    <w:p>
      <w:pPr>
        <w:pStyle w:val="Funote"/>
        <w:rPr/>
      </w:pPr>
      <w:r>
        <w:rPr>
          <w:rStyle w:val="Funotenzeichen"/>
        </w:rPr>
        <w:footnoteRef/>
      </w:r>
      <w:r>
        <w:rPr/>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649">
    <w:p>
      <w:pPr>
        <w:pStyle w:val="Funote"/>
        <w:rPr/>
      </w:pPr>
      <w:r>
        <w:rPr>
          <w:rStyle w:val="Funotenzeichen"/>
        </w:rPr>
        <w:footnoteRef/>
      </w:r>
      <w:r>
        <w:rPr>
          <w:i/>
        </w:rPr>
        <w:tab/>
        <w:t>Geh hinter mich (geh weg von mir, lass mich in Ruhe)</w:t>
      </w:r>
      <w:r>
        <w:rPr/>
        <w:t xml:space="preserve"> - Gr. </w:t>
      </w:r>
      <w:r>
        <w:rPr>
          <w:i/>
        </w:rPr>
        <w:t>hupage opiso mou</w:t>
      </w:r>
      <w:r>
        <w:rPr/>
        <w:t xml:space="preserve">; mehrdeutiger Ausdruck: Er könnte sowohl eine eine entschiedene Zurückweisung sein („Weg von mir!“) als auch ein Aufruf zur Nachfolge, was v.a. die ganz ähnlich formulierte Rede von der Nachfolge im nächsten Vers nahelegt: </w:t>
      </w:r>
      <w:r>
        <w:rPr>
          <w:i/>
        </w:rPr>
        <w:t>ei tis thelei opiso mou elthein</w:t>
      </w:r>
      <w:r>
        <w:rPr/>
        <w:t xml:space="preserve"> („Wenn einer hinter mir gehen will“, d.h. „mir nachfolgen will“).</w:t>
      </w:r>
    </w:p>
  </w:footnote>
  <w:footnote w:id="3650">
    <w:p>
      <w:pPr>
        <w:pStyle w:val="Funote"/>
        <w:rPr/>
      </w:pPr>
      <w:r>
        <w:rPr>
          <w:rStyle w:val="Funotenzeichen"/>
        </w:rPr>
        <w:footnoteRef/>
      </w:r>
      <w:r>
        <w:rPr/>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651">
    <w:p>
      <w:pPr>
        <w:pStyle w:val="Funote"/>
        <w:rPr/>
      </w:pPr>
      <w:r>
        <w:rPr>
          <w:rStyle w:val="Funotenzeichen"/>
        </w:rPr>
        <w:footnoteRef/>
      </w:r>
      <w:r>
        <w:rPr/>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652">
    <w:p>
      <w:pPr>
        <w:pStyle w:val="Funote"/>
        <w:rPr/>
      </w:pPr>
      <w:r>
        <w:rPr>
          <w:rStyle w:val="Funotenzeichen"/>
        </w:rPr>
        <w:footnoteRef/>
      </w:r>
      <w:r>
        <w:rPr/>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653">
    <w:p>
      <w:pPr>
        <w:pStyle w:val="Funote"/>
        <w:rPr/>
      </w:pPr>
      <w:r>
        <w:rPr>
          <w:rStyle w:val="Funotenzeichen"/>
        </w:rPr>
        <w:footnoteRef/>
      </w:r>
      <w:r>
        <w:rPr/>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654">
    <w:p>
      <w:pPr>
        <w:pStyle w:val="Funote"/>
        <w:rPr/>
      </w:pPr>
      <w:r>
        <w:rPr>
          <w:rStyle w:val="Funotenzeichen"/>
        </w:rPr>
        <w:footnoteRef/>
      </w:r>
      <w:r>
        <w:rPr/>
        <w:tab/>
        <w:t>[Status: Ungeprüft]</w:t>
      </w:r>
    </w:p>
  </w:footnote>
  <w:footnote w:id="3655">
    <w:p>
      <w:pPr>
        <w:pStyle w:val="Funote"/>
        <w:rPr/>
      </w:pPr>
      <w:r>
        <w:rPr>
          <w:rStyle w:val="Funotenzeichen"/>
        </w:rPr>
        <w:footnoteRef/>
      </w:r>
      <w:r>
        <w:rPr/>
        <w:tab/>
        <w:t>Partizip</w:t>
      </w:r>
    </w:p>
  </w:footnote>
  <w:footnote w:id="3656">
    <w:p>
      <w:pPr>
        <w:pStyle w:val="Funote"/>
        <w:rPr/>
      </w:pPr>
      <w:r>
        <w:rPr>
          <w:rStyle w:val="Funotenzeichen"/>
        </w:rPr>
        <w:footnoteRef/>
      </w:r>
      <w:r>
        <w:rPr/>
        <w:tab/>
        <w:t>Partizip, hier temporal aufgelöst. Vlt. auch einfach final auflösen: "Und Petrus ergriff das Wort und..."</w:t>
      </w:r>
    </w:p>
  </w:footnote>
  <w:footnote w:id="3657">
    <w:p>
      <w:pPr>
        <w:pStyle w:val="Funote"/>
        <w:rPr/>
      </w:pPr>
      <w:r>
        <w:rPr>
          <w:rStyle w:val="Funotenzeichen"/>
        </w:rPr>
        <w:footnoteRef/>
      </w:r>
      <w:r>
        <w:rPr/>
        <w:tab/>
        <w:t>Dazu fehlt noch eine Erklärung!</w:t>
      </w:r>
    </w:p>
  </w:footnote>
  <w:footnote w:id="3658">
    <w:p>
      <w:pPr>
        <w:pStyle w:val="Funote"/>
        <w:rPr/>
      </w:pPr>
      <w:r>
        <w:rPr>
          <w:rStyle w:val="Funotenzeichen"/>
        </w:rPr>
        <w:footnoteRef/>
      </w:r>
      <w:r>
        <w:rPr/>
        <w:tab/>
        <w:t>Partizip</w:t>
      </w:r>
    </w:p>
  </w:footnote>
  <w:footnote w:id="3659">
    <w:p>
      <w:pPr>
        <w:pStyle w:val="Funote"/>
        <w:rPr/>
      </w:pPr>
      <w:r>
        <w:rPr>
          <w:rStyle w:val="Funotenzeichen"/>
        </w:rPr>
        <w:footnoteRef/>
      </w:r>
      <w:r>
        <w:rPr/>
        <w:tab/>
        <w:t>Partizip</w:t>
      </w:r>
    </w:p>
  </w:footnote>
  <w:footnote w:id="3660">
    <w:p>
      <w:pPr>
        <w:pStyle w:val="Funote"/>
        <w:rPr/>
      </w:pPr>
      <w:r>
        <w:rPr>
          <w:rStyle w:val="Funotenzeichen"/>
        </w:rPr>
        <w:footnoteRef/>
      </w:r>
      <w:r>
        <w:rPr/>
        <w:tab/>
        <w:t>Partizip</w:t>
      </w:r>
    </w:p>
  </w:footnote>
  <w:footnote w:id="3661">
    <w:p>
      <w:pPr>
        <w:pStyle w:val="Funote"/>
        <w:rPr/>
      </w:pPr>
      <w:r>
        <w:rPr>
          <w:rStyle w:val="Funotenzeichen"/>
        </w:rPr>
        <w:footnoteRef/>
      </w:r>
      <w:r>
        <w:rPr/>
        <w:tab/>
        <w:t>Partizip, hier temporal aufgelöst</w:t>
      </w:r>
    </w:p>
  </w:footnote>
  <w:footnote w:id="3662">
    <w:p>
      <w:pPr>
        <w:pStyle w:val="Funote"/>
        <w:rPr/>
      </w:pPr>
      <w:r>
        <w:rPr>
          <w:rStyle w:val="Funotenzeichen"/>
        </w:rPr>
        <w:footnoteRef/>
      </w:r>
      <w:r>
        <w:rPr/>
        <w:tab/>
        <w:t>Partizip</w:t>
      </w:r>
    </w:p>
  </w:footnote>
  <w:footnote w:id="3663">
    <w:p>
      <w:pPr>
        <w:pStyle w:val="Funote"/>
        <w:rPr/>
      </w:pPr>
      <w:r>
        <w:rPr>
          <w:rStyle w:val="Funotenzeichen"/>
        </w:rPr>
        <w:footnoteRef/>
      </w:r>
      <w:r>
        <w:rPr/>
        <w:tab/>
        <w:t>Partizip</w:t>
      </w:r>
    </w:p>
  </w:footnote>
  <w:footnote w:id="3664">
    <w:p>
      <w:pPr>
        <w:pStyle w:val="Funote"/>
        <w:rPr/>
      </w:pPr>
      <w:r>
        <w:rPr>
          <w:rStyle w:val="Funotenzeichen"/>
        </w:rPr>
        <w:footnoteRef/>
      </w:r>
      <w:r>
        <w:rPr/>
        <w:tab/>
        <w:t>Futur, eventl. hier und auch im kommenden Satz: "sollen"</w:t>
      </w:r>
    </w:p>
  </w:footnote>
  <w:footnote w:id="3665">
    <w:p>
      <w:pPr>
        <w:pStyle w:val="Funote"/>
        <w:rPr/>
      </w:pPr>
      <w:r>
        <w:rPr>
          <w:rStyle w:val="Funotenzeichen"/>
        </w:rPr>
        <w:footnoteRef/>
      </w:r>
      <w:r>
        <w:rPr/>
        <w:tab/>
        <w:t>Partizip, hier wohl am besten final auflösen.</w:t>
      </w:r>
    </w:p>
  </w:footnote>
  <w:footnote w:id="3666">
    <w:p>
      <w:pPr>
        <w:pStyle w:val="Funote"/>
        <w:rPr/>
      </w:pPr>
      <w:r>
        <w:rPr>
          <w:rStyle w:val="Funotenzeichen"/>
        </w:rPr>
        <w:footnoteRef/>
      </w:r>
      <w:r>
        <w:rPr/>
        <w:tab/>
        <w:t>Partizip. Eventl. "die Männer, die..."</w:t>
      </w:r>
    </w:p>
  </w:footnote>
  <w:footnote w:id="3667">
    <w:p>
      <w:pPr>
        <w:pStyle w:val="Funote"/>
        <w:rPr/>
      </w:pPr>
      <w:r>
        <w:rPr>
          <w:rStyle w:val="Funotenzeichen"/>
        </w:rPr>
        <w:footnoteRef/>
      </w:r>
      <w:r>
        <w:rPr/>
        <w:tab/>
        <w:t>Wörtlich den Doppeldrachmen, die Frage erwartet ein "Ja" als Antwort.</w:t>
      </w:r>
    </w:p>
  </w:footnote>
  <w:footnote w:id="3668">
    <w:p>
      <w:pPr>
        <w:pStyle w:val="Funote"/>
        <w:rPr/>
      </w:pPr>
      <w:r>
        <w:rPr>
          <w:rStyle w:val="Funotenzeichen"/>
        </w:rPr>
        <w:footnoteRef/>
      </w:r>
      <w:r>
        <w:rPr/>
        <w:tab/>
        <w:t>Partizip</w:t>
      </w:r>
    </w:p>
  </w:footnote>
  <w:footnote w:id="3669">
    <w:p>
      <w:pPr>
        <w:pStyle w:val="Funote"/>
        <w:rPr/>
      </w:pPr>
      <w:r>
        <w:rPr>
          <w:rStyle w:val="Funotenzeichen"/>
        </w:rPr>
        <w:footnoteRef/>
      </w:r>
      <w:r>
        <w:rPr/>
        <w:tab/>
        <w:t>Partizip. Wörtlich: sagend</w:t>
      </w:r>
    </w:p>
  </w:footnote>
  <w:footnote w:id="3670">
    <w:p>
      <w:pPr>
        <w:pStyle w:val="Funote"/>
        <w:rPr/>
      </w:pPr>
      <w:r>
        <w:rPr>
          <w:rStyle w:val="Funotenzeichen"/>
        </w:rPr>
        <w:footnoteRef/>
      </w:r>
      <w:r>
        <w:rPr/>
        <w:tab/>
        <w:t>Partizip</w:t>
      </w:r>
    </w:p>
  </w:footnote>
  <w:footnote w:id="3671">
    <w:p>
      <w:pPr>
        <w:pStyle w:val="Funote"/>
        <w:rPr/>
      </w:pPr>
      <w:r>
        <w:rPr>
          <w:rStyle w:val="Funotenzeichen"/>
        </w:rPr>
        <w:footnoteRef/>
      </w:r>
      <w:r>
        <w:rPr/>
        <w:tab/>
        <w:t>[Status: Ungeprüft]</w:t>
      </w:r>
    </w:p>
  </w:footnote>
  <w:footnote w:id="3672">
    <w:p>
      <w:pPr>
        <w:pStyle w:val="Funote"/>
        <w:rPr/>
      </w:pPr>
      <w:r>
        <w:rPr>
          <w:rStyle w:val="Funotenzeichen"/>
        </w:rPr>
        <w:footnoteRef/>
      </w:r>
      <w:r>
        <w:rPr/>
        <w:tab/>
        <w:t>Partizip</w:t>
      </w:r>
    </w:p>
  </w:footnote>
  <w:footnote w:id="3673">
    <w:p>
      <w:pPr>
        <w:pStyle w:val="Funote"/>
        <w:rPr/>
      </w:pPr>
      <w:r>
        <w:rPr>
          <w:rStyle w:val="Funotenzeichen"/>
        </w:rPr>
        <w:footnoteRef/>
      </w:r>
      <w:r>
        <w:rPr/>
        <w:tab/>
        <w:t>Partizip. Hier temporal, vlt. auch "als er..."</w:t>
      </w:r>
    </w:p>
  </w:footnote>
  <w:footnote w:id="3674">
    <w:p>
      <w:pPr>
        <w:pStyle w:val="Funote"/>
        <w:rPr/>
      </w:pPr>
      <w:r>
        <w:rPr>
          <w:rStyle w:val="Funotenzeichen"/>
        </w:rPr>
        <w:footnoteRef/>
      </w:r>
      <w:r>
        <w:rPr/>
        <w:tab/>
        <w:t>gemeint ist vlt. "den Kleinsten" oder "das Kind"</w:t>
      </w:r>
    </w:p>
  </w:footnote>
  <w:footnote w:id="3675">
    <w:p>
      <w:pPr>
        <w:pStyle w:val="Funote"/>
        <w:rPr/>
      </w:pPr>
      <w:r>
        <w:rPr>
          <w:rStyle w:val="Funotenzeichen"/>
        </w:rPr>
        <w:footnoteRef/>
      </w:r>
      <w:r>
        <w:rPr/>
        <w:tab/>
        <w:t>Partizip. Wörtlich: "glaubend"</w:t>
      </w:r>
    </w:p>
  </w:footnote>
  <w:footnote w:id="3676">
    <w:p>
      <w:pPr>
        <w:pStyle w:val="Funote"/>
        <w:rPr/>
      </w:pPr>
      <w:r>
        <w:rPr>
          <w:rStyle w:val="Funotenzeichen"/>
        </w:rPr>
        <w:footnoteRef/>
      </w:r>
      <w:r>
        <w:rPr/>
        <w:tab/>
        <w:t>Partizip. Vlt. auch einfach "mit zwei ..."</w:t>
      </w:r>
    </w:p>
  </w:footnote>
  <w:footnote w:id="3677">
    <w:p>
      <w:pPr>
        <w:pStyle w:val="Funote"/>
        <w:rPr/>
      </w:pPr>
      <w:r>
        <w:rPr>
          <w:rStyle w:val="Funotenzeichen"/>
        </w:rPr>
        <w:footnoteRef/>
      </w:r>
      <w:r>
        <w:rPr/>
        <w:tab/>
        <w:t>Partizip. Vlt. auch einfach "mit zwei ..."</w:t>
      </w:r>
    </w:p>
  </w:footnote>
  <w:footnote w:id="3678">
    <w:p>
      <w:pPr>
        <w:pStyle w:val="Funote"/>
        <w:rPr/>
      </w:pPr>
      <w:r>
        <w:rPr>
          <w:rStyle w:val="Funotenzeichen"/>
        </w:rPr>
        <w:footnoteRef/>
      </w:r>
      <w:r>
        <w:rPr/>
        <w:tab/>
        <w:t>Was meint ihr?</w:t>
      </w:r>
    </w:p>
  </w:footnote>
  <w:footnote w:id="3679">
    <w:p>
      <w:pPr>
        <w:pStyle w:val="Funote"/>
        <w:rPr/>
      </w:pPr>
      <w:r>
        <w:rPr>
          <w:rStyle w:val="Funotenzeichen"/>
        </w:rPr>
        <w:footnoteRef/>
      </w:r>
      <w:r>
        <w:rPr/>
        <w:tab/>
        <w:t>Partizip, hier final aufgelöst</w:t>
      </w:r>
    </w:p>
  </w:footnote>
  <w:footnote w:id="3680">
    <w:p>
      <w:pPr>
        <w:pStyle w:val="Funote"/>
        <w:rPr/>
      </w:pPr>
      <w:r>
        <w:rPr>
          <w:rStyle w:val="Funotenzeichen"/>
        </w:rPr>
        <w:footnoteRef/>
      </w:r>
      <w:r>
        <w:rPr/>
        <w:tab/>
        <w:t>Oder vlt. auch siebzigmal sieben</w:t>
      </w:r>
    </w:p>
  </w:footnote>
  <w:footnote w:id="3681">
    <w:p>
      <w:pPr>
        <w:pStyle w:val="Funote"/>
        <w:rPr/>
      </w:pPr>
      <w:r>
        <w:rPr>
          <w:rStyle w:val="Funotenzeichen"/>
        </w:rPr>
        <w:footnoteRef/>
      </w:r>
      <w:r>
        <w:rPr/>
        <w:tab/>
        <w:t>vlt. hohe Beamte, Minister</w:t>
      </w:r>
    </w:p>
  </w:footnote>
  <w:footnote w:id="3682">
    <w:p>
      <w:pPr>
        <w:pStyle w:val="Funote"/>
        <w:rPr/>
      </w:pPr>
      <w:r>
        <w:rPr>
          <w:rStyle w:val="Funotenzeichen"/>
        </w:rPr>
        <w:footnoteRef/>
      </w:r>
      <w:r>
        <w:rPr/>
        <w:tab/>
        <w:t>Partizip</w:t>
      </w:r>
    </w:p>
  </w:footnote>
  <w:footnote w:id="3683">
    <w:p>
      <w:pPr>
        <w:pStyle w:val="Funote"/>
        <w:rPr/>
      </w:pPr>
      <w:r>
        <w:rPr>
          <w:rStyle w:val="Funotenzeichen"/>
        </w:rPr>
        <w:footnoteRef/>
      </w:r>
      <w:r>
        <w:rPr/>
        <w:tab/>
        <w:t>Partizip, vielleicht besser kausal "weil"</w:t>
      </w:r>
    </w:p>
  </w:footnote>
  <w:footnote w:id="3684">
    <w:p>
      <w:pPr>
        <w:pStyle w:val="Funote"/>
        <w:rPr/>
      </w:pPr>
      <w:r>
        <w:rPr>
          <w:rStyle w:val="Funotenzeichen"/>
        </w:rPr>
        <w:footnoteRef/>
      </w:r>
      <w:r>
        <w:rPr/>
        <w:tab/>
        <w:t>Partizip</w:t>
      </w:r>
    </w:p>
  </w:footnote>
  <w:footnote w:id="3685">
    <w:p>
      <w:pPr>
        <w:pStyle w:val="Funote"/>
        <w:rPr/>
      </w:pPr>
      <w:r>
        <w:rPr>
          <w:rStyle w:val="Funotenzeichen"/>
        </w:rPr>
        <w:footnoteRef/>
      </w:r>
      <w:r>
        <w:rPr/>
        <w:tab/>
        <w:t>Partizip</w:t>
      </w:r>
    </w:p>
  </w:footnote>
  <w:footnote w:id="3686">
    <w:p>
      <w:pPr>
        <w:pStyle w:val="Funote"/>
        <w:rPr/>
      </w:pPr>
      <w:r>
        <w:rPr>
          <w:rStyle w:val="Funotenzeichen"/>
        </w:rPr>
        <w:footnoteRef/>
      </w:r>
      <w:r>
        <w:rPr/>
        <w:tab/>
        <w:t>Partizip</w:t>
      </w:r>
    </w:p>
  </w:footnote>
  <w:footnote w:id="3687">
    <w:p>
      <w:pPr>
        <w:pStyle w:val="Funote"/>
        <w:rPr/>
      </w:pPr>
      <w:r>
        <w:rPr>
          <w:rStyle w:val="Funotenzeichen"/>
        </w:rPr>
        <w:footnoteRef/>
      </w:r>
      <w:r>
        <w:rPr/>
        <w:tab/>
        <w:t>Partizip</w:t>
      </w:r>
    </w:p>
  </w:footnote>
  <w:footnote w:id="3688">
    <w:p>
      <w:pPr>
        <w:pStyle w:val="Funote"/>
        <w:rPr/>
      </w:pPr>
      <w:r>
        <w:rPr>
          <w:rStyle w:val="Funotenzeichen"/>
        </w:rPr>
        <w:footnoteRef/>
      </w:r>
      <w:r>
        <w:rPr/>
        <w:tab/>
        <w:t>Parallel zu Vers 26</w:t>
      </w:r>
    </w:p>
  </w:footnote>
  <w:footnote w:id="3689">
    <w:p>
      <w:pPr>
        <w:pStyle w:val="Funote"/>
        <w:rPr/>
      </w:pPr>
      <w:r>
        <w:rPr>
          <w:rStyle w:val="Funotenzeichen"/>
        </w:rPr>
        <w:footnoteRef/>
      </w:r>
      <w:r>
        <w:rPr/>
        <w:tab/>
        <w:t>Partizip</w:t>
      </w:r>
    </w:p>
  </w:footnote>
  <w:footnote w:id="3690">
    <w:p>
      <w:pPr>
        <w:pStyle w:val="Funote"/>
        <w:rPr/>
      </w:pPr>
      <w:r>
        <w:rPr>
          <w:rStyle w:val="Funotenzeichen"/>
        </w:rPr>
        <w:footnoteRef/>
      </w:r>
      <w:r>
        <w:rPr/>
        <w:tab/>
        <w:t>Partizip</w:t>
      </w:r>
    </w:p>
  </w:footnote>
  <w:footnote w:id="3691">
    <w:p>
      <w:pPr>
        <w:pStyle w:val="Funote"/>
        <w:rPr/>
      </w:pPr>
      <w:r>
        <w:rPr>
          <w:rStyle w:val="Funotenzeichen"/>
        </w:rPr>
        <w:footnoteRef/>
      </w:r>
      <w:r>
        <w:rPr/>
        <w:tab/>
        <w:t>Partizip</w:t>
      </w:r>
    </w:p>
  </w:footnote>
  <w:footnote w:id="3692">
    <w:p>
      <w:pPr>
        <w:pStyle w:val="Funote"/>
        <w:rPr/>
      </w:pPr>
      <w:r>
        <w:rPr>
          <w:rStyle w:val="Funotenzeichen"/>
        </w:rPr>
        <w:footnoteRef/>
      </w:r>
      <w:r>
        <w:rPr/>
        <w:tab/>
        <w:t>Partizip</w:t>
      </w:r>
    </w:p>
  </w:footnote>
  <w:footnote w:id="3693">
    <w:p>
      <w:pPr>
        <w:pStyle w:val="Funote"/>
        <w:rPr/>
      </w:pPr>
      <w:r>
        <w:rPr>
          <w:rStyle w:val="Funotenzeichen"/>
        </w:rPr>
        <w:footnoteRef/>
      </w:r>
      <w:r>
        <w:rPr/>
        <w:tab/>
        <w:t>Partizip</w:t>
      </w:r>
    </w:p>
  </w:footnote>
  <w:footnote w:id="3694">
    <w:p>
      <w:pPr>
        <w:pStyle w:val="Funote"/>
        <w:rPr/>
      </w:pPr>
      <w:r>
        <w:rPr>
          <w:rStyle w:val="Funotenzeichen"/>
        </w:rPr>
        <w:footnoteRef/>
      </w:r>
      <w:r>
        <w:rPr/>
        <w:tab/>
        <w:t>Der Gedanke aus Vers 23-27 wird fortgeführt. U.Luz erklärt in EKK I/3, S. 205 überzeugend, dass beide Periskopen einen zusammenhängenden Text bilden</w:t>
      </w:r>
    </w:p>
  </w:footnote>
  <w:footnote w:id="3695">
    <w:p>
      <w:pPr>
        <w:pStyle w:val="Funote"/>
        <w:rPr/>
      </w:pPr>
      <w:r>
        <w:rPr>
          <w:rStyle w:val="Funotenzeichen"/>
        </w:rPr>
        <w:footnoteRef/>
      </w:r>
      <w:r>
        <w:rPr/>
        <w:tab/>
        <w:t>wie aus dem Zusammenhang deutlich wird</w:t>
      </w:r>
    </w:p>
  </w:footnote>
  <w:footnote w:id="3696">
    <w:p>
      <w:pPr>
        <w:pStyle w:val="Funote"/>
        <w:rPr/>
      </w:pPr>
      <w:r>
        <w:rPr>
          <w:rStyle w:val="Funotenzeichen"/>
        </w:rPr>
        <w:footnoteRef/>
      </w:r>
      <w:r>
        <w:rPr/>
        <w:tab/>
        <w:t>Partizip Präsens, beiordnend aufgelöst. Das Verb 'proserchomai' hat die selbe Doppeldeutigkeit wie das dt. 'herantreten', das sowohl die Bewegung wie die Bitte meint.</w:t>
      </w:r>
    </w:p>
  </w:footnote>
  <w:footnote w:id="3697">
    <w:p>
      <w:pPr>
        <w:pStyle w:val="Funote"/>
        <w:rPr/>
      </w:pPr>
      <w:r>
        <w:rPr>
          <w:rStyle w:val="Funotenzeichen"/>
        </w:rPr>
        <w:footnoteRef/>
      </w:r>
      <w:r>
        <w:rPr/>
        <w:tab/>
        <w:t>Partizip Präsens</w:t>
      </w:r>
    </w:p>
  </w:footnote>
  <w:footnote w:id="3698">
    <w:p>
      <w:pPr>
        <w:pStyle w:val="Funote"/>
        <w:rPr/>
      </w:pPr>
      <w:r>
        <w:rPr>
          <w:rStyle w:val="Funotenzeichen"/>
        </w:rPr>
        <w:footnoteRef/>
      </w:r>
      <w:r>
        <w:rPr/>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699">
    <w:p>
      <w:pPr>
        <w:pStyle w:val="Funote"/>
        <w:rPr/>
      </w:pPr>
      <w:r>
        <w:rPr>
          <w:rStyle w:val="Funotenzeichen"/>
        </w:rPr>
        <w:footnoteRef/>
      </w:r>
      <w:r>
        <w:rPr/>
        <w:tab/>
        <w:t>Partizip Präsens, beiordnend aufgelöst</w:t>
      </w:r>
    </w:p>
  </w:footnote>
  <w:footnote w:id="3700">
    <w:p>
      <w:pPr>
        <w:pStyle w:val="Funote"/>
        <w:rPr/>
      </w:pPr>
      <w:r>
        <w:rPr>
          <w:rStyle w:val="Funotenzeichen"/>
        </w:rPr>
        <w:footnoteRef/>
      </w:r>
      <w:r>
        <w:rPr/>
        <w:tab/>
        <w:t>Partizip Präsens</w:t>
      </w:r>
    </w:p>
  </w:footnote>
  <w:footnote w:id="3701">
    <w:p>
      <w:pPr>
        <w:pStyle w:val="Funote"/>
        <w:rPr/>
      </w:pPr>
      <w:r>
        <w:rPr>
          <w:rStyle w:val="Funotenzeichen"/>
        </w:rPr>
        <w:footnoteRef/>
      </w:r>
      <w:r>
        <w:rPr/>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702">
    <w:p>
      <w:pPr>
        <w:pStyle w:val="Funote"/>
        <w:rPr/>
      </w:pPr>
      <w:r>
        <w:rPr>
          <w:rStyle w:val="Funotenzeichen"/>
        </w:rPr>
        <w:footnoteRef/>
      </w:r>
      <w:r>
        <w:rPr/>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703">
    <w:p>
      <w:pPr>
        <w:pStyle w:val="Funote"/>
        <w:rPr/>
      </w:pPr>
      <w:r>
        <w:rPr>
          <w:rStyle w:val="Funotenzeichen"/>
        </w:rPr>
        <w:footnoteRef/>
      </w:r>
      <w:r>
        <w:rPr/>
        <w:tab/>
        <w:t>'oti zitativum'</w:t>
      </w:r>
    </w:p>
  </w:footnote>
  <w:footnote w:id="3704">
    <w:p>
      <w:pPr>
        <w:pStyle w:val="Funote"/>
        <w:rPr/>
      </w:pPr>
      <w:r>
        <w:rPr>
          <w:rStyle w:val="Funotenzeichen"/>
        </w:rPr>
        <w:footnoteRef/>
      </w:r>
      <w:r>
        <w:rPr/>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705">
    <w:p>
      <w:pPr>
        <w:pStyle w:val="Funote"/>
        <w:rPr/>
      </w:pPr>
      <w:r>
        <w:rPr>
          <w:rStyle w:val="Funotenzeichen"/>
        </w:rPr>
        <w:footnoteRef/>
      </w:r>
      <w:r>
        <w:rPr/>
        <w:tab/>
        <w:t>Partizip Präs., konzessiv aufgelöst</w:t>
      </w:r>
    </w:p>
  </w:footnote>
  <w:footnote w:id="3706">
    <w:p>
      <w:pPr>
        <w:pStyle w:val="Funote"/>
        <w:rPr/>
      </w:pPr>
      <w:r>
        <w:rPr>
          <w:rStyle w:val="Funotenzeichen"/>
        </w:rPr>
        <w:footnoteRef/>
      </w:r>
      <w:r>
        <w:rPr/>
        <w:tab/>
        <w:t>ACI</w:t>
      </w:r>
    </w:p>
  </w:footnote>
  <w:footnote w:id="3707">
    <w:p>
      <w:pPr>
        <w:pStyle w:val="Funote"/>
        <w:rPr/>
      </w:pPr>
      <w:r>
        <w:rPr>
          <w:rStyle w:val="Funotenzeichen"/>
        </w:rPr>
        <w:footnoteRef/>
      </w:r>
      <w:r>
        <w:rPr/>
        <w:tab/>
        <w:t xml:space="preserve">Ptz. Präs. akt., modal aufgelöst. </w:t>
      </w:r>
    </w:p>
  </w:footnote>
  <w:footnote w:id="3708">
    <w:p>
      <w:pPr>
        <w:pStyle w:val="Funote"/>
        <w:rPr/>
      </w:pPr>
      <w:r>
        <w:rPr>
          <w:rStyle w:val="Funotenzeichen"/>
        </w:rPr>
        <w:footnoteRef/>
      </w:r>
      <w:r>
        <w:rPr/>
        <w:tab/>
        <w:t xml:space="preserve">Ind. Aor. akt. von </w:t>
      </w:r>
      <w:r>
        <w:rPr>
          <w:lang w:val="el-GR"/>
        </w:rPr>
        <w:t>καθίζω</w:t>
      </w:r>
      <w:r>
        <w:rPr/>
        <w:t xml:space="preserve">. </w:t>
      </w:r>
    </w:p>
  </w:footnote>
  <w:footnote w:id="3709">
    <w:p>
      <w:pPr>
        <w:pStyle w:val="Funote"/>
        <w:rPr/>
      </w:pPr>
      <w:r>
        <w:rPr>
          <w:rStyle w:val="Funotenzeichen"/>
        </w:rPr>
        <w:footnoteRef/>
      </w:r>
      <w:r>
        <w:rPr/>
        <w:tab/>
        <w:t>Als Zusatz ist belegt: „und schwer zu ertragende“ (</w:t>
      </w:r>
      <w:r>
        <w:rPr>
          <w:lang w:val="el-GR"/>
        </w:rPr>
        <w:t>καὶ δυσβάστακτα</w:t>
      </w:r>
      <w:r>
        <w:rPr/>
        <w:t>)</w:t>
      </w:r>
    </w:p>
  </w:footnote>
  <w:footnote w:id="3710">
    <w:p>
      <w:pPr>
        <w:pStyle w:val="Funote"/>
        <w:rPr/>
      </w:pPr>
      <w:r>
        <w:rPr>
          <w:rStyle w:val="Funotenzeichen"/>
        </w:rPr>
        <w:footnoteRef/>
      </w:r>
      <w:r>
        <w:rPr/>
        <w:tab/>
        <w:t>Also die Lasten.</w:t>
      </w:r>
    </w:p>
  </w:footnote>
  <w:footnote w:id="3711">
    <w:p>
      <w:pPr>
        <w:pStyle w:val="Funote"/>
        <w:rPr/>
      </w:pPr>
      <w:r>
        <w:rPr>
          <w:rStyle w:val="Funotenzeichen"/>
        </w:rPr>
        <w:footnoteRef/>
      </w:r>
      <w:r>
        <w:rPr/>
        <w:tab/>
        <w:t>Als Finalsatz übersetztes Partizip.</w:t>
      </w:r>
    </w:p>
  </w:footnote>
  <w:footnote w:id="3712">
    <w:p>
      <w:pPr>
        <w:pStyle w:val="Funote"/>
        <w:rPr/>
      </w:pPr>
      <w:r>
        <w:rPr>
          <w:rStyle w:val="Funotenzeichen"/>
        </w:rPr>
        <w:footnoteRef/>
      </w:r>
      <w:r>
        <w:rPr/>
        <w:tab/>
        <w:t>Parallel zum zweiten Versteil steht hier der Plural.</w:t>
      </w:r>
    </w:p>
  </w:footnote>
  <w:footnote w:id="3713">
    <w:p>
      <w:pPr>
        <w:pStyle w:val="Funote"/>
        <w:rPr/>
      </w:pPr>
      <w:r>
        <w:rPr>
          <w:rStyle w:val="Funotenzeichen"/>
        </w:rPr>
        <w:footnoteRef/>
      </w:r>
      <w:r>
        <w:rPr/>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714">
    <w:p>
      <w:pPr>
        <w:pStyle w:val="Funote"/>
        <w:rPr/>
      </w:pPr>
      <w:r>
        <w:rPr>
          <w:rStyle w:val="Funotenzeichen"/>
        </w:rPr>
        <w:footnoteRef/>
      </w:r>
      <w:r>
        <w:rPr/>
        <w:tab/>
        <w:t xml:space="preserve">Auch: für einen Rabbi (Meister, Lehrer) gehalten zu werden. Im Griechischen steht </w:t>
      </w:r>
      <w:r>
        <w:rPr>
          <w:lang w:val="el-GR"/>
        </w:rPr>
        <w:t>ῥαββί</w:t>
      </w:r>
      <w:r>
        <w:rPr/>
        <w:t>.</w:t>
      </w:r>
    </w:p>
  </w:footnote>
  <w:footnote w:id="3715">
    <w:p>
      <w:pPr>
        <w:pStyle w:val="Funote"/>
        <w:rPr>
          <w:lang w:val="el-GR"/>
        </w:rPr>
      </w:pPr>
      <w:r>
        <w:rPr>
          <w:rStyle w:val="Funotenzeichen"/>
        </w:rPr>
        <w:footnoteRef/>
      </w:r>
      <w:r>
        <w:rPr>
          <w:lang w:val="el-GR"/>
        </w:rPr>
        <w:tab/>
        <w:t>ῥαββί</w:t>
      </w:r>
    </w:p>
  </w:footnote>
  <w:footnote w:id="3716">
    <w:p>
      <w:pPr>
        <w:pStyle w:val="Funote"/>
        <w:rPr>
          <w:lang w:val="el-GR"/>
        </w:rPr>
      </w:pPr>
      <w:r>
        <w:rPr>
          <w:rStyle w:val="Funotenzeichen"/>
        </w:rPr>
        <w:footnoteRef/>
      </w:r>
      <w:r>
        <w:rPr>
          <w:lang w:val="el-GR"/>
        </w:rPr>
        <w:tab/>
        <w:t>διδάσκαλος</w:t>
      </w:r>
    </w:p>
  </w:footnote>
  <w:footnote w:id="3717">
    <w:p>
      <w:pPr>
        <w:pStyle w:val="Funote"/>
        <w:rPr>
          <w:lang w:val="el-GR"/>
        </w:rPr>
      </w:pPr>
      <w:r>
        <w:rPr>
          <w:rStyle w:val="Funotenzeichen"/>
        </w:rPr>
        <w:footnoteRef/>
      </w:r>
      <w:r>
        <w:rPr>
          <w:lang w:val="el-GR"/>
        </w:rPr>
        <w:tab/>
        <w:t>καθηγηταί</w:t>
      </w:r>
    </w:p>
  </w:footnote>
  <w:footnote w:id="3718">
    <w:p>
      <w:pPr>
        <w:pStyle w:val="Funote"/>
        <w:rPr/>
      </w:pPr>
      <w:r>
        <w:rPr>
          <w:rStyle w:val="Funotenzeichen"/>
        </w:rPr>
        <w:footnoteRef/>
      </w:r>
      <w:r>
        <w:rPr/>
        <w:tab/>
        <w:t>Alle Verben stehen im Futur.</w:t>
      </w:r>
    </w:p>
  </w:footnote>
  <w:footnote w:id="3719">
    <w:p>
      <w:pPr>
        <w:pStyle w:val="Funote"/>
        <w:rPr/>
      </w:pPr>
      <w:r>
        <w:rPr>
          <w:rStyle w:val="Funotenzeichen"/>
        </w:rPr>
        <w:footnoteRef/>
      </w:r>
      <w:r>
        <w:rPr/>
        <w:tab/>
        <w:t>Vers 14 ist erst in späteren Textzeugen zu finden.</w:t>
      </w:r>
    </w:p>
  </w:footnote>
  <w:footnote w:id="3720">
    <w:p>
      <w:pPr>
        <w:pStyle w:val="Funote"/>
        <w:rPr>
          <w:lang w:val="el-GR"/>
        </w:rPr>
      </w:pPr>
      <w:r>
        <w:rPr>
          <w:rStyle w:val="Funotenzeichen"/>
        </w:rPr>
        <w:footnoteRef/>
      </w:r>
      <w:r>
        <w:rPr>
          <w:lang w:val="el-GR"/>
        </w:rPr>
        <w:tab/>
        <w:t>ὁδηγοὶ</w:t>
      </w:r>
    </w:p>
  </w:footnote>
  <w:footnote w:id="3721">
    <w:p>
      <w:pPr>
        <w:pStyle w:val="Funote"/>
        <w:rPr/>
      </w:pPr>
      <w:r>
        <w:rPr>
          <w:rStyle w:val="Funotenzeichen"/>
        </w:rPr>
        <w:footnoteRef/>
      </w:r>
      <w:r>
        <w:rPr/>
        <w:tab/>
        <w:t>D.h. zu welchem Zeitpunkt der Nachtwache oder zu welcher Stunde der Nacht.</w:t>
      </w:r>
    </w:p>
  </w:footnote>
  <w:footnote w:id="3722">
    <w:p>
      <w:pPr>
        <w:pStyle w:val="Funote"/>
        <w:rPr/>
      </w:pPr>
      <w:r>
        <w:rPr>
          <w:rStyle w:val="Funotenzeichen"/>
        </w:rPr>
        <w:footnoteRef/>
      </w:r>
      <w:r>
        <w:rPr/>
        <w:tab/>
        <w:t>Wörtl. „um zu antworten (Inf.) wird er sagen“, ähnlich wie das hebräische</w:t>
      </w:r>
      <w:r>
        <w:rPr>
          <w:rtl w:val="true"/>
          <w:lang w:bidi="he-IL"/>
        </w:rPr>
        <w:t>לֵאמֹר</w:t>
      </w:r>
    </w:p>
  </w:footnote>
  <w:footnote w:id="3723">
    <w:p>
      <w:pPr>
        <w:pStyle w:val="Funote"/>
        <w:rPr/>
      </w:pPr>
      <w:r>
        <w:rPr>
          <w:rStyle w:val="Funotenzeichen"/>
        </w:rPr>
        <w:footnoteRef/>
      </w:r>
      <w:r>
        <w:rPr/>
        <w:tab/>
        <w:t>[Status: Zuverlässig]</w:t>
      </w:r>
    </w:p>
  </w:footnote>
  <w:footnote w:id="3724">
    <w:p>
      <w:pPr>
        <w:pStyle w:val="Funote"/>
        <w:rPr/>
      </w:pPr>
      <w:r>
        <w:rPr>
          <w:rStyle w:val="Funotenzeichen"/>
        </w:rPr>
        <w:footnoteRef/>
      </w:r>
      <w:r>
        <w:rPr/>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725">
    <w:p>
      <w:pPr>
        <w:pStyle w:val="Funote"/>
        <w:rPr/>
      </w:pPr>
      <w:r>
        <w:rPr>
          <w:rStyle w:val="Funotenzeichen"/>
        </w:rPr>
        <w:footnoteRef/>
      </w:r>
      <w:r>
        <w:rPr/>
        <w:tab/>
        <w:t xml:space="preserve">Die Formulierung </w:t>
      </w:r>
      <w:r>
        <w:rPr>
          <w:lang w:val="el-GR"/>
        </w:rPr>
        <w:t>ἄγγελος κύριου</w:t>
      </w:r>
      <w:r>
        <w:rPr/>
        <w:t xml:space="preserve"> („Bote des Herrn“) bezeichnet in der Septuaginta Gottes Engel (vgl. </w:t>
      </w:r>
      <w:hyperlink r:id="rId254">
        <w:r>
          <w:rPr>
            <w:rStyle w:val="Internetverknpfung"/>
          </w:rPr>
          <w:t>Exodus 3</w:t>
        </w:r>
      </w:hyperlink>
      <w:r>
        <w:rPr/>
        <w:t xml:space="preserve"> und </w:t>
      </w:r>
      <w:hyperlink r:id="rId255">
        <w:r>
          <w:rPr>
            <w:rStyle w:val="Internetverknpfung"/>
          </w:rPr>
          <w:t>Richter 6</w:t>
        </w:r>
      </w:hyperlink>
      <w:r>
        <w:rPr/>
        <w:t>). Hier im Neuen Testament bezieht sich „der Herr“ gleichzeitig auch auf Jesus.</w:t>
      </w:r>
    </w:p>
  </w:footnote>
  <w:footnote w:id="3726">
    <w:p>
      <w:pPr>
        <w:pStyle w:val="Funote"/>
        <w:rPr/>
      </w:pPr>
      <w:r>
        <w:rPr>
          <w:rStyle w:val="Funotenzeichen"/>
        </w:rPr>
        <w:footnoteRef/>
      </w:r>
      <w:r>
        <w:rPr/>
        <w:tab/>
        <w:t>Partizipien Aorist Aktiv</w:t>
      </w:r>
    </w:p>
  </w:footnote>
  <w:footnote w:id="3727">
    <w:p>
      <w:pPr>
        <w:pStyle w:val="Funote"/>
        <w:rPr/>
      </w:pPr>
      <w:r>
        <w:rPr>
          <w:rStyle w:val="Funotenzeichen"/>
        </w:rPr>
        <w:footnoteRef/>
      </w:r>
      <w:r>
        <w:rPr/>
        <w:tab/>
        <w:t>Einige Handschriften ergänzen: „vom Eingang“ oder „vom Eingang des Grabes“.</w:t>
      </w:r>
    </w:p>
  </w:footnote>
  <w:footnote w:id="3728">
    <w:p>
      <w:pPr>
        <w:pStyle w:val="Funote"/>
        <w:rPr/>
      </w:pPr>
      <w:r>
        <w:rPr>
          <w:rStyle w:val="Funotenzeichen"/>
        </w:rPr>
        <w:footnoteRef/>
      </w:r>
      <w:r>
        <w:rPr/>
        <w:tab/>
        <w:t>Partizip Aorist Deponens</w:t>
      </w:r>
    </w:p>
  </w:footnote>
  <w:footnote w:id="3729">
    <w:p>
      <w:pPr>
        <w:pStyle w:val="Funote"/>
        <w:rPr/>
      </w:pPr>
      <w:r>
        <w:rPr>
          <w:rStyle w:val="Funotenzeichen"/>
        </w:rPr>
        <w:footnoteRef/>
      </w:r>
      <w:r>
        <w:rPr/>
        <w:tab/>
        <w:t>Das »ihr« ist sprachlich betont. (Siehe die Übersetzung bei U.Luz 2002, 395).</w:t>
      </w:r>
    </w:p>
  </w:footnote>
  <w:footnote w:id="3730">
    <w:p>
      <w:pPr>
        <w:pStyle w:val="Funote"/>
        <w:rPr/>
      </w:pPr>
      <w:r>
        <w:rPr>
          <w:rStyle w:val="Funotenzeichen"/>
        </w:rPr>
        <w:footnoteRef/>
      </w:r>
      <w:r>
        <w:rPr/>
        <w:tab/>
        <w:t>Einige Handschriften: „wo der Herr“.</w:t>
      </w:r>
    </w:p>
  </w:footnote>
  <w:footnote w:id="3731">
    <w:p>
      <w:pPr>
        <w:pStyle w:val="Funote"/>
        <w:rPr/>
      </w:pPr>
      <w:r>
        <w:rPr>
          <w:rStyle w:val="Funotenzeichen"/>
        </w:rPr>
        <w:footnoteRef/>
      </w:r>
      <w:r>
        <w:rPr/>
        <w:tab/>
        <w:t>Partizip Aorist Deponens</w:t>
      </w:r>
    </w:p>
  </w:footnote>
  <w:footnote w:id="3732">
    <w:p>
      <w:pPr>
        <w:pStyle w:val="Funote"/>
        <w:rPr/>
      </w:pPr>
      <w:r>
        <w:rPr>
          <w:rStyle w:val="Funotenzeichen"/>
        </w:rPr>
        <w:footnoteRef/>
      </w:r>
      <w:hyperlink r:id="rId256">
        <w:r>
          <w:rPr>
            <w:rStyle w:val="Internetverknpfung"/>
          </w:rPr>
          <w:tab/>
          <w:t>Generisches Maskulinum</w:t>
        </w:r>
      </w:hyperlink>
      <w:r>
        <w:rPr/>
        <w:t>.</w:t>
      </w:r>
    </w:p>
  </w:footnote>
  <w:footnote w:id="3733">
    <w:p>
      <w:pPr>
        <w:pStyle w:val="Funote"/>
        <w:rPr/>
      </w:pPr>
      <w:r>
        <w:rPr>
          <w:rStyle w:val="Funotenzeichen"/>
        </w:rPr>
        <w:footnoteRef/>
      </w:r>
      <w:r>
        <w:rPr/>
        <w:tab/>
        <w:t>Partizip Aorist Aktiv</w:t>
      </w:r>
    </w:p>
  </w:footnote>
  <w:footnote w:id="3734">
    <w:p>
      <w:pPr>
        <w:pStyle w:val="Funote"/>
        <w:rPr/>
      </w:pPr>
      <w:r>
        <w:rPr>
          <w:rStyle w:val="Funotenzeichen"/>
        </w:rPr>
        <w:footnoteRef/>
      </w:r>
      <w:r>
        <w:rPr/>
        <w:tab/>
        <w:t>Viele Handschriften: „hinaus aus dem Grab“. Bei dem vermutlich ursprünglichen „hinaus“ bleibt offen, ob die Frauen ins Grab gehen oder nicht. (Vgl. U.Luz 2002, 395, Fußnote 5.)</w:t>
      </w:r>
    </w:p>
  </w:footnote>
  <w:footnote w:id="3735">
    <w:p>
      <w:pPr>
        <w:pStyle w:val="Funote"/>
        <w:rPr/>
      </w:pPr>
      <w:r>
        <w:rPr>
          <w:rStyle w:val="Funotenzeichen"/>
        </w:rPr>
        <w:footnoteRef/>
      </w:r>
      <w:r>
        <w:rPr/>
        <w:tab/>
        <w:t>Die Bibel in gerechter Sprache übersetzt: „mit Ehrfurcht“. Gegen diese Deutung spricht die Wortverwandtschaft mit „Fürchtet euch nicht“ (Vers 5).</w:t>
      </w:r>
    </w:p>
  </w:footnote>
  <w:footnote w:id="3736">
    <w:p>
      <w:pPr>
        <w:pStyle w:val="Funote"/>
        <w:rPr/>
      </w:pPr>
      <w:r>
        <w:rPr>
          <w:rStyle w:val="Funotenzeichen"/>
        </w:rPr>
        <w:footnoteRef/>
      </w:r>
      <w:r>
        <w:rPr/>
        <w:tab/>
        <w:t>Viele Handschriften ergänzen: „als (während, weil) sie gingen, um es seinen Jüngern (Jüngerinnen) zu berichten“.</w:t>
      </w:r>
    </w:p>
  </w:footnote>
  <w:footnote w:id="3737">
    <w:p>
      <w:pPr>
        <w:pStyle w:val="Funote"/>
        <w:rPr/>
      </w:pPr>
      <w:r>
        <w:rPr>
          <w:rStyle w:val="Funotenzeichen"/>
        </w:rPr>
        <w:footnoteRef/>
      </w:r>
      <w:r>
        <w:rPr/>
        <w:tab/>
        <w:t>Partizip Präsens Aktiv</w:t>
      </w:r>
    </w:p>
  </w:footnote>
  <w:footnote w:id="3738">
    <w:p>
      <w:pPr>
        <w:pStyle w:val="Funote"/>
        <w:rPr/>
      </w:pPr>
      <w:r>
        <w:rPr>
          <w:rStyle w:val="Funotenzeichen"/>
        </w:rPr>
        <w:footnoteRef/>
      </w:r>
      <w:r>
        <w:rPr/>
        <w:tab/>
        <w:t>„</w:t>
      </w:r>
      <w:r>
        <w:rPr/>
        <w:t>Freut euch“ ist eine griechische Grußformel (Bauer/Aland).</w:t>
      </w:r>
    </w:p>
  </w:footnote>
  <w:footnote w:id="3739">
    <w:p>
      <w:pPr>
        <w:pStyle w:val="Funote"/>
        <w:rPr/>
      </w:pPr>
      <w:r>
        <w:rPr>
          <w:rStyle w:val="Funotenzeichen"/>
        </w:rPr>
        <w:footnoteRef/>
      </w:r>
      <w:r>
        <w:rPr/>
        <w:tab/>
        <w:t>Partizip Aorist Aktiv</w:t>
      </w:r>
    </w:p>
  </w:footnote>
  <w:footnote w:id="3740">
    <w:p>
      <w:pPr>
        <w:pStyle w:val="Funote"/>
        <w:rPr/>
      </w:pPr>
      <w:r>
        <w:rPr>
          <w:rStyle w:val="Funotenzeichen"/>
        </w:rPr>
        <w:footnoteRef/>
      </w:r>
      <w:r>
        <w:rPr/>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741">
    <w:p>
      <w:pPr>
        <w:pStyle w:val="Funote"/>
        <w:rPr/>
      </w:pPr>
      <w:r>
        <w:rPr>
          <w:rStyle w:val="Funotenzeichen"/>
        </w:rPr>
        <w:footnoteRef/>
      </w:r>
      <w:r>
        <w:rPr/>
        <w:tab/>
        <w:t xml:space="preserve">Partizip Präsens Deponens im </w:t>
      </w:r>
      <w:hyperlink r:id="rId257">
        <w:r>
          <w:rPr>
            <w:rStyle w:val="Internetverknpfung"/>
          </w:rPr>
          <w:t>Genitivus absolutus</w:t>
        </w:r>
      </w:hyperlink>
    </w:p>
  </w:footnote>
  <w:footnote w:id="3742">
    <w:p>
      <w:pPr>
        <w:pStyle w:val="Funote"/>
        <w:rPr/>
      </w:pPr>
      <w:r>
        <w:rPr>
          <w:rStyle w:val="Funotenzeichen"/>
        </w:rPr>
        <w:footnoteRef/>
      </w:r>
      <w:r>
        <w:rPr/>
        <w:tab/>
        <w:t>Partizip Aorist Aktiv</w:t>
      </w:r>
    </w:p>
  </w:footnote>
  <w:footnote w:id="3743">
    <w:p>
      <w:pPr>
        <w:pStyle w:val="Funote"/>
        <w:rPr/>
      </w:pPr>
      <w:r>
        <w:rPr>
          <w:rStyle w:val="Funotenzeichen"/>
        </w:rPr>
        <w:footnoteRef/>
      </w:r>
      <w:r>
        <w:rPr/>
        <w:tab/>
        <w:t>Partizipien Aorist Passiv und Aorist Aktiv</w:t>
      </w:r>
    </w:p>
  </w:footnote>
  <w:footnote w:id="3744">
    <w:p>
      <w:pPr>
        <w:pStyle w:val="Funote"/>
        <w:rPr/>
      </w:pPr>
      <w:r>
        <w:rPr>
          <w:rStyle w:val="Funotenzeichen"/>
        </w:rPr>
        <w:footnoteRef/>
      </w:r>
      <w:r>
        <w:rPr/>
        <w:tab/>
        <w:t>Partizip Präsens Aktiv</w:t>
      </w:r>
    </w:p>
  </w:footnote>
  <w:footnote w:id="3745">
    <w:p>
      <w:pPr>
        <w:pStyle w:val="Funote"/>
        <w:rPr/>
      </w:pPr>
      <w:r>
        <w:rPr>
          <w:rStyle w:val="Funotenzeichen"/>
        </w:rPr>
        <w:footnoteRef/>
      </w:r>
      <w:hyperlink r:id="rId258">
        <w:r>
          <w:rPr>
            <w:rStyle w:val="Internetverknpfung"/>
          </w:rPr>
          <w:tab/>
          <w:t>Ὅτι recitativum"&gt;</w:t>
        </w:r>
        <w:r>
          <w:rPr>
            <w:rStyle w:val="Internetverknpfung"/>
            <w:lang w:val="el-GR"/>
          </w:rPr>
          <w:t>Ὅτι</w:t>
        </w:r>
        <w:r>
          <w:rPr>
            <w:rStyle w:val="Internetverknpfung"/>
          </w:rPr>
          <w:t xml:space="preserve"> recitativum</w:t>
        </w:r>
      </w:hyperlink>
    </w:p>
  </w:footnote>
  <w:footnote w:id="3746">
    <w:p>
      <w:pPr>
        <w:pStyle w:val="Funote"/>
        <w:rPr/>
      </w:pPr>
      <w:r>
        <w:rPr>
          <w:rStyle w:val="Funotenzeichen"/>
        </w:rPr>
        <w:footnoteRef/>
      </w:r>
      <w:r>
        <w:rPr/>
        <w:tab/>
        <w:t>Partizip Aorist Aktiv</w:t>
      </w:r>
    </w:p>
  </w:footnote>
  <w:footnote w:id="3747">
    <w:p>
      <w:pPr>
        <w:pStyle w:val="Funote"/>
        <w:rPr/>
      </w:pPr>
      <w:r>
        <w:rPr>
          <w:rStyle w:val="Funotenzeichen"/>
        </w:rPr>
        <w:footnoteRef/>
      </w:r>
      <w:r>
        <w:rPr/>
        <w:tab/>
        <w:t>Partizip Präsens Passiv</w:t>
      </w:r>
    </w:p>
  </w:footnote>
  <w:footnote w:id="3748">
    <w:p>
      <w:pPr>
        <w:pStyle w:val="Funote"/>
        <w:rPr/>
      </w:pPr>
      <w:r>
        <w:rPr>
          <w:rStyle w:val="Funotenzeichen"/>
        </w:rPr>
        <w:footnoteRef/>
      </w:r>
      <w:r>
        <w:rPr/>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749">
    <w:p>
      <w:pPr>
        <w:pStyle w:val="Funote"/>
        <w:rPr/>
      </w:pPr>
      <w:r>
        <w:rPr>
          <w:rStyle w:val="Funotenzeichen"/>
        </w:rPr>
        <w:footnoteRef/>
      </w:r>
      <w:r>
        <w:rPr/>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750">
    <w:p>
      <w:pPr>
        <w:pStyle w:val="Funote"/>
        <w:rPr/>
      </w:pPr>
      <w:r>
        <w:rPr>
          <w:rStyle w:val="Funotenzeichen"/>
        </w:rPr>
        <w:footnoteRef/>
      </w:r>
      <w:r>
        <w:rPr/>
        <w:tab/>
        <w:t>wörtlich: und euch sorgenfrei machen</w:t>
      </w:r>
    </w:p>
  </w:footnote>
  <w:footnote w:id="3751">
    <w:p>
      <w:pPr>
        <w:pStyle w:val="Funote"/>
        <w:rPr/>
      </w:pPr>
      <w:r>
        <w:rPr>
          <w:rStyle w:val="Funotenzeichen"/>
        </w:rPr>
        <w:footnoteRef/>
      </w:r>
      <w:r>
        <w:rPr/>
        <w:tab/>
        <w:t>Partizip Aorist Aktiv</w:t>
      </w:r>
    </w:p>
  </w:footnote>
  <w:footnote w:id="3752">
    <w:p>
      <w:pPr>
        <w:pStyle w:val="Funote"/>
        <w:rPr/>
      </w:pPr>
      <w:r>
        <w:rPr>
          <w:rStyle w:val="Funotenzeichen"/>
        </w:rPr>
        <w:footnoteRef/>
      </w:r>
      <w:r>
        <w:rPr/>
        <w:tab/>
        <w:t>andere Handschriften: erschien</w:t>
      </w:r>
    </w:p>
  </w:footnote>
  <w:footnote w:id="3753">
    <w:p>
      <w:pPr>
        <w:pStyle w:val="Funote"/>
        <w:rPr/>
      </w:pPr>
      <w:r>
        <w:rPr>
          <w:rStyle w:val="Funotenzeichen"/>
        </w:rPr>
        <w:footnoteRef/>
      </w:r>
      <w:r>
        <w:rPr/>
        <w:tab/>
        <w:t>Es handelt sich nicht um alle Juden, da im Text kein bestimmter Artikel steht (U.Luz 2002, 423–425).</w:t>
      </w:r>
    </w:p>
  </w:footnote>
  <w:footnote w:id="3754">
    <w:p>
      <w:pPr>
        <w:pStyle w:val="Funote"/>
        <w:rPr/>
      </w:pPr>
      <w:r>
        <w:rPr>
          <w:rStyle w:val="Funotenzeichen"/>
        </w:rPr>
        <w:footnoteRef/>
      </w:r>
      <w:r>
        <w:rPr/>
        <w:tab/>
        <w:t>Partizip Präsens Aktiv</w:t>
      </w:r>
    </w:p>
  </w:footnote>
  <w:footnote w:id="3755">
    <w:p>
      <w:pPr>
        <w:pStyle w:val="Funote"/>
        <w:rPr/>
      </w:pPr>
      <w:r>
        <w:rPr>
          <w:rStyle w:val="Funotenzeichen"/>
        </w:rPr>
        <w:footnoteRef/>
      </w:r>
      <w:r>
        <w:rPr/>
        <w:tab/>
        <w:t>Siehe Fußnote zu Vers 9.</w:t>
      </w:r>
    </w:p>
  </w:footnote>
  <w:footnote w:id="3756">
    <w:p>
      <w:pPr>
        <w:pStyle w:val="Funote"/>
        <w:rPr/>
      </w:pPr>
      <w:r>
        <w:rPr>
          <w:rStyle w:val="Funotenzeichen"/>
        </w:rPr>
        <w:footnoteRef/>
      </w:r>
      <w:r>
        <w:rPr/>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757">
    <w:p>
      <w:pPr>
        <w:pStyle w:val="Funote"/>
        <w:rPr/>
      </w:pPr>
      <w:r>
        <w:rPr>
          <w:rStyle w:val="Funotenzeichen"/>
        </w:rPr>
        <w:footnoteRef/>
      </w:r>
      <w:r>
        <w:rPr/>
        <w:tab/>
        <w:t>Partizip Präsens aktiv</w:t>
      </w:r>
    </w:p>
  </w:footnote>
  <w:footnote w:id="3758">
    <w:p>
      <w:pPr>
        <w:pStyle w:val="Funote"/>
        <w:rPr/>
      </w:pPr>
      <w:r>
        <w:rPr>
          <w:rStyle w:val="Funotenzeichen"/>
        </w:rPr>
        <w:footnoteRef/>
      </w:r>
      <w:hyperlink r:id="rId259">
        <w:r>
          <w:rPr>
            <w:rStyle w:val="Internetverknpfung"/>
          </w:rPr>
          <w:tab/>
          <w:t>Passivum divinum</w:t>
        </w:r>
      </w:hyperlink>
    </w:p>
  </w:footnote>
  <w:footnote w:id="3759">
    <w:p>
      <w:pPr>
        <w:pStyle w:val="Funote"/>
        <w:rPr/>
      </w:pPr>
      <w:r>
        <w:rPr>
          <w:rStyle w:val="Funotenzeichen"/>
        </w:rPr>
        <w:footnoteRef/>
      </w:r>
      <w:r>
        <w:rPr/>
        <w:tab/>
        <w:t>Der bestimmte Artikel fehlt in vielen wichtigen Handschriften.</w:t>
      </w:r>
    </w:p>
  </w:footnote>
  <w:footnote w:id="3760">
    <w:p>
      <w:pPr>
        <w:pStyle w:val="Funote"/>
        <w:rPr/>
      </w:pPr>
      <w:r>
        <w:rPr>
          <w:rStyle w:val="Funotenzeichen"/>
        </w:rPr>
        <w:footnoteRef/>
      </w:r>
      <w:r>
        <w:rPr/>
        <w:tab/>
        <w:t>Partizip Präsens aktiv</w:t>
      </w:r>
    </w:p>
  </w:footnote>
  <w:footnote w:id="3761">
    <w:p>
      <w:pPr>
        <w:pStyle w:val="Funote"/>
        <w:rPr/>
      </w:pPr>
      <w:r>
        <w:rPr>
          <w:rStyle w:val="Funotenzeichen"/>
        </w:rPr>
        <w:footnoteRef/>
      </w:r>
      <w:r>
        <w:rPr/>
        <w:tab/>
        <w:t>[Status: Sehr gut]</w:t>
      </w:r>
    </w:p>
  </w:footnote>
  <w:footnote w:id="3762">
    <w:p>
      <w:pPr>
        <w:pStyle w:val="Funote"/>
        <w:rPr/>
      </w:pPr>
      <w:r>
        <w:rPr>
          <w:rStyle w:val="Funotenzeichen"/>
        </w:rPr>
        <w:footnoteRef/>
      </w:r>
      <w:r>
        <w:rPr/>
        <w:tab/>
        <w:t xml:space="preserve">Das Wort Evangelium (gr. </w:t>
      </w:r>
      <w:r>
        <w:rPr>
          <w:lang w:val="el-GR"/>
        </w:rPr>
        <w:t>εὐαγγέλιον</w:t>
      </w:r>
      <w:r>
        <w:rPr/>
        <w:t>) steht hier noch nicht als literarische Bezeichnung, sondern für die christliche Heilsbotschaft von Jesus. frohe Botschaft von Jesus Christus Im Griechischen steht hier ein Genitiv, den man sowohl objektiv (ein Evangelium über Jesus / das von Jesus handelt) oder subjektiv (ein Evangelium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763">
    <w:p>
      <w:pPr>
        <w:pStyle w:val="Funote"/>
        <w:rPr/>
      </w:pPr>
      <w:r>
        <w:rPr>
          <w:rStyle w:val="Funotenzeichen"/>
        </w:rPr>
        <w:footnoteRef/>
      </w:r>
      <w:r>
        <w:rPr/>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w:t>
      </w:r>
    </w:p>
  </w:footnote>
  <w:footnote w:id="3764">
    <w:p>
      <w:pPr>
        <w:pStyle w:val="Funote"/>
        <w:rPr/>
      </w:pPr>
      <w:r>
        <w:rPr>
          <w:rStyle w:val="Funotenzeichen"/>
        </w:rPr>
        <w:footnoteRef/>
      </w:r>
      <w:r>
        <w:rPr/>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765">
    <w:p>
      <w:pPr>
        <w:pStyle w:val="Funote"/>
        <w:rPr/>
      </w:pPr>
      <w:r>
        <w:rPr>
          <w:rStyle w:val="Funotenzeichen"/>
        </w:rPr>
        <w:footnoteRef/>
      </w:r>
      <w:r>
        <w:rPr/>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766">
    <w:p>
      <w:pPr>
        <w:pStyle w:val="Funote"/>
        <w:rPr/>
      </w:pPr>
      <w:r>
        <w:rPr>
          <w:rStyle w:val="Funotenzeichen"/>
        </w:rPr>
        <w:footnoteRef/>
      </w:r>
      <w:r>
        <w:rPr>
          <w:i/>
        </w:rPr>
        <w:tab/>
        <w:t>Stimme eines Rufenden in der Wüste</w:t>
      </w:r>
      <w:r>
        <w:rPr/>
        <w:t xml:space="preserve"> Dass hier kein Verb steht, liegt daran, dass der griechische AT-Text sehr wörtlich aus dem Hebräischen übersetzt ist, wo solche gerafften, verblosen Formulierungen nicht ungewöhnlich sind. </w:t>
      </w:r>
    </w:p>
  </w:footnote>
  <w:footnote w:id="3767">
    <w:p>
      <w:pPr>
        <w:pStyle w:val="Funote"/>
        <w:rPr/>
      </w:pPr>
      <w:r>
        <w:rPr>
          <w:rStyle w:val="Funotenzeichen"/>
        </w:rPr>
        <w:footnoteRef/>
      </w:r>
      <w:r>
        <w:rPr/>
        <w:tab/>
        <w:t>Anders als von Markus angeben ist das Zitat eine Zusammenstellung aus Jesaja (Jes 40,3 LXX) und Maleachi 3,1.</w:t>
      </w:r>
    </w:p>
  </w:footnote>
  <w:footnote w:id="3768">
    <w:p>
      <w:pPr>
        <w:pStyle w:val="Funote"/>
        <w:rPr/>
      </w:pPr>
      <w:r>
        <w:rPr>
          <w:rStyle w:val="Funotenzeichen"/>
        </w:rPr>
        <w:footnoteRef/>
      </w:r>
      <w:r>
        <w:rPr/>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769">
    <w:p>
      <w:pPr>
        <w:pStyle w:val="Funote"/>
        <w:rPr/>
      </w:pPr>
      <w:r>
        <w:rPr>
          <w:rStyle w:val="Funotenzeichen"/>
        </w:rPr>
        <w:footnoteRef/>
      </w:r>
      <w:r>
        <w:rPr>
          <w:i/>
        </w:rPr>
        <w:tab/>
        <w:t>Johannes der Täufer</w:t>
      </w:r>
      <w:r>
        <w:rPr/>
        <w:t xml:space="preserve"> und </w:t>
      </w:r>
      <w:r>
        <w:rPr>
          <w:i/>
        </w:rPr>
        <w:t>Johannes, der in der Wüste taufte</w:t>
      </w:r>
      <w:r>
        <w:rPr/>
        <w:t>: Es gibt an dieser Stelle leicht verschiedene Lesarten in den Handschriften.</w:t>
      </w:r>
    </w:p>
  </w:footnote>
  <w:footnote w:id="3770">
    <w:p>
      <w:pPr>
        <w:pStyle w:val="Funote"/>
        <w:rPr/>
      </w:pPr>
      <w:r>
        <w:rPr>
          <w:rStyle w:val="Funotenzeichen"/>
        </w:rPr>
        <w:footnoteRef/>
      </w:r>
      <w:r>
        <w:rPr/>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771">
    <w:p>
      <w:pPr>
        <w:pStyle w:val="Funote"/>
        <w:rPr/>
      </w:pPr>
      <w:r>
        <w:rPr>
          <w:rStyle w:val="Funotenzeichen"/>
        </w:rPr>
        <w:footnoteRef/>
      </w:r>
      <w:r>
        <w:rPr>
          <w:i/>
        </w:rPr>
        <w:tab/>
        <w:t>das gesamte judäische Gebiet</w:t>
      </w:r>
      <w:r>
        <w:rPr/>
        <w:t xml:space="preserve"> Hier sind zwei Stilmittel verflochten. Das </w:t>
      </w:r>
      <w:r>
        <w:rPr>
          <w:i/>
        </w:rPr>
        <w:t>judäische Gebiet</w:t>
      </w:r>
      <w:r>
        <w:rPr/>
        <w:t xml:space="preserve"> steht für dessen Bewohner (Metonymie des Subjekts). Und dass es alle waren, ist natürlich eine Übertreibung (Hyperbel).</w:t>
      </w:r>
    </w:p>
  </w:footnote>
  <w:footnote w:id="3772">
    <w:p>
      <w:pPr>
        <w:pStyle w:val="Funote"/>
        <w:rPr/>
      </w:pPr>
      <w:r>
        <w:rPr>
          <w:rStyle w:val="Funotenzeichen"/>
        </w:rPr>
        <w:footnoteRef/>
      </w:r>
      <w:r>
        <w:rPr>
          <w:i/>
        </w:rPr>
        <w:tab/>
        <w:t>begaben sich hinaus</w:t>
      </w:r>
      <w:r>
        <w:rPr/>
        <w:t xml:space="preserve"> Im Griechischen im Sg., als Prädikat zur „gesamten judäischen Region“.</w:t>
      </w:r>
    </w:p>
  </w:footnote>
  <w:footnote w:id="3773">
    <w:p>
      <w:pPr>
        <w:pStyle w:val="Funote"/>
        <w:rPr/>
      </w:pPr>
      <w:r>
        <w:rPr>
          <w:rStyle w:val="Funotenzeichen"/>
        </w:rPr>
        <w:footnoteRef/>
      </w:r>
      <w:r>
        <w:rPr/>
        <w:tab/>
        <w:t xml:space="preserve">Die beiden Imperfekte </w:t>
      </w:r>
      <w:r>
        <w:rPr>
          <w:i/>
        </w:rPr>
        <w:t>begaben sich hinaus</w:t>
      </w:r>
      <w:r>
        <w:rPr/>
        <w:t xml:space="preserve"> und </w:t>
      </w:r>
      <w:r>
        <w:rPr>
          <w:i/>
        </w:rPr>
        <w:t>ließen sich taufen</w:t>
      </w:r>
      <w:r>
        <w:rPr/>
        <w:t xml:space="preserve"> bringen in V. 5 zum Ausdruck, dass Johannes über einen längeren Zeitraum hinweg Menschenmengen anzog. </w:t>
      </w:r>
    </w:p>
  </w:footnote>
  <w:footnote w:id="3774">
    <w:p>
      <w:pPr>
        <w:pStyle w:val="Funote"/>
        <w:rPr/>
      </w:pPr>
      <w:r>
        <w:rPr>
          <w:rStyle w:val="Funotenzeichen"/>
        </w:rPr>
        <w:footnoteRef/>
      </w:r>
      <w:r>
        <w:rPr/>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775">
    <w:p>
      <w:pPr>
        <w:pStyle w:val="Funote"/>
        <w:rPr/>
      </w:pPr>
      <w:r>
        <w:rPr>
          <w:rStyle w:val="Funotenzeichen"/>
        </w:rPr>
        <w:footnoteRef/>
      </w:r>
      <w:r>
        <w:rPr/>
        <w:tab/>
        <w:t>Kamelhaar und Ledergürtel, w. „Haare [des] Kamels“ bzw. „ledernen Gürtel“. Durch seine Kleidung gibt sich Johannes als Prophet (Sach 13,4 LXX) und der wiedergekehrte Elia zu erkennen (2Kö 1,8 LXX).</w:t>
      </w:r>
    </w:p>
  </w:footnote>
  <w:footnote w:id="3776">
    <w:p>
      <w:pPr>
        <w:pStyle w:val="Funote"/>
        <w:rPr/>
      </w:pPr>
      <w:r>
        <w:rPr>
          <w:rStyle w:val="Funotenzeichen"/>
        </w:rPr>
        <w:footnoteRef/>
      </w:r>
      <w:r>
        <w:rPr/>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777">
    <w:p>
      <w:pPr>
        <w:pStyle w:val="Funote"/>
        <w:rPr/>
      </w:pPr>
      <w:r>
        <w:rPr>
          <w:rStyle w:val="Funotenzeichen"/>
        </w:rPr>
        <w:footnoteRef/>
      </w:r>
      <w:r>
        <w:rPr>
          <w:i/>
        </w:rPr>
        <w:tab/>
        <w:t>predigte</w:t>
      </w:r>
      <w:r>
        <w:rPr/>
        <w:t xml:space="preserve"> Das </w:t>
      </w:r>
      <w:hyperlink r:id="rId260">
        <w:r>
          <w:rPr>
            <w:rStyle w:val="Internetverknpfung"/>
          </w:rPr>
          <w:t>Imperfekt</w:t>
        </w:r>
      </w:hyperlink>
      <w:r>
        <w:rPr/>
        <w:t xml:space="preserve">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 </w:t>
      </w:r>
    </w:p>
  </w:footnote>
  <w:footnote w:id="3778">
    <w:p>
      <w:pPr>
        <w:pStyle w:val="Funote"/>
        <w:rPr/>
      </w:pPr>
      <w:r>
        <w:rPr>
          <w:rStyle w:val="Funotenzeichen"/>
        </w:rPr>
        <w:footnoteRef/>
      </w:r>
      <w:r>
        <w:rPr>
          <w:i/>
        </w:rPr>
        <w:tab/>
        <w:t>[einer], der mächtiger [ist] als ich</w:t>
      </w:r>
      <w:r>
        <w:rPr/>
        <w:t xml:space="preserve"> Gr. </w:t>
      </w:r>
      <w:r>
        <w:rPr>
          <w:lang w:val="el-GR"/>
        </w:rPr>
        <w:t>ὁ ἰσχυρότερός μου</w:t>
      </w:r>
      <w:r>
        <w:rPr/>
        <w:t xml:space="preserve">, W. „der Mächtigere als ich“. </w:t>
      </w:r>
    </w:p>
  </w:footnote>
  <w:footnote w:id="3779">
    <w:p>
      <w:pPr>
        <w:pStyle w:val="Funote"/>
        <w:rPr/>
      </w:pPr>
      <w:r>
        <w:rPr>
          <w:rStyle w:val="Funotenzeichen"/>
        </w:rPr>
        <w:footnoteRef/>
      </w:r>
      <w:r>
        <w:rPr/>
        <w:tab/>
        <w:t>mich zu bücken und Adverbiales Partizip Aorist aktiv, hier einmal gleichzeitig übersetzt (modal; vgl. NSS). In der Klammer ist das griechische mit dem deutschen Partizip 2 übersetzt.</w:t>
      </w:r>
    </w:p>
  </w:footnote>
  <w:footnote w:id="3780">
    <w:p>
      <w:pPr>
        <w:pStyle w:val="Funote"/>
        <w:rPr/>
      </w:pPr>
      <w:r>
        <w:rPr>
          <w:rStyle w:val="Funotenzeichen"/>
        </w:rPr>
        <w:footnoteRef/>
      </w:r>
      <w:r>
        <w:rPr>
          <w:i/>
        </w:rPr>
        <w:tab/>
        <w:t>ihm</w:t>
      </w:r>
      <w:r>
        <w:rPr/>
        <w:t xml:space="preserve"> Eigentlich ein Relativpronomen („dem“), das den Satz vom vorigen abhängig macht: „dem ich nicht würdig bin...“</w:t>
      </w:r>
    </w:p>
  </w:footnote>
  <w:footnote w:id="3781">
    <w:p>
      <w:pPr>
        <w:pStyle w:val="Funote"/>
        <w:rPr/>
      </w:pPr>
      <w:r>
        <w:rPr>
          <w:rStyle w:val="Funotenzeichen"/>
        </w:rPr>
        <w:footnoteRef/>
      </w:r>
      <w:r>
        <w:rPr/>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782">
    <w:p>
      <w:pPr>
        <w:pStyle w:val="Funote"/>
        <w:rPr/>
      </w:pPr>
      <w:r>
        <w:rPr>
          <w:rStyle w:val="Funotenzeichen"/>
        </w:rPr>
        <w:footnoteRef/>
      </w:r>
      <w:r>
        <w:rPr/>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783">
    <w:p>
      <w:pPr>
        <w:pStyle w:val="Funote"/>
        <w:rPr/>
      </w:pPr>
      <w:r>
        <w:rPr>
          <w:rStyle w:val="Funotenzeichen"/>
        </w:rPr>
        <w:footnoteRef/>
      </w:r>
      <w:r>
        <w:rPr>
          <w:i/>
        </w:rPr>
        <w:tab/>
        <w:t>als … stieg</w:t>
      </w:r>
      <w:r>
        <w:rPr/>
        <w:t xml:space="preserve"> </w:t>
      </w:r>
      <w:hyperlink r:id="rId261">
        <w:r>
          <w:rPr>
            <w:rStyle w:val="Internetverknpfung"/>
          </w:rPr>
          <w:t>Partizip</w:t>
        </w:r>
      </w:hyperlink>
      <w:r>
        <w:rPr/>
        <w:t xml:space="preserve"> Präsens aktiv (temporal übersetztes Ptz. conj.).</w:t>
      </w:r>
    </w:p>
  </w:footnote>
  <w:footnote w:id="3784">
    <w:p>
      <w:pPr>
        <w:pStyle w:val="Funote"/>
        <w:rPr/>
      </w:pPr>
      <w:r>
        <w:rPr>
          <w:rStyle w:val="Funotenzeichen"/>
        </w:rPr>
        <w:footnoteRef/>
      </w:r>
      <w:r>
        <w:rPr/>
        <w:tab/>
        <w:t>Gr. im Pl. „die Himmel“</w:t>
      </w:r>
    </w:p>
  </w:footnote>
  <w:footnote w:id="3785">
    <w:p>
      <w:pPr>
        <w:pStyle w:val="Funote"/>
        <w:rPr/>
      </w:pPr>
      <w:r>
        <w:rPr>
          <w:rStyle w:val="Funotenzeichen"/>
        </w:rPr>
        <w:footnoteRef/>
      </w:r>
      <w:r>
        <w:rPr/>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786">
    <w:p>
      <w:pPr>
        <w:pStyle w:val="Funote"/>
        <w:rPr/>
      </w:pPr>
      <w:r>
        <w:rPr>
          <w:rStyle w:val="Funotenzeichen"/>
        </w:rPr>
        <w:footnoteRef/>
      </w:r>
      <w:r>
        <w:rPr/>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787">
    <w:p>
      <w:pPr>
        <w:pStyle w:val="Funote"/>
        <w:rPr/>
      </w:pPr>
      <w:r>
        <w:rPr>
          <w:rStyle w:val="Funotenzeichen"/>
        </w:rPr>
        <w:footnoteRef/>
      </w:r>
      <w:r>
        <w:rPr/>
        <w:tab/>
        <w:t>kam (geschah) W. geschah Wieder drückt sich Markus sehr semitisch aus. Im Deutschen ist wieder eine sinngemäße Formulierung nötig. Textkritik: Andere Handschriften lesen „Und eine Stimme wurde gehört“ oder „Und eine Stimme“.</w:t>
      </w:r>
    </w:p>
  </w:footnote>
  <w:footnote w:id="3788">
    <w:p>
      <w:pPr>
        <w:pStyle w:val="Funote"/>
        <w:rPr/>
      </w:pPr>
      <w:r>
        <w:rPr>
          <w:rStyle w:val="Funotenzeichen"/>
        </w:rPr>
        <w:footnoteRef/>
      </w:r>
      <w:r>
        <w:rPr>
          <w:i/>
        </w:rPr>
        <w:tab/>
        <w:t>dem Himmel</w:t>
      </w:r>
      <w:r>
        <w:rPr/>
        <w:t xml:space="preserve"> Gr. Pl. „den Himmeln“</w:t>
      </w:r>
    </w:p>
  </w:footnote>
  <w:footnote w:id="3789">
    <w:p>
      <w:pPr>
        <w:pStyle w:val="Funote"/>
        <w:rPr/>
      </w:pPr>
      <w:r>
        <w:rPr>
          <w:rStyle w:val="Funotenzeichen"/>
        </w:rPr>
        <w:footnoteRef/>
      </w:r>
      <w:r>
        <w:rPr/>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790">
    <w:p>
      <w:pPr>
        <w:pStyle w:val="Funote"/>
        <w:rPr/>
      </w:pPr>
      <w:r>
        <w:rPr>
          <w:rStyle w:val="Funotenzeichen"/>
        </w:rPr>
        <w:footnoteRef/>
      </w:r>
      <w:r>
        <w:rPr/>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791">
    <w:p>
      <w:pPr>
        <w:pStyle w:val="Funote"/>
        <w:rPr/>
      </w:pPr>
      <w:r>
        <w:rPr>
          <w:rStyle w:val="Funotenzeichen"/>
        </w:rPr>
        <w:footnoteRef/>
      </w:r>
      <w:r>
        <w:rPr>
          <w:i/>
        </w:rPr>
        <w:tab/>
        <w:t>und (während/wobei) wurde auf die Probe gestellt</w:t>
      </w:r>
      <w:r>
        <w:rPr/>
        <w:t xml:space="preserve"> </w:t>
      </w:r>
      <w:hyperlink r:id="rId262">
        <w:r>
          <w:rPr>
            <w:rStyle w:val="Internetverknpfung"/>
          </w:rPr>
          <w:t>Ptz. coni.</w:t>
        </w:r>
      </w:hyperlink>
      <w:r>
        <w:rPr/>
        <w:t xml:space="preserve">, temporal-modal, als Nebensatz aufgelöst. </w:t>
      </w:r>
    </w:p>
  </w:footnote>
  <w:footnote w:id="3792">
    <w:p>
      <w:pPr>
        <w:pStyle w:val="Funote"/>
        <w:rPr/>
      </w:pPr>
      <w:r>
        <w:rPr>
          <w:rStyle w:val="Funotenzeichen"/>
        </w:rPr>
        <w:footnoteRef/>
      </w:r>
      <w:r>
        <w:rPr>
          <w:i/>
        </w:rPr>
        <w:tab/>
        <w:t>verhaftet</w:t>
      </w:r>
      <w:r>
        <w:rPr/>
        <w:t xml:space="preserve">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 </w:t>
      </w:r>
    </w:p>
  </w:footnote>
  <w:footnote w:id="3793">
    <w:p>
      <w:pPr>
        <w:pStyle w:val="Funote"/>
        <w:rPr/>
      </w:pPr>
      <w:r>
        <w:rPr>
          <w:rStyle w:val="Funotenzeichen"/>
        </w:rPr>
        <w:footnoteRef/>
      </w:r>
      <w:r>
        <w:rPr>
          <w:i/>
        </w:rPr>
        <w:tab/>
        <w:t>verkündete</w:t>
      </w:r>
      <w:r>
        <w:rPr/>
        <w:t xml:space="preserve"> Temporal-modales </w:t>
      </w:r>
      <w:hyperlink r:id="rId263">
        <w:r>
          <w:rPr>
            <w:rStyle w:val="Internetverknpfung"/>
          </w:rPr>
          <w:t>Ptz. conj.</w:t>
        </w:r>
      </w:hyperlink>
      <w:r>
        <w:rPr/>
        <w:t xml:space="preserve"> (Partizip Präsens aktiv), durch Beiordnung mit „und“ übersetzt. </w:t>
      </w:r>
    </w:p>
  </w:footnote>
  <w:footnote w:id="3794">
    <w:p>
      <w:pPr>
        <w:pStyle w:val="Funote"/>
        <w:rPr/>
      </w:pPr>
      <w:r>
        <w:rPr>
          <w:rStyle w:val="Funotenzeichen"/>
        </w:rPr>
        <w:footnoteRef/>
      </w:r>
      <w:r>
        <w:rPr/>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795">
    <w:p>
      <w:pPr>
        <w:pStyle w:val="Funote"/>
        <w:rPr/>
      </w:pPr>
      <w:r>
        <w:rPr>
          <w:rStyle w:val="Funotenzeichen"/>
        </w:rPr>
        <w:footnoteRef/>
      </w:r>
      <w:r>
        <w:rPr>
          <w:i/>
        </w:rPr>
        <w:tab/>
        <w:t>sagte</w:t>
      </w:r>
      <w:r>
        <w:rPr/>
        <w:t xml:space="preserve"> Temporal-modales </w:t>
      </w:r>
      <w:hyperlink r:id="rId264">
        <w:r>
          <w:rPr>
            <w:rStyle w:val="Internetverknpfung"/>
          </w:rPr>
          <w:t>Ptz. conj.</w:t>
        </w:r>
      </w:hyperlink>
      <w:r>
        <w:rPr/>
        <w:t xml:space="preserve"> (Partizip Präsens aktiv), das durch und mit dem Partizip </w:t>
      </w:r>
      <w:r>
        <w:rPr>
          <w:i/>
        </w:rPr>
        <w:t>predigte</w:t>
      </w:r>
      <w:r>
        <w:rPr/>
        <w:t xml:space="preserve"> aus dem letzten Vers verbunden ist und auch so aufgelöst wurde. Die Konstruktion weist die folgende direkte Rede als die Kernbotschaft von Jesu Verkündigung aus. </w:t>
      </w:r>
    </w:p>
  </w:footnote>
  <w:footnote w:id="3796">
    <w:p>
      <w:pPr>
        <w:pStyle w:val="Funote"/>
        <w:rPr/>
      </w:pPr>
      <w:r>
        <w:rPr>
          <w:rStyle w:val="Funotenzeichen"/>
        </w:rPr>
        <w:footnoteRef/>
      </w:r>
      <w:r>
        <w:rPr/>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797">
    <w:p>
      <w:pPr>
        <w:pStyle w:val="Funote"/>
        <w:rPr/>
      </w:pPr>
      <w:r>
        <w:rPr>
          <w:rStyle w:val="Funotenzeichen"/>
        </w:rPr>
        <w:footnoteRef/>
      </w:r>
      <w:r>
        <w:rPr/>
        <w:tab/>
        <w:t>Zu ergänzen</w:t>
      </w:r>
    </w:p>
  </w:footnote>
  <w:footnote w:id="3798">
    <w:p>
      <w:pPr>
        <w:pStyle w:val="Funote"/>
        <w:rPr/>
      </w:pPr>
      <w:r>
        <w:rPr>
          <w:rStyle w:val="Funotenzeichen"/>
        </w:rPr>
        <w:footnoteRef/>
      </w:r>
      <w:r>
        <w:rPr>
          <w:i/>
        </w:rPr>
        <w:tab/>
        <w:t>während … entlangging</w:t>
      </w:r>
      <w:r>
        <w:rPr/>
        <w:t xml:space="preserve"> </w:t>
      </w:r>
      <w:hyperlink r:id="rId265">
        <w:r>
          <w:rPr>
            <w:rStyle w:val="Internetverknpfung"/>
          </w:rPr>
          <w:t>Ptz. conj.</w:t>
        </w:r>
      </w:hyperlink>
      <w:r>
        <w:rPr/>
        <w:t xml:space="preserve"> mit temporaler Sinnrichtung (Partizip Präsens aktiv), als Nebensatz mit </w:t>
      </w:r>
      <w:r>
        <w:rPr>
          <w:i/>
        </w:rPr>
        <w:t>während</w:t>
      </w:r>
      <w:r>
        <w:rPr/>
        <w:t xml:space="preserve"> übersetzt (ebenfalls möglich: „als, gerade“).</w:t>
      </w:r>
    </w:p>
  </w:footnote>
  <w:footnote w:id="3799">
    <w:p>
      <w:pPr>
        <w:pStyle w:val="Funote"/>
        <w:rPr/>
      </w:pPr>
      <w:r>
        <w:rPr>
          <w:rStyle w:val="Funotenzeichen"/>
        </w:rPr>
        <w:footnoteRef/>
      </w:r>
      <w:r>
        <w:rPr/>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800">
    <w:p>
      <w:pPr>
        <w:pStyle w:val="Funote"/>
        <w:rPr/>
      </w:pPr>
      <w:r>
        <w:rPr>
          <w:rStyle w:val="Funotenzeichen"/>
        </w:rPr>
        <w:footnoteRef/>
      </w:r>
      <w:r>
        <w:rPr/>
        <w:tab/>
        <w:t xml:space="preserve">W. ein </w:t>
      </w:r>
      <w:hyperlink r:id="rId266">
        <w:r>
          <w:rPr>
            <w:rStyle w:val="Internetverknpfung"/>
          </w:rPr>
          <w:t>AcI</w:t>
        </w:r>
      </w:hyperlink>
      <w:r>
        <w:rPr/>
        <w:t xml:space="preserve">,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 </w:t>
      </w:r>
    </w:p>
  </w:footnote>
  <w:footnote w:id="3801">
    <w:p>
      <w:pPr>
        <w:pStyle w:val="Funote"/>
        <w:rPr/>
      </w:pPr>
      <w:r>
        <w:rPr>
          <w:rStyle w:val="Funotenzeichen"/>
        </w:rPr>
        <w:footnoteRef/>
      </w:r>
      <w:r>
        <w:rPr>
          <w:i/>
        </w:rPr>
        <w:tab/>
        <w:t>ließen sie ... und</w:t>
      </w:r>
      <w:r>
        <w:rPr/>
        <w:t xml:space="preserve"> Temporal-modales </w:t>
      </w:r>
      <w:hyperlink r:id="rId267">
        <w:r>
          <w:rPr>
            <w:rStyle w:val="Internetverknpfung"/>
          </w:rPr>
          <w:t>Ptc. coni.</w:t>
        </w:r>
      </w:hyperlink>
      <w:r>
        <w:rPr/>
        <w:t xml:space="preserve">, mit „und“ beigeordnet. </w:t>
      </w:r>
    </w:p>
  </w:footnote>
  <w:footnote w:id="3802">
    <w:p>
      <w:pPr>
        <w:pStyle w:val="Funote"/>
        <w:rPr/>
      </w:pPr>
      <w:r>
        <w:rPr>
          <w:rStyle w:val="Funotenzeichen"/>
        </w:rPr>
        <w:footnoteRef/>
      </w:r>
      <w:r>
        <w:rPr>
          <w:i/>
        </w:rPr>
        <w:tab/>
        <w:t>nachdem er weitergegangen war</w:t>
      </w:r>
      <w:r>
        <w:rPr/>
        <w:t xml:space="preserve"> </w:t>
      </w:r>
      <w:hyperlink r:id="rId268">
        <w:r>
          <w:rPr>
            <w:rStyle w:val="Internetverknpfung"/>
          </w:rPr>
          <w:t>Ptc. coni.</w:t>
        </w:r>
      </w:hyperlink>
      <w:r>
        <w:rPr/>
        <w:t xml:space="preserve"> (Partizip Aorist aktiv), temporal als Nebensatz mit </w:t>
      </w:r>
      <w:r>
        <w:rPr>
          <w:i/>
        </w:rPr>
        <w:t>nachdem</w:t>
      </w:r>
      <w:r>
        <w:rPr/>
        <w:t xml:space="preserve"> übersetzt. </w:t>
      </w:r>
    </w:p>
  </w:footnote>
  <w:footnote w:id="3803">
    <w:p>
      <w:pPr>
        <w:pStyle w:val="Funote"/>
        <w:rPr/>
      </w:pPr>
      <w:r>
        <w:rPr>
          <w:rStyle w:val="Funotenzeichen"/>
        </w:rPr>
        <w:footnoteRef/>
      </w:r>
      <w:r>
        <w:rPr/>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804">
    <w:p>
      <w:pPr>
        <w:pStyle w:val="Funote"/>
        <w:rPr/>
      </w:pPr>
      <w:r>
        <w:rPr>
          <w:rStyle w:val="Funotenzeichen"/>
        </w:rPr>
        <w:footnoteRef/>
      </w:r>
      <w:r>
        <w:rPr>
          <w:i/>
        </w:rPr>
        <w:tab/>
        <w:t>gingen</w:t>
      </w:r>
      <w:r>
        <w:rPr/>
        <w:t xml:space="preserve"> W. „gingen weg“. </w:t>
      </w:r>
    </w:p>
  </w:footnote>
  <w:footnote w:id="3805">
    <w:p>
      <w:pPr>
        <w:pStyle w:val="Funote"/>
        <w:rPr/>
      </w:pPr>
      <w:r>
        <w:rPr>
          <w:rStyle w:val="Funotenzeichen"/>
        </w:rPr>
        <w:footnoteRef/>
      </w:r>
      <w:r>
        <w:rPr/>
        <w:tab/>
        <w:t>Dann W. „gleich/sofort“, doch im Markusevangelium hat das Wort häufig den Sinn von „dann“. Es leitet also den nächsten Abschnitt der Handlung ein und soll die Spannung aufrecht erhalten (Guelich 1989, 54; France 2002, 103).</w:t>
      </w:r>
    </w:p>
  </w:footnote>
  <w:footnote w:id="3806">
    <w:p>
      <w:pPr>
        <w:pStyle w:val="Funote"/>
        <w:rPr/>
      </w:pPr>
      <w:r>
        <w:rPr>
          <w:rStyle w:val="Funotenzeichen"/>
        </w:rPr>
        <w:footnoteRef/>
      </w:r>
      <w:r>
        <w:rPr>
          <w:i/>
        </w:rPr>
        <w:tab/>
        <w:t>begab er sich … und</w:t>
      </w:r>
      <w:r>
        <w:rPr/>
        <w:t xml:space="preserve"> </w:t>
      </w:r>
      <w:hyperlink r:id="rId269">
        <w:r>
          <w:rPr>
            <w:rStyle w:val="Internetverknpfung"/>
          </w:rPr>
          <w:t>Ptz. conj.</w:t>
        </w:r>
      </w:hyperlink>
      <w:r>
        <w:rPr/>
        <w:t xml:space="preserve"> (Ptz. Aor., temporal-modal), durch Beiordnung mit „und“ aufgelöst. </w:t>
      </w:r>
    </w:p>
  </w:footnote>
  <w:footnote w:id="3807">
    <w:p>
      <w:pPr>
        <w:pStyle w:val="Funote"/>
        <w:rPr/>
      </w:pPr>
      <w:r>
        <w:rPr>
          <w:rStyle w:val="Funotenzeichen"/>
        </w:rPr>
        <w:footnoteRef/>
      </w:r>
      <w:r>
        <w:rPr/>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808">
    <w:p>
      <w:pPr>
        <w:pStyle w:val="Funote"/>
        <w:rPr/>
      </w:pPr>
      <w:r>
        <w:rPr>
          <w:rStyle w:val="Funotenzeichen"/>
        </w:rPr>
        <w:footnoteRef/>
      </w:r>
      <w:r>
        <w:rPr>
          <w:i/>
        </w:rPr>
        <w:tab/>
        <w:t>begann ... zu lehren</w:t>
      </w:r>
      <w:r>
        <w:rPr/>
        <w:t xml:space="preserve"> </w:t>
      </w:r>
      <w:hyperlink r:id="rId270">
        <w:r>
          <w:rPr>
            <w:rStyle w:val="Internetverknpfung"/>
          </w:rPr>
          <w:t>Inchoatives Imperfekt</w:t>
        </w:r>
      </w:hyperlink>
      <w:r>
        <w:rPr/>
        <w:t xml:space="preserve"> (Siebenthal 2011, §198e). </w:t>
      </w:r>
    </w:p>
  </w:footnote>
  <w:footnote w:id="3809">
    <w:p>
      <w:pPr>
        <w:pStyle w:val="Funote"/>
        <w:rPr/>
      </w:pPr>
      <w:r>
        <w:rPr>
          <w:rStyle w:val="Funotenzeichen"/>
        </w:rPr>
        <w:footnoteRef/>
      </w:r>
      <w:r>
        <w:rPr/>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810">
    <w:p>
      <w:pPr>
        <w:pStyle w:val="Funote"/>
        <w:rPr/>
      </w:pPr>
      <w:r>
        <w:rPr>
          <w:rStyle w:val="Funotenzeichen"/>
        </w:rPr>
        <w:footnoteRef/>
      </w:r>
      <w:r>
        <w:rPr/>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811">
    <w:p>
      <w:pPr>
        <w:pStyle w:val="Funote"/>
        <w:rPr/>
      </w:pPr>
      <w:r>
        <w:rPr>
          <w:rStyle w:val="Funotenzeichen"/>
        </w:rPr>
        <w:footnoteRef/>
      </w:r>
      <w:r>
        <w:rPr/>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812">
    <w:p>
      <w:pPr>
        <w:pStyle w:val="Funote"/>
        <w:rPr/>
      </w:pPr>
      <w:r>
        <w:rPr>
          <w:rStyle w:val="Funotenzeichen"/>
        </w:rPr>
        <w:footnoteRef/>
      </w:r>
      <w:r>
        <w:rPr>
          <w:i/>
        </w:rPr>
        <w:tab/>
        <w:t>Jesus von Nazaret</w:t>
      </w:r>
      <w:r>
        <w:rPr/>
        <w:t xml:space="preserve"> W. „Jesus [der] Nazarener“. Hier wurde der bekanntere deutsche Name für die Übersetzung gewählt. </w:t>
      </w:r>
    </w:p>
  </w:footnote>
  <w:footnote w:id="3813">
    <w:p>
      <w:pPr>
        <w:pStyle w:val="Funote"/>
        <w:rPr/>
      </w:pPr>
      <w:r>
        <w:rPr>
          <w:rStyle w:val="Funotenzeichen"/>
        </w:rPr>
        <w:footnoteRef/>
      </w:r>
      <w:r>
        <w:rPr/>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814">
    <w:p>
      <w:pPr>
        <w:pStyle w:val="Funote"/>
        <w:rPr/>
      </w:pPr>
      <w:r>
        <w:rPr>
          <w:rStyle w:val="Funotenzeichen"/>
        </w:rPr>
        <w:footnoteRef/>
      </w:r>
      <w:r>
        <w:rPr/>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815">
    <w:p>
      <w:pPr>
        <w:pStyle w:val="Funote"/>
        <w:rPr/>
      </w:pPr>
      <w:r>
        <w:rPr>
          <w:rStyle w:val="Funotenzeichen"/>
        </w:rPr>
        <w:footnoteRef/>
      </w:r>
      <w:r>
        <w:rPr>
          <w:i/>
        </w:rPr>
        <w:tab/>
        <w:t>nachdem … geschüttelt … geschrien</w:t>
      </w:r>
      <w:r>
        <w:rPr/>
        <w:t xml:space="preserve"> </w:t>
      </w:r>
      <w:hyperlink r:id="rId271">
        <w:r>
          <w:rPr>
            <w:rStyle w:val="Internetverknpfung"/>
          </w:rPr>
          <w:t>Ptz. conj.</w:t>
        </w:r>
      </w:hyperlink>
      <w:r>
        <w:rPr/>
        <w:t xml:space="preserve"> (Partizip Aorist aktiv), temporal-modal, hier vorzeitig verstanden und als Nebensatz mit „nachdem“ aufgelöst. </w:t>
      </w:r>
    </w:p>
  </w:footnote>
  <w:footnote w:id="3816">
    <w:p>
      <w:pPr>
        <w:pStyle w:val="Funote"/>
        <w:rPr/>
      </w:pPr>
      <w:r>
        <w:rPr>
          <w:rStyle w:val="Funotenzeichen"/>
        </w:rPr>
        <w:footnoteRef/>
      </w:r>
      <w:r>
        <w:rPr/>
        <w:tab/>
        <w:t>einander fragten Oder „miteinander diskutierten“ (vgl. France 2002, 105). Als elegantere deutsche Formulierung für die gesamte Reaktion der Zuhörer wäre „und sie wussten nicht, was sie davon halten sollten“ eine Möglichkeit.</w:t>
      </w:r>
    </w:p>
  </w:footnote>
  <w:footnote w:id="3817">
    <w:p>
      <w:pPr>
        <w:pStyle w:val="Funote"/>
        <w:rPr/>
      </w:pPr>
      <w:r>
        <w:rPr>
          <w:rStyle w:val="Funotenzeichen"/>
        </w:rPr>
        <w:footnoteRef/>
      </w:r>
      <w:r>
        <w:rPr/>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818">
    <w:p>
      <w:pPr>
        <w:pStyle w:val="Funote"/>
        <w:rPr/>
      </w:pPr>
      <w:r>
        <w:rPr>
          <w:rStyle w:val="Funotenzeichen"/>
        </w:rPr>
        <w:footnoteRef/>
      </w:r>
      <w:r>
        <w:rPr/>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819">
    <w:p>
      <w:pPr>
        <w:pStyle w:val="Funote"/>
        <w:rPr/>
      </w:pPr>
      <w:r>
        <w:rPr>
          <w:rStyle w:val="Funotenzeichen"/>
        </w:rPr>
        <w:footnoteRef/>
      </w:r>
      <w:r>
        <w:rPr>
          <w:i/>
        </w:rPr>
        <w:tab/>
        <w:t>verließen … und</w:t>
      </w:r>
      <w:r>
        <w:rPr/>
        <w:t xml:space="preserve"> </w:t>
      </w:r>
      <w:hyperlink r:id="rId272">
        <w:r>
          <w:rPr>
            <w:rStyle w:val="Internetverknpfung"/>
          </w:rPr>
          <w:t>Ptz. conj.</w:t>
        </w:r>
      </w:hyperlink>
      <w:r>
        <w:rPr/>
        <w:t xml:space="preserve"> (Aorist), als temporaler Nebensatz übersetzt. Alternativ mit „als“ oder „nachdem“. </w:t>
      </w:r>
    </w:p>
  </w:footnote>
  <w:footnote w:id="3820">
    <w:p>
      <w:pPr>
        <w:pStyle w:val="Funote"/>
        <w:rPr/>
      </w:pPr>
      <w:r>
        <w:rPr>
          <w:rStyle w:val="Funotenzeichen"/>
        </w:rPr>
        <w:footnoteRef/>
      </w:r>
      <w:r>
        <w:rPr/>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821">
    <w:p>
      <w:pPr>
        <w:pStyle w:val="Funote"/>
        <w:rPr/>
      </w:pPr>
      <w:r>
        <w:rPr>
          <w:rStyle w:val="Funotenzeichen"/>
        </w:rPr>
        <w:footnoteRef/>
      </w:r>
      <w:r>
        <w:rPr>
          <w:i/>
        </w:rPr>
        <w:tab/>
        <w:t>ging zu … und</w:t>
      </w:r>
      <w:r>
        <w:rPr/>
        <w:t xml:space="preserve"> </w:t>
      </w:r>
      <w:hyperlink r:id="rId273">
        <w:r>
          <w:rPr>
            <w:rStyle w:val="Internetverknpfung"/>
          </w:rPr>
          <w:t>Beschreibendes Partizip</w:t>
        </w:r>
      </w:hyperlink>
      <w:r>
        <w:rPr/>
        <w:t xml:space="preserve"> modal-temporaler Sinnrichtung, mit „und“ aufgelöst.</w:t>
      </w:r>
    </w:p>
  </w:footnote>
  <w:footnote w:id="3822">
    <w:p>
      <w:pPr>
        <w:pStyle w:val="Funote"/>
        <w:rPr/>
      </w:pPr>
      <w:r>
        <w:rPr>
          <w:rStyle w:val="Funotenzeichen"/>
        </w:rPr>
        <w:footnoteRef/>
      </w:r>
      <w:r>
        <w:rPr>
          <w:i/>
        </w:rPr>
        <w:tab/>
        <w:t>indem er ihre Hand nahm</w:t>
      </w:r>
      <w:r>
        <w:rPr/>
        <w:t xml:space="preserve"> </w:t>
      </w:r>
      <w:hyperlink r:id="rId274">
        <w:r>
          <w:rPr>
            <w:rStyle w:val="Internetverknpfung"/>
          </w:rPr>
          <w:t>Ptz. conj.</w:t>
        </w:r>
      </w:hyperlink>
      <w:r>
        <w:rPr/>
        <w:t xml:space="preserve">, modal als Nebensatz mit „indem“ aufgelöst. </w:t>
      </w:r>
    </w:p>
  </w:footnote>
  <w:footnote w:id="3823">
    <w:p>
      <w:pPr>
        <w:pStyle w:val="Funote"/>
        <w:rPr/>
      </w:pPr>
      <w:r>
        <w:rPr>
          <w:rStyle w:val="Funotenzeichen"/>
        </w:rPr>
        <w:footnoteRef/>
      </w:r>
      <w:r>
        <w:rPr>
          <w:i/>
        </w:rPr>
        <w:tab/>
        <w:t>begann, sie zu bedienen</w:t>
      </w:r>
      <w:r>
        <w:rPr/>
        <w:t xml:space="preserve"> Vermutlich </w:t>
      </w:r>
      <w:hyperlink r:id="rId275">
        <w:r>
          <w:rPr>
            <w:rStyle w:val="Internetverknpfung"/>
          </w:rPr>
          <w:t>inchoatives Imperfekt</w:t>
        </w:r>
      </w:hyperlink>
      <w:r>
        <w:rPr/>
        <w:t xml:space="preserve">. </w:t>
      </w:r>
    </w:p>
  </w:footnote>
  <w:footnote w:id="3824">
    <w:p>
      <w:pPr>
        <w:pStyle w:val="Funote"/>
        <w:rPr/>
      </w:pPr>
      <w:r>
        <w:rPr>
          <w:rStyle w:val="Funotenzeichen"/>
        </w:rPr>
        <w:footnoteRef/>
      </w:r>
      <w:r>
        <w:rPr>
          <w:i/>
        </w:rPr>
        <w:tab/>
        <w:t>Als es Abend geworden war … und</w:t>
      </w:r>
      <w:r>
        <w:rPr/>
        <w:t xml:space="preserve"> Temporales </w:t>
      </w:r>
      <w:hyperlink r:id="rId276">
        <w:r>
          <w:rPr>
            <w:rStyle w:val="Internetverknpfung"/>
          </w:rPr>
          <w:t>Gen. abs.</w:t>
        </w:r>
      </w:hyperlink>
      <w:r>
        <w:rPr/>
        <w:t xml:space="preserve"> (Aorist), temporal-vorzeitig übersetzt, wobei der Nebensatz mit „und“ an den folgenden angeschlossen sowie dessen Konjunktion (als) vorgezogen wurde. Die Leute warteten bis zum Abend, um die Sabbatruhe (vgl. V. 21) zu wahren, die bei Sonnenuntergang endete. </w:t>
      </w:r>
    </w:p>
  </w:footnote>
  <w:footnote w:id="3825">
    <w:p>
      <w:pPr>
        <w:pStyle w:val="Funote"/>
        <w:rPr/>
      </w:pPr>
      <w:r>
        <w:rPr>
          <w:rStyle w:val="Funotenzeichen"/>
        </w:rPr>
        <w:footnoteRef/>
      </w:r>
      <w:r>
        <w:rPr>
          <w:i/>
        </w:rPr>
        <w:tab/>
        <w:t>brachte</w:t>
      </w:r>
      <w:r>
        <w:rPr/>
        <w:t xml:space="preserve"> (V. 32) / </w:t>
      </w:r>
      <w:r>
        <w:rPr>
          <w:i/>
        </w:rPr>
        <w:t>heilte</w:t>
      </w:r>
      <w:r>
        <w:rPr/>
        <w:t xml:space="preserve"> / </w:t>
      </w:r>
      <w:r>
        <w:rPr>
          <w:i/>
        </w:rPr>
        <w:t>trieb aus</w:t>
      </w:r>
      <w:r>
        <w:rPr/>
        <w:t xml:space="preserve"> / </w:t>
      </w:r>
      <w:r>
        <w:rPr>
          <w:i/>
        </w:rPr>
        <w:t>ließ</w:t>
      </w:r>
      <w:r>
        <w:rPr/>
        <w:t xml:space="preserve"> (V. 34) Das </w:t>
      </w:r>
      <w:hyperlink r:id="rId277">
        <w:r>
          <w:rPr>
            <w:rStyle w:val="Internetverknpfung"/>
          </w:rPr>
          <w:t>Imperfekt</w:t>
        </w:r>
      </w:hyperlink>
      <w:r>
        <w:rPr/>
        <w:t xml:space="preserve"> zeigt an, dass es an diesem Abend fortlaufend geschah. </w:t>
      </w:r>
    </w:p>
  </w:footnote>
  <w:footnote w:id="3826">
    <w:p>
      <w:pPr>
        <w:pStyle w:val="Funote"/>
        <w:rPr/>
      </w:pPr>
      <w:r>
        <w:rPr>
          <w:rStyle w:val="Funotenzeichen"/>
        </w:rPr>
        <w:footnoteRef/>
      </w:r>
      <w:r>
        <w:rPr/>
        <w:tab/>
        <w:t>alle Kranke(n) Subst. Ptz.. Oder „alle, denen es schlecht ging“. ELB: „Leidenden“.</w:t>
      </w:r>
    </w:p>
  </w:footnote>
  <w:footnote w:id="3827">
    <w:p>
      <w:pPr>
        <w:pStyle w:val="Funote"/>
        <w:rPr/>
      </w:pPr>
      <w:r>
        <w:rPr>
          <w:rStyle w:val="Funotenzeichen"/>
        </w:rPr>
        <w:footnoteRef/>
      </w:r>
      <w:r>
        <w:rPr>
          <w:i/>
        </w:rPr>
        <w:tab/>
        <w:t>früh morgens … ganz dunkel</w:t>
      </w:r>
      <w:r>
        <w:rPr/>
        <w:t xml:space="preserve"> Oder: „sehr früh morgens, [als es noch] dunkel [war]“. </w:t>
      </w:r>
    </w:p>
  </w:footnote>
  <w:footnote w:id="3828">
    <w:p>
      <w:pPr>
        <w:pStyle w:val="Funote"/>
        <w:rPr/>
      </w:pPr>
      <w:r>
        <w:rPr>
          <w:rStyle w:val="Funotenzeichen"/>
        </w:rPr>
        <w:footnoteRef/>
      </w:r>
      <w:r>
        <w:rPr>
          <w:i/>
        </w:rPr>
        <w:tab/>
        <w:t>stand er auf</w:t>
      </w:r>
      <w:r>
        <w:rPr/>
        <w:t xml:space="preserve"> Modal-temporales </w:t>
      </w:r>
      <w:hyperlink r:id="rId278">
        <w:r>
          <w:rPr>
            <w:rStyle w:val="Internetverknpfung"/>
          </w:rPr>
          <w:t>Ptz. conj.</w:t>
        </w:r>
      </w:hyperlink>
      <w:r>
        <w:rPr/>
        <w:t xml:space="preserve">, hier als Indikativ übersetzt und in die Satzkette eingereiht. </w:t>
      </w:r>
    </w:p>
  </w:footnote>
  <w:footnote w:id="3829">
    <w:p>
      <w:pPr>
        <w:pStyle w:val="Funote"/>
        <w:rPr/>
      </w:pPr>
      <w:r>
        <w:rPr>
          <w:rStyle w:val="Funotenzeichen"/>
        </w:rPr>
        <w:footnoteRef/>
      </w:r>
      <w:r>
        <w:rPr>
          <w:i/>
        </w:rPr>
        <w:tab/>
        <w:t>[eine Zeit lang] betete</w:t>
      </w:r>
      <w:r>
        <w:rPr/>
        <w:t xml:space="preserve"> Das </w:t>
      </w:r>
      <w:hyperlink r:id="rId279">
        <w:r>
          <w:rPr>
            <w:rStyle w:val="Internetverknpfung"/>
          </w:rPr>
          <w:t>Imperfekt</w:t>
        </w:r>
      </w:hyperlink>
      <w:r>
        <w:rPr/>
        <w:t xml:space="preserve"> zeigt an, dass er eine Weile mit Beten verbrachte – daher die eingefügte Zeitangabe. </w:t>
      </w:r>
    </w:p>
  </w:footnote>
  <w:footnote w:id="3830">
    <w:p>
      <w:pPr>
        <w:pStyle w:val="Funote"/>
        <w:rPr/>
      </w:pPr>
      <w:r>
        <w:rPr>
          <w:rStyle w:val="Funotenzeichen"/>
        </w:rPr>
        <w:footnoteRef/>
      </w:r>
      <w:r>
        <w:rPr/>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831">
    <w:p>
      <w:pPr>
        <w:pStyle w:val="Funote"/>
        <w:rPr/>
      </w:pPr>
      <w:r>
        <w:rPr>
          <w:rStyle w:val="Funotenzeichen"/>
        </w:rPr>
        <w:footnoteRef/>
      </w:r>
      <w:r>
        <w:rPr/>
        <w:tab/>
        <w:t>und fanden ihn. {und} Sie teilten ihm mit (sagten) {dass}: Oder: „Als sie ihn fanden, teilten sie ihm mit“ (Lut, EÜ, NGÜ).</w:t>
      </w:r>
    </w:p>
  </w:footnote>
  <w:footnote w:id="3832">
    <w:p>
      <w:pPr>
        <w:pStyle w:val="Funote"/>
        <w:rPr/>
      </w:pPr>
      <w:r>
        <w:rPr>
          <w:rStyle w:val="Funotenzeichen"/>
        </w:rPr>
        <w:footnoteRef/>
      </w:r>
      <w:r>
        <w:rPr/>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833">
    <w:p>
      <w:pPr>
        <w:pStyle w:val="Funote"/>
        <w:rPr/>
      </w:pPr>
      <w:r>
        <w:rPr>
          <w:rStyle w:val="Funotenzeichen"/>
        </w:rPr>
        <w:footnoteRef/>
      </w:r>
      <w:r>
        <w:rPr/>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834">
    <w:p>
      <w:pPr>
        <w:pStyle w:val="Funote"/>
        <w:rPr/>
      </w:pPr>
      <w:r>
        <w:rPr>
          <w:rStyle w:val="Funotenzeichen"/>
        </w:rPr>
        <w:footnoteRef/>
      </w:r>
      <w:r>
        <w:rPr>
          <w:i/>
        </w:rPr>
        <w:tab/>
        <w:t>predigte und trieb aus</w:t>
      </w:r>
      <w:r>
        <w:rPr/>
        <w:t xml:space="preserve"> Temporal-modale </w:t>
      </w:r>
      <w:hyperlink r:id="rId280">
        <w:r>
          <w:rPr>
            <w:rStyle w:val="Internetverknpfung"/>
          </w:rPr>
          <w:t>Ptz. conj.</w:t>
        </w:r>
      </w:hyperlink>
      <w:r>
        <w:rPr/>
        <w:t xml:space="preserve">, als Indikative in einer Satzreihe aufgelöst. </w:t>
      </w:r>
    </w:p>
  </w:footnote>
  <w:footnote w:id="3835">
    <w:p>
      <w:pPr>
        <w:pStyle w:val="Funote"/>
        <w:rPr/>
      </w:pPr>
      <w:r>
        <w:rPr>
          <w:rStyle w:val="Funotenzeichen"/>
        </w:rPr>
        <w:footnoteRef/>
      </w:r>
      <w:r>
        <w:rPr/>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836">
    <w:p>
      <w:pPr>
        <w:pStyle w:val="Funote"/>
        <w:rPr/>
      </w:pPr>
      <w:r>
        <w:rPr>
          <w:rStyle w:val="Funotenzeichen"/>
        </w:rPr>
        <w:footnoteRef/>
      </w:r>
      <w:r>
        <w:rPr>
          <w:i/>
        </w:rPr>
        <w:tab/>
        <w:t>wobei er ihm zurief</w:t>
      </w:r>
      <w:r>
        <w:rPr/>
        <w:t xml:space="preserve"> </w:t>
      </w:r>
      <w:hyperlink r:id="rId281">
        <w:r>
          <w:rPr>
            <w:rStyle w:val="Internetverknpfung"/>
          </w:rPr>
          <w:t>Ptz. conj.</w:t>
        </w:r>
      </w:hyperlink>
      <w:r>
        <w:rPr/>
        <w:t>, hier als modaler Nebensatz aufgelöst. Die Übersetzung hängt auch von der textkritischen Entscheidung ab, die in der vorigen Fußnote angesprochen wird.</w:t>
      </w:r>
    </w:p>
  </w:footnote>
  <w:footnote w:id="3837">
    <w:p>
      <w:pPr>
        <w:pStyle w:val="Funote"/>
        <w:rPr/>
      </w:pPr>
      <w:r>
        <w:rPr>
          <w:rStyle w:val="Funotenzeichen"/>
        </w:rPr>
        <w:footnoteRef/>
      </w:r>
      <w:r>
        <w:rPr/>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838">
    <w:p>
      <w:pPr>
        <w:pStyle w:val="Funote"/>
        <w:rPr/>
      </w:pPr>
      <w:r>
        <w:rPr>
          <w:rStyle w:val="Funotenzeichen"/>
        </w:rPr>
        <w:footnoteRef/>
      </w:r>
      <w:r>
        <w:rPr/>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839">
    <w:p>
      <w:pPr>
        <w:pStyle w:val="Funote"/>
        <w:rPr/>
      </w:pPr>
      <w:r>
        <w:rPr>
          <w:rStyle w:val="Funotenzeichen"/>
        </w:rPr>
        <w:footnoteRef/>
      </w:r>
      <w:r>
        <w:rPr>
          <w:i/>
        </w:rPr>
        <w:tab/>
        <w:t>streckte aus</w:t>
      </w:r>
      <w:r>
        <w:rPr/>
        <w:t xml:space="preserve"> </w:t>
      </w:r>
      <w:hyperlink r:id="rId282">
        <w:r>
          <w:rPr>
            <w:rStyle w:val="Internetverknpfung"/>
          </w:rPr>
          <w:t>Ptz. conj.</w:t>
        </w:r>
      </w:hyperlink>
      <w:r>
        <w:rPr/>
        <w:t xml:space="preserve"> (modal-temporal), hier als Indikativ übersetzt und beigeordnet.</w:t>
      </w:r>
    </w:p>
  </w:footnote>
  <w:footnote w:id="3840">
    <w:p>
      <w:pPr>
        <w:pStyle w:val="Funote"/>
        <w:rPr/>
      </w:pPr>
      <w:r>
        <w:rPr>
          <w:rStyle w:val="Funotenzeichen"/>
        </w:rPr>
        <w:footnoteRef/>
      </w:r>
      <w:r>
        <w:rPr/>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841">
    <w:p>
      <w:pPr>
        <w:pStyle w:val="Funote"/>
        <w:rPr/>
      </w:pPr>
      <w:r>
        <w:rPr>
          <w:rStyle w:val="Funotenzeichen"/>
        </w:rPr>
        <w:footnoteRef/>
      </w:r>
      <w:r>
        <w:rPr>
          <w:i/>
        </w:rPr>
        <w:tab/>
        <w:t>niemandem etwas</w:t>
      </w:r>
      <w:r>
        <w:rPr/>
        <w:t xml:space="preserve"> Im Griechischen eine doppelte Verneinung, welche die Warnung noch schärfer macht.</w:t>
      </w:r>
    </w:p>
  </w:footnote>
  <w:footnote w:id="3842">
    <w:p>
      <w:pPr>
        <w:pStyle w:val="Funote"/>
        <w:rPr/>
      </w:pPr>
      <w:r>
        <w:rPr>
          <w:rStyle w:val="Funotenzeichen"/>
        </w:rPr>
        <w:footnoteRef/>
      </w:r>
      <w:r>
        <w:rPr/>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843">
    <w:p>
      <w:pPr>
        <w:pStyle w:val="Funote"/>
        <w:rPr/>
      </w:pPr>
      <w:r>
        <w:rPr>
          <w:rStyle w:val="Funotenzeichen"/>
        </w:rPr>
        <w:footnoteRef/>
      </w:r>
      <w:r>
        <w:rPr>
          <w:i/>
        </w:rPr>
        <w:tab/>
        <w:t>als der [Mann] hinausging</w:t>
      </w:r>
      <w:r>
        <w:rPr/>
        <w:t xml:space="preserve"> </w:t>
      </w:r>
      <w:hyperlink r:id="rId283">
        <w:r>
          <w:rPr>
            <w:rStyle w:val="Internetverknpfung"/>
          </w:rPr>
          <w:t>Ptz. conj.</w:t>
        </w:r>
      </w:hyperlink>
      <w:r>
        <w:rPr/>
        <w:t xml:space="preserve">, temporal-gleichzeitig übersetzt als Nebensatz mit „als“. Denkbar wäre auch „nachdem er hinausgegangen war“ (vorzeitig) oder „er ging hinaus und“. </w:t>
      </w:r>
    </w:p>
  </w:footnote>
  <w:footnote w:id="3844">
    <w:p>
      <w:pPr>
        <w:pStyle w:val="Funote"/>
        <w:rPr/>
      </w:pPr>
      <w:r>
        <w:rPr>
          <w:rStyle w:val="Funotenzeichen"/>
        </w:rPr>
        <w:footnoteRef/>
      </w:r>
      <w:r>
        <w:rPr/>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845">
    <w:p>
      <w:pPr>
        <w:pStyle w:val="Funote"/>
        <w:rPr/>
      </w:pPr>
      <w:r>
        <w:rPr>
          <w:rStyle w:val="Funotenzeichen"/>
        </w:rPr>
        <w:footnoteRef/>
      </w:r>
      <w:r>
        <w:rPr>
          <w:i/>
        </w:rPr>
        <w:tab/>
        <w:t>sich aufhielt</w:t>
      </w:r>
      <w:r>
        <w:rPr/>
        <w:t xml:space="preserve"> ist die sinngemäße Wiedergabe von </w:t>
      </w:r>
      <w:r>
        <w:rPr>
          <w:i/>
        </w:rPr>
        <w:t>war</w:t>
      </w:r>
      <w:r>
        <w:rPr/>
        <w:t>.</w:t>
      </w:r>
    </w:p>
  </w:footnote>
  <w:footnote w:id="3846">
    <w:p>
      <w:pPr>
        <w:pStyle w:val="Funote"/>
        <w:rPr/>
      </w:pPr>
      <w:r>
        <w:rPr>
          <w:rStyle w:val="Funotenzeichen"/>
        </w:rPr>
        <w:footnoteRef/>
      </w:r>
      <w:r>
        <w:rPr>
          <w:i/>
        </w:rPr>
        <w:tab/>
        <w:t>kamen weiter (begannen zu kommen)</w:t>
      </w:r>
      <w:r>
        <w:rPr/>
        <w:t xml:space="preserve"> Die Übersetzung gibt das </w:t>
      </w:r>
      <w:hyperlink r:id="rId284">
        <w:r>
          <w:rPr>
            <w:rStyle w:val="Internetverknpfung"/>
          </w:rPr>
          <w:t>Imperfekt</w:t>
        </w:r>
      </w:hyperlink>
      <w:r>
        <w:rPr/>
        <w:t xml:space="preserve"> durativ/iterativ wieder, die Klammer inchoativ. Beide Deutungen sind denkbar.</w:t>
      </w:r>
    </w:p>
  </w:footnote>
  <w:footnote w:id="3847">
    <w:p>
      <w:pPr>
        <w:pStyle w:val="Funote"/>
        <w:rPr/>
      </w:pPr>
      <w:r>
        <w:rPr>
          <w:rStyle w:val="Funotenzeichen"/>
        </w:rPr>
        <w:footnoteRef/>
      </w:r>
      <w:r>
        <w:rPr/>
        <w:tab/>
        <w:t>[Status: Zuverlässig]</w:t>
      </w:r>
    </w:p>
  </w:footnote>
  <w:footnote w:id="3848">
    <w:p>
      <w:pPr>
        <w:pStyle w:val="Funote"/>
        <w:rPr/>
      </w:pPr>
      <w:r>
        <w:rPr>
          <w:rStyle w:val="Funotenzeichen"/>
        </w:rPr>
        <w:footnoteRef/>
      </w:r>
      <w:r>
        <w:rPr>
          <w:i/>
        </w:rPr>
        <w:tab/>
        <w:t>kam</w:t>
      </w:r>
      <w:r>
        <w:rPr/>
        <w:t xml:space="preserve"> </w:t>
      </w:r>
      <w:hyperlink r:id="rId285">
        <w:r>
          <w:rPr>
            <w:rStyle w:val="Internetverknpfung"/>
          </w:rPr>
          <w:t>Ptz. conj.</w:t>
        </w:r>
      </w:hyperlink>
      <w:r>
        <w:rPr/>
        <w:t xml:space="preserve"> (Ptz. Aor.), als temporaler Nebensatz (mit „als“) aufgelöst.</w:t>
      </w:r>
    </w:p>
  </w:footnote>
  <w:footnote w:id="3849">
    <w:p>
      <w:pPr>
        <w:pStyle w:val="Funote"/>
        <w:rPr/>
      </w:pPr>
      <w:r>
        <w:rPr>
          <w:rStyle w:val="Funotenzeichen"/>
        </w:rPr>
        <w:footnoteRef/>
      </w:r>
      <w:r>
        <w:rPr/>
        <w:tab/>
        <w:t>wurde bekannt W. „wurde gehört“ Oder: „als er wieder … kam, wurde nach einigen Tagen bekannt“ (Collins 2007, 184).</w:t>
      </w:r>
    </w:p>
  </w:footnote>
  <w:footnote w:id="3850">
    <w:p>
      <w:pPr>
        <w:pStyle w:val="Funote"/>
        <w:rPr/>
      </w:pPr>
      <w:r>
        <w:rPr>
          <w:rStyle w:val="Funotenzeichen"/>
        </w:rPr>
        <w:footnoteRef/>
      </w:r>
      <w:r>
        <w:rPr/>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851">
    <w:p>
      <w:pPr>
        <w:pStyle w:val="Funote"/>
        <w:rPr/>
      </w:pPr>
      <w:r>
        <w:rPr>
          <w:rStyle w:val="Funotenzeichen"/>
        </w:rPr>
        <w:footnoteRef/>
      </w:r>
      <w:r>
        <w:rPr>
          <w:i/>
        </w:rPr>
        <w:tab/>
        <w:t>war</w:t>
      </w:r>
      <w:r>
        <w:rPr/>
        <w:t xml:space="preserve"> W. „ist“. </w:t>
      </w:r>
    </w:p>
  </w:footnote>
  <w:footnote w:id="3852">
    <w:p>
      <w:pPr>
        <w:pStyle w:val="Funote"/>
        <w:rPr/>
      </w:pPr>
      <w:r>
        <w:rPr>
          <w:rStyle w:val="Funotenzeichen"/>
        </w:rPr>
        <w:footnoteRef/>
      </w:r>
      <w:r>
        <w:rPr/>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853">
    <w:p>
      <w:pPr>
        <w:pStyle w:val="Funote"/>
        <w:rPr/>
      </w:pPr>
      <w:r>
        <w:rPr>
          <w:rStyle w:val="Funotenzeichen"/>
        </w:rPr>
        <w:footnoteRef/>
      </w:r>
      <w:r>
        <w:rPr>
          <w:i/>
        </w:rPr>
        <w:tab/>
        <w:t>kamen</w:t>
      </w:r>
      <w:r>
        <w:rPr/>
        <w:t xml:space="preserve"> </w:t>
      </w:r>
      <w:hyperlink r:id="rId286">
        <w:r>
          <w:rPr>
            <w:rStyle w:val="Internetverknpfung"/>
          </w:rPr>
          <w:t>Historisches Präsens</w:t>
        </w:r>
      </w:hyperlink>
      <w:r>
        <w:rPr/>
        <w:t xml:space="preserve">. </w:t>
      </w:r>
    </w:p>
  </w:footnote>
  <w:footnote w:id="3854">
    <w:p>
      <w:pPr>
        <w:pStyle w:val="Funote"/>
        <w:rPr/>
      </w:pPr>
      <w:r>
        <w:rPr>
          <w:rStyle w:val="Funotenzeichen"/>
        </w:rPr>
        <w:footnoteRef/>
      </w:r>
      <w:r>
        <w:rPr/>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855">
    <w:p>
      <w:pPr>
        <w:pStyle w:val="Funote"/>
        <w:rPr/>
      </w:pPr>
      <w:r>
        <w:rPr>
          <w:rStyle w:val="Funotenzeichen"/>
        </w:rPr>
        <w:footnoteRef/>
      </w:r>
      <w:r>
        <w:rPr>
          <w:i/>
        </w:rPr>
        <w:tab/>
        <w:t>Er wurde getragen</w:t>
      </w:r>
      <w:r>
        <w:rPr/>
        <w:t xml:space="preserve"> </w:t>
      </w:r>
      <w:hyperlink r:id="rId287">
        <w:r>
          <w:rPr>
            <w:rStyle w:val="Internetverknpfung"/>
          </w:rPr>
          <w:t>Attributives Partizip</w:t>
        </w:r>
      </w:hyperlink>
      <w:r>
        <w:rPr/>
        <w:t>, als unabhängiger Hauptsatz aufgelöst. Auch ein Relativsatz wäre möglich („der getragen wurde“).</w:t>
      </w:r>
    </w:p>
  </w:footnote>
  <w:footnote w:id="3856">
    <w:p>
      <w:pPr>
        <w:pStyle w:val="Funote"/>
        <w:rPr/>
      </w:pPr>
      <w:r>
        <w:rPr>
          <w:rStyle w:val="Funotenzeichen"/>
        </w:rPr>
        <w:footnoteRef/>
      </w:r>
      <w:r>
        <w:rPr/>
        <w:tab/>
        <w:t>weil (als) es ihnen nicht gelang Kausal oder temporal zu verstehendes Ptz. conj. (Ptz. Präs.), als Nebensatz mit „weil“ aufgelöst. NSS, NGÜ: „weil sie nicht zu Jesus durchkamen“.</w:t>
      </w:r>
    </w:p>
  </w:footnote>
  <w:footnote w:id="3857">
    <w:p>
      <w:pPr>
        <w:pStyle w:val="Funote"/>
        <w:rPr/>
      </w:pPr>
      <w:r>
        <w:rPr>
          <w:rStyle w:val="Funotenzeichen"/>
        </w:rPr>
        <w:footnoteRef/>
      </w:r>
      <w:r>
        <w:rPr>
          <w:i/>
        </w:rPr>
        <w:tab/>
        <w:t>ließen</w:t>
      </w:r>
      <w:r>
        <w:rPr/>
        <w:t xml:space="preserve"> </w:t>
      </w:r>
      <w:hyperlink r:id="rId288">
        <w:r>
          <w:rPr>
            <w:rStyle w:val="Internetverknpfung"/>
          </w:rPr>
          <w:t>Historisches Präsens</w:t>
        </w:r>
      </w:hyperlink>
      <w:r>
        <w:rPr/>
        <w:t xml:space="preserve">. </w:t>
      </w:r>
    </w:p>
  </w:footnote>
  <w:footnote w:id="3858">
    <w:p>
      <w:pPr>
        <w:pStyle w:val="Funote"/>
        <w:rPr/>
      </w:pPr>
      <w:r>
        <w:rPr>
          <w:rStyle w:val="Funotenzeichen"/>
        </w:rPr>
        <w:footnoteRef/>
      </w:r>
      <w:r>
        <w:rPr/>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859">
    <w:p>
      <w:pPr>
        <w:pStyle w:val="Funote"/>
        <w:rPr/>
      </w:pPr>
      <w:r>
        <w:rPr>
          <w:rStyle w:val="Funotenzeichen"/>
        </w:rPr>
        <w:footnoteRef/>
      </w:r>
      <w:r>
        <w:rPr/>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860">
    <w:p>
      <w:pPr>
        <w:pStyle w:val="Funote"/>
        <w:rPr/>
      </w:pPr>
      <w:r>
        <w:rPr>
          <w:rStyle w:val="Funotenzeichen"/>
        </w:rPr>
        <w:footnoteRef/>
      </w:r>
      <w:r>
        <w:rPr>
          <w:i/>
        </w:rPr>
        <w:tab/>
        <w:t>sagte</w:t>
      </w:r>
      <w:r>
        <w:rPr/>
        <w:t xml:space="preserve"> </w:t>
      </w:r>
      <w:hyperlink r:id="rId289">
        <w:r>
          <w:rPr>
            <w:rStyle w:val="Internetverknpfung"/>
          </w:rPr>
          <w:t>Historisches Präsens</w:t>
        </w:r>
      </w:hyperlink>
      <w:r>
        <w:rPr/>
        <w:t xml:space="preserve">. </w:t>
      </w:r>
    </w:p>
  </w:footnote>
  <w:footnote w:id="3861">
    <w:p>
      <w:pPr>
        <w:pStyle w:val="Funote"/>
        <w:rPr/>
      </w:pPr>
      <w:r>
        <w:rPr>
          <w:rStyle w:val="Funotenzeichen"/>
        </w:rPr>
        <w:footnoteRef/>
      </w:r>
      <w:r>
        <w:rPr/>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862">
    <w:p>
      <w:pPr>
        <w:pStyle w:val="Funote"/>
        <w:rPr/>
      </w:pPr>
      <w:r>
        <w:rPr>
          <w:rStyle w:val="Funotenzeichen"/>
        </w:rPr>
        <w:footnoteRef/>
      </w:r>
      <w:r>
        <w:rPr/>
        <w:tab/>
        <w:t>in Gedanken W. „in ihren Herzen“. In der damaligen Kultur galt das Herz als der denkende und fühlende Körperteil. Noch schöner wäre die Formulierung „gedanklich“.</w:t>
      </w:r>
    </w:p>
  </w:footnote>
  <w:footnote w:id="3863">
    <w:p>
      <w:pPr>
        <w:pStyle w:val="Funote"/>
        <w:rPr/>
      </w:pPr>
      <w:r>
        <w:rPr>
          <w:rStyle w:val="Funotenzeichen"/>
        </w:rPr>
        <w:footnoteRef/>
      </w:r>
      <w:r>
        <w:rPr/>
        <w:tab/>
        <w:t>erkannte … darum Ptz. conj. (Ptz. Aor., temporal-kausal), hier – mit sofort – gleichzeitig verstanden, wobei darum auf den kausalen Sinn hinweist. Vorzeitig: „Jesus hatte sofort erkannt“ (vgl. NGÜ).</w:t>
      </w:r>
    </w:p>
  </w:footnote>
  <w:footnote w:id="3864">
    <w:p>
      <w:pPr>
        <w:pStyle w:val="Funote"/>
        <w:rPr/>
      </w:pPr>
      <w:r>
        <w:rPr>
          <w:rStyle w:val="Funotenzeichen"/>
        </w:rPr>
        <w:footnoteRef/>
      </w:r>
      <w:r>
        <w:rPr/>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865">
    <w:p>
      <w:pPr>
        <w:pStyle w:val="Funote"/>
        <w:rPr/>
      </w:pPr>
      <w:r>
        <w:rPr>
          <w:rStyle w:val="Funotenzeichen"/>
        </w:rPr>
        <w:footnoteRef/>
      </w:r>
      <w:r>
        <w:rPr>
          <w:i/>
        </w:rPr>
        <w:tab/>
        <w:t>sagte</w:t>
      </w:r>
      <w:r>
        <w:rPr/>
        <w:t xml:space="preserve"> </w:t>
      </w:r>
      <w:hyperlink r:id="rId290">
        <w:r>
          <w:rPr>
            <w:rStyle w:val="Internetverknpfung"/>
          </w:rPr>
          <w:t>Historisches Präsens</w:t>
        </w:r>
      </w:hyperlink>
      <w:r>
        <w:rPr/>
        <w:t xml:space="preserve">. </w:t>
      </w:r>
    </w:p>
  </w:footnote>
  <w:footnote w:id="3866">
    <w:p>
      <w:pPr>
        <w:pStyle w:val="Funote"/>
        <w:rPr/>
      </w:pPr>
      <w:r>
        <w:rPr>
          <w:rStyle w:val="Funotenzeichen"/>
        </w:rPr>
        <w:footnoteRef/>
      </w:r>
      <w:r>
        <w:rPr/>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867">
    <w:p>
      <w:pPr>
        <w:pStyle w:val="Funote"/>
        <w:rPr/>
      </w:pPr>
      <w:r>
        <w:rPr>
          <w:rStyle w:val="Funotenzeichen"/>
        </w:rPr>
        <w:footnoteRef/>
      </w:r>
      <w:r>
        <w:rPr/>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868">
    <w:p>
      <w:pPr>
        <w:pStyle w:val="Funote"/>
        <w:rPr/>
      </w:pPr>
      <w:r>
        <w:rPr>
          <w:rStyle w:val="Funotenzeichen"/>
        </w:rPr>
        <w:footnoteRef/>
      </w:r>
      <w:r>
        <w:rPr>
          <w:i/>
        </w:rPr>
        <w:tab/>
        <w:t>nach Hause</w:t>
      </w:r>
      <w:r>
        <w:rPr/>
        <w:t xml:space="preserve"> Oder „in dein Haus“</w:t>
      </w:r>
    </w:p>
  </w:footnote>
  <w:footnote w:id="3869">
    <w:p>
      <w:pPr>
        <w:pStyle w:val="Funote"/>
        <w:rPr/>
      </w:pPr>
      <w:r>
        <w:rPr>
          <w:rStyle w:val="Funotenzeichen"/>
        </w:rPr>
        <w:footnoteRef/>
      </w:r>
      <w:r>
        <w:rPr>
          <w:i/>
        </w:rPr>
        <w:tab/>
        <w:t>hob auf</w:t>
      </w:r>
      <w:r>
        <w:rPr/>
        <w:t xml:space="preserve"> Temporal-modales </w:t>
      </w:r>
      <w:hyperlink r:id="rId291">
        <w:r>
          <w:rPr>
            <w:rStyle w:val="Internetverknpfung"/>
          </w:rPr>
          <w:t>Ptz. conj.</w:t>
        </w:r>
      </w:hyperlink>
      <w:r>
        <w:rPr/>
        <w:t>, beigeordnet.</w:t>
      </w:r>
    </w:p>
  </w:footnote>
  <w:footnote w:id="3870">
    <w:p>
      <w:pPr>
        <w:pStyle w:val="Funote"/>
        <w:rPr/>
      </w:pPr>
      <w:r>
        <w:rPr>
          <w:rStyle w:val="Funotenzeichen"/>
        </w:rPr>
        <w:footnoteRef/>
      </w:r>
      <w:r>
        <w:rPr>
          <w:i/>
        </w:rPr>
        <w:tab/>
        <w:t>Sie riefen</w:t>
      </w:r>
      <w:r>
        <w:rPr/>
        <w:t xml:space="preserve"> </w:t>
      </w:r>
      <w:hyperlink r:id="rId292">
        <w:r>
          <w:rPr>
            <w:rStyle w:val="Internetverknpfung"/>
          </w:rPr>
          <w:t>Ptz. conj.</w:t>
        </w:r>
      </w:hyperlink>
      <w:r>
        <w:rPr/>
        <w:t xml:space="preserve"> (modal-temporal), vielleicht </w:t>
      </w:r>
      <w:hyperlink r:id="rId293">
        <w:r>
          <w:rPr>
            <w:rStyle w:val="Internetverknpfung"/>
          </w:rPr>
          <w:t>pleonastisch</w:t>
        </w:r>
      </w:hyperlink>
      <w:r>
        <w:rPr/>
        <w:t>. Hier als separater Hauptsatz übersetzt.</w:t>
      </w:r>
    </w:p>
  </w:footnote>
  <w:footnote w:id="3871">
    <w:p>
      <w:pPr>
        <w:pStyle w:val="Funote"/>
        <w:rPr/>
      </w:pPr>
      <w:r>
        <w:rPr>
          <w:rStyle w:val="Funotenzeichen"/>
        </w:rPr>
        <w:footnoteRef/>
      </w:r>
      <w:r>
        <w:rPr>
          <w:i/>
        </w:rPr>
        <w:tab/>
        <w:t>ging hinaus</w:t>
      </w:r>
      <w:r>
        <w:rPr/>
        <w:t xml:space="preserve"> Jesus verließ das Haus und die Stadt Kafarnaum, wo er sich gerade aufhielt (</w:t>
      </w:r>
      <w:r>
        <w:fldChar w:fldCharType="begin"/>
      </w:r>
      <w:r>
        <w:rPr>
          <w:rStyle w:val="Internetverknpfung"/>
        </w:rPr>
        <w:instrText> HYPERLINK "../../../../../../../../../wiki/Markus_2" \l "s1"</w:instrText>
      </w:r>
      <w:r>
        <w:rPr>
          <w:rStyle w:val="Internetverknpfung"/>
        </w:rPr>
        <w:fldChar w:fldCharType="separate"/>
      </w:r>
      <w:r>
        <w:rPr>
          <w:rStyle w:val="Internetverknpfung"/>
        </w:rPr>
        <w:t>Mk 2,1</w:t>
      </w:r>
      <w:r>
        <w:rPr>
          <w:rStyle w:val="Internetverknpfung"/>
        </w:rPr>
        <w:fldChar w:fldCharType="end"/>
      </w:r>
      <w:r>
        <w:rPr/>
        <w:t>).</w:t>
      </w:r>
    </w:p>
  </w:footnote>
  <w:footnote w:id="3872">
    <w:p>
      <w:pPr>
        <w:pStyle w:val="Funote"/>
        <w:rPr/>
      </w:pPr>
      <w:r>
        <w:rPr>
          <w:rStyle w:val="Funotenzeichen"/>
        </w:rPr>
        <w:footnoteRef/>
      </w:r>
      <w:r>
        <w:rPr>
          <w:i/>
        </w:rPr>
        <w:tab/>
        <w:t>Meer</w:t>
      </w:r>
      <w:r>
        <w:rPr/>
        <w:t xml:space="preserve"> Gemeint ist der See Gennesaret (bei Markus: „Meer von Galiläa“, vgl. 1,16), an dessen Ufer Kafarnaum lag. Wer Markus von Anfang an liest, stellt diesen Bezug hier mühelos her.</w:t>
      </w:r>
    </w:p>
  </w:footnote>
  <w:footnote w:id="3873">
    <w:p>
      <w:pPr>
        <w:pStyle w:val="Funote"/>
        <w:rPr/>
      </w:pPr>
      <w:r>
        <w:rPr>
          <w:rStyle w:val="Funotenzeichen"/>
        </w:rPr>
        <w:footnoteRef/>
      </w:r>
      <w:r>
        <w:rPr>
          <w:i/>
        </w:rPr>
        <w:tab/>
        <w:t>kam</w:t>
      </w:r>
      <w:r>
        <w:rPr/>
        <w:t xml:space="preserve"> und </w:t>
      </w:r>
      <w:r>
        <w:rPr>
          <w:i/>
        </w:rPr>
        <w:t>lehrte</w:t>
      </w:r>
      <w:r>
        <w:rPr/>
        <w:t xml:space="preserve"> Das </w:t>
      </w:r>
      <w:hyperlink r:id="rId294">
        <w:r>
          <w:rPr>
            <w:rStyle w:val="Internetverknpfung"/>
          </w:rPr>
          <w:t>Imperfekt</w:t>
        </w:r>
      </w:hyperlink>
      <w:r>
        <w:rPr/>
        <w:t xml:space="preserve"> beschreibt passend die beiden andauernden Prozesse: Das Zusammenkommen einer Menschenmenge und Jesu Lehren.</w:t>
      </w:r>
    </w:p>
  </w:footnote>
  <w:footnote w:id="3874">
    <w:p>
      <w:pPr>
        <w:pStyle w:val="Funote"/>
        <w:rPr/>
      </w:pPr>
      <w:r>
        <w:rPr>
          <w:rStyle w:val="Funotenzeichen"/>
        </w:rPr>
        <w:footnoteRef/>
      </w:r>
      <w:r>
        <w:rPr>
          <w:i/>
        </w:rPr>
        <w:tab/>
        <w:t>im Vorbeigehen</w:t>
      </w:r>
      <w:r>
        <w:rPr/>
        <w:t xml:space="preserve"> </w:t>
      </w:r>
      <w:hyperlink r:id="rId295">
        <w:r>
          <w:rPr>
            <w:rStyle w:val="Internetverknpfung"/>
          </w:rPr>
          <w:t>Ptz. conj.</w:t>
        </w:r>
      </w:hyperlink>
      <w:r>
        <w:rPr/>
        <w:t xml:space="preserve"> (temporal), hier als Präpositionalphrase übersetzt. Auch möglich: „als/während er vorbeiging“</w:t>
      </w:r>
    </w:p>
  </w:footnote>
  <w:footnote w:id="3875">
    <w:p>
      <w:pPr>
        <w:pStyle w:val="Funote"/>
        <w:rPr/>
      </w:pPr>
      <w:r>
        <w:rPr>
          <w:rStyle w:val="Funotenzeichen"/>
        </w:rPr>
        <w:footnoteRef/>
      </w:r>
      <w:r>
        <w:rPr/>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876">
    <w:p>
      <w:pPr>
        <w:pStyle w:val="Funote"/>
        <w:rPr/>
      </w:pPr>
      <w:r>
        <w:rPr>
          <w:rStyle w:val="Funotenzeichen"/>
        </w:rPr>
        <w:footnoteRef/>
      </w:r>
      <w:r>
        <w:rPr>
          <w:i/>
        </w:rPr>
        <w:tab/>
        <w:t>sah … sitzen</w:t>
      </w:r>
      <w:r>
        <w:rPr/>
        <w:t xml:space="preserve"> </w:t>
      </w:r>
      <w:hyperlink r:id="rId296">
        <w:r>
          <w:rPr>
            <w:rStyle w:val="Internetverknpfung"/>
          </w:rPr>
          <w:t>AcP</w:t>
        </w:r>
      </w:hyperlink>
      <w:r>
        <w:rPr/>
        <w:t>, mit Infinitiv aufgelöst.</w:t>
      </w:r>
    </w:p>
  </w:footnote>
  <w:footnote w:id="3877">
    <w:p>
      <w:pPr>
        <w:pStyle w:val="Funote"/>
        <w:rPr/>
      </w:pPr>
      <w:r>
        <w:rPr>
          <w:rStyle w:val="Funotenzeichen"/>
        </w:rPr>
        <w:footnoteRef/>
      </w:r>
      <w:r>
        <w:rPr/>
        <w:tab/>
        <w:t>„</w:t>
      </w:r>
      <w:r>
        <w:rPr>
          <w:i/>
        </w:rPr>
        <w:t>Folge mir nach!“</w:t>
      </w:r>
      <w:r>
        <w:rPr/>
        <w:t xml:space="preserve"> Etwas freier vielleicht auch „Schließe dich mir an!“ Vgl. Mk 1,16-20.</w:t>
      </w:r>
    </w:p>
  </w:footnote>
  <w:footnote w:id="3878">
    <w:p>
      <w:pPr>
        <w:pStyle w:val="Funote"/>
        <w:rPr/>
      </w:pPr>
      <w:r>
        <w:rPr>
          <w:rStyle w:val="Funotenzeichen"/>
        </w:rPr>
        <w:footnoteRef/>
      </w:r>
      <w:r>
        <w:rPr>
          <w:i/>
        </w:rPr>
        <w:tab/>
        <w:t>stand auf</w:t>
      </w:r>
      <w:r>
        <w:rPr/>
        <w:t xml:space="preserve"> </w:t>
      </w:r>
      <w:hyperlink r:id="rId297">
        <w:r>
          <w:rPr>
            <w:rStyle w:val="Internetverknpfung"/>
          </w:rPr>
          <w:t>Beschreibendes Partizip</w:t>
        </w:r>
      </w:hyperlink>
      <w:r>
        <w:rPr/>
        <w:t xml:space="preserve"> (Aorist). </w:t>
      </w:r>
    </w:p>
  </w:footnote>
  <w:footnote w:id="3879">
    <w:p>
      <w:pPr>
        <w:pStyle w:val="Funote"/>
        <w:rPr/>
      </w:pPr>
      <w:r>
        <w:rPr>
          <w:rStyle w:val="Funotenzeichen"/>
        </w:rPr>
        <w:footnoteRef/>
      </w:r>
      <w:r>
        <w:rPr/>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880">
    <w:p>
      <w:pPr>
        <w:pStyle w:val="Funote"/>
        <w:rPr/>
      </w:pPr>
      <w:r>
        <w:rPr>
          <w:rStyle w:val="Funotenzeichen"/>
        </w:rPr>
        <w:footnoteRef/>
      </w:r>
      <w:r>
        <w:rPr>
          <w:i/>
        </w:rPr>
        <w:tab/>
        <w:t>in seinem Haus</w:t>
      </w:r>
      <w:r>
        <w:rPr/>
        <w:t xml:space="preserve"> Markus meint wohl Levis Haus, in das Jesus eingeladen ist (so auch Lk 5,29), doch es könnte sich aber auch um Jesu Haus (Mk 2,1) handeln, in dem Levi zu Gast ist.</w:t>
      </w:r>
    </w:p>
  </w:footnote>
  <w:footnote w:id="3881">
    <w:p>
      <w:pPr>
        <w:pStyle w:val="Funote"/>
        <w:rPr/>
      </w:pPr>
      <w:r>
        <w:rPr>
          <w:rStyle w:val="Funotenzeichen"/>
        </w:rPr>
        <w:footnoteRef/>
      </w:r>
      <w:r>
        <w:rPr/>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882">
    <w:p>
      <w:pPr>
        <w:pStyle w:val="Funote"/>
        <w:rPr/>
      </w:pPr>
      <w:r>
        <w:rPr>
          <w:rStyle w:val="Funotenzeichen"/>
        </w:rPr>
        <w:footnoteRef/>
      </w:r>
      <w:r>
        <w:rPr>
          <w:i/>
        </w:rPr>
        <w:tab/>
        <w:t>nahmen an der Mahlzeit teil</w:t>
      </w:r>
      <w:r>
        <w:rPr/>
        <w:t xml:space="preserve"> ist die Übersetzung des Prädikats (wie </w:t>
      </w:r>
      <w:r>
        <w:rPr>
          <w:i/>
        </w:rPr>
        <w:t>nachfolgten</w:t>
      </w:r>
      <w:r>
        <w:rPr/>
        <w:t xml:space="preserve"> </w:t>
      </w:r>
      <w:hyperlink r:id="rId298">
        <w:r>
          <w:rPr>
            <w:rStyle w:val="Internetverknpfung"/>
          </w:rPr>
          <w:t>Imperfekt</w:t>
        </w:r>
      </w:hyperlink>
      <w:r>
        <w:rPr/>
        <w:t>).</w:t>
      </w:r>
    </w:p>
  </w:footnote>
  <w:footnote w:id="3883">
    <w:p>
      <w:pPr>
        <w:pStyle w:val="Funote"/>
        <w:rPr/>
      </w:pPr>
      <w:r>
        <w:rPr>
          <w:rStyle w:val="Funotenzeichen"/>
        </w:rPr>
        <w:footnoteRef/>
      </w:r>
      <w:r>
        <w:rPr/>
        <w:tab/>
        <w:t xml:space="preserve">die Eigentlich „und“, </w:t>
      </w:r>
      <w:r>
        <w:rPr>
          <w:lang w:val="el-GR"/>
        </w:rPr>
        <w:t>καὶ</w:t>
      </w:r>
      <w:r>
        <w:rPr/>
        <w:t xml:space="preserve"> kann aber auch in der Funktion eines Relativpronomens genutzt werden (BDR §442.4).</w:t>
      </w:r>
    </w:p>
  </w:footnote>
  <w:footnote w:id="3884">
    <w:p>
      <w:pPr>
        <w:pStyle w:val="Funote"/>
        <w:rPr/>
      </w:pPr>
      <w:r>
        <w:rPr>
          <w:rStyle w:val="Funotenzeichen"/>
        </w:rPr>
        <w:footnoteRef/>
      </w:r>
      <w:r>
        <w:rPr>
          <w:i/>
        </w:rPr>
        <w:tab/>
        <w:t>die Schriftgelehrten der Pharisäer</w:t>
      </w:r>
      <w:r>
        <w:rPr/>
        <w:t xml:space="preserve"> (</w:t>
      </w:r>
      <w:hyperlink r:id="rId299">
        <w:r>
          <w:rPr>
            <w:rStyle w:val="Internetverknpfung"/>
          </w:rPr>
          <w:t>Gen. part.</w:t>
        </w:r>
      </w:hyperlink>
      <w:r>
        <w:rPr/>
        <w:t>), der Genitiv zeigt Parteizugehörigkeit an. Nicht alle Pharisäer waren Schriftgelehrte, und nicht alle Schriftgelehrten waren Pharisäer – gemeint sind also die pharisäischen Schriftgelehrten.</w:t>
      </w:r>
    </w:p>
  </w:footnote>
  <w:footnote w:id="3885">
    <w:p>
      <w:pPr>
        <w:pStyle w:val="Funote"/>
        <w:rPr/>
      </w:pPr>
      <w:r>
        <w:rPr>
          <w:rStyle w:val="Funotenzeichen"/>
        </w:rPr>
        <w:footnoteRef/>
      </w:r>
      <w:r>
        <w:rPr>
          <w:i/>
        </w:rPr>
        <w:tab/>
        <w:t>als … sahen</w:t>
      </w:r>
      <w:r>
        <w:rPr/>
        <w:t xml:space="preserve"> </w:t>
      </w:r>
      <w:hyperlink r:id="rId300">
        <w:r>
          <w:rPr>
            <w:rStyle w:val="Internetverknpfung"/>
          </w:rPr>
          <w:t>Ptz. conj.</w:t>
        </w:r>
      </w:hyperlink>
      <w:r>
        <w:rPr/>
        <w:t xml:space="preserve"> (Aorist), als temporaler Nebensatz aufgelöst. </w:t>
      </w:r>
    </w:p>
  </w:footnote>
  <w:footnote w:id="3886">
    <w:p>
      <w:pPr>
        <w:pStyle w:val="Funote"/>
        <w:rPr/>
      </w:pPr>
      <w:r>
        <w:rPr>
          <w:rStyle w:val="Funotenzeichen"/>
        </w:rPr>
        <w:footnoteRef/>
      </w:r>
      <w:r>
        <w:rPr>
          <w:i/>
        </w:rPr>
        <w:tab/>
        <w:t>aß</w:t>
      </w:r>
      <w:r>
        <w:rPr/>
        <w:t xml:space="preserve"> W. „isst“</w:t>
      </w:r>
    </w:p>
  </w:footnote>
  <w:footnote w:id="3887">
    <w:p>
      <w:pPr>
        <w:pStyle w:val="Funote"/>
        <w:rPr/>
      </w:pPr>
      <w:r>
        <w:rPr>
          <w:rStyle w:val="Funotenzeichen"/>
        </w:rPr>
        <w:footnoteRef/>
      </w:r>
      <w:r>
        <w:rPr/>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888">
    <w:p>
      <w:pPr>
        <w:pStyle w:val="Funote"/>
        <w:rPr/>
      </w:pPr>
      <w:r>
        <w:rPr>
          <w:rStyle w:val="Funotenzeichen"/>
        </w:rPr>
        <w:footnoteRef/>
      </w:r>
      <w:r>
        <w:rPr>
          <w:i/>
        </w:rPr>
        <w:tab/>
        <w:t>als … hörte</w:t>
      </w:r>
      <w:r>
        <w:rPr/>
        <w:t xml:space="preserve"> </w:t>
      </w:r>
      <w:hyperlink r:id="rId301">
        <w:r>
          <w:rPr>
            <w:rStyle w:val="Internetverknpfung"/>
          </w:rPr>
          <w:t>Ptz. conj.</w:t>
        </w:r>
      </w:hyperlink>
      <w:r>
        <w:rPr/>
        <w:t>, temporal als Nebensatz mit „als“ aufgelöst.</w:t>
      </w:r>
    </w:p>
  </w:footnote>
  <w:footnote w:id="3889">
    <w:p>
      <w:pPr>
        <w:pStyle w:val="Funote"/>
        <w:rPr/>
      </w:pPr>
      <w:r>
        <w:rPr>
          <w:rStyle w:val="Funotenzeichen"/>
        </w:rPr>
        <w:footnoteRef/>
      </w:r>
      <w:r>
        <w:rPr>
          <w:i/>
        </w:rPr>
        <w:tab/>
        <w:t>{dass}:</w:t>
      </w:r>
      <w:r>
        <w:rPr/>
        <w:t xml:space="preserve"> Das </w:t>
      </w:r>
      <w:hyperlink r:id="rId302">
        <w:r>
          <w:rPr>
            <w:rStyle w:val="Internetverknpfung"/>
          </w:rPr>
          <w:t>Ὅτι recitativum"&gt;</w:t>
        </w:r>
        <w:r>
          <w:rPr>
            <w:rStyle w:val="Internetverknpfung"/>
            <w:lang w:val="el-GR"/>
          </w:rPr>
          <w:t>ὅτι</w:t>
        </w:r>
        <w:r>
          <w:rPr>
            <w:rStyle w:val="Internetverknpfung"/>
          </w:rPr>
          <w:t xml:space="preserve"> recitativum</w:t>
        </w:r>
      </w:hyperlink>
      <w:r>
        <w:rPr/>
        <w:t xml:space="preserve"> übersetzt man am besten als Doppelpunkt.</w:t>
      </w:r>
    </w:p>
  </w:footnote>
  <w:footnote w:id="3890">
    <w:p>
      <w:pPr>
        <w:pStyle w:val="Funote"/>
        <w:rPr/>
      </w:pPr>
      <w:r>
        <w:rPr>
          <w:rStyle w:val="Funotenzeichen"/>
        </w:rPr>
        <w:footnoteRef/>
      </w:r>
      <w:r>
        <w:rPr>
          <w:i/>
        </w:rPr>
        <w:tab/>
        <w:t>die, denen es schlecht geht</w:t>
      </w:r>
      <w:r>
        <w:rPr/>
        <w:t xml:space="preserve"> </w:t>
      </w:r>
      <w:hyperlink r:id="rId303">
        <w:r>
          <w:rPr>
            <w:rStyle w:val="Internetverknpfung"/>
          </w:rPr>
          <w:t>Subst. Ptz.</w:t>
        </w:r>
      </w:hyperlink>
      <w:r>
        <w:rPr/>
        <w:t xml:space="preserve">, als Relativsatz aufgelöst. </w:t>
      </w:r>
      <w:r>
        <w:rPr>
          <w:i/>
        </w:rPr>
        <w:t>die Kranken</w:t>
      </w:r>
      <w:r>
        <w:rPr/>
        <w:t xml:space="preserve"> ist eine geläufige Übersetzung dieser Wendung, die wir auch Mk 1,32.34 und 6,55 verwenden.</w:t>
      </w:r>
    </w:p>
  </w:footnote>
  <w:footnote w:id="3891">
    <w:p>
      <w:pPr>
        <w:pStyle w:val="Funote"/>
        <w:rPr/>
      </w:pPr>
      <w:r>
        <w:rPr>
          <w:rStyle w:val="Funotenzeichen"/>
        </w:rPr>
        <w:footnoteRef/>
      </w:r>
      <w:r>
        <w:rPr/>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892">
    <w:p>
      <w:pPr>
        <w:pStyle w:val="Funote"/>
        <w:rPr/>
      </w:pPr>
      <w:r>
        <w:rPr>
          <w:rStyle w:val="Funotenzeichen"/>
        </w:rPr>
        <w:footnoteRef/>
      </w:r>
      <w:r>
        <w:rPr>
          <w:i/>
        </w:rPr>
        <w:tab/>
        <w:t>kamen</w:t>
      </w:r>
      <w:r>
        <w:rPr/>
        <w:t xml:space="preserve"> und </w:t>
      </w:r>
      <w:r>
        <w:rPr>
          <w:i/>
        </w:rPr>
        <w:t>fragten</w:t>
      </w:r>
      <w:r>
        <w:rPr/>
        <w:t xml:space="preserve"> </w:t>
      </w:r>
      <w:hyperlink r:id="rId304">
        <w:r>
          <w:rPr>
            <w:rStyle w:val="Internetverknpfung"/>
          </w:rPr>
          <w:t>Historisches Präsens</w:t>
        </w:r>
      </w:hyperlink>
      <w:r>
        <w:rPr/>
        <w:t>.</w:t>
      </w:r>
    </w:p>
  </w:footnote>
  <w:footnote w:id="3893">
    <w:p>
      <w:pPr>
        <w:pStyle w:val="Funote"/>
        <w:rPr/>
      </w:pPr>
      <w:r>
        <w:rPr>
          <w:rStyle w:val="Funotenzeichen"/>
        </w:rPr>
        <w:footnoteRef/>
      </w:r>
      <w:r>
        <w:rPr/>
        <w:tab/>
        <w:t>Jünger der Pharisäer Da es bei den Pharisäern keine Jünger gab (die Formulierung aber aus rhetorischen Gründen zum Einsatz kommt; France 2002, 138), wäre in diesem Vers die durchgängige Übersetzung »Anhänger« vielleicht passender.</w:t>
      </w:r>
    </w:p>
  </w:footnote>
  <w:footnote w:id="3894">
    <w:p>
      <w:pPr>
        <w:pStyle w:val="Funote"/>
        <w:rPr/>
      </w:pPr>
      <w:r>
        <w:rPr>
          <w:rStyle w:val="Funotenzeichen"/>
        </w:rPr>
        <w:footnoteRef/>
      </w:r>
      <w:r>
        <w:rPr/>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895">
    <w:p>
      <w:pPr>
        <w:pStyle w:val="Funote"/>
        <w:rPr/>
      </w:pPr>
      <w:r>
        <w:rPr>
          <w:rStyle w:val="Funotenzeichen"/>
        </w:rPr>
        <w:footnoteRef/>
      </w:r>
      <w:r>
        <w:rPr/>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896">
    <w:p>
      <w:pPr>
        <w:pStyle w:val="Funote"/>
        <w:rPr/>
      </w:pPr>
      <w:r>
        <w:rPr>
          <w:rStyle w:val="Funotenzeichen"/>
        </w:rPr>
        <w:footnoteRef/>
      </w:r>
      <w:r>
        <w:rPr>
          <w:i/>
        </w:rPr>
        <w:tab/>
        <w:t>Tage/Tag</w:t>
      </w:r>
      <w:r>
        <w:rPr/>
        <w:t xml:space="preserve"> Wie im AT häufig stehen hier </w:t>
      </w:r>
      <w:r>
        <w:rPr>
          <w:i/>
        </w:rPr>
        <w:t>Tage</w:t>
      </w:r>
      <w:r>
        <w:rPr/>
        <w:t>, wo man auf Deutsch „(eine) Zeit“ sagen würde.</w:t>
      </w:r>
    </w:p>
  </w:footnote>
  <w:footnote w:id="3897">
    <w:p>
      <w:pPr>
        <w:pStyle w:val="Funote"/>
        <w:rPr/>
      </w:pPr>
      <w:r>
        <w:rPr>
          <w:rStyle w:val="Funotenzeichen"/>
        </w:rPr>
        <w:footnoteRef/>
      </w:r>
      <w:r>
        <w:rPr/>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898">
    <w:p>
      <w:pPr>
        <w:pStyle w:val="Funote"/>
        <w:rPr/>
      </w:pPr>
      <w:r>
        <w:rPr>
          <w:rStyle w:val="Funotenzeichen"/>
        </w:rPr>
        <w:footnoteRef/>
      </w:r>
      <w:r>
        <w:rPr/>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899">
    <w:p>
      <w:pPr>
        <w:pStyle w:val="Funote"/>
        <w:rPr/>
      </w:pPr>
      <w:r>
        <w:rPr>
          <w:rStyle w:val="Funotenzeichen"/>
        </w:rPr>
        <w:footnoteRef/>
      </w:r>
      <w:r>
        <w:rPr>
          <w:i/>
        </w:rPr>
        <w:tab/>
        <w:t>{Und es ereignete sich} [Einmal, als]</w:t>
      </w:r>
      <w:r>
        <w:rPr/>
        <w:t xml:space="preserve"> </w:t>
      </w:r>
      <w:r>
        <w:rPr>
          <w:lang w:val="el-GR"/>
        </w:rPr>
        <w:t>ἐγένετο</w:t>
      </w:r>
      <w:r>
        <w:rPr/>
        <w:t xml:space="preserve"> „es ereignete sich“ + </w:t>
      </w:r>
      <w:hyperlink r:id="rId305">
        <w:r>
          <w:rPr>
            <w:rStyle w:val="Internetverknpfung"/>
          </w:rPr>
          <w:t>AcI</w:t>
        </w:r>
      </w:hyperlink>
      <w:r>
        <w:rPr/>
        <w:t xml:space="preserve">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900">
    <w:p>
      <w:pPr>
        <w:pStyle w:val="Funote"/>
        <w:rPr/>
      </w:pPr>
      <w:r>
        <w:rPr>
          <w:rStyle w:val="Funotenzeichen"/>
        </w:rPr>
        <w:footnoteRef/>
      </w:r>
      <w:r>
        <w:rPr/>
        <w:tab/>
        <w:t xml:space="preserve">fingen seine Jünger an, unterwegs {die} Ähren abzureißen Impliziert ist die weitere Information: „und zu essen“ (vgl. NGÜ), wie die Parallestellen Mt 12,1 und Lk 6,1 verdeutlichen. W. „fingen seine Jünger an, [sich] einen Weg zu bahnen, wobei (indem) sie Ähren abrissen.“ Was genau die Jünger taten, wird erst auf den zweiten Blick klar. Man erhält zunächst den Eindruck, dass die Jünger sich einen Weg durch das Feld bahnten, nicht indem sie die Halme flachtraten, sondern indem sie sie einzeln abrissen!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abzureißen.“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901">
    <w:p>
      <w:pPr>
        <w:pStyle w:val="Funote"/>
        <w:rPr/>
      </w:pPr>
      <w:r>
        <w:rPr>
          <w:rStyle w:val="Funotenzeichen"/>
        </w:rPr>
        <w:footnoteRef/>
      </w:r>
      <w:r>
        <w:rPr/>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902">
    <w:p>
      <w:pPr>
        <w:pStyle w:val="Funote"/>
        <w:rPr/>
      </w:pPr>
      <w:r>
        <w:rPr>
          <w:rStyle w:val="Funotenzeichen"/>
        </w:rPr>
        <w:footnoteRef/>
      </w:r>
      <w:r>
        <w:rPr/>
        <w:tab/>
        <w:t>in einer Notlage war ([nichts zu essen] hatte) W. »Mangel hatte/litt«. In heutigem Deutsch müssen wir entweder etwas allgemeiner (wie vor der Klammer) oder spezifischer (wie in der Klammer) formulieren. Zu unserer Übersetzung vgl. LUT, ELB, ZÜR, MEN.</w:t>
      </w:r>
    </w:p>
  </w:footnote>
  <w:footnote w:id="3903">
    <w:p>
      <w:pPr>
        <w:pStyle w:val="Funote"/>
        <w:rPr/>
      </w:pPr>
      <w:r>
        <w:rPr>
          <w:rStyle w:val="Funotenzeichen"/>
        </w:rPr>
        <w:footnoteRef/>
      </w:r>
      <w:r>
        <w:rPr/>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904">
    <w:p>
      <w:pPr>
        <w:pStyle w:val="Funote"/>
        <w:rPr/>
      </w:pPr>
      <w:r>
        <w:rPr>
          <w:rStyle w:val="Funotenzeichen"/>
        </w:rPr>
        <w:footnoteRef/>
      </w:r>
      <w:r>
        <w:rPr/>
        <w:tab/>
        <w:t>geweihte Brote W. etwa »Brote der Ausstellung« (appositiver Genitiv), also zu Deutsch »die ausgestellten Brote«. Jesus benutzt hier den Begriff aus der LXX für die aus dem AT bekannten »geweihten Brote« oder »Schaubrote« (NSS).</w:t>
      </w:r>
    </w:p>
  </w:footnote>
  <w:footnote w:id="3905">
    <w:p>
      <w:pPr>
        <w:pStyle w:val="Funote"/>
        <w:rPr/>
      </w:pPr>
      <w:r>
        <w:rPr>
          <w:rStyle w:val="Funotenzeichen"/>
        </w:rPr>
        <w:footnoteRef/>
      </w:r>
      <w:r>
        <w:rPr/>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906">
    <w:p>
      <w:pPr>
        <w:pStyle w:val="Funote"/>
        <w:rPr/>
      </w:pPr>
      <w:r>
        <w:rPr>
          <w:rStyle w:val="Funotenzeichen"/>
        </w:rPr>
        <w:footnoteRef/>
      </w:r>
      <w:r>
        <w:rPr/>
        <w:tab/>
        <w:t xml:space="preserve">Herr sogar [über] den Sabbat </w:t>
      </w:r>
      <w:r>
        <w:rPr>
          <w:lang w:val="el-GR"/>
        </w:rPr>
        <w:t>κύριός</w:t>
      </w:r>
      <w:r>
        <w:rPr/>
        <w:t xml:space="preserve"> Herr mit Genitiv heißt »Herr über« (NSS).</w:t>
      </w:r>
    </w:p>
  </w:footnote>
  <w:footnote w:id="3907">
    <w:p>
      <w:pPr>
        <w:pStyle w:val="Funote"/>
        <w:rPr/>
      </w:pPr>
      <w:r>
        <w:rPr>
          <w:rStyle w:val="Funotenzeichen"/>
        </w:rPr>
        <w:footnoteRef/>
      </w:r>
      <w:r>
        <w:rPr/>
        <w:tab/>
        <w:t>[Status: Zuverlässig]</w:t>
      </w:r>
    </w:p>
  </w:footnote>
  <w:footnote w:id="3908">
    <w:p>
      <w:pPr>
        <w:pStyle w:val="Funote"/>
        <w:rPr/>
      </w:pPr>
      <w:r>
        <w:rPr>
          <w:rStyle w:val="Funotenzeichen"/>
        </w:rPr>
        <w:footnoteRef/>
      </w:r>
      <w:r>
        <w:rPr/>
        <w:tab/>
        <w:t>verkrüppelt W. „verdorrt“ (LUT, ELB, EÜ), „vertrocknet“, was den damaligen medizinischen Vorstellungen entsprach (Collins 2007, 206). GNB: „abgestorben“, ZÜR: „verkümmert“, MEN: „gelähmt“. Unsere Übersetzung wie NGÜ.</w:t>
      </w:r>
    </w:p>
  </w:footnote>
  <w:footnote w:id="3909">
    <w:p>
      <w:pPr>
        <w:pStyle w:val="Funote"/>
        <w:rPr/>
      </w:pPr>
      <w:r>
        <w:rPr>
          <w:rStyle w:val="Funotenzeichen"/>
        </w:rPr>
        <w:footnoteRef/>
      </w:r>
      <w:r>
        <w:rPr>
          <w:i/>
        </w:rPr>
        <w:tab/>
        <w:t>der ... hatte</w:t>
      </w:r>
      <w:r>
        <w:rPr/>
        <w:t xml:space="preserve"> </w:t>
      </w:r>
      <w:hyperlink r:id="rId306">
        <w:r>
          <w:rPr>
            <w:rStyle w:val="Internetverknpfung"/>
          </w:rPr>
          <w:t>Attributives Partizip</w:t>
        </w:r>
      </w:hyperlink>
      <w:r>
        <w:rPr/>
        <w:t xml:space="preserve"> Präsens. Als Relativsatz aufgelöst.</w:t>
      </w:r>
    </w:p>
  </w:footnote>
  <w:footnote w:id="3910">
    <w:p>
      <w:pPr>
        <w:pStyle w:val="Funote"/>
        <w:rPr/>
      </w:pPr>
      <w:r>
        <w:rPr>
          <w:rStyle w:val="Funotenzeichen"/>
        </w:rPr>
        <w:footnoteRef/>
      </w:r>
      <w:r>
        <w:rPr>
          <w:i/>
        </w:rPr>
        <w:tab/>
        <w:t>sie achteten (man achtete, sie lauerten) genau</w:t>
      </w:r>
      <w:r>
        <w:rPr/>
        <w:t xml:space="preserve">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911">
    <w:p>
      <w:pPr>
        <w:pStyle w:val="Funote"/>
        <w:rPr/>
      </w:pPr>
      <w:r>
        <w:rPr>
          <w:rStyle w:val="Funotenzeichen"/>
        </w:rPr>
        <w:footnoteRef/>
      </w:r>
      <w:r>
        <w:rPr>
          <w:i/>
        </w:rPr>
        <w:tab/>
        <w:t>[am] Sabbat</w:t>
      </w:r>
      <w:r>
        <w:rPr/>
        <w:t xml:space="preserve"> </w:t>
      </w:r>
      <w:hyperlink r:id="rId307">
        <w:r>
          <w:rPr>
            <w:rStyle w:val="Internetverknpfung"/>
          </w:rPr>
          <w:t>Temporaler Dativ</w:t>
        </w:r>
      </w:hyperlink>
      <w:r>
        <w:rPr/>
        <w:t>.</w:t>
      </w:r>
    </w:p>
  </w:footnote>
  <w:footnote w:id="3912">
    <w:p>
      <w:pPr>
        <w:pStyle w:val="Funote"/>
        <w:rPr/>
      </w:pPr>
      <w:r>
        <w:rPr>
          <w:rStyle w:val="Funotenzeichen"/>
        </w:rPr>
        <w:footnoteRef/>
      </w:r>
      <w:r>
        <w:rPr>
          <w:i/>
        </w:rPr>
        <w:tab/>
        <w:t>sagte</w:t>
      </w:r>
      <w:r>
        <w:rPr/>
        <w:t xml:space="preserve"> </w:t>
      </w:r>
      <w:hyperlink r:id="rId308">
        <w:r>
          <w:rPr>
            <w:rStyle w:val="Internetverknpfung"/>
          </w:rPr>
          <w:t>Historisches Präsens</w:t>
        </w:r>
      </w:hyperlink>
      <w:r>
        <w:rPr/>
        <w:t xml:space="preserve">. </w:t>
      </w:r>
    </w:p>
  </w:footnote>
  <w:footnote w:id="3913">
    <w:p>
      <w:pPr>
        <w:pStyle w:val="Funote"/>
        <w:rPr/>
      </w:pPr>
      <w:r>
        <w:rPr>
          <w:rStyle w:val="Funotenzeichen"/>
        </w:rPr>
        <w:footnoteRef/>
      </w:r>
      <w:r>
        <w:rPr>
          <w:i/>
        </w:rPr>
        <w:tab/>
        <w:t>mit der verkümmerten Hand</w:t>
      </w:r>
      <w:r>
        <w:rPr/>
        <w:t xml:space="preserve"> </w:t>
      </w:r>
      <w:hyperlink r:id="rId309">
        <w:r>
          <w:rPr>
            <w:rStyle w:val="Internetverknpfung"/>
          </w:rPr>
          <w:t>Attr. Ptz.</w:t>
        </w:r>
      </w:hyperlink>
      <w:r>
        <w:rPr/>
        <w:t xml:space="preserve"> (vgl. V. 1), aus stilistischen Gründen nicht als Relativsatz, sondern als Präpositionalphrase übersetzt. </w:t>
      </w:r>
      <w:r>
        <w:rPr>
          <w:i/>
        </w:rPr>
        <w:t>verkümmert</w:t>
      </w:r>
      <w:r>
        <w:rPr/>
        <w:t xml:space="preserve"> S. die </w:t>
      </w:r>
      <w:hyperlink w:anchor="note_a">
        <w:r>
          <w:rPr>
            <w:rStyle w:val="Internetverknpfung"/>
          </w:rPr>
          <w:t>Fn zu „verkrüppelt“</w:t>
        </w:r>
      </w:hyperlink>
      <w:r>
        <w:rPr/>
        <w:t xml:space="preserve"> in V. 1. Hier benutzt Markus ein Adjektiv aus derselben Wurzel wie das Ptz. in V. 1, das sich in der Bedeutung nicht wesentlich unterscheidet.</w:t>
      </w:r>
    </w:p>
  </w:footnote>
  <w:footnote w:id="3914">
    <w:p>
      <w:pPr>
        <w:pStyle w:val="Funote"/>
        <w:rPr/>
      </w:pPr>
      <w:r>
        <w:rPr>
          <w:rStyle w:val="Funotenzeichen"/>
        </w:rPr>
        <w:footnoteRef/>
      </w:r>
      <w:r>
        <w:rPr>
          <w:i/>
        </w:rPr>
        <w:tab/>
        <w:t>Komm (Steh auf)</w:t>
      </w:r>
      <w:r>
        <w:rPr/>
        <w:t xml:space="preserve">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915">
    <w:p>
      <w:pPr>
        <w:pStyle w:val="Funote"/>
        <w:rPr/>
      </w:pPr>
      <w:r>
        <w:rPr>
          <w:rStyle w:val="Funotenzeichen"/>
        </w:rPr>
        <w:footnoteRef/>
      </w:r>
      <w:r>
        <w:rPr>
          <w:i/>
        </w:rPr>
        <w:tab/>
        <w:t>fragte</w:t>
      </w:r>
      <w:r>
        <w:rPr/>
        <w:t xml:space="preserve"> </w:t>
      </w:r>
      <w:hyperlink r:id="rId310">
        <w:r>
          <w:rPr>
            <w:rStyle w:val="Internetverknpfung"/>
          </w:rPr>
          <w:t>Historisches Präsens</w:t>
        </w:r>
      </w:hyperlink>
      <w:r>
        <w:rPr/>
        <w:t xml:space="preserve">. </w:t>
      </w:r>
    </w:p>
  </w:footnote>
  <w:footnote w:id="3916">
    <w:p>
      <w:pPr>
        <w:pStyle w:val="Funote"/>
        <w:rPr/>
      </w:pPr>
      <w:r>
        <w:rPr>
          <w:rStyle w:val="Funotenzeichen"/>
        </w:rPr>
        <w:footnoteRef/>
      </w:r>
      <w:r>
        <w:rPr>
          <w:i/>
        </w:rPr>
        <w:tab/>
        <w:t>[am] Sabbat</w:t>
      </w:r>
      <w:r>
        <w:rPr/>
        <w:t xml:space="preserve"> </w:t>
      </w:r>
      <w:hyperlink r:id="rId311">
        <w:r>
          <w:rPr>
            <w:rStyle w:val="Internetverknpfung"/>
          </w:rPr>
          <w:t>Temporaler Dativ</w:t>
        </w:r>
      </w:hyperlink>
      <w:r>
        <w:rPr/>
        <w:t>.</w:t>
      </w:r>
    </w:p>
  </w:footnote>
  <w:footnote w:id="3917">
    <w:p>
      <w:pPr>
        <w:pStyle w:val="Funote"/>
        <w:rPr/>
      </w:pPr>
      <w:r>
        <w:rPr>
          <w:rStyle w:val="Funotenzeichen"/>
        </w:rPr>
        <w:footnoteRef/>
      </w:r>
      <w:r>
        <w:rPr>
          <w:i/>
        </w:rPr>
        <w:tab/>
        <w:t>voll Zorn (zornig)</w:t>
      </w:r>
      <w:r>
        <w:rPr/>
        <w:t xml:space="preserve"> Die Präposition </w:t>
      </w:r>
      <w:r>
        <w:rPr>
          <w:lang w:val="el-GR"/>
        </w:rPr>
        <w:t>μετά</w:t>
      </w:r>
      <w:r>
        <w:rPr/>
        <w:t xml:space="preserve"> + [Gefühl] dient zur Angabe von Gemütszuständen (BDAG Bed. III.1).</w:t>
      </w:r>
    </w:p>
  </w:footnote>
  <w:footnote w:id="3918">
    <w:p>
      <w:pPr>
        <w:pStyle w:val="Funote"/>
        <w:rPr/>
      </w:pPr>
      <w:r>
        <w:rPr>
          <w:rStyle w:val="Funotenzeichen"/>
        </w:rPr>
        <w:footnoteRef/>
      </w:r>
      <w:r>
        <w:rPr/>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919">
    <w:p>
      <w:pPr>
        <w:pStyle w:val="Funote"/>
        <w:rPr/>
      </w:pPr>
      <w:r>
        <w:rPr>
          <w:rStyle w:val="Funotenzeichen"/>
        </w:rPr>
        <w:footnoteRef/>
      </w:r>
      <w:r>
        <w:rPr/>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920">
    <w:p>
      <w:pPr>
        <w:pStyle w:val="Funote"/>
        <w:rPr/>
      </w:pPr>
      <w:r>
        <w:rPr>
          <w:rStyle w:val="Funotenzeichen"/>
        </w:rPr>
        <w:footnoteRef/>
      </w:r>
      <w:r>
        <w:rPr>
          <w:i/>
        </w:rPr>
        <w:tab/>
        <w:t>ihrer Herzen</w:t>
      </w:r>
      <w:r>
        <w:rPr/>
        <w:t xml:space="preserve"> W. „ihres Herzens“</w:t>
      </w:r>
    </w:p>
  </w:footnote>
  <w:footnote w:id="3921">
    <w:p>
      <w:pPr>
        <w:pStyle w:val="Funote"/>
        <w:rPr/>
      </w:pPr>
      <w:r>
        <w:rPr>
          <w:rStyle w:val="Funotenzeichen"/>
        </w:rPr>
        <w:footnoteRef/>
      </w:r>
      <w:r>
        <w:rPr>
          <w:i/>
        </w:rPr>
        <w:tab/>
        <w:t>sobald … hinausgegangen waren</w:t>
      </w:r>
      <w:r>
        <w:rPr/>
        <w:t xml:space="preserve"> </w:t>
      </w:r>
      <w:hyperlink r:id="rId312">
        <w:r>
          <w:rPr>
            <w:rStyle w:val="Internetverknpfung"/>
          </w:rPr>
          <w:t>Ptz. conj.</w:t>
        </w:r>
      </w:hyperlink>
      <w:r>
        <w:rPr/>
        <w:t>, temporal (vorzeitig) als Nebensatz aufgelöst. Ebenfalls möglich: „Doch die Pharisäer gingen hinaus und...“ (gleichzeitig)</w:t>
      </w:r>
    </w:p>
  </w:footnote>
  <w:footnote w:id="3922">
    <w:p>
      <w:pPr>
        <w:pStyle w:val="Funote"/>
        <w:rPr/>
      </w:pPr>
      <w:r>
        <w:rPr>
          <w:rStyle w:val="Funotenzeichen"/>
        </w:rPr>
        <w:footnoteRef/>
      </w:r>
      <w:r>
        <w:rPr/>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923">
    <w:p>
      <w:pPr>
        <w:pStyle w:val="Funote"/>
        <w:rPr/>
      </w:pPr>
      <w:r>
        <w:rPr>
          <w:rStyle w:val="Funotenzeichen"/>
        </w:rPr>
        <w:footnoteRef/>
      </w:r>
      <w:r>
        <w:rPr>
          <w:i/>
        </w:rPr>
        <w:tab/>
        <w:t>Meer</w:t>
      </w:r>
      <w:r>
        <w:rPr/>
        <w:t xml:space="preserve"> Gemeint ist wie schon in Mk 2,13 der See Gennesaret, das „Meer von Galiläa“. Auch die gesonderte Erwähnung der Menschenmenge aus Galiläa weist darauf hin.</w:t>
      </w:r>
    </w:p>
  </w:footnote>
  <w:footnote w:id="3924">
    <w:p>
      <w:pPr>
        <w:pStyle w:val="Funote"/>
        <w:rPr/>
      </w:pPr>
      <w:r>
        <w:rPr>
          <w:rStyle w:val="Funotenzeichen"/>
        </w:rPr>
        <w:footnoteRef/>
      </w:r>
      <w:r>
        <w:rPr/>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925">
    <w:p>
      <w:pPr>
        <w:pStyle w:val="Funote"/>
        <w:rPr/>
      </w:pPr>
      <w:r>
        <w:rPr>
          <w:rStyle w:val="Funotenzeichen"/>
        </w:rPr>
        <w:footnoteRef/>
      </w:r>
      <w:r>
        <w:rPr>
          <w:i/>
        </w:rPr>
        <w:tab/>
        <w:t>kam</w:t>
      </w:r>
      <w:r>
        <w:rPr/>
        <w:t xml:space="preserve"> W. „kamen“ (</w:t>
      </w:r>
      <w:hyperlink r:id="rId313">
        <w:r>
          <w:rPr>
            <w:rStyle w:val="Internetverknpfung"/>
          </w:rPr>
          <w:t>Constructio ad sensum</w:t>
        </w:r>
      </w:hyperlink>
      <w:r>
        <w:rPr/>
        <w:t>). Genauso das folgende Partizip „die hörten“.</w:t>
      </w:r>
    </w:p>
  </w:footnote>
  <w:footnote w:id="3926">
    <w:p>
      <w:pPr>
        <w:pStyle w:val="Funote"/>
        <w:rPr/>
      </w:pPr>
      <w:r>
        <w:rPr>
          <w:rStyle w:val="Funotenzeichen"/>
        </w:rPr>
        <w:footnoteRef/>
      </w:r>
      <w:r>
        <w:rPr>
          <w:i/>
        </w:rPr>
        <w:tab/>
        <w:t>die hörten</w:t>
      </w:r>
      <w:r>
        <w:rPr/>
        <w:t xml:space="preserve"> </w:t>
      </w:r>
      <w:hyperlink r:id="rId314">
        <w:r>
          <w:rPr>
            <w:rStyle w:val="Internetverknpfung"/>
          </w:rPr>
          <w:t>Ptz. conj.</w:t>
        </w:r>
      </w:hyperlink>
      <w:r>
        <w:rPr/>
        <w:t xml:space="preserve"> Präsens, kausal oder temporal, hier als Relativsatz aufgelöst, der beide Aspekte vermitteln kann.</w:t>
      </w:r>
    </w:p>
  </w:footnote>
  <w:footnote w:id="3927">
    <w:p>
      <w:pPr>
        <w:pStyle w:val="Funote"/>
        <w:rPr/>
      </w:pPr>
      <w:r>
        <w:rPr>
          <w:rStyle w:val="Funotenzeichen"/>
        </w:rPr>
        <w:footnoteRef/>
      </w:r>
      <w:r>
        <w:rPr/>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928">
    <w:p>
      <w:pPr>
        <w:pStyle w:val="Funote"/>
        <w:rPr/>
      </w:pPr>
      <w:r>
        <w:rPr>
          <w:rStyle w:val="Funotenzeichen"/>
        </w:rPr>
        <w:footnoteRef/>
      </w:r>
      <w:r>
        <w:rPr/>
        <w:tab/>
        <w:t>Leiden (Qualen) W. „Geißel“, übertragen „Plage“. Per Bedeutungserweiterung auch „Leiden“ oder „Gebrechen“ (vgl. LN 23.182). hatten Markus benutzt das Imperfekt, um die anhaltende Situation zu beschreiben. Das setzt sich bis V. 12 fort.</w:t>
      </w:r>
    </w:p>
  </w:footnote>
  <w:footnote w:id="3929">
    <w:p>
      <w:pPr>
        <w:pStyle w:val="Funote"/>
        <w:rPr/>
      </w:pPr>
      <w:r>
        <w:rPr>
          <w:rStyle w:val="Funotenzeichen"/>
        </w:rPr>
        <w:footnoteRef/>
      </w:r>
      <w:r>
        <w:rPr>
          <w:i/>
        </w:rPr>
        <w:tab/>
        <w:t>{und sagten}</w:t>
      </w:r>
      <w:r>
        <w:rPr/>
        <w:t xml:space="preserve"> </w:t>
      </w:r>
      <w:hyperlink r:id="rId315">
        <w:r>
          <w:rPr>
            <w:rStyle w:val="Internetverknpfung"/>
          </w:rPr>
          <w:t>Pleonastisches Partizip</w:t>
        </w:r>
      </w:hyperlink>
      <w:r>
        <w:rPr/>
        <w:t xml:space="preserve">. </w:t>
      </w:r>
    </w:p>
  </w:footnote>
  <w:footnote w:id="3930">
    <w:p>
      <w:pPr>
        <w:pStyle w:val="Funote"/>
        <w:rPr/>
      </w:pPr>
      <w:r>
        <w:rPr>
          <w:rStyle w:val="Funotenzeichen"/>
        </w:rPr>
        <w:footnoteRef/>
      </w:r>
      <w:r>
        <w:rPr>
          <w:i/>
        </w:rPr>
        <w:tab/>
        <w:t>{dass}</w:t>
      </w:r>
      <w:r>
        <w:rPr/>
        <w:t xml:space="preserve"> </w:t>
      </w:r>
      <w:hyperlink r:id="rId316">
        <w:r>
          <w:rPr>
            <w:rStyle w:val="Internetverknpfung"/>
          </w:rPr>
          <w:t>Ὅτι recitativum"&gt;</w:t>
        </w:r>
        <w:r>
          <w:rPr>
            <w:rStyle w:val="Internetverknpfung"/>
            <w:lang w:val="el-GR"/>
          </w:rPr>
          <w:t>ὅτι</w:t>
        </w:r>
        <w:r>
          <w:rPr>
            <w:rStyle w:val="Internetverknpfung"/>
          </w:rPr>
          <w:t xml:space="preserve"> recitativum</w:t>
        </w:r>
      </w:hyperlink>
      <w:r>
        <w:rPr/>
        <w:t xml:space="preserve">. </w:t>
      </w:r>
    </w:p>
  </w:footnote>
  <w:footnote w:id="3931">
    <w:p>
      <w:pPr>
        <w:pStyle w:val="Funote"/>
        <w:rPr/>
      </w:pPr>
      <w:r>
        <w:rPr>
          <w:rStyle w:val="Funotenzeichen"/>
        </w:rPr>
        <w:footnoteRef/>
      </w:r>
      <w:r>
        <w:rPr>
          <w:i/>
        </w:rPr>
        <w:tab/>
        <w:t>drohte (befahl, wies an) ihnen nachdrücklich</w:t>
      </w:r>
      <w:r>
        <w:rPr/>
        <w:t xml:space="preserve"> W. etwa „wies sie viel zurecht“. Das Adverb </w:t>
      </w:r>
      <w:r>
        <w:rPr>
          <w:lang w:val="el-GR"/>
        </w:rPr>
        <w:t>πολλὰ</w:t>
      </w:r>
      <w:r>
        <w:rPr/>
        <w:t xml:space="preserve"> „viel“ benutzt Markus hier intensivierend (ganz ähnlich wie „sehr“), daher die Übersetzung </w:t>
      </w:r>
      <w:r>
        <w:rPr>
          <w:i/>
        </w:rPr>
        <w:t>nachdrücklich</w:t>
      </w:r>
      <w:r>
        <w:rPr/>
        <w:t xml:space="preserve">. Wie in Mk 1,25 (s. Fn dort) kontrolliert Jesus hier Dämonen, denen er bindende Befehle erteilt. So heißt das Wort in diesem Kontext eher (indirekte Rede einleitend) </w:t>
      </w:r>
      <w:r>
        <w:rPr>
          <w:i/>
        </w:rPr>
        <w:t>befehlen</w:t>
      </w:r>
      <w:r>
        <w:rPr/>
        <w:t xml:space="preserve">.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w:t>
        <w:br/>
      </w:r>
      <w:r>
        <w:rPr>
          <w:i/>
        </w:rPr>
        <w:t>drohte ..., damit sie ihn nicht bekannt machten</w:t>
      </w:r>
      <w:r>
        <w:rPr/>
        <w:t xml:space="preserve"> – Das Griechische drückt den indirekt geäußerten negativen Befehl durch einen finalen Nebensatz aus, das Deutsche mit einem Infinitivsatz. Stilistisch schöner mit „verbieten“: </w:t>
      </w:r>
      <w:r>
        <w:rPr>
          <w:i/>
        </w:rPr>
        <w:t>verbot … zu machen</w:t>
      </w:r>
      <w:r>
        <w:rPr/>
        <w:t>.</w:t>
      </w:r>
    </w:p>
  </w:footnote>
  <w:footnote w:id="3932">
    <w:p>
      <w:pPr>
        <w:pStyle w:val="Funote"/>
        <w:rPr/>
      </w:pPr>
      <w:r>
        <w:rPr>
          <w:rStyle w:val="Funotenzeichen"/>
        </w:rPr>
        <w:footnoteRef/>
      </w:r>
      <w:r>
        <w:rPr>
          <w:i/>
        </w:rPr>
        <w:tab/>
        <w:t>stieg</w:t>
      </w:r>
      <w:r>
        <w:rPr/>
        <w:t xml:space="preserve"> und </w:t>
      </w:r>
      <w:r>
        <w:rPr>
          <w:i/>
        </w:rPr>
        <w:t>rief</w:t>
      </w:r>
      <w:r>
        <w:rPr/>
        <w:t xml:space="preserve"> </w:t>
      </w:r>
      <w:hyperlink r:id="rId317">
        <w:r>
          <w:rPr>
            <w:rStyle w:val="Internetverknpfung"/>
          </w:rPr>
          <w:t>Historisches Präsens</w:t>
        </w:r>
      </w:hyperlink>
      <w:r>
        <w:rPr/>
        <w:t xml:space="preserve">. </w:t>
      </w:r>
    </w:p>
  </w:footnote>
  <w:footnote w:id="3933">
    <w:p>
      <w:pPr>
        <w:pStyle w:val="Funote"/>
        <w:rPr/>
      </w:pPr>
      <w:r>
        <w:rPr>
          <w:rStyle w:val="Funotenzeichen"/>
        </w:rPr>
        <w:footnoteRef/>
      </w:r>
      <w:r>
        <w:rPr/>
        <w:tab/>
        <w:t>die er selbst sich ausgesucht hatte W. „die er selbst wollte“. NSS schlägt sinngemäß „die er bei sich haben wollte“ vor (so NGÜ, ähnlich MEN, ZÜR). EÜ: „die er erwählt hatte“, GNB: „die er für eine besondere Aufgabe vorgesehen hatte“.</w:t>
      </w:r>
    </w:p>
  </w:footnote>
  <w:footnote w:id="3934">
    <w:p>
      <w:pPr>
        <w:pStyle w:val="Funote"/>
        <w:rPr/>
      </w:pPr>
      <w:r>
        <w:rPr>
          <w:rStyle w:val="Funotenzeichen"/>
        </w:rPr>
        <w:footnoteRef/>
      </w:r>
      <w:r>
        <w:rPr/>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935">
    <w:p>
      <w:pPr>
        <w:pStyle w:val="Funote"/>
        <w:rPr/>
      </w:pPr>
      <w:r>
        <w:rPr>
          <w:rStyle w:val="Funotenzeichen"/>
        </w:rPr>
        <w:footnoteRef/>
      </w:r>
      <w:r>
        <w:rPr/>
        <w:tab/>
        <w:t>bestimmte W. „machte“, ein Semitismus (Guelich 1989, 157).</w:t>
      </w:r>
    </w:p>
  </w:footnote>
  <w:footnote w:id="3936">
    <w:p>
      <w:pPr>
        <w:pStyle w:val="Funote"/>
        <w:rPr/>
      </w:pPr>
      <w:r>
        <w:rPr>
          <w:rStyle w:val="Funotenzeichen"/>
        </w:rPr>
        <w:footnoteRef/>
      </w:r>
      <w:r>
        <w:rPr/>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937">
    <w:p>
      <w:pPr>
        <w:pStyle w:val="Funote"/>
        <w:rPr/>
      </w:pPr>
      <w:r>
        <w:rPr>
          <w:rStyle w:val="Funotenzeichen"/>
        </w:rPr>
        <w:footnoteRef/>
      </w:r>
      <w:r>
        <w:rPr>
          <w:i/>
        </w:rPr>
        <w:tab/>
        <w:t>heißt</w:t>
      </w:r>
      <w:r>
        <w:rPr/>
        <w:t xml:space="preserve"> W. „ist“ </w:t>
      </w:r>
    </w:p>
  </w:footnote>
  <w:footnote w:id="3938">
    <w:p>
      <w:pPr>
        <w:pStyle w:val="Funote"/>
        <w:rPr/>
      </w:pPr>
      <w:r>
        <w:rPr>
          <w:rStyle w:val="Funotenzeichen"/>
        </w:rPr>
        <w:footnoteRef/>
      </w:r>
      <w:r>
        <w:rPr/>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939">
    <w:p>
      <w:pPr>
        <w:pStyle w:val="Funote"/>
        <w:rPr/>
      </w:pPr>
      <w:r>
        <w:rPr>
          <w:rStyle w:val="Funotenzeichen"/>
        </w:rPr>
        <w:footnoteRef/>
      </w:r>
      <w:r>
        <w:rPr/>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940">
    <w:p>
      <w:pPr>
        <w:pStyle w:val="Funote"/>
        <w:rPr/>
      </w:pPr>
      <w:r>
        <w:rPr>
          <w:rStyle w:val="Funotenzeichen"/>
        </w:rPr>
        <w:footnoteRef/>
      </w:r>
      <w:r>
        <w:rPr/>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941">
    <w:p>
      <w:pPr>
        <w:pStyle w:val="Funote"/>
        <w:rPr/>
      </w:pPr>
      <w:r>
        <w:rPr>
          <w:rStyle w:val="Funotenzeichen"/>
        </w:rPr>
        <w:footnoteRef/>
      </w:r>
      <w:r>
        <w:rPr/>
        <w:tab/>
        <w:t>nach Hause bzw. in ein Haus Es wird sich wieder um Petrus' Haus in Kafarnaum handeln, das Jesus offenbar bezogen hat (vgl. Mk 1,29; 2,1). Abgesehen von seinem Besuch in Levis Haus (2,15) ist es das einzige bisher identifizierte (France 2002, 164f.).</w:t>
      </w:r>
    </w:p>
  </w:footnote>
  <w:footnote w:id="3942">
    <w:p>
      <w:pPr>
        <w:pStyle w:val="Funote"/>
        <w:rPr/>
      </w:pPr>
      <w:r>
        <w:rPr>
          <w:rStyle w:val="Funotenzeichen"/>
        </w:rPr>
        <w:footnoteRef/>
      </w:r>
      <w:r>
        <w:rPr>
          <w:i/>
        </w:rPr>
        <w:tab/>
        <w:t>ging</w:t>
      </w:r>
      <w:r>
        <w:rPr/>
        <w:t xml:space="preserve"> und </w:t>
      </w:r>
      <w:r>
        <w:rPr>
          <w:i/>
        </w:rPr>
        <w:t>versammelte</w:t>
      </w:r>
      <w:r>
        <w:rPr/>
        <w:t xml:space="preserve"> </w:t>
      </w:r>
      <w:hyperlink r:id="rId318">
        <w:r>
          <w:rPr>
            <w:rStyle w:val="Internetverknpfung"/>
          </w:rPr>
          <w:t>Historisches Präsens</w:t>
        </w:r>
      </w:hyperlink>
      <w:r>
        <w:rPr/>
        <w:t xml:space="preserve">. </w:t>
      </w:r>
    </w:p>
  </w:footnote>
  <w:footnote w:id="3943">
    <w:p>
      <w:pPr>
        <w:pStyle w:val="Funote"/>
        <w:rPr/>
      </w:pPr>
      <w:r>
        <w:rPr>
          <w:rStyle w:val="Funotenzeichen"/>
        </w:rPr>
        <w:footnoteRef/>
      </w:r>
      <w:r>
        <w:rPr/>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944">
    <w:p>
      <w:pPr>
        <w:pStyle w:val="Funote"/>
        <w:rPr/>
      </w:pPr>
      <w:r>
        <w:rPr>
          <w:rStyle w:val="Funotenzeichen"/>
        </w:rPr>
        <w:footnoteRef/>
      </w:r>
      <w:r>
        <w:rPr/>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945">
    <w:p>
      <w:pPr>
        <w:pStyle w:val="Funote"/>
        <w:rPr/>
      </w:pPr>
      <w:r>
        <w:rPr>
          <w:rStyle w:val="Funotenzeichen"/>
        </w:rPr>
        <w:footnoteRef/>
      </w:r>
      <w:r>
        <w:rPr/>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946">
    <w:p>
      <w:pPr>
        <w:pStyle w:val="Funote"/>
        <w:rPr/>
      </w:pPr>
      <w:r>
        <w:rPr>
          <w:rStyle w:val="Funotenzeichen"/>
        </w:rPr>
        <w:footnoteRef/>
      </w:r>
      <w:r>
        <w:rPr>
          <w:i/>
        </w:rPr>
        <w:tab/>
        <w:t>die ... gekommen waren</w:t>
      </w:r>
      <w:r>
        <w:rPr/>
        <w:t xml:space="preserve"> </w:t>
      </w:r>
      <w:hyperlink r:id="rId319">
        <w:r>
          <w:rPr>
            <w:rStyle w:val="Internetverknpfung"/>
          </w:rPr>
          <w:t>Attr. Ptz.</w:t>
        </w:r>
      </w:hyperlink>
      <w:r>
        <w:rPr/>
        <w:t xml:space="preserve"> Aor., als vorzeitiger Relativsatz aufgelöst.</w:t>
      </w:r>
    </w:p>
  </w:footnote>
  <w:footnote w:id="3947">
    <w:p>
      <w:pPr>
        <w:pStyle w:val="Funote"/>
        <w:rPr/>
      </w:pPr>
      <w:r>
        <w:rPr>
          <w:rStyle w:val="Funotenzeichen"/>
        </w:rPr>
        <w:footnoteRef/>
      </w:r>
      <w:r>
        <w:rPr/>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948">
    <w:p>
      <w:pPr>
        <w:pStyle w:val="Funote"/>
        <w:rPr/>
      </w:pPr>
      <w:r>
        <w:rPr>
          <w:rStyle w:val="Funotenzeichen"/>
        </w:rPr>
        <w:footnoteRef/>
      </w:r>
      <w:r>
        <w:rPr/>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949">
    <w:p>
      <w:pPr>
        <w:pStyle w:val="Funote"/>
        <w:rPr/>
      </w:pPr>
      <w:r>
        <w:rPr>
          <w:rStyle w:val="Funotenzeichen"/>
        </w:rPr>
        <w:footnoteRef/>
      </w:r>
      <w:r>
        <w:rPr>
          <w:i/>
        </w:rPr>
        <w:tab/>
        <w:t>er rief sie zu sich und</w:t>
      </w:r>
      <w:r>
        <w:rPr/>
        <w:t xml:space="preserve"> Temporales (gleichzeitig) </w:t>
      </w:r>
      <w:hyperlink r:id="rId320">
        <w:r>
          <w:rPr>
            <w:rStyle w:val="Internetverknpfung"/>
          </w:rPr>
          <w:t>Ptz. conj.</w:t>
        </w:r>
      </w:hyperlink>
      <w:r>
        <w:rPr/>
        <w:t>, mit „und“ beigeordnet.</w:t>
      </w:r>
    </w:p>
  </w:footnote>
  <w:footnote w:id="3950">
    <w:p>
      <w:pPr>
        <w:pStyle w:val="Funote"/>
        <w:rPr/>
      </w:pPr>
      <w:r>
        <w:rPr>
          <w:rStyle w:val="Funotenzeichen"/>
        </w:rPr>
        <w:footnoteRef/>
      </w:r>
      <w:r>
        <w:rPr/>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951">
    <w:p>
      <w:pPr>
        <w:pStyle w:val="Funote"/>
        <w:rPr/>
      </w:pPr>
      <w:r>
        <w:rPr>
          <w:rStyle w:val="Funotenzeichen"/>
        </w:rPr>
        <w:footnoteRef/>
      </w:r>
      <w:r>
        <w:rPr/>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952">
    <w:p>
      <w:pPr>
        <w:pStyle w:val="Funote"/>
        <w:rPr/>
      </w:pPr>
      <w:r>
        <w:rPr>
          <w:rStyle w:val="Funotenzeichen"/>
        </w:rPr>
        <w:footnoteRef/>
      </w:r>
      <w:r>
        <w:rPr/>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953">
    <w:p>
      <w:pPr>
        <w:pStyle w:val="Funote"/>
        <w:rPr/>
      </w:pPr>
      <w:r>
        <w:rPr>
          <w:rStyle w:val="Funotenzeichen"/>
        </w:rPr>
        <w:footnoteRef/>
      </w:r>
      <w:r>
        <w:rPr/>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954">
    <w:p>
      <w:pPr>
        <w:pStyle w:val="Funote"/>
        <w:rPr/>
      </w:pPr>
      <w:r>
        <w:rPr>
          <w:rStyle w:val="Funotenzeichen"/>
        </w:rPr>
        <w:footnoteRef/>
      </w:r>
      <w:r>
        <w:rPr/>
        <w:tab/>
        <w:t>es hat ein Ende [mit ihm] W. »er hat ein Ende«. LUT: »es ist aus mit ihm.«</w:t>
      </w:r>
    </w:p>
  </w:footnote>
  <w:footnote w:id="3955">
    <w:p>
      <w:pPr>
        <w:pStyle w:val="Funote"/>
        <w:rPr/>
      </w:pPr>
      <w:r>
        <w:rPr>
          <w:rStyle w:val="Funotenzeichen"/>
        </w:rPr>
        <w:footnoteRef/>
      </w:r>
      <w:r>
        <w:rPr>
          <w:i/>
        </w:rPr>
        <w:tab/>
        <w:t>niemand kann</w:t>
      </w:r>
      <w:r>
        <w:rPr/>
        <w:t xml:space="preserve"> W. „niemand kann nicht“. Die doppelte Verneinung verstärkt die Aussage.</w:t>
      </w:r>
    </w:p>
  </w:footnote>
  <w:footnote w:id="3956">
    <w:p>
      <w:pPr>
        <w:pStyle w:val="Funote"/>
        <w:rPr/>
      </w:pPr>
      <w:r>
        <w:rPr>
          <w:rStyle w:val="Funotenzeichen"/>
        </w:rPr>
        <w:footnoteRef/>
      </w:r>
      <w:r>
        <w:rPr>
          <w:i/>
        </w:rPr>
        <w:tab/>
        <w:t>eindringen und</w:t>
      </w:r>
      <w:r>
        <w:rPr/>
        <w:t xml:space="preserve"> </w:t>
      </w:r>
      <w:hyperlink r:id="rId321">
        <w:r>
          <w:rPr>
            <w:rStyle w:val="Internetverknpfung"/>
          </w:rPr>
          <w:t>Ptz. conj.</w:t>
        </w:r>
      </w:hyperlink>
      <w:r>
        <w:rPr/>
        <w:t>, temporal, mit „und“ beigeordnet.</w:t>
      </w:r>
    </w:p>
  </w:footnote>
  <w:footnote w:id="3957">
    <w:p>
      <w:pPr>
        <w:pStyle w:val="Funote"/>
        <w:rPr/>
      </w:pPr>
      <w:r>
        <w:rPr>
          <w:rStyle w:val="Funotenzeichen"/>
        </w:rPr>
        <w:footnoteRef/>
      </w:r>
      <w:r>
        <w:rPr/>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958">
    <w:p>
      <w:pPr>
        <w:pStyle w:val="Funote"/>
        <w:rPr/>
      </w:pPr>
      <w:r>
        <w:rPr>
          <w:rStyle w:val="Funotenzeichen"/>
        </w:rPr>
        <w:footnoteRef/>
      </w:r>
      <w:r>
        <w:rPr/>
        <w:tab/>
        <w:t>kann ausplündern Als modales Futur verstanden (NSS).</w:t>
      </w:r>
    </w:p>
  </w:footnote>
  <w:footnote w:id="3959">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960">
    <w:p>
      <w:pPr>
        <w:pStyle w:val="Funote"/>
        <w:rPr/>
      </w:pPr>
      <w:r>
        <w:rPr>
          <w:rStyle w:val="Funotenzeichen"/>
        </w:rPr>
        <w:footnoteRef/>
      </w:r>
      <w:r>
        <w:rPr>
          <w:i/>
        </w:rPr>
        <w:tab/>
        <w:t>Kindern (Söhnen) der Menschen</w:t>
      </w:r>
      <w:r>
        <w:rPr/>
        <w:t xml:space="preserve"> Semitische Formulierung, die einfach „Menschen“ oder „die Menschheit“ umschreibt. Kinder gibt den geschlechtlich unbestimmten Plural von „Sohn“ inklusiv wieder (</w:t>
      </w:r>
      <w:hyperlink r:id="rId322">
        <w:r>
          <w:rPr>
            <w:rStyle w:val="Internetverknpfung"/>
          </w:rPr>
          <w:t>Generisches Maskulinum</w:t>
        </w:r>
      </w:hyperlink>
      <w:r>
        <w:rPr/>
        <w:t>).</w:t>
      </w:r>
    </w:p>
  </w:footnote>
  <w:footnote w:id="3961">
    <w:p>
      <w:pPr>
        <w:pStyle w:val="Funote"/>
        <w:rPr/>
      </w:pPr>
      <w:r>
        <w:rPr>
          <w:rStyle w:val="Funotenzeichen"/>
        </w:rPr>
        <w:footnoteRef/>
      </w:r>
      <w:r>
        <w:rPr/>
        <w:tab/>
        <w:t>kann (wird) vergeben werden Das Futur ist wohl modal (NSS).</w:t>
      </w:r>
    </w:p>
  </w:footnote>
  <w:footnote w:id="3962">
    <w:p>
      <w:pPr>
        <w:pStyle w:val="Funote"/>
        <w:rPr/>
      </w:pPr>
      <w:r>
        <w:rPr>
          <w:rStyle w:val="Funotenzeichen"/>
        </w:rPr>
        <w:footnoteRef/>
      </w:r>
      <w:r>
        <w:rPr/>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963">
    <w:p>
      <w:pPr>
        <w:pStyle w:val="Funote"/>
        <w:rPr/>
      </w:pPr>
      <w:r>
        <w:rPr>
          <w:rStyle w:val="Funotenzeichen"/>
        </w:rPr>
        <w:footnoteRef/>
      </w:r>
      <w:r>
        <w:rPr>
          <w:i/>
        </w:rPr>
        <w:tab/>
        <w:t>besessen</w:t>
      </w:r>
      <w:r>
        <w:rPr/>
        <w:t xml:space="preserve"> W. „Er hat einen unreinen Geist!“ Dazu s. die Erklärung in der </w:t>
      </w:r>
      <w:hyperlink w:anchor="note_aq">
        <w:r>
          <w:rPr>
            <w:rStyle w:val="Internetverknpfung"/>
          </w:rPr>
          <w:t>Fußnote zu V. 22</w:t>
        </w:r>
      </w:hyperlink>
      <w:r>
        <w:rPr/>
        <w:t>.</w:t>
      </w:r>
    </w:p>
  </w:footnote>
  <w:footnote w:id="3964">
    <w:p>
      <w:pPr>
        <w:pStyle w:val="Funote"/>
        <w:rPr/>
      </w:pPr>
      <w:r>
        <w:rPr>
          <w:rStyle w:val="Funotenzeichen"/>
        </w:rPr>
        <w:footnoteRef/>
      </w:r>
      <w:r>
        <w:rPr>
          <w:i/>
        </w:rPr>
        <w:tab/>
        <w:t>kamen</w:t>
      </w:r>
      <w:r>
        <w:rPr/>
        <w:t xml:space="preserve"> </w:t>
      </w:r>
      <w:hyperlink r:id="rId323">
        <w:r>
          <w:rPr>
            <w:rStyle w:val="Internetverknpfung"/>
          </w:rPr>
          <w:t>Historisches Präsens</w:t>
        </w:r>
      </w:hyperlink>
      <w:r>
        <w:rPr/>
        <w:t xml:space="preserve">, W. „kam“. </w:t>
      </w:r>
    </w:p>
  </w:footnote>
  <w:footnote w:id="3965">
    <w:p>
      <w:pPr>
        <w:pStyle w:val="Funote"/>
        <w:rPr/>
      </w:pPr>
      <w:r>
        <w:rPr>
          <w:rStyle w:val="Funotenzeichen"/>
        </w:rPr>
        <w:footnoteRef/>
      </w:r>
      <w:r>
        <w:rPr/>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966">
    <w:p>
      <w:pPr>
        <w:pStyle w:val="Funote"/>
        <w:rPr/>
      </w:pPr>
      <w:r>
        <w:rPr>
          <w:rStyle w:val="Funotenzeichen"/>
        </w:rPr>
        <w:footnoteRef/>
      </w:r>
      <w:r>
        <w:rPr>
          <w:i/>
        </w:rPr>
        <w:tab/>
        <w:t>Sie blieben stehen und</w:t>
      </w:r>
      <w:r>
        <w:rPr/>
        <w:t xml:space="preserve"> </w:t>
      </w:r>
      <w:hyperlink r:id="rId324">
        <w:r>
          <w:rPr>
            <w:rStyle w:val="Internetverknpfung"/>
          </w:rPr>
          <w:t>Ptz. conj.</w:t>
        </w:r>
      </w:hyperlink>
      <w:r>
        <w:rPr/>
        <w:t>, temporal oder modal, als mit „und“ beigeordneter Satz aufgelöst.</w:t>
      </w:r>
    </w:p>
  </w:footnote>
  <w:footnote w:id="3967">
    <w:p>
      <w:pPr>
        <w:pStyle w:val="Funote"/>
        <w:rPr/>
      </w:pPr>
      <w:r>
        <w:rPr>
          <w:rStyle w:val="Funotenzeichen"/>
        </w:rPr>
        <w:footnoteRef/>
      </w:r>
      <w:r>
        <w:rPr>
          <w:i/>
        </w:rPr>
        <w:tab/>
        <w:t>schickten [jemanden] zu ihm (ließen ihm ausrichten)</w:t>
      </w:r>
      <w:r>
        <w:rPr/>
        <w:t xml:space="preserve">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968">
    <w:p>
      <w:pPr>
        <w:pStyle w:val="Funote"/>
        <w:rPr/>
      </w:pPr>
      <w:r>
        <w:rPr>
          <w:rStyle w:val="Funotenzeichen"/>
        </w:rPr>
        <w:footnoteRef/>
      </w:r>
      <w:r>
        <w:rPr/>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969">
    <w:p>
      <w:pPr>
        <w:pStyle w:val="Funote"/>
        <w:rPr/>
      </w:pPr>
      <w:r>
        <w:rPr>
          <w:rStyle w:val="Funotenzeichen"/>
        </w:rPr>
        <w:footnoteRef/>
      </w:r>
      <w:r>
        <w:rPr/>
        <w:tab/>
        <w:t>sagten Historisches Präsens. Die Alternativübersetzung in der Klammer versteht das Prädikat unpersönlich (vgl. EÜ, NGÜ).</w:t>
      </w:r>
    </w:p>
  </w:footnote>
  <w:footnote w:id="3970">
    <w:p>
      <w:pPr>
        <w:pStyle w:val="Funote"/>
        <w:rPr/>
      </w:pPr>
      <w:r>
        <w:rPr>
          <w:rStyle w:val="Funotenzeichen"/>
        </w:rPr>
        <w:footnoteRef/>
      </w:r>
      <w:r>
        <w:rPr/>
        <w:tab/>
        <w:t>Da draußen - W. »Siehe, deine Mutter und deine Geschwister draußen suchen dich«. »°Siehe°« hat hier die Funktion, Jesus auf etwas räumlich Nahes aufmerksam zu machen (Bailey 2009, S. 329); sinnvoller daher statt wörtliche Üs.: »Da draußen«.</w:t>
      </w:r>
    </w:p>
  </w:footnote>
  <w:footnote w:id="3971">
    <w:p>
      <w:pPr>
        <w:pStyle w:val="Funote"/>
        <w:rPr/>
      </w:pPr>
      <w:r>
        <w:rPr>
          <w:rStyle w:val="Funotenzeichen"/>
        </w:rPr>
        <w:footnoteRef/>
      </w:r>
      <w:r>
        <w:rPr>
          <w:i/>
        </w:rPr>
        <w:tab/>
        <w:t>antwortete ihnen {und sagte}</w:t>
      </w:r>
      <w:r>
        <w:rPr/>
        <w:t xml:space="preserve"> Zu </w:t>
      </w:r>
      <w:r>
        <w:rPr>
          <w:i/>
        </w:rPr>
        <w:t>antwortete</w:t>
      </w:r>
      <w:r>
        <w:rPr/>
        <w:t xml:space="preserve">: </w:t>
      </w:r>
      <w:hyperlink r:id="rId325">
        <w:r>
          <w:rPr>
            <w:rStyle w:val="Internetverknpfung"/>
          </w:rPr>
          <w:t>Ptz. conj.</w:t>
        </w:r>
      </w:hyperlink>
      <w:r>
        <w:rPr/>
        <w:t xml:space="preserve"> (modal-temporal), mit „und“ beigeordnet. </w:t>
      </w:r>
      <w:r>
        <w:rPr>
          <w:i/>
        </w:rPr>
        <w:t>{und sagte}</w:t>
      </w:r>
      <w:r>
        <w:rPr/>
        <w:t xml:space="preserve"> </w:t>
      </w:r>
      <w:hyperlink r:id="rId326">
        <w:r>
          <w:rPr>
            <w:rStyle w:val="Internetverknpfung"/>
          </w:rPr>
          <w:t>Historisches Präsens</w:t>
        </w:r>
      </w:hyperlink>
      <w:r>
        <w:rPr/>
        <w:t>. Im Deutschen ist das doppelte Prädikat unnötig.</w:t>
      </w:r>
    </w:p>
  </w:footnote>
  <w:footnote w:id="3972">
    <w:p>
      <w:pPr>
        <w:pStyle w:val="Funote"/>
        <w:rPr/>
      </w:pPr>
      <w:r>
        <w:rPr>
          <w:rStyle w:val="Funotenzeichen"/>
        </w:rPr>
        <w:footnoteRef/>
      </w:r>
      <w:r>
        <w:rPr>
          <w:i/>
        </w:rPr>
        <w:tab/>
        <w:t>sind</w:t>
      </w:r>
      <w:r>
        <w:rPr/>
        <w:t xml:space="preserve"> W. „ist“ </w:t>
      </w:r>
    </w:p>
  </w:footnote>
  <w:footnote w:id="3973">
    <w:p>
      <w:pPr>
        <w:pStyle w:val="Funote"/>
        <w:rPr/>
      </w:pPr>
      <w:r>
        <w:rPr>
          <w:rStyle w:val="Funotenzeichen"/>
        </w:rPr>
        <w:footnoteRef/>
      </w:r>
      <w:r>
        <w:rPr>
          <w:i/>
        </w:rPr>
        <w:tab/>
        <w:t>während (indem, nachdem) er der Reihe nach anschaute</w:t>
      </w:r>
      <w:r>
        <w:rPr/>
        <w:t xml:space="preserve"> </w:t>
      </w:r>
      <w:hyperlink r:id="rId327">
        <w:r>
          <w:rPr>
            <w:rStyle w:val="Internetverknpfung"/>
          </w:rPr>
          <w:t>Ptz. conj.</w:t>
        </w:r>
      </w:hyperlink>
      <w:r>
        <w:rPr/>
        <w:t xml:space="preserve"> (Aor.), temporal-modal als Nebensatz aufgelöst.</w:t>
      </w:r>
    </w:p>
  </w:footnote>
  <w:footnote w:id="3974">
    <w:p>
      <w:pPr>
        <w:pStyle w:val="Funote"/>
        <w:rPr/>
      </w:pPr>
      <w:r>
        <w:rPr>
          <w:rStyle w:val="Funotenzeichen"/>
        </w:rPr>
        <w:footnoteRef/>
      </w:r>
      <w:r>
        <w:rPr/>
        <w:tab/>
        <w:t>[im] Kreis Erstarrter lokaler Dativ (NSS).</w:t>
      </w:r>
    </w:p>
  </w:footnote>
  <w:footnote w:id="3975">
    <w:p>
      <w:pPr>
        <w:pStyle w:val="Funote"/>
        <w:rPr/>
      </w:pPr>
      <w:r>
        <w:rPr>
          <w:rStyle w:val="Funotenzeichen"/>
        </w:rPr>
        <w:footnoteRef/>
      </w:r>
      <w:r>
        <w:rPr>
          <w:i/>
        </w:rPr>
        <w:tab/>
        <w:t>[alle], die ... saßen</w:t>
      </w:r>
      <w:r>
        <w:rPr/>
        <w:t xml:space="preserve"> </w:t>
      </w:r>
      <w:hyperlink r:id="rId328">
        <w:r>
          <w:rPr>
            <w:rStyle w:val="Internetverknpfung"/>
          </w:rPr>
          <w:t>Substantiviertes Partizip</w:t>
        </w:r>
      </w:hyperlink>
      <w:r>
        <w:rPr/>
        <w:t>, als Relativsatz aufgelöst.</w:t>
      </w:r>
    </w:p>
  </w:footnote>
  <w:footnote w:id="3976">
    <w:p>
      <w:pPr>
        <w:pStyle w:val="Funote"/>
        <w:rPr/>
      </w:pPr>
      <w:r>
        <w:rPr>
          <w:rStyle w:val="Funotenzeichen"/>
        </w:rPr>
        <w:footnoteRef/>
      </w:r>
      <w:r>
        <w:rPr/>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977">
    <w:p>
      <w:pPr>
        <w:pStyle w:val="Funote"/>
        <w:rPr/>
      </w:pPr>
      <w:r>
        <w:rPr>
          <w:rStyle w:val="Funotenzeichen"/>
        </w:rPr>
        <w:footnoteRef/>
      </w:r>
      <w:r>
        <w:rPr/>
        <w:tab/>
        <w:t>[Status: Zuverlässig]</w:t>
      </w:r>
    </w:p>
  </w:footnote>
  <w:footnote w:id="3978">
    <w:p>
      <w:pPr>
        <w:pStyle w:val="Funote"/>
        <w:rPr/>
      </w:pPr>
      <w:r>
        <w:rPr>
          <w:rStyle w:val="Funotenzeichen"/>
        </w:rPr>
        <w:footnoteRef/>
      </w:r>
      <w:r>
        <w:rPr>
          <w:i/>
        </w:rPr>
        <w:tab/>
        <w:t>Meer</w:t>
      </w:r>
      <w:r>
        <w:rPr/>
        <w:t xml:space="preserve"> Gemeint ist wie schon in Mk 2,13; 3,7 der See Gennesaret, das „Meer von Galiläa“. Bisher hat sich Jesus fast nur in Galiläa aufgehalten.</w:t>
      </w:r>
    </w:p>
  </w:footnote>
  <w:footnote w:id="3979">
    <w:p>
      <w:pPr>
        <w:pStyle w:val="Funote"/>
        <w:rPr/>
      </w:pPr>
      <w:r>
        <w:rPr>
          <w:rStyle w:val="Funotenzeichen"/>
        </w:rPr>
        <w:footnoteRef/>
      </w:r>
      <w:r>
        <w:rPr>
          <w:i/>
        </w:rPr>
        <w:tab/>
        <w:t>stieg und</w:t>
      </w:r>
      <w:r>
        <w:rPr/>
        <w:t xml:space="preserve"> </w:t>
      </w:r>
      <w:hyperlink r:id="rId329">
        <w:r>
          <w:rPr>
            <w:rStyle w:val="Internetverknpfung"/>
          </w:rPr>
          <w:t>Ptz. conj.</w:t>
        </w:r>
      </w:hyperlink>
      <w:r>
        <w:rPr/>
        <w:t>, temporal, mit „und“ beigeordnet übersetzt.</w:t>
      </w:r>
    </w:p>
  </w:footnote>
  <w:footnote w:id="3980">
    <w:p>
      <w:pPr>
        <w:pStyle w:val="Funote"/>
        <w:rPr/>
      </w:pPr>
      <w:r>
        <w:rPr>
          <w:rStyle w:val="Funotenzeichen"/>
        </w:rPr>
        <w:footnoteRef/>
      </w:r>
      <w:r>
        <w:rPr/>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981">
    <w:p>
      <w:pPr>
        <w:pStyle w:val="Funote"/>
        <w:rPr/>
      </w:pPr>
      <w:r>
        <w:rPr>
          <w:rStyle w:val="Funotenzeichen"/>
        </w:rPr>
        <w:footnoteRef/>
      </w:r>
      <w:r>
        <w:rPr>
          <w:i/>
        </w:rPr>
        <w:tab/>
        <w:t>blieb (war)</w:t>
      </w:r>
      <w:r>
        <w:rPr/>
        <w:t xml:space="preserve"> W. „waren“ (</w:t>
      </w:r>
      <w:hyperlink r:id="rId330">
        <w:r>
          <w:rPr>
            <w:rStyle w:val="Internetverknpfung"/>
          </w:rPr>
          <w:t>Constructio ad sensum</w:t>
        </w:r>
      </w:hyperlink>
      <w:r>
        <w:rPr/>
        <w:t>).</w:t>
      </w:r>
    </w:p>
  </w:footnote>
  <w:footnote w:id="3982">
    <w:p>
      <w:pPr>
        <w:pStyle w:val="Funote"/>
        <w:rPr/>
      </w:pPr>
      <w:r>
        <w:rPr>
          <w:rStyle w:val="Funotenzeichen"/>
        </w:rPr>
        <w:footnoteRef/>
      </w:r>
      <w:r>
        <w:rPr>
          <w:i/>
        </w:rPr>
        <w:tab/>
        <w:t>am Ufer</w:t>
      </w:r>
      <w:r>
        <w:rPr/>
        <w:t xml:space="preserve"> W. „(nah) am Meer“ oder „zum Meer hin gewandt“.</w:t>
      </w:r>
    </w:p>
  </w:footnote>
  <w:footnote w:id="3983">
    <w:p>
      <w:pPr>
        <w:pStyle w:val="Funote"/>
        <w:rPr/>
      </w:pPr>
      <w:r>
        <w:rPr>
          <w:rStyle w:val="Funotenzeichen"/>
        </w:rPr>
        <w:footnoteRef/>
      </w:r>
      <w:r>
        <w:rPr/>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984">
    <w:p>
      <w:pPr>
        <w:pStyle w:val="Funote"/>
        <w:rPr/>
      </w:pPr>
      <w:r>
        <w:rPr>
          <w:rStyle w:val="Funotenzeichen"/>
        </w:rPr>
        <w:footnoteRef/>
      </w:r>
      <w:r>
        <w:rPr/>
        <w:tab/>
        <w:t>während er lehrte LUT: „in seiner Predigt sprach er zu ihnen“, GNB, NGÜ: „Unter anderem sagte er“</w:t>
      </w:r>
    </w:p>
  </w:footnote>
  <w:footnote w:id="3985">
    <w:p>
      <w:pPr>
        <w:pStyle w:val="Funote"/>
        <w:rPr/>
      </w:pPr>
      <w:r>
        <w:rPr>
          <w:rStyle w:val="Funotenzeichen"/>
        </w:rPr>
        <w:footnoteRef/>
      </w:r>
      <w:r>
        <w:rPr/>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986">
    <w:p>
      <w:pPr>
        <w:pStyle w:val="Funote"/>
        <w:rPr/>
      </w:pPr>
      <w:r>
        <w:rPr>
          <w:rStyle w:val="Funotenzeichen"/>
        </w:rPr>
        <w:footnoteRef/>
      </w:r>
      <w:r>
        <w:rPr/>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987">
    <w:p>
      <w:pPr>
        <w:pStyle w:val="Funote"/>
        <w:rPr/>
      </w:pPr>
      <w:r>
        <w:rPr>
          <w:rStyle w:val="Funotenzeichen"/>
        </w:rPr>
        <w:footnoteRef/>
      </w:r>
      <w:r>
        <w:rPr>
          <w:i/>
        </w:rPr>
        <w:tab/>
        <w:t>Wurzeln</w:t>
      </w:r>
      <w:r>
        <w:rPr/>
        <w:t xml:space="preserve"> W. „Wurzel“</w:t>
      </w:r>
    </w:p>
  </w:footnote>
  <w:footnote w:id="3988">
    <w:p>
      <w:pPr>
        <w:pStyle w:val="Funote"/>
        <w:rPr/>
      </w:pPr>
      <w:r>
        <w:rPr>
          <w:rStyle w:val="Funotenzeichen"/>
        </w:rPr>
        <w:footnoteRef/>
      </w:r>
      <w:r>
        <w:rPr>
          <w:i/>
        </w:rPr>
        <w:tab/>
        <w:t>indem (während, wobei) er aufging und wuchs</w:t>
      </w:r>
      <w:r>
        <w:rPr/>
        <w:t xml:space="preserve"> Zwei </w:t>
      </w:r>
      <w:hyperlink r:id="rId331">
        <w:r>
          <w:rPr>
            <w:rStyle w:val="Internetverknpfung"/>
          </w:rPr>
          <w:t>Ptz. conj.</w:t>
        </w:r>
      </w:hyperlink>
      <w:r>
        <w:rPr/>
        <w:t>, modal-temporal Nebensatz übersetzt.</w:t>
      </w:r>
    </w:p>
  </w:footnote>
  <w:footnote w:id="3989">
    <w:p>
      <w:pPr>
        <w:pStyle w:val="Funote"/>
        <w:rPr/>
      </w:pPr>
      <w:r>
        <w:rPr>
          <w:rStyle w:val="Funotenzeichen"/>
        </w:rPr>
        <w:footnoteRef/>
      </w:r>
      <w:r>
        <w:rPr/>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990">
    <w:p>
      <w:pPr>
        <w:pStyle w:val="Funote"/>
        <w:rPr/>
      </w:pPr>
      <w:r>
        <w:rPr>
          <w:rStyle w:val="Funotenzeichen"/>
        </w:rPr>
        <w:footnoteRef/>
      </w:r>
      <w:r>
        <w:rPr/>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991">
    <w:p>
      <w:pPr>
        <w:pStyle w:val="Funote"/>
        <w:rPr/>
      </w:pPr>
      <w:r>
        <w:rPr>
          <w:rStyle w:val="Funotenzeichen"/>
        </w:rPr>
        <w:footnoteRef/>
      </w:r>
      <w:r>
        <w:rPr/>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992">
    <w:p>
      <w:pPr>
        <w:pStyle w:val="Funote"/>
        <w:rPr/>
      </w:pPr>
      <w:r>
        <w:rPr>
          <w:rStyle w:val="Funotenzeichen"/>
        </w:rPr>
        <w:footnoteRef/>
      </w:r>
      <w:r>
        <w:rPr>
          <w:i/>
        </w:rPr>
        <w:tab/>
        <w:t>sagte</w:t>
      </w:r>
      <w:r>
        <w:rPr/>
        <w:t xml:space="preserve"> </w:t>
      </w:r>
      <w:hyperlink r:id="rId332">
        <w:r>
          <w:rPr>
            <w:rStyle w:val="Internetverknpfung"/>
          </w:rPr>
          <w:t>Imperfekt</w:t>
        </w:r>
      </w:hyperlink>
      <w:r>
        <w:rPr/>
        <w:t>, zur Erklärung siehe die vorige Fußnote.</w:t>
      </w:r>
    </w:p>
  </w:footnote>
  <w:footnote w:id="3993">
    <w:p>
      <w:pPr>
        <w:pStyle w:val="Funote"/>
        <w:rPr/>
      </w:pPr>
      <w:r>
        <w:rPr>
          <w:rStyle w:val="Funotenzeichen"/>
        </w:rPr>
        <w:footnoteRef/>
      </w:r>
      <w:r>
        <w:rPr/>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994">
    <w:p>
      <w:pPr>
        <w:pStyle w:val="Funote"/>
        <w:rPr/>
      </w:pPr>
      <w:r>
        <w:rPr>
          <w:rStyle w:val="Funotenzeichen"/>
        </w:rPr>
        <w:footnoteRef/>
      </w:r>
      <w:r>
        <w:rPr>
          <w:i/>
        </w:rPr>
        <w:tab/>
        <w:t>dieses Gleichnis</w:t>
      </w:r>
      <w:r>
        <w:rPr/>
        <w:t xml:space="preserve"> Jesus spricht nun wieder vom Gleichnis von der Saat (Mk 4,3-9). Die Beschreibung von Jesu (üblicher?) Antwort auf derartige Fragen nach seinen Gleichnissen (s. die </w:t>
      </w:r>
      <w:hyperlink w:anchor="note_n">
        <w:r>
          <w:rPr>
            <w:rStyle w:val="Internetverknpfung"/>
          </w:rPr>
          <w:t>Fußnote in V. 10</w:t>
        </w:r>
      </w:hyperlink>
      <w:r>
        <w:rPr/>
        <w:t>) endet in V. 12.</w:t>
      </w:r>
    </w:p>
  </w:footnote>
  <w:footnote w:id="3995">
    <w:p>
      <w:pPr>
        <w:pStyle w:val="Funote"/>
        <w:rPr/>
      </w:pPr>
      <w:r>
        <w:rPr>
          <w:rStyle w:val="Funotenzeichen"/>
        </w:rPr>
        <w:footnoteRef/>
      </w:r>
      <w:r>
        <w:rPr/>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996">
    <w:p>
      <w:pPr>
        <w:pStyle w:val="Funote"/>
        <w:rPr/>
      </w:pPr>
      <w:r>
        <w:rPr>
          <w:rStyle w:val="Funotenzeichen"/>
        </w:rPr>
        <w:footnoteRef/>
      </w:r>
      <w:r>
        <w:rPr/>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997">
    <w:p>
      <w:pPr>
        <w:pStyle w:val="Funote"/>
        <w:rPr/>
      </w:pPr>
      <w:r>
        <w:rPr>
          <w:rStyle w:val="Funotenzeichen"/>
        </w:rPr>
        <w:footnoteRef/>
      </w:r>
      <w:r>
        <w:rPr>
          <w:i/>
        </w:rPr>
        <w:tab/>
        <w:t>die das Wort gleich mit Freuden annehmen, sobald sie es hören</w:t>
      </w:r>
      <w:r>
        <w:rPr/>
        <w:t xml:space="preserve"> W. „die, sobald sie das Wort hören, es gleich mit Freuden annehmen“</w:t>
      </w:r>
    </w:p>
  </w:footnote>
  <w:footnote w:id="3998">
    <w:p>
      <w:pPr>
        <w:pStyle w:val="Funote"/>
        <w:rPr/>
      </w:pPr>
      <w:r>
        <w:rPr>
          <w:rStyle w:val="Funotenzeichen"/>
        </w:rPr>
        <w:footnoteRef/>
      </w:r>
      <w:r>
        <w:rPr>
          <w:i/>
        </w:rPr>
        <w:tab/>
        <w:t>wenn es … zu … kommt</w:t>
      </w:r>
      <w:r>
        <w:rPr/>
        <w:t xml:space="preserve"> Temporal aufgelöster </w:t>
      </w:r>
      <w:hyperlink r:id="rId333">
        <w:r>
          <w:rPr>
            <w:rStyle w:val="Internetverknpfung"/>
          </w:rPr>
          <w:t>Genitivus absolutus</w:t>
        </w:r>
      </w:hyperlink>
      <w:r>
        <w:rPr/>
        <w:t>.</w:t>
      </w:r>
    </w:p>
  </w:footnote>
  <w:footnote w:id="3999">
    <w:p>
      <w:pPr>
        <w:pStyle w:val="Funote"/>
        <w:rPr/>
      </w:pPr>
      <w:r>
        <w:rPr>
          <w:rStyle w:val="Funotenzeichen"/>
        </w:rPr>
        <w:footnoteRef/>
      </w:r>
      <w:r>
        <w:rPr>
          <w:i/>
        </w:rPr>
        <w:tab/>
        <w:t>die … hören</w:t>
      </w:r>
      <w:r>
        <w:rPr/>
        <w:t xml:space="preserve"> bzw. </w:t>
      </w:r>
      <w:r>
        <w:rPr>
          <w:i/>
        </w:rPr>
        <w:t>gehört haben</w:t>
      </w:r>
      <w:r>
        <w:rPr/>
        <w:t xml:space="preserve"> Als Relativsatz aufgelöstes </w:t>
      </w:r>
      <w:hyperlink r:id="rId334">
        <w:r>
          <w:rPr>
            <w:rStyle w:val="Internetverknpfung"/>
          </w:rPr>
          <w:t>substantiviertes Partizip</w:t>
        </w:r>
      </w:hyperlink>
      <w:r>
        <w:rPr/>
        <w:t>. Man kann das Partizip Aorist sowohl vorzeitig wie gleichzeitig übersetzen.</w:t>
      </w:r>
    </w:p>
  </w:footnote>
  <w:footnote w:id="4000">
    <w:p>
      <w:pPr>
        <w:pStyle w:val="Funote"/>
        <w:rPr/>
      </w:pPr>
      <w:r>
        <w:rPr>
          <w:rStyle w:val="Funotenzeichen"/>
        </w:rPr>
        <w:footnoteRef/>
      </w:r>
      <w:r>
        <w:rPr>
          <w:i/>
        </w:rPr>
        <w:tab/>
        <w:t>weltliche Sorgen</w:t>
      </w:r>
      <w:r>
        <w:rPr/>
        <w:t xml:space="preserve"> W. „Sorgen der Welt/Zeit/Gegenwart“, </w:t>
      </w:r>
      <w:hyperlink r:id="rId335">
        <w:r>
          <w:rPr>
            <w:rStyle w:val="Internetverknpfung"/>
          </w:rPr>
          <w:t>appositiver Genitiv</w:t>
        </w:r>
      </w:hyperlink>
      <w:r>
        <w:rPr/>
        <w:t>.</w:t>
      </w:r>
    </w:p>
  </w:footnote>
  <w:footnote w:id="4001">
    <w:p>
      <w:pPr>
        <w:pStyle w:val="Funote"/>
        <w:rPr/>
      </w:pPr>
      <w:r>
        <w:rPr>
          <w:rStyle w:val="Funotenzeichen"/>
        </w:rPr>
        <w:footnoteRef/>
      </w:r>
      <w:r>
        <w:rPr>
          <w:i/>
        </w:rPr>
        <w:tab/>
        <w:t>wenn … dazukommen</w:t>
      </w:r>
      <w:r>
        <w:rPr/>
        <w:t xml:space="preserve"> Temporal aufgelöstes </w:t>
      </w:r>
      <w:hyperlink r:id="rId336">
        <w:r>
          <w:rPr>
            <w:rStyle w:val="Internetverknpfung"/>
          </w:rPr>
          <w:t>Ptz. conj.</w:t>
        </w:r>
      </w:hyperlink>
      <w:r>
        <w:rPr/>
        <w:t>.</w:t>
      </w:r>
    </w:p>
  </w:footnote>
  <w:footnote w:id="4002">
    <w:p>
      <w:pPr>
        <w:pStyle w:val="Funote"/>
        <w:rPr/>
      </w:pPr>
      <w:r>
        <w:rPr>
          <w:rStyle w:val="Funotenzeichen"/>
        </w:rPr>
        <w:footnoteRef/>
      </w:r>
      <w:r>
        <w:rPr>
          <w:i/>
        </w:rPr>
        <w:tab/>
        <w:t>die … gesät werden</w:t>
      </w:r>
      <w:r>
        <w:rPr/>
        <w:t xml:space="preserve"> Als Relativsatz aufgelöstes </w:t>
      </w:r>
      <w:hyperlink r:id="rId337">
        <w:r>
          <w:rPr>
            <w:rStyle w:val="Internetverknpfung"/>
          </w:rPr>
          <w:t>subst. Ptz.</w:t>
        </w:r>
      </w:hyperlink>
      <w:r>
        <w:rPr/>
        <w:t>.</w:t>
      </w:r>
    </w:p>
  </w:footnote>
  <w:footnote w:id="4003">
    <w:p>
      <w:pPr>
        <w:pStyle w:val="Funote"/>
        <w:rPr/>
      </w:pPr>
      <w:r>
        <w:rPr>
          <w:rStyle w:val="Funotenzeichen"/>
        </w:rPr>
        <w:footnoteRef/>
      </w:r>
      <w:r>
        <w:rPr/>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4004">
    <w:p>
      <w:pPr>
        <w:pStyle w:val="Funote"/>
        <w:rPr/>
      </w:pPr>
      <w:r>
        <w:rPr>
          <w:rStyle w:val="Funotenzeichen"/>
        </w:rPr>
        <w:footnoteRef/>
      </w:r>
      <w:r>
        <w:rPr/>
        <w:tab/>
        <w:t>Bringt man W. »kommt«, d.h. etwa »wird herbeigebracht«, eine gängige griechische Wendung (NSS).</w:t>
      </w:r>
    </w:p>
  </w:footnote>
  <w:footnote w:id="4005">
    <w:p>
      <w:pPr>
        <w:pStyle w:val="Funote"/>
        <w:rPr/>
      </w:pPr>
      <w:r>
        <w:rPr>
          <w:rStyle w:val="Funotenzeichen"/>
        </w:rPr>
        <w:footnoteRef/>
      </w:r>
      <w:r>
        <w:rPr>
          <w:i/>
        </w:rPr>
        <w:tab/>
        <w:t>um zu stellen</w:t>
      </w:r>
      <w:r>
        <w:rPr/>
        <w:t xml:space="preserve"> (2x) Oder etwas genauer an der griechischen Syntax orientiert: „damit … gestellt wird“</w:t>
      </w:r>
    </w:p>
  </w:footnote>
  <w:footnote w:id="4006">
    <w:p>
      <w:pPr>
        <w:pStyle w:val="Funote"/>
        <w:rPr/>
      </w:pPr>
      <w:r>
        <w:rPr>
          <w:rStyle w:val="Funotenzeichen"/>
        </w:rPr>
        <w:footnoteRef/>
      </w:r>
      <w:r>
        <w:rPr>
          <w:i/>
        </w:rPr>
        <w:tab/>
        <w:t>um zu machen</w:t>
      </w:r>
      <w:r>
        <w:rPr/>
        <w:t xml:space="preserve"> Oder etwas genauer an der griechischen Syntax orientiert: „damit … gemacht wird“</w:t>
      </w:r>
    </w:p>
  </w:footnote>
  <w:footnote w:id="4007">
    <w:p>
      <w:pPr>
        <w:pStyle w:val="Funote"/>
        <w:rPr/>
      </w:pPr>
      <w:r>
        <w:rPr>
          <w:rStyle w:val="Funotenzeichen"/>
        </w:rPr>
        <w:footnoteRef/>
      </w:r>
      <w:r>
        <w:rPr>
          <w:i/>
        </w:rPr>
        <w:tab/>
        <w:t>Während … {und}</w:t>
      </w:r>
      <w:r>
        <w:rPr/>
        <w:t xml:space="preserve"> W. „und … und“. In Markus' volkstümlichem Griechisch entspricht das wohl (ähnlich wie im Hebräischen) einer temporalen Verbindung (vgl. Mk 2,23), daher die Wiedergabe als temporaler Nebensatz.</w:t>
      </w:r>
    </w:p>
  </w:footnote>
  <w:footnote w:id="4008">
    <w:p>
      <w:pPr>
        <w:pStyle w:val="Funote"/>
        <w:rPr/>
      </w:pPr>
      <w:r>
        <w:rPr>
          <w:rStyle w:val="Funotenzeichen"/>
        </w:rPr>
        <w:footnoteRef/>
      </w:r>
      <w:r>
        <w:rPr/>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4009">
    <w:p>
      <w:pPr>
        <w:pStyle w:val="Funote"/>
        <w:rPr/>
      </w:pPr>
      <w:r>
        <w:rPr>
          <w:rStyle w:val="Funotenzeichen"/>
        </w:rPr>
        <w:footnoteRef/>
      </w:r>
      <w:r>
        <w:rPr>
          <w:i/>
        </w:rPr>
        <w:tab/>
        <w:t>voll ausgereiftem Weizen</w:t>
      </w:r>
      <w:r>
        <w:rPr/>
        <w:t xml:space="preserve"> bezieht sich auf die Körner in der Ähre. </w:t>
      </w:r>
    </w:p>
  </w:footnote>
  <w:footnote w:id="4010">
    <w:p>
      <w:pPr>
        <w:pStyle w:val="Funote"/>
        <w:rPr/>
      </w:pPr>
      <w:r>
        <w:rPr>
          <w:rStyle w:val="Funotenzeichen"/>
        </w:rPr>
        <w:footnoteRef/>
      </w:r>
      <w:r>
        <w:rPr/>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4011">
    <w:p>
      <w:pPr>
        <w:pStyle w:val="Funote"/>
        <w:rPr/>
      </w:pPr>
      <w:r>
        <w:rPr>
          <w:rStyle w:val="Funotenzeichen"/>
        </w:rPr>
        <w:footnoteRef/>
      </w:r>
      <w:r>
        <w:rPr/>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4012">
    <w:p>
      <w:pPr>
        <w:pStyle w:val="Funote"/>
        <w:rPr/>
      </w:pPr>
      <w:r>
        <w:rPr>
          <w:rStyle w:val="Funotenzeichen"/>
        </w:rPr>
        <w:footnoteRef/>
      </w:r>
      <w:r>
        <w:rPr/>
        <w:tab/>
        <w:t>[das] kleinste W. »kleiner«. Superlativisch gebrauchter Komparativ (NSS).</w:t>
      </w:r>
    </w:p>
  </w:footnote>
  <w:footnote w:id="4013">
    <w:p>
      <w:pPr>
        <w:pStyle w:val="Funote"/>
        <w:rPr/>
      </w:pPr>
      <w:r>
        <w:rPr>
          <w:rStyle w:val="Funotenzeichen"/>
        </w:rPr>
        <w:footnoteRef/>
      </w:r>
      <w:r>
        <w:rPr/>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4014">
    <w:p>
      <w:pPr>
        <w:pStyle w:val="Funote"/>
        <w:rPr/>
      </w:pPr>
      <w:r>
        <w:rPr>
          <w:rStyle w:val="Funotenzeichen"/>
        </w:rPr>
        <w:footnoteRef/>
      </w:r>
      <w:r>
        <w:rPr/>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4015">
    <w:p>
      <w:pPr>
        <w:pStyle w:val="Funote"/>
        <w:rPr/>
      </w:pPr>
      <w:r>
        <w:rPr>
          <w:rStyle w:val="Funotenzeichen"/>
        </w:rPr>
        <w:footnoteRef/>
      </w:r>
      <w:r>
        <w:rPr>
          <w:i/>
        </w:rPr>
        <w:tab/>
        <w:t>in seinem Schatten</w:t>
      </w:r>
      <w:r>
        <w:rPr/>
        <w:t xml:space="preserve"> W. „unter seinem Schatten“</w:t>
      </w:r>
    </w:p>
  </w:footnote>
  <w:footnote w:id="4016">
    <w:p>
      <w:pPr>
        <w:pStyle w:val="Funote"/>
        <w:rPr/>
      </w:pPr>
      <w:r>
        <w:rPr>
          <w:rStyle w:val="Funotenzeichen"/>
        </w:rPr>
        <w:footnoteRef/>
      </w:r>
      <w:r>
        <w:rPr>
          <w:i/>
        </w:rPr>
        <w:tab/>
        <w:t>erläuterte</w:t>
      </w:r>
      <w:r>
        <w:rPr/>
        <w:t xml:space="preserve"> Das Imperfekt drückt entweder eine grundsätzliche Gepflogenheit aus oder hat die Predigt von Mk 4,2 im Sinn. Zur Phrase </w:t>
      </w:r>
      <w:r>
        <w:rPr>
          <w:i/>
        </w:rPr>
        <w:t>erläuterte ihnen [seine] Botschaft</w:t>
      </w:r>
      <w:r>
        <w:rPr/>
        <w:t xml:space="preserve"> s. die </w:t>
      </w:r>
      <w:r>
        <w:fldChar w:fldCharType="begin"/>
      </w:r>
      <w:r>
        <w:rPr>
          <w:rStyle w:val="Internetverknpfung"/>
        </w:rPr>
        <w:instrText> HYPERLINK "../../../../../../../../../wiki/Markus_2" \l "note_e"</w:instrText>
      </w:r>
      <w:r>
        <w:rPr>
          <w:rStyle w:val="Internetverknpfung"/>
        </w:rPr>
        <w:fldChar w:fldCharType="separate"/>
      </w:r>
      <w:r>
        <w:rPr>
          <w:rStyle w:val="Internetverknpfung"/>
        </w:rPr>
        <w:t>Fußnote zu Mk 2,2</w:t>
      </w:r>
      <w:r>
        <w:rPr>
          <w:rStyle w:val="Internetverknpfung"/>
        </w:rPr>
        <w:fldChar w:fldCharType="end"/>
      </w:r>
      <w:r>
        <w:rPr/>
        <w:t xml:space="preserve"> und die folgende Fußnote zu </w:t>
      </w:r>
      <w:r>
        <w:rPr>
          <w:i/>
        </w:rPr>
        <w:t>Wort</w:t>
      </w:r>
      <w:r>
        <w:rPr/>
        <w:t>.</w:t>
      </w:r>
    </w:p>
  </w:footnote>
  <w:footnote w:id="4017">
    <w:p>
      <w:pPr>
        <w:pStyle w:val="Funote"/>
        <w:rPr/>
      </w:pPr>
      <w:r>
        <w:rPr>
          <w:rStyle w:val="Funotenzeichen"/>
        </w:rPr>
        <w:footnoteRef/>
      </w:r>
      <w:r>
        <w:rPr/>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4018">
    <w:p>
      <w:pPr>
        <w:pStyle w:val="Funote"/>
        <w:rPr/>
      </w:pPr>
      <w:r>
        <w:rPr>
          <w:rStyle w:val="Funotenzeichen"/>
        </w:rPr>
        <w:footnoteRef/>
      </w:r>
      <w:r>
        <w:rPr/>
        <w:tab/>
        <w:t>Jünger Gemeint sind hier nicht nur die Zwölf, sondern die größere Gruppe seiner Anhänger, die schon in V. 10 im Blick war (Collins 2007, 256).</w:t>
      </w:r>
    </w:p>
  </w:footnote>
  <w:footnote w:id="4019">
    <w:p>
      <w:pPr>
        <w:pStyle w:val="Funote"/>
        <w:rPr/>
      </w:pPr>
      <w:r>
        <w:rPr>
          <w:rStyle w:val="Funotenzeichen"/>
        </w:rPr>
        <w:footnoteRef/>
      </w:r>
      <w:r>
        <w:rPr>
          <w:i/>
        </w:rPr>
        <w:tab/>
        <w:t>sprach</w:t>
      </w:r>
      <w:r>
        <w:rPr/>
        <w:t xml:space="preserve"> und </w:t>
      </w:r>
      <w:r>
        <w:rPr>
          <w:i/>
        </w:rPr>
        <w:t>erklärte</w:t>
      </w:r>
      <w:r>
        <w:rPr/>
        <w:t xml:space="preserve"> stehen im </w:t>
      </w:r>
      <w:hyperlink r:id="rId338">
        <w:r>
          <w:rPr>
            <w:rStyle w:val="Internetverknpfung"/>
          </w:rPr>
          <w:t>Imperfekt</w:t>
        </w:r>
      </w:hyperlink>
      <w:r>
        <w:rPr/>
        <w:t xml:space="preserve">, wie große Teile der Rahmenhandlung in Kap. 4. Dazu vgl. die Fußnoten zu </w:t>
      </w:r>
      <w:hyperlink w:anchor="note_o">
        <w:r>
          <w:rPr>
            <w:rStyle w:val="Internetverknpfung"/>
          </w:rPr>
          <w:t>V. 10</w:t>
        </w:r>
      </w:hyperlink>
      <w:r>
        <w:rPr/>
        <w:t xml:space="preserve"> und </w:t>
      </w:r>
      <w:hyperlink w:anchor="note_n">
        <w:r>
          <w:rPr>
            <w:rStyle w:val="Internetverknpfung"/>
          </w:rPr>
          <w:t>9</w:t>
        </w:r>
      </w:hyperlink>
      <w:r>
        <w:rPr/>
        <w:t xml:space="preserve"> sowie </w:t>
      </w:r>
      <w:hyperlink w:anchor="note_ao">
        <w:r>
          <w:rPr>
            <w:rStyle w:val="Internetverknpfung"/>
          </w:rPr>
          <w:t>V. 33</w:t>
        </w:r>
      </w:hyperlink>
      <w:r>
        <w:rPr/>
        <w:t>.</w:t>
      </w:r>
    </w:p>
  </w:footnote>
  <w:footnote w:id="4020">
    <w:p>
      <w:pPr>
        <w:pStyle w:val="Funote"/>
        <w:rPr/>
      </w:pPr>
      <w:r>
        <w:rPr>
          <w:rStyle w:val="Funotenzeichen"/>
        </w:rPr>
        <w:footnoteRef/>
      </w:r>
      <w:r>
        <w:rPr>
          <w:i/>
        </w:rPr>
        <w:tab/>
        <w:t>als es Abend geworden war</w:t>
      </w:r>
      <w:r>
        <w:rPr/>
        <w:t xml:space="preserve"> </w:t>
      </w:r>
      <w:hyperlink r:id="rId339">
        <w:r>
          <w:rPr>
            <w:rStyle w:val="Internetverknpfung"/>
          </w:rPr>
          <w:t>Gen. abs.</w:t>
        </w:r>
      </w:hyperlink>
      <w:r>
        <w:rPr/>
        <w:t>, temporal als Nebensatz aufgelöst.</w:t>
      </w:r>
    </w:p>
  </w:footnote>
  <w:footnote w:id="4021">
    <w:p>
      <w:pPr>
        <w:pStyle w:val="Funote"/>
        <w:rPr/>
      </w:pPr>
      <w:r>
        <w:rPr>
          <w:rStyle w:val="Funotenzeichen"/>
        </w:rPr>
        <w:footnoteRef/>
      </w:r>
      <w:r>
        <w:rPr/>
        <w:tab/>
        <w:t>ans andere Ufer Jesus und die Jünger hielten sich bei Kafarnaum am See Gennesaret auf (4,1-2). Das andere Ufer war also das von Nichtjuden bewohnte Ostufer (vgl. France 2002, 222), das sie in Mk 5,1 erreichen.</w:t>
      </w:r>
    </w:p>
  </w:footnote>
  <w:footnote w:id="4022">
    <w:p>
      <w:pPr>
        <w:pStyle w:val="Funote"/>
        <w:rPr/>
      </w:pPr>
      <w:r>
        <w:rPr>
          <w:rStyle w:val="Funotenzeichen"/>
        </w:rPr>
        <w:footnoteRef/>
      </w:r>
      <w:r>
        <w:rPr>
          <w:i/>
        </w:rPr>
        <w:tab/>
        <w:t>nachdem sie die Menschenmenge weggeschickt hatten (wobei … zurückließen)</w:t>
      </w:r>
      <w:r>
        <w:rPr/>
        <w:t xml:space="preserve"> </w:t>
      </w:r>
      <w:hyperlink r:id="rId340">
        <w:r>
          <w:rPr>
            <w:rStyle w:val="Internetverknpfung"/>
          </w:rPr>
          <w:t>Ptz. conj.</w:t>
        </w:r>
      </w:hyperlink>
      <w:r>
        <w:rPr/>
        <w:t>, temporal (oder modal) als Nebensatz aufgelöst. Deutsche Übersetzungen verwenden durchweg „wegschicken“, englische „zurücklassen“.</w:t>
      </w:r>
    </w:p>
  </w:footnote>
  <w:footnote w:id="4023">
    <w:p>
      <w:pPr>
        <w:pStyle w:val="Funote"/>
        <w:rPr/>
      </w:pPr>
      <w:r>
        <w:rPr>
          <w:rStyle w:val="Funotenzeichen"/>
        </w:rPr>
        <w:footnoteRef/>
      </w:r>
      <w:r>
        <w:rPr/>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4024">
    <w:p>
      <w:pPr>
        <w:pStyle w:val="Funote"/>
        <w:rPr/>
      </w:pPr>
      <w:r>
        <w:rPr>
          <w:rStyle w:val="Funotenzeichen"/>
        </w:rPr>
        <w:footnoteRef/>
      </w:r>
      <w:r>
        <w:rPr>
          <w:i/>
        </w:rPr>
        <w:tab/>
        <w:t>starker Sturmwind</w:t>
      </w:r>
      <w:r>
        <w:rPr/>
        <w:t xml:space="preserve"> W. „großer Sturmwind [des] Windes“, eine Formulierung, die sich vielleicht an Jona 1,4 anlehnt.</w:t>
      </w:r>
    </w:p>
  </w:footnote>
  <w:footnote w:id="4025">
    <w:p>
      <w:pPr>
        <w:pStyle w:val="Funote"/>
        <w:rPr/>
      </w:pPr>
      <w:r>
        <w:rPr>
          <w:rStyle w:val="Funotenzeichen"/>
        </w:rPr>
        <w:footnoteRef/>
      </w:r>
      <w:r>
        <w:rPr>
          <w:i/>
        </w:rPr>
        <w:tab/>
        <w:t>schlugen [bald]</w:t>
      </w:r>
      <w:r>
        <w:rPr/>
        <w:t xml:space="preserve"> </w:t>
      </w:r>
      <w:hyperlink r:id="rId341">
        <w:r>
          <w:rPr>
            <w:rStyle w:val="Internetverknpfung"/>
          </w:rPr>
          <w:t>Imperfekt</w:t>
        </w:r>
      </w:hyperlink>
      <w:r>
        <w:rPr/>
        <w:t xml:space="preserve">, </w:t>
      </w:r>
      <w:r>
        <w:rPr>
          <w:i/>
        </w:rPr>
        <w:t>[langsam] füllte</w:t>
      </w:r>
      <w:r>
        <w:rPr/>
        <w:t xml:space="preserve"> </w:t>
      </w:r>
      <w:hyperlink r:id="rId342">
        <w:r>
          <w:rPr>
            <w:rStyle w:val="Internetverknpfung"/>
          </w:rPr>
          <w:t>Infinitiv</w:t>
        </w:r>
      </w:hyperlink>
      <w:r>
        <w:rPr/>
        <w:t xml:space="preserve"> Präsens (im AcI). Beide Tempusformen suggerieren einen anhaltenden Vorgang, der durch die mit angegebenen Worteinfügungen kenntlich gemacht wurde.</w:t>
      </w:r>
    </w:p>
  </w:footnote>
  <w:footnote w:id="4026">
    <w:p>
      <w:pPr>
        <w:pStyle w:val="Funote"/>
        <w:rPr/>
      </w:pPr>
      <w:r>
        <w:rPr>
          <w:rStyle w:val="Funotenzeichen"/>
        </w:rPr>
        <w:footnoteRef/>
      </w:r>
      <w:r>
        <w:rPr/>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4027">
    <w:p>
      <w:pPr>
        <w:pStyle w:val="Funote"/>
        <w:rPr/>
      </w:pPr>
      <w:r>
        <w:rPr>
          <w:rStyle w:val="Funotenzeichen"/>
        </w:rPr>
        <w:footnoteRef/>
      </w:r>
      <w:r>
        <w:rPr>
          <w:i/>
        </w:rPr>
        <w:tab/>
        <w:t>wachte auf</w:t>
      </w:r>
      <w:r>
        <w:rPr/>
        <w:t xml:space="preserve"> </w:t>
      </w:r>
      <w:hyperlink r:id="rId343">
        <w:r>
          <w:rPr>
            <w:rStyle w:val="Internetverknpfung"/>
          </w:rPr>
          <w:t>Ptz. conj.</w:t>
        </w:r>
      </w:hyperlink>
      <w:r>
        <w:rPr/>
        <w:t xml:space="preserve"> (Aor.), temporal, beigeordnet aufgelöst.</w:t>
      </w:r>
    </w:p>
  </w:footnote>
  <w:footnote w:id="4028">
    <w:p>
      <w:pPr>
        <w:pStyle w:val="Funote"/>
        <w:rPr/>
      </w:pPr>
      <w:r>
        <w:rPr>
          <w:rStyle w:val="Funotenzeichen"/>
        </w:rPr>
        <w:footnoteRef/>
      </w:r>
      <w:r>
        <w:rPr/>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4029">
    <w:p>
      <w:pPr>
        <w:pStyle w:val="Funote"/>
        <w:rPr/>
      </w:pPr>
      <w:r>
        <w:rPr>
          <w:rStyle w:val="Funotenzeichen"/>
        </w:rPr>
        <w:footnoteRef/>
      </w:r>
      <w:r>
        <w:rPr/>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4030">
    <w:p>
      <w:pPr>
        <w:pStyle w:val="Funote"/>
        <w:rPr/>
      </w:pPr>
      <w:r>
        <w:rPr>
          <w:rStyle w:val="Funotenzeichen"/>
        </w:rPr>
        <w:footnoteRef/>
      </w:r>
      <w:r>
        <w:rPr>
          <w:i/>
        </w:rPr>
        <w:tab/>
        <w:t>gehorchen</w:t>
      </w:r>
      <w:r>
        <w:rPr/>
        <w:t xml:space="preserve"> W. „gehorcht“</w:t>
      </w:r>
    </w:p>
  </w:footnote>
  <w:footnote w:id="4031">
    <w:p>
      <w:pPr>
        <w:pStyle w:val="Funote"/>
        <w:rPr/>
      </w:pPr>
      <w:r>
        <w:rPr>
          <w:rStyle w:val="Funotenzeichen"/>
        </w:rPr>
        <w:footnoteRef/>
      </w:r>
      <w:r>
        <w:rPr/>
        <w:tab/>
        <w:t>[Status: Zuverlässig]</w:t>
      </w:r>
    </w:p>
  </w:footnote>
  <w:footnote w:id="4032">
    <w:p>
      <w:pPr>
        <w:pStyle w:val="Funote"/>
        <w:rPr/>
      </w:pPr>
      <w:r>
        <w:rPr>
          <w:rStyle w:val="Funotenzeichen"/>
        </w:rPr>
        <w:footnoteRef/>
      </w:r>
      <w:r>
        <w:rPr/>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4033">
    <w:p>
      <w:pPr>
        <w:pStyle w:val="Funote"/>
        <w:rPr/>
      </w:pPr>
      <w:r>
        <w:rPr>
          <w:rStyle w:val="Funotenzeichen"/>
        </w:rPr>
        <w:footnoteRef/>
      </w:r>
      <w:r>
        <w:rPr>
          <w:i/>
        </w:rPr>
        <w:tab/>
        <w:t>als er ... gestiegen war (stieg)</w:t>
      </w:r>
      <w:r>
        <w:rPr/>
        <w:t xml:space="preserve"> </w:t>
      </w:r>
      <w:hyperlink r:id="rId344">
        <w:r>
          <w:rPr>
            <w:rStyle w:val="Internetverknpfung"/>
          </w:rPr>
          <w:t>Gen. abs.</w:t>
        </w:r>
      </w:hyperlink>
      <w:r>
        <w:rPr/>
        <w:t>, temporal aufgelöst.</w:t>
      </w:r>
    </w:p>
  </w:footnote>
  <w:footnote w:id="4034">
    <w:p>
      <w:pPr>
        <w:pStyle w:val="Funote"/>
        <w:rPr/>
      </w:pPr>
      <w:r>
        <w:rPr>
          <w:rStyle w:val="Funotenzeichen"/>
        </w:rPr>
        <w:footnoteRef/>
      </w:r>
      <w:r>
        <w:rPr>
          <w:i/>
        </w:rPr>
        <w:tab/>
        <w:t>nicht einmal … man … noch</w:t>
      </w:r>
      <w:r>
        <w:rPr/>
        <w:t xml:space="preserve"> W. „nicht einmal … niemand … nicht mehr“. Die dreifache Verneinung intensiviert die ausgedrückte Unmöglichkeit. </w:t>
      </w:r>
    </w:p>
  </w:footnote>
  <w:footnote w:id="4035">
    <w:p>
      <w:pPr>
        <w:pStyle w:val="Funote"/>
        <w:rPr/>
      </w:pPr>
      <w:r>
        <w:rPr>
          <w:rStyle w:val="Funotenzeichen"/>
        </w:rPr>
        <w:footnoteRef/>
      </w:r>
      <w:r>
        <w:rPr>
          <w:i/>
        </w:rPr>
        <w:tab/>
        <w:t>[mit] Fußfesseln und Ketten gefesselt</w:t>
      </w:r>
      <w:r>
        <w:rPr/>
        <w:t xml:space="preserve"> Schöner wäre „(eisernen) Fuß- und Handfesseln“, etwas freier auch „an Händen und Füßen mit Ketten gefesselt“.</w:t>
      </w:r>
    </w:p>
  </w:footnote>
  <w:footnote w:id="4036">
    <w:p>
      <w:pPr>
        <w:pStyle w:val="Funote"/>
        <w:rPr/>
      </w:pPr>
      <w:r>
        <w:rPr>
          <w:rStyle w:val="Funotenzeichen"/>
        </w:rPr>
        <w:footnoteRef/>
      </w:r>
      <w:r>
        <w:rPr/>
        <w:tab/>
        <w:t>zerrissen W. „auseinander zerrissen“ (vgl. LN 19.29).</w:t>
      </w:r>
    </w:p>
  </w:footnote>
  <w:footnote w:id="4037">
    <w:p>
      <w:pPr>
        <w:pStyle w:val="Funote"/>
        <w:rPr/>
      </w:pPr>
      <w:r>
        <w:rPr>
          <w:rStyle w:val="Funotenzeichen"/>
        </w:rPr>
        <w:footnoteRef/>
      </w:r>
      <w:r>
        <w:rPr>
          <w:i/>
        </w:rPr>
        <w:tab/>
        <w:t>hatte ... zerrissen und … zerrieben</w:t>
      </w:r>
      <w:r>
        <w:rPr/>
        <w:t xml:space="preserve"> W. „(die Ketten) waren zerrissen und zerrieben worden“.</w:t>
      </w:r>
    </w:p>
  </w:footnote>
  <w:footnote w:id="4038">
    <w:p>
      <w:pPr>
        <w:pStyle w:val="Funote"/>
        <w:rPr/>
      </w:pPr>
      <w:r>
        <w:rPr>
          <w:rStyle w:val="Funotenzeichen"/>
        </w:rPr>
        <w:footnoteRef/>
      </w:r>
      <w:r>
        <w:rPr>
          <w:i/>
        </w:rPr>
        <w:tab/>
        <w:t>hielt er sich … auf … wo (wobei, während) er schrie</w:t>
      </w:r>
      <w:r>
        <w:rPr/>
        <w:t xml:space="preserve"> Oder einfach „schrie er ununterbrochen … und schnitt sich“. W. </w:t>
      </w:r>
      <w:r>
        <w:rPr>
          <w:lang w:val="el-GR"/>
        </w:rPr>
        <w:t>ἦν κράζων</w:t>
      </w:r>
      <w:r>
        <w:rPr/>
        <w:t xml:space="preserve"> (w. „war schreiend“) Dieses so genannte periphrastische oder </w:t>
      </w:r>
      <w:hyperlink r:id="rId345">
        <w:r>
          <w:rPr>
            <w:rStyle w:val="Internetverknpfung"/>
          </w:rPr>
          <w:t>umschreibende Partizip</w:t>
        </w:r>
      </w:hyperlink>
      <w:r>
        <w:rPr/>
        <w:t xml:space="preserve"> kann man verschieden übersetzen. Häufig dient es als Beschreibung eines anhaltenden Zustands. Hier wurde das Hauptverb aus stilistischen Gründen separat übersetzt (weitere Infos auf der verlinkten Seite). Der Satz lässt sich auch als HS+</w:t>
      </w:r>
      <w:hyperlink r:id="rId346">
        <w:r>
          <w:rPr>
            <w:rStyle w:val="Internetverknpfung"/>
          </w:rPr>
          <w:t>Ptz. conj.</w:t>
        </w:r>
      </w:hyperlink>
      <w:r>
        <w:rPr/>
        <w:t xml:space="preserve"> (modal-temporal) übersetzen wie in der Klammer; der Unterschied trägt nichts aus. </w:t>
      </w:r>
    </w:p>
  </w:footnote>
  <w:footnote w:id="4039">
    <w:p>
      <w:pPr>
        <w:pStyle w:val="Funote"/>
        <w:rPr/>
      </w:pPr>
      <w:r>
        <w:rPr>
          <w:rStyle w:val="Funotenzeichen"/>
        </w:rPr>
        <w:footnoteRef/>
      </w:r>
      <w:r>
        <w:rPr/>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4040">
    <w:p>
      <w:pPr>
        <w:pStyle w:val="Funote"/>
        <w:rPr/>
      </w:pPr>
      <w:r>
        <w:rPr>
          <w:rStyle w:val="Funotenzeichen"/>
        </w:rPr>
        <w:footnoteRef/>
      </w:r>
      <w:r>
        <w:rPr>
          <w:i/>
        </w:rPr>
        <w:tab/>
        <w:t>als/weil er sah</w:t>
      </w:r>
      <w:r>
        <w:rPr/>
        <w:t xml:space="preserve"> </w:t>
      </w:r>
      <w:hyperlink r:id="rId347">
        <w:r>
          <w:rPr>
            <w:rStyle w:val="Internetverknpfung"/>
          </w:rPr>
          <w:t>Ptz. conj.</w:t>
        </w:r>
      </w:hyperlink>
      <w:r>
        <w:rPr/>
        <w:t>, als temporaler (oder kausaler) Nebensatz aufgelöst.</w:t>
      </w:r>
    </w:p>
  </w:footnote>
  <w:footnote w:id="4041">
    <w:p>
      <w:pPr>
        <w:pStyle w:val="Funote"/>
        <w:rPr/>
      </w:pPr>
      <w:r>
        <w:rPr>
          <w:rStyle w:val="Funotenzeichen"/>
        </w:rPr>
        <w:footnoteRef/>
      </w:r>
      <w:r>
        <w:rPr/>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4042">
    <w:p>
      <w:pPr>
        <w:pStyle w:val="Funote"/>
        <w:rPr/>
      </w:pPr>
      <w:r>
        <w:rPr>
          <w:rStyle w:val="Funotenzeichen"/>
        </w:rPr>
        <w:footnoteRef/>
      </w:r>
      <w:r>
        <w:rPr>
          <w:i/>
        </w:rPr>
        <w:tab/>
        <w:t>Er schrie ... und</w:t>
      </w:r>
      <w:r>
        <w:rPr/>
        <w:t xml:space="preserve"> </w:t>
      </w:r>
      <w:hyperlink r:id="rId348">
        <w:r>
          <w:rPr>
            <w:rStyle w:val="Internetverknpfung"/>
          </w:rPr>
          <w:t>Ptz. conj.</w:t>
        </w:r>
      </w:hyperlink>
      <w:r>
        <w:rPr/>
        <w:t xml:space="preserve"> (temporal), mit „und“-Kombination aufgelöst.</w:t>
      </w:r>
    </w:p>
  </w:footnote>
  <w:footnote w:id="4043">
    <w:p>
      <w:pPr>
        <w:pStyle w:val="Funote"/>
        <w:rPr/>
      </w:pPr>
      <w:r>
        <w:rPr>
          <w:rStyle w:val="Funotenzeichen"/>
        </w:rPr>
        <w:footnoteRef/>
      </w:r>
      <w:r>
        <w:rPr/>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4044">
    <w:p>
      <w:pPr>
        <w:pStyle w:val="Funote"/>
        <w:rPr/>
      </w:pPr>
      <w:r>
        <w:rPr>
          <w:rStyle w:val="Funotenzeichen"/>
        </w:rPr>
        <w:footnoteRef/>
      </w:r>
      <w:r>
        <w:rPr/>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4045">
    <w:p>
      <w:pPr>
        <w:pStyle w:val="Funote"/>
        <w:rPr/>
      </w:pPr>
      <w:r>
        <w:rPr>
          <w:rStyle w:val="Funotenzeichen"/>
        </w:rPr>
        <w:footnoteRef/>
      </w:r>
      <w:r>
        <w:rPr/>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4046">
    <w:p>
      <w:pPr>
        <w:pStyle w:val="Funote"/>
        <w:rPr/>
      </w:pPr>
      <w:r>
        <w:rPr>
          <w:rStyle w:val="Funotenzeichen"/>
        </w:rPr>
        <w:footnoteRef/>
      </w:r>
      <w:r>
        <w:rPr/>
        <w:tab/>
        <w:t>»Was [ist] dein Name?« und »Mein Name [ist]...« W. »Was (für ein) Name [ist] dir?« etc. (possessiver Dativ; NSS)</w:t>
      </w:r>
    </w:p>
  </w:footnote>
  <w:footnote w:id="4047">
    <w:p>
      <w:pPr>
        <w:pStyle w:val="Funote"/>
        <w:rPr/>
      </w:pPr>
      <w:r>
        <w:rPr>
          <w:rStyle w:val="Funotenzeichen"/>
        </w:rPr>
        <w:footnoteRef/>
      </w:r>
      <w:r>
        <w:rPr>
          <w:i/>
        </w:rPr>
        <w:tab/>
        <w:t>immer wieder (inständig)</w:t>
      </w:r>
      <w:r>
        <w:rPr/>
        <w:t xml:space="preserve"> Das Adverb </w:t>
      </w:r>
      <w:r>
        <w:rPr>
          <w:lang w:val="el-GR"/>
        </w:rPr>
        <w:t>πολλὰ</w:t>
      </w:r>
      <w:r>
        <w:rPr/>
        <w:t xml:space="preserve"> kann man sowohl intensivierend als auch wiederholend verstehen. Die meisten Übersetzungen intensivieren (vgl. aber V. 23, 38 und 43).</w:t>
      </w:r>
    </w:p>
  </w:footnote>
  <w:footnote w:id="4048">
    <w:p>
      <w:pPr>
        <w:pStyle w:val="Funote"/>
        <w:rPr/>
      </w:pPr>
      <w:r>
        <w:rPr>
          <w:rStyle w:val="Funotenzeichen"/>
        </w:rPr>
        <w:footnoteRef/>
      </w:r>
      <w:r>
        <w:rPr/>
        <w:tab/>
        <w:t>am Berghang W. „an dem Berg“. Die Präposition weist auf einen Hang hin (vgl. EÜ, NGÜ, GNB).</w:t>
      </w:r>
    </w:p>
  </w:footnote>
  <w:footnote w:id="4049">
    <w:p>
      <w:pPr>
        <w:pStyle w:val="Funote"/>
        <w:rPr/>
      </w:pPr>
      <w:r>
        <w:rPr>
          <w:rStyle w:val="Funotenzeichen"/>
        </w:rPr>
        <w:footnoteRef/>
      </w:r>
      <w:r>
        <w:rPr>
          <w:i/>
        </w:rPr>
        <w:tab/>
        <w:t>weidete gerade</w:t>
      </w:r>
      <w:r>
        <w:rPr/>
        <w:t xml:space="preserve"> </w:t>
      </w:r>
      <w:hyperlink r:id="rId349">
        <w:r>
          <w:rPr>
            <w:rStyle w:val="Internetverknpfung"/>
          </w:rPr>
          <w:t>Periphrastische Konjugation</w:t>
        </w:r>
      </w:hyperlink>
      <w:r>
        <w:rPr/>
        <w:t>, die das Imperfekt umschreibt und die Gleichzeitigkeit des durativen Aspekts stärker betont.</w:t>
      </w:r>
    </w:p>
  </w:footnote>
  <w:footnote w:id="4050">
    <w:p>
      <w:pPr>
        <w:pStyle w:val="Funote"/>
        <w:rPr/>
      </w:pPr>
      <w:r>
        <w:rPr>
          <w:rStyle w:val="Funotenzeichen"/>
        </w:rPr>
        <w:footnoteRef/>
      </w:r>
      <w:r>
        <w:rPr>
          <w:i/>
        </w:rPr>
        <w:tab/>
        <w:t>Schweineherde</w:t>
      </w:r>
      <w:r>
        <w:rPr/>
        <w:t xml:space="preserve"> W. „Herde [der] Schweine“</w:t>
      </w:r>
    </w:p>
  </w:footnote>
  <w:footnote w:id="4051">
    <w:p>
      <w:pPr>
        <w:pStyle w:val="Funote"/>
        <w:rPr/>
      </w:pPr>
      <w:r>
        <w:rPr>
          <w:rStyle w:val="Funotenzeichen"/>
        </w:rPr>
        <w:footnoteRef/>
      </w:r>
      <w:r>
        <w:rPr/>
        <w:tab/>
        <w:t xml:space="preserve">Wir wollen (damit wir) Die Konjunktion </w:t>
      </w:r>
      <w:r>
        <w:rPr>
          <w:lang w:val="el-GR"/>
        </w:rPr>
        <w:t>ἵνα</w:t>
      </w:r>
      <w:r>
        <w:rPr/>
        <w:t xml:space="preserve"> wird hier (v.a. aus stilistischen Gründen) als selbständiger Begehrungssatz übersetzt (NSS). Vgl. ZÜR, MEN.</w:t>
      </w:r>
    </w:p>
  </w:footnote>
  <w:footnote w:id="4052">
    <w:p>
      <w:pPr>
        <w:pStyle w:val="Funote"/>
        <w:rPr/>
      </w:pPr>
      <w:r>
        <w:rPr>
          <w:rStyle w:val="Funotenzeichen"/>
        </w:rPr>
        <w:footnoteRef/>
      </w:r>
      <w:r>
        <w:rPr>
          <w:i/>
        </w:rPr>
        <w:tab/>
        <w:t>fuhren aus und</w:t>
      </w:r>
      <w:r>
        <w:rPr/>
        <w:t xml:space="preserve"> Temporales oder modales </w:t>
      </w:r>
      <w:hyperlink r:id="rId350">
        <w:r>
          <w:rPr>
            <w:rStyle w:val="Internetverknpfung"/>
          </w:rPr>
          <w:t>Ptz. conj.</w:t>
        </w:r>
      </w:hyperlink>
      <w:r>
        <w:rPr/>
        <w:t>, hier mit Hilfe einer „und“-Kombination beigeordnet.</w:t>
      </w:r>
    </w:p>
  </w:footnote>
  <w:footnote w:id="4053">
    <w:p>
      <w:pPr>
        <w:pStyle w:val="Funote"/>
        <w:rPr/>
      </w:pPr>
      <w:r>
        <w:rPr>
          <w:rStyle w:val="Funotenzeichen"/>
        </w:rPr>
        <w:footnoteRef/>
      </w:r>
      <w:r>
        <w:rPr/>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4054">
    <w:p>
      <w:pPr>
        <w:pStyle w:val="Funote"/>
        <w:rPr/>
      </w:pPr>
      <w:r>
        <w:rPr>
          <w:rStyle w:val="Funotenzeichen"/>
        </w:rPr>
        <w:footnoteRef/>
      </w:r>
      <w:r>
        <w:rPr>
          <w:i/>
        </w:rPr>
        <w:tab/>
        <w:t>ihre Hirten</w:t>
      </w:r>
      <w:r>
        <w:rPr/>
        <w:t xml:space="preserve"> Oder etwas wörtlicher „die sie hüteten“.</w:t>
      </w:r>
    </w:p>
  </w:footnote>
  <w:footnote w:id="4055">
    <w:p>
      <w:pPr>
        <w:pStyle w:val="Funote"/>
        <w:rPr/>
      </w:pPr>
      <w:r>
        <w:rPr>
          <w:rStyle w:val="Funotenzeichen"/>
        </w:rPr>
        <w:footnoteRef/>
      </w:r>
      <w:r>
        <w:rPr/>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4056">
    <w:p>
      <w:pPr>
        <w:pStyle w:val="Funote"/>
        <w:rPr/>
      </w:pPr>
      <w:r>
        <w:rPr>
          <w:rStyle w:val="Funotenzeichen"/>
        </w:rPr>
        <w:footnoteRef/>
      </w:r>
      <w:r>
        <w:rPr/>
        <w:tab/>
        <w:t>was das Geschehene war W. „was das Geschehene ist“; der Objektsatz steht in der selben Zeit, in der direkte Rede stehen würde (vgl. Zerwick § 346; ad loc. Grosvenor/Zerwick).</w:t>
      </w:r>
    </w:p>
  </w:footnote>
  <w:footnote w:id="4057">
    <w:p>
      <w:pPr>
        <w:pStyle w:val="Funote"/>
        <w:rPr/>
      </w:pPr>
      <w:r>
        <w:rPr>
          <w:rStyle w:val="Funotenzeichen"/>
        </w:rPr>
        <w:footnoteRef/>
      </w:r>
      <w:r>
        <w:rPr>
          <w:i/>
        </w:rPr>
        <w:tab/>
        <w:t>sahen, dass der Besessene saß, bekleidet und bei Verstand</w:t>
      </w:r>
      <w:r>
        <w:rPr/>
        <w:t xml:space="preserve"> Dreifaches </w:t>
      </w:r>
      <w:hyperlink r:id="rId351">
        <w:r>
          <w:rPr>
            <w:rStyle w:val="Internetverknpfung"/>
          </w:rPr>
          <w:t>AcP</w:t>
        </w:r>
      </w:hyperlink>
      <w:r>
        <w:rPr/>
        <w:t xml:space="preserve">. Aus stilistischen Gründen (allerdings im Rahmen des griechischen Satzbaus) wurde nur das erste Ptz. als Teil des AcP aufgelöst und die anderen beiden Partizipien </w:t>
      </w:r>
      <w:hyperlink r:id="rId352">
        <w:r>
          <w:rPr>
            <w:rStyle w:val="Internetverknpfung"/>
          </w:rPr>
          <w:t>modal</w:t>
        </w:r>
      </w:hyperlink>
      <w:r>
        <w:rPr/>
        <w:t xml:space="preserve"> verstanden. </w:t>
      </w:r>
      <w:r>
        <w:rPr>
          <w:i/>
        </w:rPr>
        <w:t>bekleidet</w:t>
      </w:r>
      <w:r>
        <w:rPr/>
        <w:t xml:space="preserve"> bedarf keiner Auflösung, </w:t>
      </w:r>
      <w:r>
        <w:rPr>
          <w:i/>
        </w:rPr>
        <w:t>bei Verstand</w:t>
      </w:r>
      <w:r>
        <w:rPr/>
        <w:t xml:space="preserve"> gibt das Ptz. als Präpositionalphrase wieder.</w:t>
      </w:r>
    </w:p>
  </w:footnote>
  <w:footnote w:id="4058">
    <w:p>
      <w:pPr>
        <w:pStyle w:val="Funote"/>
        <w:rPr/>
      </w:pPr>
      <w:r>
        <w:rPr>
          <w:rStyle w:val="Funotenzeichen"/>
        </w:rPr>
        <w:footnoteRef/>
      </w:r>
      <w:r>
        <w:rPr/>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4059">
    <w:p>
      <w:pPr>
        <w:pStyle w:val="Funote"/>
        <w:rPr/>
      </w:pPr>
      <w:r>
        <w:rPr>
          <w:rStyle w:val="Funotenzeichen"/>
        </w:rPr>
        <w:footnoteRef/>
      </w:r>
      <w:r>
        <w:rPr>
          <w:i/>
        </w:rPr>
        <w:tab/>
        <w:t>Als er ins Boot stieg</w:t>
      </w:r>
      <w:r>
        <w:rPr/>
        <w:t xml:space="preserve"> </w:t>
      </w:r>
      <w:hyperlink r:id="rId353">
        <w:r>
          <w:rPr>
            <w:rStyle w:val="Internetverknpfung"/>
          </w:rPr>
          <w:t>Gen. abs.</w:t>
        </w:r>
      </w:hyperlink>
      <w:r>
        <w:rPr/>
        <w:t>, als temporaler Nebensatz aufgelöst.</w:t>
      </w:r>
    </w:p>
  </w:footnote>
  <w:footnote w:id="4060">
    <w:p>
      <w:pPr>
        <w:pStyle w:val="Funote"/>
        <w:rPr/>
      </w:pPr>
      <w:r>
        <w:rPr>
          <w:rStyle w:val="Funotenzeichen"/>
        </w:rPr>
        <w:footnoteRef/>
      </w:r>
      <w:r>
        <w:rPr/>
        <w:tab/>
        <w:t>der, der besessen gewesen war Subst. Ptz. Aor., als Relativsatz aufgelöst. Eine schönere Übersetzung wäre vielleicht „der vormals Besessene“ oder auch „der ehemalige Besessene“. MEN: „der (früher) Besessene“, GNB sogar: „der Geheilte“.</w:t>
      </w:r>
    </w:p>
  </w:footnote>
  <w:footnote w:id="4061">
    <w:p>
      <w:pPr>
        <w:pStyle w:val="Funote"/>
        <w:rPr/>
      </w:pPr>
      <w:r>
        <w:rPr>
          <w:rStyle w:val="Funotenzeichen"/>
        </w:rPr>
        <w:footnoteRef/>
      </w:r>
      <w:r>
        <w:rPr>
          <w:i/>
        </w:rPr>
        <w:tab/>
        <w:t>Dekapolis</w:t>
      </w:r>
      <w:r>
        <w:rPr/>
        <w:t xml:space="preserve"> Die Dekapolis war eine Region von etwa zehn Städten im heutigen Jordanien, als östlich des Jordan und des Sees Gennesaret. Weitere Informationen liefert der Artikel </w:t>
      </w:r>
      <w:hyperlink r:id="rId354">
        <w:r>
          <w:rPr>
            <w:rStyle w:val="Internetverknpfung"/>
          </w:rPr>
          <w:t>Dekapolis</w:t>
        </w:r>
      </w:hyperlink>
      <w:r>
        <w:rPr/>
        <w:t>.</w:t>
      </w:r>
    </w:p>
  </w:footnote>
  <w:footnote w:id="4062">
    <w:p>
      <w:pPr>
        <w:pStyle w:val="Funote"/>
        <w:rPr/>
      </w:pPr>
      <w:r>
        <w:rPr>
          <w:rStyle w:val="Funotenzeichen"/>
        </w:rPr>
        <w:footnoteRef/>
      </w:r>
      <w:r>
        <w:rPr>
          <w:i/>
        </w:rPr>
        <w:tab/>
        <w:t>was Jesus ihm getan hatte</w:t>
      </w:r>
      <w:r>
        <w:rPr/>
        <w:t xml:space="preserve"> W. „was getan hatte ihm Jesus“. „Jesus“ ist bewusst nachgestellt, um den Kontrast zu betonen, der zwischen V. 20 und dem parallelen V. 19 besteht („was </w:t>
      </w:r>
      <w:r>
        <w:rPr>
          <w:i/>
        </w:rPr>
        <w:t>der Herr</w:t>
      </w:r>
      <w:r>
        <w:rPr/>
        <w:t xml:space="preserve"> dir getan hat“). Der Geheilte verkündigt Jesus als „den Herrn“.</w:t>
      </w:r>
    </w:p>
  </w:footnote>
  <w:footnote w:id="4063">
    <w:p>
      <w:pPr>
        <w:pStyle w:val="Funote"/>
        <w:rPr/>
      </w:pPr>
      <w:r>
        <w:rPr>
          <w:rStyle w:val="Funotenzeichen"/>
        </w:rPr>
        <w:footnoteRef/>
      </w:r>
      <w:r>
        <w:rPr>
          <w:i/>
        </w:rPr>
        <w:tab/>
        <w:t>staunten (wunderten sich)</w:t>
      </w:r>
      <w:r>
        <w:rPr/>
        <w:t xml:space="preserve"> Eine zeitgemäßere, treffende Übersetzung wäre vielleicht „sie konnten es kaum glauben“.</w:t>
      </w:r>
    </w:p>
  </w:footnote>
  <w:footnote w:id="4064">
    <w:p>
      <w:pPr>
        <w:pStyle w:val="Funote"/>
        <w:rPr/>
      </w:pPr>
      <w:r>
        <w:rPr>
          <w:rStyle w:val="Funotenzeichen"/>
        </w:rPr>
        <w:footnoteRef/>
      </w:r>
      <w:r>
        <w:rPr>
          <w:i/>
        </w:rPr>
        <w:tab/>
        <w:t>nachdem … gefahren war</w:t>
      </w:r>
      <w:r>
        <w:rPr/>
        <w:t xml:space="preserve"> </w:t>
      </w:r>
      <w:hyperlink r:id="rId355">
        <w:r>
          <w:rPr>
            <w:rStyle w:val="Internetverknpfung"/>
          </w:rPr>
          <w:t>Gen. abs.</w:t>
        </w:r>
      </w:hyperlink>
      <w:r>
        <w:rPr/>
        <w:t>, als temporaler Nebensatz aufgelöst.</w:t>
      </w:r>
    </w:p>
  </w:footnote>
  <w:footnote w:id="4065">
    <w:p>
      <w:pPr>
        <w:pStyle w:val="Funote"/>
        <w:rPr/>
      </w:pPr>
      <w:r>
        <w:rPr>
          <w:rStyle w:val="Funotenzeichen"/>
        </w:rPr>
        <w:footnoteRef/>
      </w:r>
      <w:r>
        <w:rPr/>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4066">
    <w:p>
      <w:pPr>
        <w:pStyle w:val="Funote"/>
        <w:rPr/>
      </w:pPr>
      <w:r>
        <w:rPr>
          <w:rStyle w:val="Funotenzeichen"/>
        </w:rPr>
        <w:footnoteRef/>
      </w:r>
      <w:r>
        <w:rPr>
          <w:i/>
        </w:rPr>
        <w:tab/>
        <w:t>Synagogenvorsteher</w:t>
      </w:r>
      <w:r>
        <w:rPr/>
        <w:t xml:space="preserve"> Zur Zeit Jesu wurden Synagogen von Laien geleitet. Diese waren verantwortlich v.a. für die Leitung des Gottesdienstes, aber auch für die finanziellen, administrativen und politischen Aspekte des Synagogenlebens (TRE 32, S. 506).</w:t>
      </w:r>
    </w:p>
  </w:footnote>
  <w:footnote w:id="4067">
    <w:p>
      <w:pPr>
        <w:pStyle w:val="Funote"/>
        <w:rPr/>
      </w:pPr>
      <w:r>
        <w:rPr>
          <w:rStyle w:val="Funotenzeichen"/>
        </w:rPr>
        <w:footnoteRef/>
      </w:r>
      <w:r>
        <w:rPr>
          <w:i/>
        </w:rPr>
        <w:tab/>
        <w:t>namens Jairus</w:t>
      </w:r>
      <w:r>
        <w:rPr/>
        <w:t xml:space="preserve"> Gr. der Dativ von Name (possessiver Dativ).</w:t>
      </w:r>
    </w:p>
  </w:footnote>
  <w:footnote w:id="4068">
    <w:p>
      <w:pPr>
        <w:pStyle w:val="Funote"/>
        <w:rPr/>
      </w:pPr>
      <w:r>
        <w:rPr>
          <w:rStyle w:val="Funotenzeichen"/>
        </w:rPr>
        <w:footnoteRef/>
      </w:r>
      <w:r>
        <w:rPr>
          <w:i/>
        </w:rPr>
        <w:tab/>
        <w:t>als er ihn sah</w:t>
      </w:r>
      <w:r>
        <w:rPr/>
        <w:t xml:space="preserve"> Temporales </w:t>
      </w:r>
      <w:hyperlink r:id="rId356">
        <w:r>
          <w:rPr>
            <w:rStyle w:val="Internetverknpfung"/>
          </w:rPr>
          <w:t>Ptz. conj.</w:t>
        </w:r>
      </w:hyperlink>
      <w:r>
        <w:rPr/>
        <w:t xml:space="preserve">, wohl </w:t>
      </w:r>
      <w:hyperlink r:id="rId357">
        <w:r>
          <w:rPr>
            <w:rStyle w:val="Internetverknpfung"/>
          </w:rPr>
          <w:t>beschreibendes Partizip</w:t>
        </w:r>
      </w:hyperlink>
      <w:r>
        <w:rPr/>
        <w:t>.</w:t>
      </w:r>
    </w:p>
  </w:footnote>
  <w:footnote w:id="4069">
    <w:p>
      <w:pPr>
        <w:pStyle w:val="Funote"/>
        <w:rPr/>
      </w:pPr>
      <w:r>
        <w:rPr>
          <w:rStyle w:val="Funotenzeichen"/>
        </w:rPr>
        <w:footnoteRef/>
      </w:r>
      <w:r>
        <w:rPr>
          <w:i/>
        </w:rPr>
        <w:tab/>
        <w:t>inständig (mehrfach)</w:t>
      </w:r>
      <w:r>
        <w:rPr/>
        <w:t xml:space="preserve"> Das Adverb </w:t>
      </w:r>
      <w:r>
        <w:rPr>
          <w:lang w:val="el-GR"/>
        </w:rPr>
        <w:t>πολλὰ</w:t>
      </w:r>
      <w:r>
        <w:rPr/>
        <w:t xml:space="preserve"> kann man sowohl intensivierend als auch wiederholend verstehen. Hier scheint die intensivierende Funktion besser zu passen (vgl. V. 38 und 43, aber auch V. 10).</w:t>
      </w:r>
    </w:p>
  </w:footnote>
  <w:footnote w:id="4070">
    <w:p>
      <w:pPr>
        <w:pStyle w:val="Funote"/>
        <w:rPr/>
      </w:pPr>
      <w:r>
        <w:rPr>
          <w:rStyle w:val="Funotenzeichen"/>
        </w:rPr>
        <w:footnoteRef/>
      </w:r>
      <w:r>
        <w:rPr/>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4071">
    <w:p>
      <w:pPr>
        <w:pStyle w:val="Funote"/>
        <w:rPr/>
      </w:pPr>
      <w:r>
        <w:rPr>
          <w:rStyle w:val="Funotenzeichen"/>
        </w:rPr>
        <w:footnoteRef/>
      </w:r>
      <w:r>
        <w:rPr>
          <w:i/>
        </w:rPr>
        <w:tab/>
        <w:t>komm doch und</w:t>
      </w:r>
      <w:r>
        <w:rPr/>
        <w:t xml:space="preserve"> Temporales </w:t>
      </w:r>
      <w:hyperlink r:id="rId358">
        <w:r>
          <w:rPr>
            <w:rStyle w:val="Internetverknpfung"/>
          </w:rPr>
          <w:t>Ptz. conj.</w:t>
        </w:r>
      </w:hyperlink>
      <w:r>
        <w:rPr/>
        <w:t xml:space="preserve">, als Beiordnung übersetzt. Wohl </w:t>
      </w:r>
      <w:hyperlink r:id="rId359">
        <w:r>
          <w:rPr>
            <w:rStyle w:val="Internetverknpfung"/>
          </w:rPr>
          <w:t>beschreibendes Partizip</w:t>
        </w:r>
      </w:hyperlink>
      <w:r>
        <w:rPr/>
        <w:t>.</w:t>
      </w:r>
    </w:p>
  </w:footnote>
  <w:footnote w:id="4072">
    <w:p>
      <w:pPr>
        <w:pStyle w:val="Funote"/>
        <w:rPr/>
      </w:pPr>
      <w:r>
        <w:rPr>
          <w:rStyle w:val="Funotenzeichen"/>
        </w:rPr>
        <w:footnoteRef/>
      </w:r>
      <w:r>
        <w:rPr/>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4073">
    <w:p>
      <w:pPr>
        <w:pStyle w:val="Funote"/>
        <w:rPr/>
      </w:pPr>
      <w:r>
        <w:rPr>
          <w:rStyle w:val="Funotenzeichen"/>
        </w:rPr>
        <w:footnoteRef/>
      </w:r>
      <w:r>
        <w:rPr>
          <w:i/>
        </w:rPr>
        <w:tab/>
        <w:t>drängten sich um ihn</w:t>
      </w:r>
      <w:r>
        <w:rPr/>
        <w:t xml:space="preserve"> Das griechische Wort konnotiert großen Druck und kann in anderen Zusammenhängen auch „zusammendrücken“ heißen (</w:t>
      </w:r>
      <w:hyperlink r:id="rId360">
        <w:r>
          <w:rPr>
            <w:rStyle w:val="Internetverknpfung"/>
          </w:rPr>
          <w:t>LSJ</w:t>
        </w:r>
      </w:hyperlink>
      <w:r>
        <w:rPr/>
        <w:t>). Den Druck der Menge beschreibt Markus also sehr plastisch. Etwas freier: „es herrschte ein großes Gedränge“</w:t>
      </w:r>
    </w:p>
  </w:footnote>
  <w:footnote w:id="4074">
    <w:p>
      <w:pPr>
        <w:pStyle w:val="Funote"/>
        <w:rPr/>
      </w:pPr>
      <w:r>
        <w:rPr>
          <w:rStyle w:val="Funotenzeichen"/>
        </w:rPr>
        <w:footnoteRef/>
      </w:r>
      <w:r>
        <w:rPr/>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4075">
    <w:p>
      <w:pPr>
        <w:pStyle w:val="Funote"/>
        <w:rPr/>
      </w:pPr>
      <w:r>
        <w:rPr>
          <w:rStyle w:val="Funotenzeichen"/>
        </w:rPr>
        <w:footnoteRef/>
      </w:r>
      <w:r>
        <w:rPr/>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4076">
    <w:p>
      <w:pPr>
        <w:pStyle w:val="Funote"/>
        <w:rPr/>
      </w:pPr>
      <w:r>
        <w:rPr>
          <w:rStyle w:val="Funotenzeichen"/>
        </w:rPr>
        <w:footnoteRef/>
      </w:r>
      <w:r>
        <w:rPr>
          <w:i/>
        </w:rPr>
        <w:tab/>
        <w:t>als sie (die) ... hörte, näherte sie sich … und</w:t>
      </w:r>
      <w:r>
        <w:rPr/>
        <w:t xml:space="preserve"> Zwei </w:t>
      </w:r>
      <w:hyperlink r:id="rId361">
        <w:r>
          <w:rPr>
            <w:rStyle w:val="Internetverknpfung"/>
          </w:rPr>
          <w:t>Ptz. conj.</w:t>
        </w:r>
      </w:hyperlink>
      <w:r>
        <w:rPr/>
        <w:t xml:space="preserve"> (Präsens und Aorist), temporal aufgelöst. Das erste könnte man auch </w:t>
      </w:r>
      <w:hyperlink r:id="rId362">
        <w:r>
          <w:rPr>
            <w:rStyle w:val="Internetverknpfung"/>
          </w:rPr>
          <w:t>attributiv</w:t>
        </w:r>
      </w:hyperlink>
      <w:r>
        <w:rPr/>
        <w:t xml:space="preserve"> verstehen und in den vorangehenden Relativsatz einreihen.</w:t>
      </w:r>
    </w:p>
  </w:footnote>
  <w:footnote w:id="4077">
    <w:p>
      <w:pPr>
        <w:pStyle w:val="Funote"/>
        <w:rPr/>
      </w:pPr>
      <w:r>
        <w:rPr>
          <w:rStyle w:val="Funotenzeichen"/>
        </w:rPr>
        <w:footnoteRef/>
      </w:r>
      <w:r>
        <w:rPr>
          <w:i/>
        </w:rPr>
        <w:tab/>
        <w:t>sagte sich</w:t>
      </w:r>
      <w:r>
        <w:rPr/>
        <w:t xml:space="preserve"> Das </w:t>
      </w:r>
      <w:hyperlink r:id="rId363">
        <w:r>
          <w:rPr>
            <w:rStyle w:val="Internetverknpfung"/>
          </w:rPr>
          <w:t>Imperfekt</w:t>
        </w:r>
      </w:hyperlink>
      <w:r>
        <w:rPr/>
        <w:t xml:space="preserve">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4078">
    <w:p>
      <w:pPr>
        <w:pStyle w:val="Funote"/>
        <w:rPr/>
      </w:pPr>
      <w:r>
        <w:rPr>
          <w:rStyle w:val="Funotenzeichen"/>
        </w:rPr>
        <w:footnoteRef/>
      </w:r>
      <w:r>
        <w:rPr/>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4079">
    <w:p>
      <w:pPr>
        <w:pStyle w:val="Funote"/>
        <w:rPr/>
      </w:pPr>
      <w:r>
        <w:rPr>
          <w:rStyle w:val="Funotenzeichen"/>
        </w:rPr>
        <w:footnoteRef/>
      </w:r>
      <w:r>
        <w:rPr/>
        <w:tab/>
        <w:t>[an (in) ihrem] Körper Wohl instrumentaler oder lokaler Dativ; hier soll es aber wohl nur markieren, dass es sich bei ihrem „merken“ um eine körperliche Empfindung handelt (Grosvenor/Zerwick), daher besser „spürte sie an ihrem Körper“.</w:t>
      </w:r>
    </w:p>
  </w:footnote>
  <w:footnote w:id="4080">
    <w:p>
      <w:pPr>
        <w:pStyle w:val="Funote"/>
        <w:rPr/>
      </w:pPr>
      <w:r>
        <w:rPr>
          <w:rStyle w:val="Funotenzeichen"/>
        </w:rPr>
        <w:footnoteRef/>
      </w:r>
      <w:r>
        <w:rPr/>
        <w:tab/>
        <w:t>Leiden (Qual) W. „Geißel“, übertragen „Plage“. Per Bedeutungserweiterung auch „Leiden“ oder „Gebrechen“ (vgl. LN 23.182).</w:t>
      </w:r>
    </w:p>
  </w:footnote>
  <w:footnote w:id="4081">
    <w:p>
      <w:pPr>
        <w:pStyle w:val="Funote"/>
        <w:rPr/>
      </w:pPr>
      <w:r>
        <w:rPr>
          <w:rStyle w:val="Funotenzeichen"/>
        </w:rPr>
        <w:footnoteRef/>
      </w:r>
      <w:r>
        <w:rPr>
          <w:i/>
        </w:rPr>
        <w:tab/>
        <w:t>der (als/weil er) merkte</w:t>
      </w:r>
      <w:r>
        <w:rPr/>
        <w:t xml:space="preserve"> </w:t>
      </w:r>
      <w:hyperlink r:id="rId364">
        <w:r>
          <w:rPr>
            <w:rStyle w:val="Internetverknpfung"/>
          </w:rPr>
          <w:t>Ptz. conj.</w:t>
        </w:r>
      </w:hyperlink>
      <w:r>
        <w:rPr/>
        <w:t xml:space="preserve"> (temporal oder kausal), hier als Relativsatz aufgelöst.</w:t>
      </w:r>
    </w:p>
  </w:footnote>
  <w:footnote w:id="4082">
    <w:p>
      <w:pPr>
        <w:pStyle w:val="Funote"/>
        <w:rPr/>
      </w:pPr>
      <w:r>
        <w:rPr>
          <w:rStyle w:val="Funotenzeichen"/>
        </w:rPr>
        <w:footnoteRef/>
      </w:r>
      <w:r>
        <w:rPr/>
        <w:tab/>
        <w:t>merkte, dass Kraft von ihm ausgegangen war AcP Oder anders aufgelöst: „[die] Kraft bemerkte, die...“ Das Ptz. Aor. Könnte man evtl. auch gleichzeitig verstehen „sofort bemerkte, dass Kraft von ihm ausging“ (vgl. EÜ).</w:t>
      </w:r>
    </w:p>
  </w:footnote>
  <w:footnote w:id="4083">
    <w:p>
      <w:pPr>
        <w:pStyle w:val="Funote"/>
        <w:rPr/>
      </w:pPr>
      <w:r>
        <w:rPr>
          <w:rStyle w:val="Funotenzeichen"/>
        </w:rPr>
        <w:footnoteRef/>
      </w:r>
      <w:r>
        <w:rPr>
          <w:i/>
        </w:rPr>
        <w:tab/>
        <w:t>fragte (sagte, wiederholte)</w:t>
      </w:r>
      <w:r>
        <w:rPr/>
        <w:t xml:space="preserve"> Das Verb steht im </w:t>
      </w:r>
      <w:hyperlink r:id="rId365">
        <w:r>
          <w:rPr>
            <w:rStyle w:val="Internetverknpfung"/>
          </w:rPr>
          <w:t>Imperfekt</w:t>
        </w:r>
      </w:hyperlink>
      <w:r>
        <w:rPr/>
        <w: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4084">
    <w:p>
      <w:pPr>
        <w:pStyle w:val="Funote"/>
        <w:rPr/>
      </w:pPr>
      <w:r>
        <w:rPr>
          <w:rStyle w:val="Funotenzeichen"/>
        </w:rPr>
        <w:footnoteRef/>
      </w:r>
      <w:r>
        <w:rPr>
          <w:i/>
        </w:rPr>
        <w:tab/>
        <w:t>die sich um dich drängt</w:t>
      </w:r>
      <w:r>
        <w:rPr/>
        <w:t xml:space="preserve"> </w:t>
      </w:r>
      <w:hyperlink r:id="rId366">
        <w:r>
          <w:rPr>
            <w:rStyle w:val="Internetverknpfung"/>
          </w:rPr>
          <w:t>Atr. Ptz.</w:t>
        </w:r>
      </w:hyperlink>
      <w:r>
        <w:rPr/>
        <w:t>, als Relativsatz aufgelöst. Zum Wort s. die Fußnote in V. 24.</w:t>
      </w:r>
    </w:p>
  </w:footnote>
  <w:footnote w:id="4085">
    <w:p>
      <w:pPr>
        <w:pStyle w:val="Funote"/>
        <w:rPr/>
      </w:pPr>
      <w:r>
        <w:rPr>
          <w:rStyle w:val="Funotenzeichen"/>
        </w:rPr>
        <w:footnoteRef/>
      </w:r>
      <w:r>
        <w:rPr/>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4086">
    <w:p>
      <w:pPr>
        <w:pStyle w:val="Funote"/>
        <w:rPr/>
      </w:pPr>
      <w:r>
        <w:rPr>
          <w:rStyle w:val="Funotenzeichen"/>
        </w:rPr>
        <w:footnoteRef/>
      </w:r>
      <w:r>
        <w:rPr/>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4087">
    <w:p>
      <w:pPr>
        <w:pStyle w:val="Funote"/>
        <w:rPr/>
      </w:pPr>
      <w:r>
        <w:rPr>
          <w:rStyle w:val="Funotenzeichen"/>
        </w:rPr>
        <w:footnoteRef/>
      </w:r>
      <w:r>
        <w:rPr>
          <w:i/>
        </w:rPr>
        <w:tab/>
        <w:t>Während er noch redete</w:t>
      </w:r>
      <w:r>
        <w:rPr/>
        <w:t xml:space="preserve"> Temporaler </w:t>
      </w:r>
      <w:hyperlink r:id="rId367">
        <w:r>
          <w:rPr>
            <w:rStyle w:val="Internetverknpfung"/>
          </w:rPr>
          <w:t>Gen. abs.</w:t>
        </w:r>
      </w:hyperlink>
      <w:r>
        <w:rPr/>
        <w:t>, als Nebensatz aufgelöst.</w:t>
      </w:r>
    </w:p>
  </w:footnote>
  <w:footnote w:id="4088">
    <w:p>
      <w:pPr>
        <w:pStyle w:val="Funote"/>
        <w:rPr/>
      </w:pPr>
      <w:r>
        <w:rPr>
          <w:rStyle w:val="Funotenzeichen"/>
        </w:rPr>
        <w:footnoteRef/>
      </w:r>
      <w:r>
        <w:rPr>
          <w:i/>
        </w:rPr>
        <w:tab/>
        <w:t>und richteten aus</w:t>
      </w:r>
      <w:r>
        <w:rPr/>
        <w:t xml:space="preserve"> </w:t>
      </w:r>
      <w:hyperlink r:id="rId368">
        <w:r>
          <w:rPr>
            <w:rStyle w:val="Internetverknpfung"/>
          </w:rPr>
          <w:t>Ptz. conj.</w:t>
        </w:r>
      </w:hyperlink>
      <w:r>
        <w:rPr/>
        <w:t>, temporal-modal, beigeordnet übersetzt.</w:t>
      </w:r>
    </w:p>
  </w:footnote>
  <w:footnote w:id="4089">
    <w:p>
      <w:pPr>
        <w:pStyle w:val="Funote"/>
        <w:rPr/>
      </w:pPr>
      <w:r>
        <w:rPr>
          <w:rStyle w:val="Funotenzeichen"/>
        </w:rPr>
        <w:footnoteRef/>
      </w:r>
      <w:r>
        <w:rPr/>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4090">
    <w:p>
      <w:pPr>
        <w:pStyle w:val="Funote"/>
        <w:rPr/>
      </w:pPr>
      <w:r>
        <w:rPr>
          <w:rStyle w:val="Funotenzeichen"/>
        </w:rPr>
        <w:footnoteRef/>
      </w:r>
      <w:r>
        <w:rPr/>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4091">
    <w:p>
      <w:pPr>
        <w:pStyle w:val="Funote"/>
        <w:rPr/>
      </w:pPr>
      <w:r>
        <w:rPr>
          <w:rStyle w:val="Funotenzeichen"/>
        </w:rPr>
        <w:footnoteRef/>
      </w:r>
      <w:r>
        <w:rPr/>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4092">
    <w:p>
      <w:pPr>
        <w:pStyle w:val="Funote"/>
        <w:rPr/>
      </w:pPr>
      <w:r>
        <w:rPr>
          <w:rStyle w:val="Funotenzeichen"/>
        </w:rPr>
        <w:footnoteRef/>
      </w:r>
      <w:r>
        <w:rPr>
          <w:i/>
        </w:rPr>
        <w:tab/>
        <w:t>sah er … [Menschen], die heftig heulten und wehklagten</w:t>
      </w:r>
      <w:r>
        <w:rPr/>
        <w:t xml:space="preserve"> </w:t>
      </w:r>
      <w:hyperlink r:id="rId369">
        <w:r>
          <w:rPr>
            <w:rStyle w:val="Internetverknpfung"/>
          </w:rPr>
          <w:t>AcP</w:t>
        </w:r>
      </w:hyperlink>
      <w:r>
        <w:rPr/>
        <w:t xml:space="preserve"> (zwei Ptz.), unter Ergänzung eines Objekts mit Relativsatz wiedergegeben.</w:t>
      </w:r>
    </w:p>
  </w:footnote>
  <w:footnote w:id="4093">
    <w:p>
      <w:pPr>
        <w:pStyle w:val="Funote"/>
        <w:rPr/>
      </w:pPr>
      <w:r>
        <w:rPr>
          <w:rStyle w:val="Funotenzeichen"/>
        </w:rPr>
        <w:footnoteRef/>
      </w:r>
      <w:r>
        <w:rPr>
          <w:i/>
        </w:rPr>
        <w:tab/>
        <w:t>nach dem (beim) Eintreten</w:t>
      </w:r>
      <w:r>
        <w:rPr/>
        <w:t xml:space="preserve"> Temporal-modales </w:t>
      </w:r>
      <w:hyperlink r:id="rId370">
        <w:r>
          <w:rPr>
            <w:rStyle w:val="Internetverknpfung"/>
          </w:rPr>
          <w:t>Ptz. conj.</w:t>
        </w:r>
      </w:hyperlink>
      <w:r>
        <w:rPr/>
        <w:t>, als Präpositionalphrase aufgelöst.</w:t>
      </w:r>
    </w:p>
  </w:footnote>
  <w:footnote w:id="4094">
    <w:p>
      <w:pPr>
        <w:pStyle w:val="Funote"/>
        <w:rPr/>
      </w:pPr>
      <w:r>
        <w:rPr>
          <w:rStyle w:val="Funotenzeichen"/>
        </w:rPr>
        <w:footnoteRef/>
      </w:r>
      <w:r>
        <w:rPr>
          <w:i/>
        </w:rPr>
        <w:tab/>
        <w:t>Er nahm die Hand</w:t>
      </w:r>
      <w:r>
        <w:rPr/>
        <w:t xml:space="preserve"> </w:t>
      </w:r>
      <w:hyperlink r:id="rId371">
        <w:r>
          <w:rPr>
            <w:rStyle w:val="Internetverknpfung"/>
          </w:rPr>
          <w:t>Gen. abs.</w:t>
        </w:r>
      </w:hyperlink>
      <w:r>
        <w:rPr/>
        <w:t>, temporal-modal, beigeordnet aufgelöst.</w:t>
      </w:r>
    </w:p>
  </w:footnote>
  <w:footnote w:id="4095">
    <w:p>
      <w:pPr>
        <w:pStyle w:val="Funote"/>
        <w:rPr/>
      </w:pPr>
      <w:r>
        <w:rPr>
          <w:rStyle w:val="Funotenzeichen"/>
        </w:rPr>
        <w:footnoteRef/>
      </w:r>
      <w:r>
        <w:rPr/>
        <w:tab/>
        <w:t>„</w:t>
      </w:r>
      <w:r>
        <w:rPr>
          <w:i/>
        </w:rPr>
        <w:t>Talita kum!“</w:t>
      </w:r>
      <w:r>
        <w:rPr/>
        <w:t xml:space="preserve"> Aramäisch für „Mädchen, steh auf!“ </w:t>
      </w:r>
      <w:r>
        <w:rPr>
          <w:i/>
        </w:rPr>
        <w:t>Kum</w:t>
      </w:r>
      <w:r>
        <w:rPr/>
        <w:t xml:space="preserve"> (</w:t>
      </w:r>
      <w:r>
        <w:rPr>
          <w:rtl w:val="true"/>
          <w:lang w:bidi="he-IL"/>
        </w:rPr>
        <w:t>קום</w:t>
      </w:r>
      <w:r>
        <w:rPr/>
        <w:t>) ist der maskuline Imperativ.</w:t>
      </w:r>
    </w:p>
  </w:footnote>
  <w:footnote w:id="4096">
    <w:p>
      <w:pPr>
        <w:pStyle w:val="Funote"/>
        <w:rPr/>
      </w:pPr>
      <w:r>
        <w:rPr>
          <w:rStyle w:val="Funotenzeichen"/>
        </w:rPr>
        <w:footnoteRef/>
      </w:r>
      <w:r>
        <w:rPr/>
        <w:tab/>
        <w:t>begann umherzugehen Als inchoatives Imperfekt übersetzt (vgl. Guelich 1989, 303).</w:t>
      </w:r>
    </w:p>
  </w:footnote>
  <w:footnote w:id="4097">
    <w:p>
      <w:pPr>
        <w:pStyle w:val="Funote"/>
        <w:rPr/>
      </w:pPr>
      <w:r>
        <w:rPr>
          <w:rStyle w:val="Funotenzeichen"/>
        </w:rPr>
        <w:footnoteRef/>
      </w:r>
      <w:r>
        <w:rPr/>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4098">
    <w:p>
      <w:pPr>
        <w:pStyle w:val="Funote"/>
        <w:rPr/>
      </w:pPr>
      <w:r>
        <w:rPr>
          <w:rStyle w:val="Funotenzeichen"/>
        </w:rPr>
        <w:footnoteRef/>
      </w:r>
      <w:r>
        <w:rPr>
          <w:i/>
        </w:rPr>
        <w:tab/>
        <w:t>unmissverständlich (mehrmals, ausdrücklich)</w:t>
      </w:r>
      <w:r>
        <w:rPr/>
        <w:t xml:space="preserve"> Das Adverb </w:t>
      </w:r>
      <w:r>
        <w:rPr>
          <w:lang w:val="el-GR"/>
        </w:rPr>
        <w:t>πολλὰ</w:t>
      </w:r>
      <w:r>
        <w:rPr/>
        <w:t xml:space="preserve"> kann man sowohl intensivierend als auch wiederholend verstehen, die meisten Übersetzungen intensivieren. Vgl. V. 23 und 38, aber auch V. 10.</w:t>
      </w:r>
    </w:p>
  </w:footnote>
  <w:footnote w:id="4099">
    <w:p>
      <w:pPr>
        <w:pStyle w:val="Funote"/>
        <w:rPr/>
      </w:pPr>
      <w:r>
        <w:rPr>
          <w:rStyle w:val="Funotenzeichen"/>
        </w:rPr>
        <w:footnoteRef/>
      </w:r>
      <w:r>
        <w:rPr>
          <w:i/>
        </w:rPr>
        <w:tab/>
        <w:t>[man solle]</w:t>
      </w:r>
      <w:r>
        <w:rPr/>
        <w:t xml:space="preserve"> Der griechische Infinitivsatz ist (dem Deutschen ganz ähnlich) final. In der gegenwärtigen Formulierung ist im Deutschen eine finale Satzeinleitung notwendig.</w:t>
      </w:r>
    </w:p>
  </w:footnote>
  <w:footnote w:id="4100">
    <w:p>
      <w:pPr>
        <w:pStyle w:val="Funote"/>
        <w:rPr/>
      </w:pPr>
      <w:r>
        <w:rPr>
          <w:rStyle w:val="Funotenzeichen"/>
        </w:rPr>
        <w:footnoteRef/>
      </w:r>
      <w:r>
        <w:rPr/>
        <w:tab/>
        <w:t>[Status: Zuverlässig]</w:t>
      </w:r>
    </w:p>
  </w:footnote>
  <w:footnote w:id="4101">
    <w:p>
      <w:pPr>
        <w:pStyle w:val="Funote"/>
        <w:rPr/>
      </w:pPr>
      <w:r>
        <w:rPr>
          <w:rStyle w:val="Funotenzeichen"/>
        </w:rPr>
        <w:footnoteRef/>
      </w:r>
      <w:r>
        <w:rPr>
          <w:i/>
        </w:rPr>
        <w:tab/>
        <w:t>Heimat</w:t>
      </w:r>
      <w:r>
        <w:rPr/>
        <w:t xml:space="preserve"> Gemeint ist Nazaret (Mk 1,9.24). Die meisten Übersetzungen spezifizieren „Heimatstadt“ oder „Vaterstadt“.</w:t>
      </w:r>
    </w:p>
  </w:footnote>
  <w:footnote w:id="4102">
    <w:p>
      <w:pPr>
        <w:pStyle w:val="Funote"/>
        <w:rPr/>
      </w:pPr>
      <w:r>
        <w:rPr>
          <w:rStyle w:val="Funotenzeichen"/>
        </w:rPr>
        <w:footnoteRef/>
      </w:r>
      <w:r>
        <w:rPr>
          <w:i/>
        </w:rPr>
        <w:tab/>
        <w:t>als … gekommen war</w:t>
      </w:r>
      <w:r>
        <w:rPr/>
        <w:t xml:space="preserve"> </w:t>
      </w:r>
      <w:hyperlink r:id="rId372">
        <w:r>
          <w:rPr>
            <w:rStyle w:val="Internetverknpfung"/>
          </w:rPr>
          <w:t>Gen. abs.</w:t>
        </w:r>
      </w:hyperlink>
      <w:r>
        <w:rPr/>
        <w:t>, als temporaler Nebensatz aufgelöst.</w:t>
      </w:r>
    </w:p>
  </w:footnote>
  <w:footnote w:id="4103">
    <w:p>
      <w:pPr>
        <w:pStyle w:val="Funote"/>
        <w:rPr/>
      </w:pPr>
      <w:r>
        <w:rPr>
          <w:rStyle w:val="Funotenzeichen"/>
        </w:rPr>
        <w:footnoteRef/>
      </w:r>
      <w:r>
        <w:rPr>
          <w:i/>
        </w:rPr>
        <w:tab/>
        <w:t>begann er, in der Synagoge zu lehren (lehrte er)</w:t>
      </w:r>
      <w:r>
        <w:rPr/>
        <w:t xml:space="preserve"> Markus benutzt „beginnen“ gerne schwach und ohne echte Funktion. Viele Übersetzungen formulieren daher wie in der Klammer. Vgl. die </w:t>
      </w:r>
      <w:r>
        <w:fldChar w:fldCharType="begin"/>
      </w:r>
      <w:r>
        <w:rPr>
          <w:rStyle w:val="Internetverknpfung"/>
        </w:rPr>
        <w:instrText> HYPERLINK "../../../../../../../../../wiki/Markus_5" \l "af"</w:instrText>
      </w:r>
      <w:r>
        <w:rPr>
          <w:rStyle w:val="Internetverknpfung"/>
        </w:rPr>
        <w:fldChar w:fldCharType="separate"/>
      </w:r>
      <w:r>
        <w:rPr>
          <w:rStyle w:val="Internetverknpfung"/>
        </w:rPr>
        <w:t>Fußnote zu 5,17</w:t>
      </w:r>
      <w:r>
        <w:rPr>
          <w:rStyle w:val="Internetverknpfung"/>
        </w:rPr>
        <w:fldChar w:fldCharType="end"/>
      </w:r>
      <w:r>
        <w:rPr/>
        <w:t>.</w:t>
      </w:r>
    </w:p>
  </w:footnote>
  <w:footnote w:id="4104">
    <w:p>
      <w:pPr>
        <w:pStyle w:val="Funote"/>
        <w:rPr/>
      </w:pPr>
      <w:r>
        <w:rPr>
          <w:rStyle w:val="Funotenzeichen"/>
        </w:rPr>
        <w:footnoteRef/>
      </w:r>
      <w:r>
        <w:rPr>
          <w:i/>
        </w:rPr>
        <w:tab/>
        <w:t>und sagten</w:t>
      </w:r>
      <w:r>
        <w:rPr/>
        <w:t xml:space="preserve"> Modales </w:t>
      </w:r>
      <w:hyperlink r:id="rId373">
        <w:r>
          <w:rPr>
            <w:rStyle w:val="Internetverknpfung"/>
          </w:rPr>
          <w:t>Ptz. conj.</w:t>
        </w:r>
      </w:hyperlink>
      <w:r>
        <w:rPr/>
        <w:t>, beigeordnet aufgelöst.</w:t>
      </w:r>
    </w:p>
  </w:footnote>
  <w:footnote w:id="4105">
    <w:p>
      <w:pPr>
        <w:pStyle w:val="Funote"/>
        <w:rPr/>
      </w:pPr>
      <w:r>
        <w:rPr>
          <w:rStyle w:val="Funotenzeichen"/>
        </w:rPr>
        <w:footnoteRef/>
      </w:r>
      <w:r>
        <w:rPr/>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4106">
    <w:p>
      <w:pPr>
        <w:pStyle w:val="Funote"/>
        <w:rPr/>
      </w:pPr>
      <w:r>
        <w:rPr>
          <w:rStyle w:val="Funotenzeichen"/>
        </w:rPr>
        <w:footnoteRef/>
      </w:r>
      <w:r>
        <w:rPr/>
        <w:tab/>
        <w:t>auflegte und Modales Ptz. conj., hier mit „und“ beigeordnet. Auch möglich: „indem er ihnen die Hände auflegte“ oder „durch Handauflegen“ (MEN)</w:t>
      </w:r>
    </w:p>
  </w:footnote>
  <w:footnote w:id="4107">
    <w:p>
      <w:pPr>
        <w:pStyle w:val="Funote"/>
        <w:rPr/>
      </w:pPr>
      <w:r>
        <w:rPr>
          <w:rStyle w:val="Funotenzeichen"/>
        </w:rPr>
        <w:footnoteRef/>
      </w:r>
      <w:r>
        <w:rPr>
          <w:i/>
        </w:rPr>
        <w:tab/>
        <w:t>und lehrte</w:t>
      </w:r>
      <w:r>
        <w:rPr/>
        <w:t xml:space="preserve"> Modales </w:t>
      </w:r>
      <w:hyperlink r:id="rId374">
        <w:r>
          <w:rPr>
            <w:rStyle w:val="Internetverknpfung"/>
          </w:rPr>
          <w:t>Ptz. conj.</w:t>
        </w:r>
      </w:hyperlink>
      <w:r>
        <w:rPr/>
        <w:t>, beigeordnet aufgelöst.</w:t>
      </w:r>
    </w:p>
  </w:footnote>
  <w:footnote w:id="4108">
    <w:p>
      <w:pPr>
        <w:pStyle w:val="Funote"/>
        <w:rPr/>
      </w:pPr>
      <w:r>
        <w:rPr>
          <w:rStyle w:val="Funotenzeichen"/>
        </w:rPr>
        <w:footnoteRef/>
      </w:r>
      <w:r>
        <w:rPr/>
        <w:tab/>
        <w:t>paarweise W. „zwei zwei“. Die Formulierung war sowohl in der Volkssprache als auch in semitischen Sprachen gebräuchlich (NSS).</w:t>
      </w:r>
    </w:p>
  </w:footnote>
  <w:footnote w:id="4109">
    <w:p>
      <w:pPr>
        <w:pStyle w:val="Funote"/>
        <w:rPr/>
      </w:pPr>
      <w:r>
        <w:rPr>
          <w:rStyle w:val="Funotenzeichen"/>
        </w:rPr>
        <w:footnoteRef/>
      </w:r>
      <w:r>
        <w:rPr>
          <w:i/>
        </w:rPr>
        <w:tab/>
        <w:t>sandte aus</w:t>
      </w:r>
      <w:r>
        <w:rPr/>
        <w:t xml:space="preserve"> W. „begann auszusenden“. Dazu s. die </w:t>
      </w:r>
      <w:r>
        <w:fldChar w:fldCharType="begin"/>
      </w:r>
      <w:r>
        <w:rPr>
          <w:rStyle w:val="Internetverknpfung"/>
        </w:rPr>
        <w:instrText> HYPERLINK "../../../../../../../../../wiki/Markus_5" \l "af"</w:instrText>
      </w:r>
      <w:r>
        <w:rPr>
          <w:rStyle w:val="Internetverknpfung"/>
        </w:rPr>
        <w:fldChar w:fldCharType="separate"/>
      </w:r>
      <w:r>
        <w:rPr>
          <w:rStyle w:val="Internetverknpfung"/>
        </w:rPr>
        <w:t>Fußnote zu 5,17</w:t>
      </w:r>
      <w:r>
        <w:rPr>
          <w:rStyle w:val="Internetverknpfung"/>
        </w:rPr>
        <w:fldChar w:fldCharType="end"/>
      </w:r>
      <w:r>
        <w:rPr/>
        <w:t>. Ein ähnlicher Fall liegt auch in V. 2 vor.</w:t>
      </w:r>
    </w:p>
  </w:footnote>
  <w:footnote w:id="4110">
    <w:p>
      <w:pPr>
        <w:pStyle w:val="Funote"/>
        <w:rPr/>
      </w:pPr>
      <w:r>
        <w:rPr>
          <w:rStyle w:val="Funotenzeichen"/>
        </w:rPr>
        <w:footnoteRef/>
      </w:r>
      <w:r>
        <w:rPr>
          <w:i/>
        </w:rPr>
        <w:tab/>
        <w:t>Geld</w:t>
      </w:r>
      <w:r>
        <w:rPr/>
        <w:t xml:space="preserve"> W. „Kupfer(münze)“ (oder „Bronze(münze)“). Das Wort wird hier metonymisch für Kupfermünzen, also Kleingeld benutzt. Die Parallelstelle Mt 10,19 führt aus: „weder Gold noch Silber noch Kupfer...“ </w:t>
      </w:r>
      <w:r>
        <w:rPr>
          <w:i/>
        </w:rPr>
        <w:t>im Gürtel</w:t>
      </w:r>
      <w:r>
        <w:rPr/>
        <w:t xml:space="preserve"> Im Orient bewahrte man Geld lange in den Falten des Gürtels auf, einem breiten Tuch, das entsprechend um die Hüfte gebunden war.</w:t>
      </w:r>
    </w:p>
  </w:footnote>
  <w:footnote w:id="4111">
    <w:p>
      <w:pPr>
        <w:pStyle w:val="Funote"/>
        <w:rPr/>
      </w:pPr>
      <w:r>
        <w:rPr>
          <w:rStyle w:val="Funotenzeichen"/>
        </w:rPr>
        <w:footnoteRef/>
      </w:r>
      <w:r>
        <w:rPr/>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4112">
    <w:p>
      <w:pPr>
        <w:pStyle w:val="Funote"/>
        <w:rPr/>
      </w:pPr>
      <w:r>
        <w:rPr>
          <w:rStyle w:val="Funotenzeichen"/>
        </w:rPr>
        <w:footnoteRef/>
      </w:r>
      <w:r>
        <w:rPr/>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4113">
    <w:p>
      <w:pPr>
        <w:pStyle w:val="Funote"/>
        <w:rPr/>
      </w:pPr>
      <w:r>
        <w:rPr>
          <w:rStyle w:val="Funotenzeichen"/>
        </w:rPr>
        <w:footnoteRef/>
      </w:r>
      <w:r>
        <w:rPr/>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4114">
    <w:p>
      <w:pPr>
        <w:pStyle w:val="Funote"/>
        <w:rPr/>
      </w:pPr>
      <w:r>
        <w:rPr>
          <w:rStyle w:val="Funotenzeichen"/>
        </w:rPr>
        <w:footnoteRef/>
      </w:r>
      <w:r>
        <w:rPr>
          <w:i/>
        </w:rPr>
        <w:tab/>
        <w:t>beim Aufbruch</w:t>
      </w:r>
      <w:r>
        <w:rPr/>
        <w:t xml:space="preserve"> bzw. </w:t>
      </w:r>
      <w:r>
        <w:rPr>
          <w:i/>
        </w:rPr>
        <w:t>geht von dort weg und</w:t>
      </w:r>
      <w:r>
        <w:rPr/>
        <w:t xml:space="preserve"> Modales </w:t>
      </w:r>
      <w:hyperlink r:id="rId375">
        <w:r>
          <w:rPr>
            <w:rStyle w:val="Internetverknpfung"/>
          </w:rPr>
          <w:t>Ptz. conj.</w:t>
        </w:r>
      </w:hyperlink>
      <w:r>
        <w:rPr/>
        <w:t>, als Präpositionalphrase (bzw. beigeordnete Konstruktion) übersetzt.</w:t>
      </w:r>
    </w:p>
  </w:footnote>
  <w:footnote w:id="4115">
    <w:p>
      <w:pPr>
        <w:pStyle w:val="Funote"/>
        <w:rPr/>
      </w:pPr>
      <w:r>
        <w:rPr>
          <w:rStyle w:val="Funotenzeichen"/>
        </w:rPr>
        <w:footnoteRef/>
      </w:r>
      <w:r>
        <w:rPr/>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4116">
    <w:p>
      <w:pPr>
        <w:pStyle w:val="Funote"/>
        <w:rPr/>
      </w:pPr>
      <w:r>
        <w:rPr>
          <w:rStyle w:val="Funotenzeichen"/>
        </w:rPr>
        <w:footnoteRef/>
      </w:r>
      <w:r>
        <w:rPr/>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4117">
    <w:p>
      <w:pPr>
        <w:pStyle w:val="Funote"/>
        <w:rPr/>
      </w:pPr>
      <w:r>
        <w:rPr>
          <w:rStyle w:val="Funotenzeichen"/>
        </w:rPr>
        <w:footnoteRef/>
      </w:r>
      <w:r>
        <w:rPr>
          <w:i/>
        </w:rPr>
        <w:tab/>
        <w:t>machten sich auf den Weg</w:t>
      </w:r>
      <w:r>
        <w:rPr/>
        <w:t xml:space="preserve"> Modal-temporales </w:t>
      </w:r>
      <w:hyperlink r:id="rId376">
        <w:r>
          <w:rPr>
            <w:rStyle w:val="Internetverknpfung"/>
          </w:rPr>
          <w:t>Ptz. conj.</w:t>
        </w:r>
      </w:hyperlink>
      <w:r>
        <w:rPr/>
        <w:t>, beigeordnet aufgelöst.</w:t>
      </w:r>
    </w:p>
  </w:footnote>
  <w:footnote w:id="4118">
    <w:p>
      <w:pPr>
        <w:pStyle w:val="Funote"/>
        <w:rPr/>
      </w:pPr>
      <w:r>
        <w:rPr>
          <w:rStyle w:val="Funotenzeichen"/>
        </w:rPr>
        <w:footnoteRef/>
      </w:r>
      <w:r>
        <w:rPr/>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4119">
    <w:p>
      <w:pPr>
        <w:pStyle w:val="Funote"/>
        <w:rPr/>
      </w:pPr>
      <w:r>
        <w:rPr>
          <w:rStyle w:val="Funotenzeichen"/>
        </w:rPr>
        <w:footnoteRef/>
      </w:r>
      <w:r>
        <w:rPr/>
        <w:tab/>
        <w:t>meinten Das Imperfekt leitet hier die (vielfach geäußerte) öffentliche Meinung ein. In V. 15 sind dagegen mit Aor. offenbar spezifische Einzelaussagen zu hören. ZÜR: „es hieß“+indirekte Rede.</w:t>
      </w:r>
    </w:p>
  </w:footnote>
  <w:footnote w:id="4120">
    <w:p>
      <w:pPr>
        <w:pStyle w:val="Funote"/>
        <w:rPr/>
      </w:pPr>
      <w:r>
        <w:rPr>
          <w:rStyle w:val="Funotenzeichen"/>
        </w:rPr>
        <w:footnoteRef/>
      </w:r>
      <w:r>
        <w:rPr>
          <w:i/>
        </w:rPr>
        <w:tab/>
        <w:t>Das erklärt, warum</w:t>
      </w:r>
      <w:r>
        <w:rPr/>
        <w:t xml:space="preserve"> W. „und aus diesem Grund/deshalb“</w:t>
      </w:r>
    </w:p>
  </w:footnote>
  <w:footnote w:id="4121">
    <w:p>
      <w:pPr>
        <w:pStyle w:val="Funote"/>
        <w:rPr/>
      </w:pPr>
      <w:r>
        <w:rPr>
          <w:rStyle w:val="Funotenzeichen"/>
        </w:rPr>
        <w:footnoteRef/>
      </w:r>
      <w:r>
        <w:rPr/>
        <w:tab/>
        <w:t>Elija Die Rückkehr des im Alten Testament entrückten Propheten wurde aufgrund von Mal 3,23-24 zu Jesu Zeit vielfach erwartet (France 2002, 253).</w:t>
      </w:r>
    </w:p>
  </w:footnote>
  <w:footnote w:id="4122">
    <w:p>
      <w:pPr>
        <w:pStyle w:val="Funote"/>
        <w:rPr/>
      </w:pPr>
      <w:r>
        <w:rPr>
          <w:rStyle w:val="Funotenzeichen"/>
        </w:rPr>
        <w:footnoteRef/>
      </w:r>
      <w:r>
        <w:rPr>
          <w:i/>
        </w:rPr>
        <w:tab/>
        <w:t>Als … hörte</w:t>
      </w:r>
      <w:r>
        <w:rPr/>
        <w:t xml:space="preserve"> </w:t>
      </w:r>
      <w:hyperlink r:id="rId377">
        <w:r>
          <w:rPr>
            <w:rStyle w:val="Internetverknpfung"/>
          </w:rPr>
          <w:t>Ptz. conj.</w:t>
        </w:r>
      </w:hyperlink>
      <w:r>
        <w:rPr/>
        <w:t>, als temporaler Nebensatz aufgelöst.</w:t>
      </w:r>
    </w:p>
  </w:footnote>
  <w:footnote w:id="4123">
    <w:p>
      <w:pPr>
        <w:pStyle w:val="Funote"/>
        <w:rPr/>
      </w:pPr>
      <w:r>
        <w:rPr>
          <w:rStyle w:val="Funotenzeichen"/>
        </w:rPr>
        <w:footnoteRef/>
      </w:r>
      <w:r>
        <w:rPr/>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4124">
    <w:p>
      <w:pPr>
        <w:pStyle w:val="Funote"/>
        <w:rPr/>
      </w:pPr>
      <w:r>
        <w:rPr>
          <w:rStyle w:val="Funotenzeichen"/>
        </w:rPr>
        <w:footnoteRef/>
      </w:r>
      <w:r>
        <w:rPr/>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4125">
    <w:p>
      <w:pPr>
        <w:pStyle w:val="Funote"/>
        <w:rPr/>
      </w:pPr>
      <w:r>
        <w:rPr>
          <w:rStyle w:val="Funotenzeichen"/>
        </w:rPr>
        <w:footnoteRef/>
      </w:r>
      <w:r>
        <w:rPr/>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4126">
    <w:p>
      <w:pPr>
        <w:pStyle w:val="Funote"/>
        <w:rPr/>
      </w:pPr>
      <w:r>
        <w:rPr>
          <w:rStyle w:val="Funotenzeichen"/>
        </w:rPr>
        <w:footnoteRef/>
      </w:r>
      <w:r>
        <w:rPr/>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4127">
    <w:p>
      <w:pPr>
        <w:pStyle w:val="Funote"/>
        <w:rPr/>
      </w:pPr>
      <w:r>
        <w:rPr>
          <w:rStyle w:val="Funotenzeichen"/>
        </w:rPr>
        <w:footnoteRef/>
      </w:r>
      <w:r>
        <w:rPr/>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4128">
    <w:p>
      <w:pPr>
        <w:pStyle w:val="Funote"/>
        <w:rPr/>
      </w:pPr>
      <w:r>
        <w:rPr>
          <w:rStyle w:val="Funotenzeichen"/>
        </w:rPr>
        <w:footnoteRef/>
      </w:r>
      <w:r>
        <w:rPr>
          <w:i/>
        </w:rPr>
        <w:tab/>
        <w:t>plante (wollte)</w:t>
      </w:r>
      <w:r>
        <w:rPr/>
        <w:t xml:space="preserve"> „wollen“ im durativen </w:t>
      </w:r>
      <w:hyperlink r:id="rId378">
        <w:r>
          <w:rPr>
            <w:rStyle w:val="Internetverknpfung"/>
          </w:rPr>
          <w:t>Imperfekt</w:t>
        </w:r>
      </w:hyperlink>
      <w:r>
        <w:rPr/>
        <w:t xml:space="preserve"> ist „über einen längeren Zeitraum wollen“ → „planen“.</w:t>
      </w:r>
    </w:p>
  </w:footnote>
  <w:footnote w:id="4129">
    <w:p>
      <w:pPr>
        <w:pStyle w:val="Funote"/>
        <w:rPr/>
      </w:pPr>
      <w:r>
        <w:rPr>
          <w:rStyle w:val="Funotenzeichen"/>
        </w:rPr>
        <w:footnoteRef/>
      </w:r>
      <w:r>
        <w:rPr/>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4130">
    <w:p>
      <w:pPr>
        <w:pStyle w:val="Funote"/>
        <w:rPr/>
      </w:pPr>
      <w:r>
        <w:rPr>
          <w:rStyle w:val="Funotenzeichen"/>
        </w:rPr>
        <w:footnoteRef/>
      </w:r>
      <w:r>
        <w:rPr/>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4131">
    <w:p>
      <w:pPr>
        <w:pStyle w:val="Funote"/>
        <w:rPr/>
      </w:pPr>
      <w:r>
        <w:rPr>
          <w:rStyle w:val="Funotenzeichen"/>
        </w:rPr>
        <w:footnoteRef/>
      </w:r>
      <w:r>
        <w:rPr/>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4132">
    <w:p>
      <w:pPr>
        <w:pStyle w:val="Funote"/>
        <w:rPr/>
      </w:pPr>
      <w:r>
        <w:rPr>
          <w:rStyle w:val="Funotenzeichen"/>
        </w:rPr>
        <w:footnoteRef/>
      </w:r>
      <w:r>
        <w:rPr>
          <w:i/>
        </w:rPr>
        <w:tab/>
        <w:t>wenn er ihm zuhörte</w:t>
      </w:r>
      <w:r>
        <w:rPr/>
        <w:t xml:space="preserve"> Temporales </w:t>
      </w:r>
      <w:hyperlink r:id="rId379">
        <w:r>
          <w:rPr>
            <w:rStyle w:val="Internetverknpfung"/>
          </w:rPr>
          <w:t>Ptz. conj.</w:t>
        </w:r>
      </w:hyperlink>
      <w:r>
        <w:rPr/>
        <w:t>, als Nebensatz aufgelöst. Die Klammer übersetzt vorzeitig, Sinn wäre „nach dem Zuhören“.</w:t>
      </w:r>
    </w:p>
  </w:footnote>
  <w:footnote w:id="4133">
    <w:p>
      <w:pPr>
        <w:pStyle w:val="Funote"/>
        <w:rPr/>
      </w:pPr>
      <w:r>
        <w:rPr>
          <w:rStyle w:val="Funotenzeichen"/>
        </w:rPr>
        <w:footnoteRef/>
      </w:r>
      <w:r>
        <w:rPr/>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4134">
    <w:p>
      <w:pPr>
        <w:pStyle w:val="Funote"/>
        <w:rPr/>
      </w:pPr>
      <w:r>
        <w:rPr>
          <w:rStyle w:val="Funotenzeichen"/>
        </w:rPr>
        <w:footnoteRef/>
      </w:r>
      <w:r>
        <w:rPr>
          <w:i/>
        </w:rPr>
        <w:tab/>
        <w:t>als ein günstiger Zeitpunkt kam</w:t>
      </w:r>
      <w:r>
        <w:rPr/>
        <w:t xml:space="preserve"> </w:t>
      </w:r>
      <w:hyperlink r:id="rId380">
        <w:r>
          <w:rPr>
            <w:rStyle w:val="Internetverknpfung"/>
          </w:rPr>
          <w:t>Gen. abs.</w:t>
        </w:r>
      </w:hyperlink>
      <w:r>
        <w:rPr/>
        <w:t>, temporal als Nebensatz aufgelöst. Der Hauptsatz kommt erst in V. 22.</w:t>
      </w:r>
    </w:p>
  </w:footnote>
  <w:footnote w:id="4135">
    <w:p>
      <w:pPr>
        <w:pStyle w:val="Funote"/>
        <w:rPr/>
      </w:pPr>
      <w:r>
        <w:rPr>
          <w:rStyle w:val="Funotenzeichen"/>
        </w:rPr>
        <w:footnoteRef/>
      </w:r>
      <w:r>
        <w:rPr>
          <w:i/>
        </w:rPr>
        <w:tab/>
        <w:t>[anlässlich] seines Geburtstages</w:t>
      </w:r>
      <w:r>
        <w:rPr/>
        <w:t xml:space="preserve"> </w:t>
      </w:r>
      <w:hyperlink r:id="rId381">
        <w:r>
          <w:rPr>
            <w:rStyle w:val="Internetverknpfung"/>
          </w:rPr>
          <w:t>Temporaler Dativ</w:t>
        </w:r>
      </w:hyperlink>
      <w:r>
        <w:rPr/>
        <w:t>.</w:t>
      </w:r>
    </w:p>
  </w:footnote>
  <w:footnote w:id="4136">
    <w:p>
      <w:pPr>
        <w:pStyle w:val="Funote"/>
        <w:rPr/>
      </w:pPr>
      <w:r>
        <w:rPr>
          <w:rStyle w:val="Funotenzeichen"/>
        </w:rPr>
        <w:footnoteRef/>
      </w:r>
      <w:r>
        <w:rPr>
          <w:i/>
        </w:rPr>
        <w:tab/>
        <w:t>Galiläas angesehenste Bürger</w:t>
      </w:r>
      <w:r>
        <w:rPr/>
        <w:t xml:space="preserve"> W. „die Ersten Galiläas“</w:t>
      </w:r>
    </w:p>
  </w:footnote>
  <w:footnote w:id="4137">
    <w:p>
      <w:pPr>
        <w:pStyle w:val="Funote"/>
        <w:rPr/>
      </w:pPr>
      <w:r>
        <w:rPr>
          <w:rStyle w:val="Funotenzeichen"/>
        </w:rPr>
        <w:footnoteRef/>
      </w:r>
      <w:r>
        <w:rPr/>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4138">
    <w:p>
      <w:pPr>
        <w:pStyle w:val="Funote"/>
        <w:rPr/>
      </w:pPr>
      <w:r>
        <w:rPr>
          <w:rStyle w:val="Funotenzeichen"/>
        </w:rPr>
        <w:footnoteRef/>
      </w:r>
      <w:r>
        <w:rPr>
          <w:i/>
        </w:rPr>
        <w:tab/>
        <w:t>als … hereinkam und tanzte</w:t>
      </w:r>
      <w:r>
        <w:rPr/>
        <w:t xml:space="preserve"> </w:t>
      </w:r>
      <w:hyperlink r:id="rId382">
        <w:r>
          <w:rPr>
            <w:rStyle w:val="Internetverknpfung"/>
          </w:rPr>
          <w:t>Gen. abs.</w:t>
        </w:r>
      </w:hyperlink>
      <w:r>
        <w:rPr/>
        <w:t>, als temporaler Nebensatz aufgelöst. Nach der generellen Zeitangabe (V. 21) bildet dieser Gen. abs. nun die spezifische. Als Herodes' Aufforderung kam, wusste Herodias, dass dies der „günstige Tag“ (V. 21) war.</w:t>
      </w:r>
    </w:p>
  </w:footnote>
  <w:footnote w:id="4139">
    <w:p>
      <w:pPr>
        <w:pStyle w:val="Funote"/>
        <w:rPr/>
      </w:pPr>
      <w:r>
        <w:rPr>
          <w:rStyle w:val="Funotenzeichen"/>
        </w:rPr>
        <w:footnoteRef/>
      </w:r>
      <w:r>
        <w:rPr/>
        <w:tab/>
        <w:t>seinen Tischgästen (denen, die mit [ihm] aßen/[zu Tisch] lagen) Die meisten deutschen Übersetzungen übertragen das subst. Ptz. einfach als „seine Gäste“. Wie LUT, ELB kann man es auch als Relativsatz auflösen.</w:t>
      </w:r>
    </w:p>
  </w:footnote>
  <w:footnote w:id="4140">
    <w:p>
      <w:pPr>
        <w:pStyle w:val="Funote"/>
        <w:rPr/>
      </w:pPr>
      <w:r>
        <w:rPr>
          <w:rStyle w:val="Funotenzeichen"/>
        </w:rPr>
        <w:footnoteRef/>
      </w:r>
      <w:r>
        <w:rPr/>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4141">
    <w:p>
      <w:pPr>
        <w:pStyle w:val="Funote"/>
        <w:rPr/>
      </w:pPr>
      <w:r>
        <w:rPr>
          <w:rStyle w:val="Funotenzeichen"/>
        </w:rPr>
        <w:footnoteRef/>
      </w:r>
      <w:r>
        <w:rPr>
          <w:i/>
        </w:rPr>
        <w:tab/>
        <w:t>schwor ihr mehrmals/eindringlich</w:t>
      </w:r>
      <w:r>
        <w:rPr/>
        <w:t xml:space="preserve">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142">
    <w:p>
      <w:pPr>
        <w:pStyle w:val="Funote"/>
        <w:rPr/>
      </w:pPr>
      <w:r>
        <w:rPr>
          <w:rStyle w:val="Funotenzeichen"/>
        </w:rPr>
        <w:footnoteRef/>
      </w:r>
      <w:r>
        <w:rPr>
          <w:i/>
        </w:rPr>
        <w:tab/>
        <w:t>ging hinaus und</w:t>
      </w:r>
      <w:r>
        <w:rPr/>
        <w:t xml:space="preserve"> Modal-temporales </w:t>
      </w:r>
      <w:hyperlink r:id="rId383">
        <w:r>
          <w:rPr>
            <w:rStyle w:val="Internetverknpfung"/>
          </w:rPr>
          <w:t>beschreibendes Partizip</w:t>
        </w:r>
      </w:hyperlink>
      <w:r>
        <w:rPr/>
        <w:t xml:space="preserve"> Aor., mit „und“-Kombination übersetzt.</w:t>
      </w:r>
    </w:p>
  </w:footnote>
  <w:footnote w:id="4143">
    <w:p>
      <w:pPr>
        <w:pStyle w:val="Funote"/>
        <w:rPr/>
      </w:pPr>
      <w:r>
        <w:rPr>
          <w:rStyle w:val="Funotenzeichen"/>
        </w:rPr>
        <w:footnoteRef/>
      </w:r>
      <w:r>
        <w:rPr>
          <w:i/>
        </w:rPr>
        <w:tab/>
        <w:t>eilig</w:t>
      </w:r>
      <w:r>
        <w:rPr/>
        <w:t xml:space="preserve"> W. „mit Eile“</w:t>
      </w:r>
    </w:p>
  </w:footnote>
  <w:footnote w:id="4144">
    <w:p>
      <w:pPr>
        <w:pStyle w:val="Funote"/>
        <w:rPr/>
      </w:pPr>
      <w:r>
        <w:rPr>
          <w:rStyle w:val="Funotenzeichen"/>
        </w:rPr>
        <w:footnoteRef/>
      </w:r>
      <w:r>
        <w:rPr>
          <w:i/>
        </w:rPr>
        <w:tab/>
        <w:t>ging … hinein und</w:t>
      </w:r>
      <w:r>
        <w:rPr/>
        <w:t xml:space="preserve"> Modal-temporales </w:t>
      </w:r>
      <w:hyperlink r:id="rId384">
        <w:r>
          <w:rPr>
            <w:rStyle w:val="Internetverknpfung"/>
          </w:rPr>
          <w:t>beschreibendes Partizip</w:t>
        </w:r>
      </w:hyperlink>
      <w:r>
        <w:rPr/>
        <w:t xml:space="preserve"> Aor., mit „und“-Kombination übersetzt.</w:t>
      </w:r>
    </w:p>
  </w:footnote>
  <w:footnote w:id="4145">
    <w:p>
      <w:pPr>
        <w:pStyle w:val="Funote"/>
        <w:rPr/>
      </w:pPr>
      <w:r>
        <w:rPr>
          <w:rStyle w:val="Funotenzeichen"/>
        </w:rPr>
        <w:footnoteRef/>
      </w:r>
      <w:r>
        <w:rPr>
          <w:i/>
        </w:rPr>
        <w:tab/>
        <w:t>wurde sehr traurig</w:t>
      </w:r>
      <w:r>
        <w:rPr/>
        <w:t xml:space="preserve"> Konzessives </w:t>
      </w:r>
      <w:hyperlink r:id="rId385">
        <w:r>
          <w:rPr>
            <w:rStyle w:val="Internetverknpfung"/>
          </w:rPr>
          <w:t>Ptz. conj.</w:t>
        </w:r>
      </w:hyperlink>
      <w:r>
        <w:rPr/>
        <w:t>., als gleichgeordneter Hauptsatz mit folgendem „aber“ aufgelöst.</w:t>
      </w:r>
    </w:p>
  </w:footnote>
  <w:footnote w:id="4146">
    <w:p>
      <w:pPr>
        <w:pStyle w:val="Funote"/>
        <w:rPr/>
      </w:pPr>
      <w:r>
        <w:rPr>
          <w:rStyle w:val="Funotenzeichen"/>
        </w:rPr>
        <w:footnoteRef/>
      </w:r>
      <w:r>
        <w:rPr/>
        <w:tab/>
        <w:t>der Gäste ([zu Tisch] Liegenden) Die meisten deutschen Übersetzungen übertragen das subst. Ptz. einfach als „seine Gäste“. Wie LUT, ELB kann man es auch als Relativsatz auflösen. Vgl. 22.</w:t>
      </w:r>
    </w:p>
  </w:footnote>
  <w:footnote w:id="4147">
    <w:p>
      <w:pPr>
        <w:pStyle w:val="Funote"/>
        <w:rPr/>
      </w:pPr>
      <w:r>
        <w:rPr>
          <w:rStyle w:val="Funotenzeichen"/>
        </w:rPr>
        <w:footnoteRef/>
      </w:r>
      <w:r>
        <w:rPr>
          <w:i/>
        </w:rPr>
        <w:tab/>
        <w:t>Also</w:t>
      </w:r>
      <w:r>
        <w:rPr/>
        <w:t xml:space="preserve">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148">
    <w:p>
      <w:pPr>
        <w:pStyle w:val="Funote"/>
        <w:rPr/>
      </w:pPr>
      <w:r>
        <w:rPr>
          <w:rStyle w:val="Funotenzeichen"/>
        </w:rPr>
        <w:footnoteRef/>
      </w:r>
      <w:r>
        <w:rPr>
          <w:i/>
        </w:rPr>
        <w:tab/>
        <w:t>schickte … und</w:t>
      </w:r>
      <w:r>
        <w:rPr/>
        <w:t xml:space="preserve"> Modal-temporales </w:t>
      </w:r>
      <w:hyperlink r:id="rId386">
        <w:r>
          <w:rPr>
            <w:rStyle w:val="Internetverknpfung"/>
          </w:rPr>
          <w:t>Ptz. conj.</w:t>
        </w:r>
      </w:hyperlink>
      <w:r>
        <w:rPr/>
        <w:t>, mit „und“-Kombination übersetzt.</w:t>
      </w:r>
    </w:p>
  </w:footnote>
  <w:footnote w:id="4149">
    <w:p>
      <w:pPr>
        <w:pStyle w:val="Funote"/>
        <w:rPr/>
      </w:pPr>
      <w:r>
        <w:rPr>
          <w:rStyle w:val="Funotenzeichen"/>
        </w:rPr>
        <w:footnoteRef/>
      </w:r>
      <w:r>
        <w:rPr>
          <w:i/>
        </w:rPr>
        <w:tab/>
        <w:t>als … erfuhren</w:t>
      </w:r>
      <w:r>
        <w:rPr/>
        <w:t xml:space="preserve"> Temporales </w:t>
      </w:r>
      <w:hyperlink r:id="rId387">
        <w:r>
          <w:rPr>
            <w:rStyle w:val="Internetverknpfung"/>
          </w:rPr>
          <w:t>Ptz. conj.</w:t>
        </w:r>
      </w:hyperlink>
      <w:r>
        <w:rPr/>
        <w:t>, als Nebensatz aufgelöst.</w:t>
      </w:r>
    </w:p>
  </w:footnote>
  <w:footnote w:id="4150">
    <w:p>
      <w:pPr>
        <w:pStyle w:val="Funote"/>
        <w:rPr/>
      </w:pPr>
      <w:r>
        <w:rPr>
          <w:rStyle w:val="Funotenzeichen"/>
        </w:rPr>
        <w:footnoteRef/>
      </w:r>
      <w:r>
        <w:rPr/>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151">
    <w:p>
      <w:pPr>
        <w:pStyle w:val="Funote"/>
        <w:rPr/>
      </w:pPr>
      <w:r>
        <w:rPr>
          <w:rStyle w:val="Funotenzeichen"/>
        </w:rPr>
        <w:footnoteRef/>
      </w:r>
      <w:r>
        <w:rPr/>
        <w:tab/>
        <w:t>ganz allein NSS schlägt (wie es auch andere Übersetzungen verstehen) die sinngemäß wohl richtige Übersetzung „um für sich allein zu sein“ vor.</w:t>
      </w:r>
    </w:p>
  </w:footnote>
  <w:footnote w:id="4152">
    <w:p>
      <w:pPr>
        <w:pStyle w:val="Funote"/>
        <w:rPr/>
      </w:pPr>
      <w:r>
        <w:rPr>
          <w:rStyle w:val="Funotenzeichen"/>
        </w:rPr>
        <w:footnoteRef/>
      </w:r>
      <w:r>
        <w:rPr/>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153">
    <w:p>
      <w:pPr>
        <w:pStyle w:val="Funote"/>
        <w:rPr/>
      </w:pPr>
      <w:r>
        <w:rPr>
          <w:rStyle w:val="Funotenzeichen"/>
        </w:rPr>
        <w:footnoteRef/>
      </w:r>
      <w:r>
        <w:rPr>
          <w:i/>
        </w:rPr>
        <w:tab/>
        <w:t>an ihrem Zielort</w:t>
      </w:r>
      <w:r>
        <w:rPr/>
        <w:t xml:space="preserve"> Sinngemäße Wiedergabe von </w:t>
      </w:r>
      <w:r>
        <w:rPr>
          <w:i/>
        </w:rPr>
        <w:t>dort</w:t>
      </w:r>
      <w:r>
        <w:rPr/>
        <w:t>.</w:t>
      </w:r>
    </w:p>
  </w:footnote>
  <w:footnote w:id="4154">
    <w:p>
      <w:pPr>
        <w:pStyle w:val="Funote"/>
        <w:rPr/>
      </w:pPr>
      <w:r>
        <w:rPr>
          <w:rStyle w:val="Funotenzeichen"/>
        </w:rPr>
        <w:footnoteRef/>
      </w:r>
      <w:r>
        <w:rPr>
          <w:i/>
        </w:rPr>
        <w:tab/>
        <w:t>als er ausstieg</w:t>
      </w:r>
      <w:r>
        <w:rPr/>
        <w:t xml:space="preserve"> </w:t>
      </w:r>
      <w:hyperlink r:id="rId388">
        <w:r>
          <w:rPr>
            <w:rStyle w:val="Internetverknpfung"/>
          </w:rPr>
          <w:t>Ptz. conj.</w:t>
        </w:r>
      </w:hyperlink>
      <w:r>
        <w:rPr/>
        <w:t>, als temporaler Nebensatz aufgelöst.</w:t>
      </w:r>
    </w:p>
  </w:footnote>
  <w:footnote w:id="4155">
    <w:p>
      <w:pPr>
        <w:pStyle w:val="Funote"/>
        <w:rPr/>
      </w:pPr>
      <w:r>
        <w:rPr>
          <w:rStyle w:val="Funotenzeichen"/>
        </w:rPr>
        <w:footnoteRef/>
      </w:r>
      <w:r>
        <w:rPr/>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156">
    <w:p>
      <w:pPr>
        <w:pStyle w:val="Funote"/>
        <w:rPr/>
      </w:pPr>
      <w:r>
        <w:rPr>
          <w:rStyle w:val="Funotenzeichen"/>
        </w:rPr>
        <w:footnoteRef/>
      </w:r>
      <w:r>
        <w:rPr/>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157">
    <w:p>
      <w:pPr>
        <w:pStyle w:val="Funote"/>
        <w:rPr/>
      </w:pPr>
      <w:r>
        <w:rPr>
          <w:rStyle w:val="Funotenzeichen"/>
        </w:rPr>
        <w:footnoteRef/>
      </w:r>
      <w:r>
        <w:rPr>
          <w:i/>
        </w:rPr>
        <w:tab/>
        <w:t>kamen … zu ihm und</w:t>
      </w:r>
      <w:r>
        <w:rPr/>
        <w:t xml:space="preserve"> Temp. </w:t>
      </w:r>
      <w:hyperlink r:id="rId389">
        <w:r>
          <w:rPr>
            <w:rStyle w:val="Internetverknpfung"/>
          </w:rPr>
          <w:t>Ptz. conj.</w:t>
        </w:r>
      </w:hyperlink>
      <w:r>
        <w:rPr/>
        <w:t>, parataktisch aufgelöst.</w:t>
      </w:r>
    </w:p>
  </w:footnote>
  <w:footnote w:id="4158">
    <w:p>
      <w:pPr>
        <w:pStyle w:val="Funote"/>
        <w:rPr/>
      </w:pPr>
      <w:r>
        <w:rPr>
          <w:rStyle w:val="Funotenzeichen"/>
        </w:rPr>
        <w:footnoteRef/>
      </w:r>
      <w:r>
        <w:rPr/>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159">
    <w:p>
      <w:pPr>
        <w:pStyle w:val="Funote"/>
        <w:rPr/>
      </w:pPr>
      <w:r>
        <w:rPr>
          <w:rStyle w:val="Funotenzeichen"/>
        </w:rPr>
        <w:footnoteRef/>
      </w:r>
      <w:r>
        <w:rPr>
          <w:i/>
        </w:rPr>
        <w:tab/>
        <w:t>gehen und</w:t>
      </w:r>
      <w:r>
        <w:rPr/>
        <w:t xml:space="preserve"> W. „weggehen und“ </w:t>
      </w:r>
      <w:hyperlink r:id="rId390">
        <w:r>
          <w:rPr>
            <w:rStyle w:val="Internetverknpfung"/>
          </w:rPr>
          <w:t>Beschreibendes Partizip</w:t>
        </w:r>
      </w:hyperlink>
      <w:r>
        <w:rPr/>
        <w:t>, beigeordnet aufgelöst.</w:t>
      </w:r>
    </w:p>
  </w:footnote>
  <w:footnote w:id="4160">
    <w:p>
      <w:pPr>
        <w:pStyle w:val="Funote"/>
        <w:rPr/>
      </w:pPr>
      <w:r>
        <w:rPr>
          <w:rStyle w:val="Funotenzeichen"/>
        </w:rPr>
        <w:footnoteRef/>
      </w:r>
      <w:r>
        <w:rPr>
          <w:i/>
        </w:rPr>
        <w:tab/>
        <w:t>antwortete {und sagte}</w:t>
      </w:r>
      <w:r>
        <w:rPr/>
        <w:t xml:space="preserve"> W. etwa „antwortend sagte er...“ Diese pleonastische Verbindung geben wir aus stilistischen Gründen mit nur einem Verb wieder. </w:t>
      </w:r>
      <w:r>
        <w:rPr>
          <w:i/>
        </w:rPr>
        <w:t>antwortete</w:t>
      </w:r>
      <w:r>
        <w:rPr/>
        <w:t xml:space="preserve"> Mod. </w:t>
      </w:r>
      <w:hyperlink r:id="rId391">
        <w:r>
          <w:rPr>
            <w:rStyle w:val="Internetverknpfung"/>
          </w:rPr>
          <w:t>Ptz. conj.</w:t>
        </w:r>
      </w:hyperlink>
      <w:r>
        <w:rPr/>
        <w:t>.</w:t>
      </w:r>
    </w:p>
  </w:footnote>
  <w:footnote w:id="4161">
    <w:p>
      <w:pPr>
        <w:pStyle w:val="Funote"/>
        <w:rPr/>
      </w:pPr>
      <w:r>
        <w:rPr>
          <w:rStyle w:val="Funotenzeichen"/>
        </w:rPr>
        <w:footnoteRef/>
      </w:r>
      <w:r>
        <w:rPr/>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162">
    <w:p>
      <w:pPr>
        <w:pStyle w:val="Funote"/>
        <w:rPr/>
      </w:pPr>
      <w:r>
        <w:rPr>
          <w:rStyle w:val="Funotenzeichen"/>
        </w:rPr>
        <w:footnoteRef/>
      </w:r>
      <w:r>
        <w:rPr/>
        <w:tab/>
        <w:t>[für] zweihundert Denare Genitiv des Preises. Ein Denar entsprach einem Tagelohn (Guelich 1989, 341).</w:t>
      </w:r>
    </w:p>
  </w:footnote>
  <w:footnote w:id="4163">
    <w:p>
      <w:pPr>
        <w:pStyle w:val="Funote"/>
        <w:rPr/>
      </w:pPr>
      <w:r>
        <w:rPr>
          <w:rStyle w:val="Funotenzeichen"/>
        </w:rPr>
        <w:footnoteRef/>
      </w:r>
      <w:r>
        <w:rPr>
          <w:i/>
        </w:rPr>
        <w:tab/>
        <w:t>nachdem sie [es] festgestellt hatten</w:t>
      </w:r>
      <w:r>
        <w:rPr/>
        <w:t xml:space="preserve"> </w:t>
      </w:r>
      <w:hyperlink r:id="rId392">
        <w:r>
          <w:rPr>
            <w:rStyle w:val="Internetverknpfung"/>
          </w:rPr>
          <w:t>Ptz. conj.</w:t>
        </w:r>
      </w:hyperlink>
      <w:r>
        <w:rPr/>
        <w:t xml:space="preserve"> Aor., temporal-vorzeitig als Nebensatz aufgelöst. Oder: „sie stellten es fest und“</w:t>
      </w:r>
    </w:p>
  </w:footnote>
  <w:footnote w:id="4164">
    <w:p>
      <w:pPr>
        <w:pStyle w:val="Funote"/>
        <w:rPr/>
      </w:pPr>
      <w:r>
        <w:rPr>
          <w:rStyle w:val="Funotenzeichen"/>
        </w:rPr>
        <w:footnoteRef/>
      </w:r>
      <w:r>
        <w:rPr/>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165">
    <w:p>
      <w:pPr>
        <w:pStyle w:val="Funote"/>
        <w:rPr/>
      </w:pPr>
      <w:r>
        <w:rPr>
          <w:rStyle w:val="Funotenzeichen"/>
        </w:rPr>
        <w:footnoteRef/>
      </w:r>
      <w:r>
        <w:rPr/>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166">
    <w:p>
      <w:pPr>
        <w:pStyle w:val="Funote"/>
        <w:rPr/>
      </w:pPr>
      <w:r>
        <w:rPr>
          <w:rStyle w:val="Funotenzeichen"/>
        </w:rPr>
        <w:footnoteRef/>
      </w:r>
      <w:r>
        <w:rPr/>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167">
    <w:p>
      <w:pPr>
        <w:pStyle w:val="Funote"/>
        <w:rPr/>
      </w:pPr>
      <w:r>
        <w:rPr>
          <w:rStyle w:val="Funotenzeichen"/>
        </w:rPr>
        <w:footnoteRef/>
      </w:r>
      <w:r>
        <w:rPr>
          <w:i/>
        </w:rPr>
        <w:tab/>
        <w:t>er nahm</w:t>
      </w:r>
      <w:r>
        <w:rPr/>
        <w:t xml:space="preserve"> und </w:t>
      </w:r>
      <w:r>
        <w:rPr>
          <w:i/>
        </w:rPr>
        <w:t>blickte auf</w:t>
      </w:r>
      <w:r>
        <w:rPr/>
        <w:t xml:space="preserve"> Modal-temporales </w:t>
      </w:r>
      <w:hyperlink r:id="rId393">
        <w:r>
          <w:rPr>
            <w:rStyle w:val="Internetverknpfung"/>
          </w:rPr>
          <w:t>Ptz. conj.</w:t>
        </w:r>
      </w:hyperlink>
      <w:r>
        <w:rPr/>
        <w:t xml:space="preserve"> (2x), beigeordnet übersetzt.</w:t>
      </w:r>
    </w:p>
  </w:footnote>
  <w:footnote w:id="4168">
    <w:p>
      <w:pPr>
        <w:pStyle w:val="Funote"/>
        <w:rPr/>
      </w:pPr>
      <w:r>
        <w:rPr>
          <w:rStyle w:val="Funotenzeichen"/>
        </w:rPr>
        <w:footnoteRef/>
      </w:r>
      <w:r>
        <w:rPr/>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169">
    <w:p>
      <w:pPr>
        <w:pStyle w:val="Funote"/>
        <w:rPr/>
      </w:pPr>
      <w:r>
        <w:rPr>
          <w:rStyle w:val="Funotenzeichen"/>
        </w:rPr>
        <w:footnoteRef/>
      </w:r>
      <w:r>
        <w:rPr/>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170">
    <w:p>
      <w:pPr>
        <w:pStyle w:val="Funote"/>
        <w:rPr/>
      </w:pPr>
      <w:r>
        <w:rPr>
          <w:rStyle w:val="Funotenzeichen"/>
        </w:rPr>
        <w:footnoteRef/>
      </w:r>
      <w:r>
        <w:rPr/>
        <w:tab/>
        <w:t>verabschieden wollte Im Griechischen „verabschiedet“; es ist hier so formuliert, wie es die entsprechende wörtliche Rede wäre (NSS).</w:t>
      </w:r>
    </w:p>
  </w:footnote>
  <w:footnote w:id="4171">
    <w:p>
      <w:pPr>
        <w:pStyle w:val="Funote"/>
        <w:rPr/>
      </w:pPr>
      <w:r>
        <w:rPr>
          <w:rStyle w:val="Funotenzeichen"/>
        </w:rPr>
        <w:footnoteRef/>
      </w:r>
      <w:r>
        <w:rPr/>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172">
    <w:p>
      <w:pPr>
        <w:pStyle w:val="Funote"/>
        <w:rPr/>
      </w:pPr>
      <w:r>
        <w:rPr>
          <w:rStyle w:val="Funotenzeichen"/>
        </w:rPr>
        <w:footnoteRef/>
      </w:r>
      <w:r>
        <w:rPr>
          <w:i/>
        </w:rPr>
        <w:tab/>
        <w:t>als es … geworden war</w:t>
      </w:r>
      <w:r>
        <w:rPr/>
        <w:t xml:space="preserve"> </w:t>
      </w:r>
      <w:hyperlink r:id="rId394">
        <w:r>
          <w:rPr>
            <w:rStyle w:val="Internetverknpfung"/>
          </w:rPr>
          <w:t>Gen. abs.</w:t>
        </w:r>
      </w:hyperlink>
      <w:r>
        <w:rPr/>
        <w:t>, als temporaler Nebensatz aufgelöst.</w:t>
      </w:r>
    </w:p>
  </w:footnote>
  <w:footnote w:id="4173">
    <w:p>
      <w:pPr>
        <w:pStyle w:val="Funote"/>
        <w:rPr/>
      </w:pPr>
      <w:r>
        <w:rPr>
          <w:rStyle w:val="Funotenzeichen"/>
        </w:rPr>
        <w:footnoteRef/>
      </w:r>
      <w:r>
        <w:rPr/>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174">
    <w:p>
      <w:pPr>
        <w:pStyle w:val="Funote"/>
        <w:rPr/>
      </w:pPr>
      <w:r>
        <w:rPr>
          <w:rStyle w:val="Funotenzeichen"/>
        </w:rPr>
        <w:footnoteRef/>
      </w:r>
      <w:r>
        <w:rPr/>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175">
    <w:p>
      <w:pPr>
        <w:pStyle w:val="Funote"/>
        <w:rPr/>
      </w:pPr>
      <w:r>
        <w:rPr>
          <w:rStyle w:val="Funotenzeichen"/>
        </w:rPr>
        <w:footnoteRef/>
      </w:r>
      <w:r>
        <w:rPr>
          <w:i/>
        </w:rPr>
        <w:tab/>
        <w:t>indem … lief</w:t>
      </w:r>
      <w:r>
        <w:rPr/>
        <w:t xml:space="preserve"> Modales </w:t>
      </w:r>
      <w:hyperlink r:id="rId395">
        <w:r>
          <w:rPr>
            <w:rStyle w:val="Internetverknpfung"/>
          </w:rPr>
          <w:t>Ptc. conj.</w:t>
        </w:r>
      </w:hyperlink>
      <w:r>
        <w:rPr/>
        <w:t>, als Nebensatz aufgelöst.</w:t>
      </w:r>
    </w:p>
  </w:footnote>
  <w:footnote w:id="4176">
    <w:p>
      <w:pPr>
        <w:pStyle w:val="Funote"/>
        <w:rPr/>
      </w:pPr>
      <w:r>
        <w:rPr>
          <w:rStyle w:val="Funotenzeichen"/>
        </w:rPr>
        <w:footnoteRef/>
      </w:r>
      <w:r>
        <w:rPr>
          <w:i/>
        </w:rPr>
        <w:tab/>
        <w:t>wollte</w:t>
      </w:r>
      <w:r>
        <w:rPr/>
        <w:t xml:space="preserve"> Die Verwendung des </w:t>
      </w:r>
      <w:hyperlink r:id="rId396">
        <w:r>
          <w:rPr>
            <w:rStyle w:val="Internetverknpfung"/>
          </w:rPr>
          <w:t>Imperfekts</w:t>
        </w:r>
      </w:hyperlink>
      <w:r>
        <w:rPr/>
        <w:t xml:space="preserve"> zeigt wohl an, dass dies in dieser Szene seine Absicht war.</w:t>
      </w:r>
    </w:p>
  </w:footnote>
  <w:footnote w:id="4177">
    <w:p>
      <w:pPr>
        <w:pStyle w:val="Funote"/>
        <w:rPr/>
      </w:pPr>
      <w:r>
        <w:rPr>
          <w:rStyle w:val="Funotenzeichen"/>
        </w:rPr>
        <w:footnoteRef/>
      </w:r>
      <w:r>
        <w:rPr>
          <w:i/>
        </w:rPr>
        <w:tab/>
        <w:t>als … sahen</w:t>
      </w:r>
      <w:r>
        <w:rPr/>
        <w:t xml:space="preserve"> </w:t>
      </w:r>
      <w:hyperlink r:id="rId397">
        <w:r>
          <w:rPr>
            <w:rStyle w:val="Internetverknpfung"/>
          </w:rPr>
          <w:t>Ptz. conj.</w:t>
        </w:r>
      </w:hyperlink>
      <w:r>
        <w:rPr/>
        <w:t>, als temporaler Nebensatz aufgelöst.</w:t>
      </w:r>
    </w:p>
  </w:footnote>
  <w:footnote w:id="4178">
    <w:p>
      <w:pPr>
        <w:pStyle w:val="Funote"/>
        <w:rPr/>
      </w:pPr>
      <w:r>
        <w:rPr>
          <w:rStyle w:val="Funotenzeichen"/>
        </w:rPr>
        <w:footnoteRef/>
      </w:r>
      <w:r>
        <w:rPr>
          <w:i/>
        </w:rPr>
        <w:tab/>
        <w:t>schrien auf (fingen an zu schreien)</w:t>
      </w:r>
      <w:r>
        <w:rPr/>
        <w:t xml:space="preserve"> Wie in der Klammer kann man den Aorist auch </w:t>
      </w:r>
      <w:hyperlink r:id="rId398">
        <w:r>
          <w:rPr>
            <w:rStyle w:val="Internetverknpfung"/>
          </w:rPr>
          <w:t>ingressiv</w:t>
        </w:r>
      </w:hyperlink>
      <w:r>
        <w:rPr/>
        <w:t xml:space="preserve"> übersetzen, der den Anfang von etwas markiert.</w:t>
      </w:r>
    </w:p>
  </w:footnote>
  <w:footnote w:id="4179">
    <w:p>
      <w:pPr>
        <w:pStyle w:val="Funote"/>
        <w:rPr/>
      </w:pPr>
      <w:r>
        <w:rPr>
          <w:rStyle w:val="Funotenzeichen"/>
        </w:rPr>
        <w:footnoteRef/>
      </w:r>
      <w:r>
        <w:rPr/>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180">
    <w:p>
      <w:pPr>
        <w:pStyle w:val="Funote"/>
        <w:rPr/>
      </w:pPr>
      <w:r>
        <w:rPr>
          <w:rStyle w:val="Funotenzeichen"/>
        </w:rPr>
        <w:footnoteRef/>
      </w:r>
      <w:r>
        <w:rPr/>
        <w:tab/>
        <w:t>begann … zu reden Der Aorist ist hier ingressiv übersetzt, der den Anfang von etwas markiert (vgl. NSS; EÜ). Ansonsten wäre die Übersetzung: „er redete sofort mit ihnen“, oder schöner: „er sprach sie sofort an“ (NGÜ, vgl. GNB).</w:t>
      </w:r>
    </w:p>
  </w:footnote>
  <w:footnote w:id="4181">
    <w:p>
      <w:pPr>
        <w:pStyle w:val="Funote"/>
        <w:rPr/>
      </w:pPr>
      <w:r>
        <w:rPr>
          <w:rStyle w:val="Funotenzeichen"/>
        </w:rPr>
        <w:footnoteRef/>
      </w:r>
      <w:r>
        <w:rPr/>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182">
    <w:p>
      <w:pPr>
        <w:pStyle w:val="Funote"/>
        <w:rPr/>
      </w:pPr>
      <w:r>
        <w:rPr>
          <w:rStyle w:val="Funotenzeichen"/>
        </w:rPr>
        <w:footnoteRef/>
      </w:r>
      <w:r>
        <w:rPr/>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183">
    <w:p>
      <w:pPr>
        <w:pStyle w:val="Funote"/>
        <w:rPr/>
      </w:pPr>
      <w:r>
        <w:rPr>
          <w:rStyle w:val="Funotenzeichen"/>
        </w:rPr>
        <w:footnoteRef/>
      </w:r>
      <w:r>
        <w:rPr/>
        <w:tab/>
        <w:t>was es mit den Broten auf sich hatte W. „hinsichtlich/angesichts/aufgrund der Brote“ Eine andere sinngemäße Übersetzung lautet: „Denn auch durch das Wunder mit den Broten waren sie nicht zur Einsicht gekommen“ (GNB, ähnlich NGÜ, ELB?, LUT?)</w:t>
      </w:r>
    </w:p>
  </w:footnote>
  <w:footnote w:id="4184">
    <w:p>
      <w:pPr>
        <w:pStyle w:val="Funote"/>
        <w:rPr/>
      </w:pPr>
      <w:r>
        <w:rPr>
          <w:rStyle w:val="Funotenzeichen"/>
        </w:rPr>
        <w:footnoteRef/>
      </w:r>
      <w:r>
        <w:rPr>
          <w:i/>
        </w:rPr>
        <w:tab/>
        <w:t>ihr Herz war verstockt (verhärtet)</w:t>
      </w:r>
      <w:r>
        <w:rPr/>
        <w:t xml:space="preserve">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 xml:space="preserve">schwierigkeiten der Jünger zu sprechen. </w:t>
      </w:r>
    </w:p>
  </w:footnote>
  <w:footnote w:id="4185">
    <w:p>
      <w:pPr>
        <w:pStyle w:val="Funote"/>
        <w:rPr/>
      </w:pPr>
      <w:r>
        <w:rPr>
          <w:rStyle w:val="Funotenzeichen"/>
        </w:rPr>
        <w:footnoteRef/>
      </w:r>
      <w:r>
        <w:rPr>
          <w:i/>
        </w:rPr>
        <w:tab/>
        <w:t>nachdem sie übergesetzt hatten</w:t>
      </w:r>
      <w:r>
        <w:rPr/>
        <w:t xml:space="preserve"> Temp. </w:t>
      </w:r>
      <w:hyperlink r:id="rId399">
        <w:r>
          <w:rPr>
            <w:rStyle w:val="Internetverknpfung"/>
          </w:rPr>
          <w:t>Ptz. conj.</w:t>
        </w:r>
      </w:hyperlink>
      <w:r>
        <w:rPr/>
        <w:t>, als vorzeitiger Nebensatz aufgelöst.</w:t>
      </w:r>
    </w:p>
  </w:footnote>
  <w:footnote w:id="4186">
    <w:p>
      <w:pPr>
        <w:pStyle w:val="Funote"/>
        <w:rPr/>
      </w:pPr>
      <w:r>
        <w:rPr>
          <w:rStyle w:val="Funotenzeichen"/>
        </w:rPr>
        <w:footnoteRef/>
      </w:r>
      <w:r>
        <w:rPr/>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187">
    <w:p>
      <w:pPr>
        <w:pStyle w:val="Funote"/>
        <w:rPr/>
      </w:pPr>
      <w:r>
        <w:rPr>
          <w:rStyle w:val="Funotenzeichen"/>
        </w:rPr>
        <w:footnoteRef/>
      </w:r>
      <w:r>
        <w:rPr>
          <w:i/>
        </w:rPr>
        <w:tab/>
        <w:t>erkannten … und</w:t>
      </w:r>
      <w:r>
        <w:rPr/>
        <w:t xml:space="preserve"> Kausales oder temporales </w:t>
      </w:r>
      <w:hyperlink r:id="rId400">
        <w:r>
          <w:rPr>
            <w:rStyle w:val="Internetverknpfung"/>
          </w:rPr>
          <w:t>Ptz. conj.</w:t>
        </w:r>
      </w:hyperlink>
      <w:r>
        <w:rPr/>
        <w:t>, hier beigeordnet aufgelöst.</w:t>
      </w:r>
    </w:p>
  </w:footnote>
  <w:footnote w:id="4188">
    <w:p>
      <w:pPr>
        <w:pStyle w:val="Funote"/>
        <w:rPr/>
      </w:pPr>
      <w:r>
        <w:rPr>
          <w:rStyle w:val="Funotenzeichen"/>
        </w:rPr>
        <w:footnoteRef/>
      </w:r>
      <w:r>
        <w:rPr>
          <w:i/>
        </w:rPr>
        <w:tab/>
        <w:t>die</w:t>
      </w:r>
      <w:r>
        <w:rPr/>
        <w:t xml:space="preserve"> W. „jene“, im Deutschen obsolet.</w:t>
      </w:r>
    </w:p>
  </w:footnote>
  <w:footnote w:id="4189">
    <w:p>
      <w:pPr>
        <w:pStyle w:val="Funote"/>
        <w:rPr/>
      </w:pPr>
      <w:r>
        <w:rPr>
          <w:rStyle w:val="Funotenzeichen"/>
        </w:rPr>
        <w:footnoteRef/>
      </w:r>
      <w:r>
        <w:rPr/>
        <w:tab/>
        <w:t>trugen W. „fingen an zu tragen“, eine pleonastische Verbindung, die typisch für Markus ist. „Anfangen“ hat hier sehr abgeschwächte Bedeutung (Siebenthal 2011, §218e; NSS). Vgl. z.B. Mk 5,17, wo das Verb ebenfalls unübersetzt blieb.</w:t>
      </w:r>
    </w:p>
  </w:footnote>
  <w:footnote w:id="4190">
    <w:p>
      <w:pPr>
        <w:pStyle w:val="Funote"/>
        <w:rPr/>
      </w:pPr>
      <w:r>
        <w:rPr>
          <w:rStyle w:val="Funotenzeichen"/>
        </w:rPr>
        <w:footnoteRef/>
      </w:r>
      <w:r>
        <w:rPr>
          <w:i/>
        </w:rPr>
        <w:tab/>
        <w:t>diejenigen, denen es schlecht ging</w:t>
      </w:r>
      <w:r>
        <w:rPr/>
        <w:t xml:space="preserve"> </w:t>
      </w:r>
      <w:hyperlink r:id="rId401">
        <w:r>
          <w:rPr>
            <w:rStyle w:val="Internetverknpfung"/>
          </w:rPr>
          <w:t>Subst. Ptz.</w:t>
        </w:r>
      </w:hyperlink>
      <w:r>
        <w:rPr/>
        <w:t xml:space="preserve">,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 </w:t>
      </w:r>
    </w:p>
  </w:footnote>
  <w:footnote w:id="4191">
    <w:p>
      <w:pPr>
        <w:pStyle w:val="Funote"/>
        <w:rPr/>
      </w:pPr>
      <w:r>
        <w:rPr>
          <w:rStyle w:val="Funotenzeichen"/>
        </w:rPr>
        <w:footnoteRef/>
      </w:r>
      <w:r>
        <w:rPr/>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192">
    <w:p>
      <w:pPr>
        <w:pStyle w:val="Funote"/>
        <w:rPr/>
      </w:pPr>
      <w:r>
        <w:rPr>
          <w:rStyle w:val="Funotenzeichen"/>
        </w:rPr>
        <w:footnoteRef/>
      </w:r>
      <w:r>
        <w:rPr/>
        <w:tab/>
        <w:t>[Status: Zuverlässig]</w:t>
      </w:r>
    </w:p>
  </w:footnote>
  <w:footnote w:id="4193">
    <w:p>
      <w:pPr>
        <w:pStyle w:val="Funote"/>
        <w:rPr/>
      </w:pPr>
      <w:r>
        <w:rPr>
          <w:rStyle w:val="Funotenzeichen"/>
        </w:rPr>
        <w:footnoteRef/>
      </w:r>
      <w:r>
        <w:rPr>
          <w:i/>
        </w:rPr>
        <w:tab/>
        <w:t>die ... gekommen waren</w:t>
      </w:r>
      <w:r>
        <w:rPr/>
        <w:t xml:space="preserve"> </w:t>
      </w:r>
      <w:hyperlink r:id="rId402">
        <w:r>
          <w:rPr>
            <w:rStyle w:val="Internetverknpfung"/>
          </w:rPr>
          <w:t>attr. Ptz.</w:t>
        </w:r>
      </w:hyperlink>
      <w:r>
        <w:rPr/>
        <w:t xml:space="preserve"> Aor., als vorzeitiger Relativsatz aufgelöst.</w:t>
      </w:r>
    </w:p>
  </w:footnote>
  <w:footnote w:id="4194">
    <w:p>
      <w:pPr>
        <w:pStyle w:val="Funote"/>
        <w:rPr/>
      </w:pPr>
      <w:r>
        <w:rPr>
          <w:rStyle w:val="Funotenzeichen"/>
        </w:rPr>
        <w:footnoteRef/>
      </w:r>
      <w:r>
        <w:rPr>
          <w:i/>
        </w:rPr>
        <w:tab/>
        <w:t>weil (als) sie gesehen hatten (sahen)</w:t>
      </w:r>
      <w:r>
        <w:rPr/>
        <w:t xml:space="preserve"> Kausales oder temporales </w:t>
      </w:r>
      <w:hyperlink r:id="rId403">
        <w:r>
          <w:rPr>
            <w:rStyle w:val="Internetverknpfung"/>
          </w:rPr>
          <w:t>Ptz. conj.</w:t>
        </w:r>
      </w:hyperlink>
      <w:r>
        <w:rPr/>
        <w:t>.</w:t>
      </w:r>
    </w:p>
  </w:footnote>
  <w:footnote w:id="4195">
    <w:p>
      <w:pPr>
        <w:pStyle w:val="Funote"/>
        <w:rPr/>
      </w:pPr>
      <w:r>
        <w:rPr>
          <w:rStyle w:val="Funotenzeichen"/>
        </w:rPr>
        <w:footnoteRef/>
      </w:r>
      <w:r>
        <w:rPr>
          <w:i/>
        </w:rPr>
        <w:tab/>
        <w:t>[mit] unreinen ... [mit] ungewaschenen, Händen</w:t>
      </w:r>
      <w:r>
        <w:rPr/>
        <w:t xml:space="preserve"> </w:t>
      </w:r>
      <w:hyperlink r:id="rId404">
        <w:r>
          <w:rPr>
            <w:rStyle w:val="Internetverknpfung"/>
          </w:rPr>
          <w:t>Instr. Dativ</w:t>
        </w:r>
      </w:hyperlink>
      <w:r>
        <w:rPr/>
        <w:t>.</w:t>
      </w:r>
    </w:p>
  </w:footnote>
  <w:footnote w:id="4196">
    <w:p>
      <w:pPr>
        <w:pStyle w:val="Funote"/>
        <w:rPr/>
      </w:pPr>
      <w:r>
        <w:rPr>
          <w:rStyle w:val="Funotenzeichen"/>
        </w:rPr>
        <w:footnoteRef/>
      </w:r>
      <w:r>
        <w:rPr/>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197">
    <w:p>
      <w:pPr>
        <w:pStyle w:val="Funote"/>
        <w:rPr/>
      </w:pPr>
      <w:r>
        <w:rPr>
          <w:rStyle w:val="Funotenzeichen"/>
        </w:rPr>
        <w:footnoteRef/>
      </w:r>
      <w:r>
        <w:rPr/>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198">
    <w:p>
      <w:pPr>
        <w:pStyle w:val="Funote"/>
        <w:rPr/>
      </w:pPr>
      <w:r>
        <w:rPr>
          <w:rStyle w:val="Funotenzeichen"/>
        </w:rPr>
        <w:footnoteRef/>
      </w:r>
      <w:r>
        <w:rPr/>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199">
    <w:p>
      <w:pPr>
        <w:pStyle w:val="Funote"/>
        <w:rPr/>
      </w:pPr>
      <w:r>
        <w:rPr>
          <w:rStyle w:val="Funotenzeichen"/>
        </w:rPr>
        <w:footnoteRef/>
      </w:r>
      <w:r>
        <w:rPr/>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200">
    <w:p>
      <w:pPr>
        <w:pStyle w:val="Funote"/>
        <w:rPr/>
      </w:pPr>
      <w:r>
        <w:rPr>
          <w:rStyle w:val="Funotenzeichen"/>
        </w:rPr>
        <w:footnoteRef/>
      </w:r>
      <w:r>
        <w:rPr/>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201">
    <w:p>
      <w:pPr>
        <w:pStyle w:val="Funote"/>
        <w:rPr/>
      </w:pPr>
      <w:r>
        <w:rPr>
          <w:rStyle w:val="Funotenzeichen"/>
        </w:rPr>
        <w:footnoteRef/>
      </w:r>
      <w:r>
        <w:rPr/>
        <w:tab/>
        <w:t>nach der Rückkehr vom Markt W. „vom Markt“, ein griechisches Idiom. Möglich wäre vielleicht auch „essen nichts, was vom Markt kommt, ohne es gewaschen zu haben“ (NSS).</w:t>
      </w:r>
    </w:p>
  </w:footnote>
  <w:footnote w:id="4202">
    <w:p>
      <w:pPr>
        <w:pStyle w:val="Funote"/>
        <w:rPr/>
      </w:pPr>
      <w:r>
        <w:rPr>
          <w:rStyle w:val="Funotenzeichen"/>
        </w:rPr>
        <w:footnoteRef/>
      </w:r>
      <w:r>
        <w:rPr/>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203">
    <w:p>
      <w:pPr>
        <w:pStyle w:val="Funote"/>
        <w:rPr/>
      </w:pPr>
      <w:r>
        <w:rPr>
          <w:rStyle w:val="Funotenzeichen"/>
        </w:rPr>
        <w:footnoteRef/>
      </w:r>
      <w:r>
        <w:rPr/>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204">
    <w:p>
      <w:pPr>
        <w:pStyle w:val="Funote"/>
        <w:rPr/>
      </w:pPr>
      <w:r>
        <w:rPr>
          <w:rStyle w:val="Funotenzeichen"/>
        </w:rPr>
        <w:footnoteRef/>
      </w:r>
      <w:r>
        <w:rPr>
          <w:i/>
        </w:rPr>
        <w:tab/>
        <w:t>[mit] unreinen Händen</w:t>
      </w:r>
      <w:r>
        <w:rPr/>
        <w:t xml:space="preserve"> </w:t>
      </w:r>
      <w:hyperlink r:id="rId405">
        <w:r>
          <w:rPr>
            <w:rStyle w:val="Internetverknpfung"/>
          </w:rPr>
          <w:t>Instr. Dativ</w:t>
        </w:r>
      </w:hyperlink>
      <w:r>
        <w:rPr/>
        <w:t>.</w:t>
      </w:r>
    </w:p>
  </w:footnote>
  <w:footnote w:id="4205">
    <w:p>
      <w:pPr>
        <w:pStyle w:val="Funote"/>
        <w:rPr/>
      </w:pPr>
      <w:r>
        <w:rPr>
          <w:rStyle w:val="Funotenzeichen"/>
        </w:rPr>
        <w:footnoteRef/>
      </w:r>
      <w:r>
        <w:rPr>
          <w:i/>
        </w:rPr>
        <w:tab/>
        <w:t>[mit] den Lippen</w:t>
      </w:r>
      <w:r>
        <w:rPr/>
        <w:t xml:space="preserve"> </w:t>
      </w:r>
      <w:hyperlink r:id="rId406">
        <w:r>
          <w:rPr>
            <w:rStyle w:val="Internetverknpfung"/>
          </w:rPr>
          <w:t>Instr. Dativ</w:t>
        </w:r>
      </w:hyperlink>
      <w:r>
        <w:rPr/>
        <w:t>.</w:t>
      </w:r>
    </w:p>
  </w:footnote>
  <w:footnote w:id="4206">
    <w:p>
      <w:pPr>
        <w:pStyle w:val="Funote"/>
        <w:rPr/>
      </w:pPr>
      <w:r>
        <w:rPr>
          <w:rStyle w:val="Funotenzeichen"/>
        </w:rPr>
        <w:footnoteRef/>
      </w:r>
      <w:r>
        <w:rPr/>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207">
    <w:p>
      <w:pPr>
        <w:pStyle w:val="Funote"/>
        <w:rPr/>
      </w:pPr>
      <w:r>
        <w:rPr>
          <w:rStyle w:val="Funotenzeichen"/>
        </w:rPr>
        <w:footnoteRef/>
      </w:r>
      <w:r>
        <w:rPr/>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208">
    <w:p>
      <w:pPr>
        <w:pStyle w:val="Funote"/>
        <w:rPr/>
      </w:pPr>
      <w:r>
        <w:rPr>
          <w:rStyle w:val="Funotenzeichen"/>
        </w:rPr>
        <w:footnoteRef/>
      </w:r>
      <w:r>
        <w:rPr/>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209">
    <w:p>
      <w:pPr>
        <w:pStyle w:val="Funote"/>
        <w:rPr/>
      </w:pPr>
      <w:r>
        <w:rPr>
          <w:rStyle w:val="Funotenzeichen"/>
        </w:rPr>
        <w:footnoteRef/>
      </w:r>
      <w:r>
        <w:rPr>
          <w:i/>
        </w:rPr>
        <w:tab/>
        <w:t>er fuhr fort</w:t>
      </w:r>
      <w:r>
        <w:rPr/>
        <w:t xml:space="preserve"> (V. 9 und 20) übersetzt das </w:t>
      </w:r>
      <w:hyperlink r:id="rId407">
        <w:r>
          <w:rPr>
            <w:rStyle w:val="Internetverknpfung"/>
          </w:rPr>
          <w:t>Imperfekt</w:t>
        </w:r>
      </w:hyperlink>
      <w:r>
        <w:rPr/>
        <w:t xml:space="preserve"> </w:t>
      </w:r>
      <w:r>
        <w:rPr>
          <w:lang w:val="el-GR"/>
        </w:rPr>
        <w:t>ἔλεγεν</w:t>
      </w:r>
      <w:r>
        <w:rPr/>
        <w:t>. Der durative Aspekt zeigt hier wohl an, dass Jesus weiterspricht. Vgl. die ähnliche Übersetzung des Imperfekts in V. 14.</w:t>
      </w:r>
    </w:p>
  </w:footnote>
  <w:footnote w:id="4210">
    <w:p>
      <w:pPr>
        <w:pStyle w:val="Funote"/>
        <w:rPr/>
      </w:pPr>
      <w:r>
        <w:rPr>
          <w:rStyle w:val="Funotenzeichen"/>
        </w:rPr>
        <w:footnoteRef/>
      </w:r>
      <w:r>
        <w:rPr/>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211">
    <w:p>
      <w:pPr>
        <w:pStyle w:val="Funote"/>
        <w:rPr/>
      </w:pPr>
      <w:r>
        <w:rPr>
          <w:rStyle w:val="Funotenzeichen"/>
        </w:rPr>
        <w:footnoteRef/>
      </w:r>
      <w:r>
        <w:rPr/>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212">
    <w:p>
      <w:pPr>
        <w:pStyle w:val="Funote"/>
        <w:rPr/>
      </w:pPr>
      <w:r>
        <w:rPr>
          <w:rStyle w:val="Funotenzeichen"/>
        </w:rPr>
        <w:footnoteRef/>
      </w:r>
      <w:r>
        <w:rPr/>
        <w:tab/>
        <w:t>Anakoluth (z.B. Kleist 1937, S. 208). Jesus hat sich hier offenbar so in Rage geredet, dass er nicht einmal seinen begonnenen Satz zu Ende führt.</w:t>
      </w:r>
    </w:p>
  </w:footnote>
  <w:footnote w:id="4213">
    <w:p>
      <w:pPr>
        <w:pStyle w:val="Funote"/>
        <w:rPr/>
      </w:pPr>
      <w:r>
        <w:rPr>
          <w:rStyle w:val="Funotenzeichen"/>
        </w:rPr>
        <w:footnoteRef/>
      </w:r>
      <w:r>
        <w:rPr/>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214">
    <w:p>
      <w:pPr>
        <w:pStyle w:val="Funote"/>
        <w:rPr/>
      </w:pPr>
      <w:r>
        <w:rPr>
          <w:rStyle w:val="Funotenzeichen"/>
        </w:rPr>
        <w:footnoteRef/>
      </w:r>
      <w:r>
        <w:rPr>
          <w:i/>
        </w:rPr>
        <w:tab/>
        <w:t>nicht mehr, etwas</w:t>
      </w:r>
      <w:r>
        <w:rPr/>
        <w:t xml:space="preserve"> W. „nicht mehr, nichts“, eine doppelte Verneinung, die den Effekt der Aussage (s. die vorige Fußnote) verstärkt.</w:t>
      </w:r>
    </w:p>
  </w:footnote>
  <w:footnote w:id="4215">
    <w:p>
      <w:pPr>
        <w:pStyle w:val="Funote"/>
        <w:rPr/>
      </w:pPr>
      <w:r>
        <w:rPr>
          <w:rStyle w:val="Funotenzeichen"/>
        </w:rPr>
        <w:footnoteRef/>
      </w:r>
      <w:r>
        <w:rPr>
          <w:i/>
        </w:rPr>
        <w:tab/>
        <w:t>[für seinen] Vater oder [seine] Mutter</w:t>
      </w:r>
      <w:r>
        <w:rPr/>
        <w:t xml:space="preserve"> </w:t>
      </w:r>
      <w:hyperlink r:id="rId408">
        <w:r>
          <w:rPr>
            <w:rStyle w:val="Internetverknpfung"/>
          </w:rPr>
          <w:t>Instr. Dat.</w:t>
        </w:r>
      </w:hyperlink>
      <w:r>
        <w:rPr/>
        <w:t xml:space="preserve"> (2x).</w:t>
      </w:r>
    </w:p>
  </w:footnote>
  <w:footnote w:id="4216">
    <w:p>
      <w:pPr>
        <w:pStyle w:val="Funote"/>
        <w:rPr/>
      </w:pPr>
      <w:r>
        <w:rPr>
          <w:rStyle w:val="Funotenzeichen"/>
        </w:rPr>
        <w:footnoteRef/>
      </w:r>
      <w:r>
        <w:rPr/>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217">
    <w:p>
      <w:pPr>
        <w:pStyle w:val="Funote"/>
        <w:rPr/>
      </w:pPr>
      <w:r>
        <w:rPr>
          <w:rStyle w:val="Funotenzeichen"/>
        </w:rPr>
        <w:footnoteRef/>
      </w:r>
      <w:r>
        <w:rPr/>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218">
    <w:p>
      <w:pPr>
        <w:pStyle w:val="Funote"/>
        <w:rPr/>
      </w:pPr>
      <w:r>
        <w:rPr>
          <w:rStyle w:val="Funotenzeichen"/>
        </w:rPr>
        <w:footnoteRef/>
      </w:r>
      <w:r>
        <w:rPr>
          <w:i/>
        </w:rPr>
        <w:tab/>
        <w:t>er rief ... und</w:t>
      </w:r>
      <w:r>
        <w:rPr/>
        <w:t xml:space="preserve"> </w:t>
      </w:r>
      <w:hyperlink r:id="rId409">
        <w:r>
          <w:rPr>
            <w:rStyle w:val="Internetverknpfung"/>
          </w:rPr>
          <w:t>Ptz. conj.</w:t>
        </w:r>
      </w:hyperlink>
      <w:r>
        <w:rPr/>
        <w:t xml:space="preserve"> Aor., temporal-modal, beigeordnet übersetzt.</w:t>
      </w:r>
    </w:p>
  </w:footnote>
  <w:footnote w:id="4219">
    <w:p>
      <w:pPr>
        <w:pStyle w:val="Funote"/>
        <w:rPr/>
      </w:pPr>
      <w:r>
        <w:rPr>
          <w:rStyle w:val="Funotenzeichen"/>
        </w:rPr>
        <w:footnoteRef/>
      </w:r>
      <w:r>
        <w:rPr>
          <w:i/>
        </w:rPr>
        <w:tab/>
        <w:t>sprach nun</w:t>
      </w:r>
      <w:r>
        <w:rPr/>
        <w:t xml:space="preserve"> übersetzt das </w:t>
      </w:r>
      <w:hyperlink r:id="rId410">
        <w:r>
          <w:rPr>
            <w:rStyle w:val="Internetverknpfung"/>
          </w:rPr>
          <w:t>Imperfekt</w:t>
        </w:r>
      </w:hyperlink>
      <w:r>
        <w:rPr/>
        <w:t xml:space="preserve"> </w:t>
      </w:r>
      <w:r>
        <w:rPr>
          <w:lang w:val="el-GR"/>
        </w:rPr>
        <w:t>ἔλεγεν</w:t>
      </w:r>
      <w:r>
        <w:rPr/>
        <w:t>. Der durative Aspekt zeigt hier wohl an, dass Jesus weiterspricht, und zwar jetzt an die Menge gewandt. Vgl. die ähnliche Übersetzung des Imperfekts in V. 9 und 20.</w:t>
      </w:r>
    </w:p>
  </w:footnote>
  <w:footnote w:id="4220">
    <w:p>
      <w:pPr>
        <w:pStyle w:val="Funote"/>
        <w:rPr/>
      </w:pPr>
      <w:r>
        <w:rPr>
          <w:rStyle w:val="Funotenzeichen"/>
        </w:rPr>
        <w:footnoteRef/>
      </w:r>
      <w:r>
        <w:rPr/>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221">
    <w:p>
      <w:pPr>
        <w:pStyle w:val="Funote"/>
        <w:rPr/>
      </w:pPr>
      <w:r>
        <w:rPr>
          <w:rStyle w:val="Funotenzeichen"/>
        </w:rPr>
        <w:footnoteRef/>
      </w:r>
      <w:r>
        <w:rPr/>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222">
    <w:p>
      <w:pPr>
        <w:pStyle w:val="Funote"/>
        <w:rPr/>
      </w:pPr>
      <w:r>
        <w:rPr>
          <w:rStyle w:val="Funotenzeichen"/>
        </w:rPr>
        <w:footnoteRef/>
      </w:r>
      <w:r>
        <w:rPr>
          <w:i/>
        </w:rPr>
        <w:tab/>
        <w:t>was herauskommt</w:t>
      </w:r>
      <w:r>
        <w:rPr/>
        <w:t xml:space="preserve"> und </w:t>
      </w:r>
      <w:r>
        <w:rPr>
          <w:i/>
        </w:rPr>
        <w:t>das verunreinigt</w:t>
      </w:r>
      <w:r>
        <w:rPr/>
        <w:t xml:space="preserve"> </w:t>
      </w:r>
      <w:hyperlink r:id="rId411">
        <w:r>
          <w:rPr>
            <w:rStyle w:val="Internetverknpfung"/>
          </w:rPr>
          <w:t>Subst. Ptz.</w:t>
        </w:r>
      </w:hyperlink>
      <w:r>
        <w:rPr/>
        <w:t xml:space="preserve"> (2x), als Relativsatz aufgelöst. Man könnte das zweite Partizip auch als </w:t>
      </w:r>
      <w:hyperlink r:id="rId412">
        <w:r>
          <w:rPr>
            <w:rStyle w:val="Internetverknpfung"/>
          </w:rPr>
          <w:t>umschreibendes Partizip</w:t>
        </w:r>
      </w:hyperlink>
      <w:r>
        <w:rPr/>
        <w:t xml:space="preserve"> übersetzen (dazu s. die vorige Fußnote): „Vielmehr verunreinigt den Menschen das, was aus dem Menschen herauskommt.“</w:t>
      </w:r>
    </w:p>
  </w:footnote>
  <w:footnote w:id="4223">
    <w:p>
      <w:pPr>
        <w:pStyle w:val="Funote"/>
        <w:rPr/>
      </w:pPr>
      <w:r>
        <w:rPr>
          <w:rStyle w:val="Funotenzeichen"/>
        </w:rPr>
        <w:footnoteRef/>
      </w:r>
      <w:r>
        <w:rPr/>
        <w:tab/>
        <w:t>Textkritik: Dieser Vers fehlt in den frühesten bekannten Handschriften; genaueres im Kommentar</w:t>
      </w:r>
    </w:p>
  </w:footnote>
  <w:footnote w:id="4224">
    <w:p>
      <w:pPr>
        <w:pStyle w:val="Funote"/>
        <w:rPr/>
      </w:pPr>
      <w:r>
        <w:rPr>
          <w:rStyle w:val="Funotenzeichen"/>
        </w:rPr>
        <w:footnoteRef/>
      </w:r>
      <w:r>
        <w:rPr>
          <w:i/>
        </w:rPr>
        <w:tab/>
        <w:t>sagte</w:t>
      </w:r>
      <w:r>
        <w:rPr/>
        <w:t xml:space="preserve"> </w:t>
      </w:r>
      <w:hyperlink r:id="rId413">
        <w:r>
          <w:rPr>
            <w:rStyle w:val="Internetverknpfung"/>
          </w:rPr>
          <w:t>Historisches Präsens</w:t>
        </w:r>
      </w:hyperlink>
      <w:r>
        <w:rPr/>
        <w:t>.</w:t>
      </w:r>
    </w:p>
  </w:footnote>
  <w:footnote w:id="4225">
    <w:p>
      <w:pPr>
        <w:pStyle w:val="Funote"/>
        <w:rPr/>
      </w:pPr>
      <w:r>
        <w:rPr>
          <w:rStyle w:val="Funotenzeichen"/>
        </w:rPr>
        <w:footnoteRef/>
      </w:r>
      <w:r>
        <w:rPr/>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226">
    <w:p>
      <w:pPr>
        <w:pStyle w:val="Funote"/>
        <w:rPr/>
      </w:pPr>
      <w:r>
        <w:rPr>
          <w:rStyle w:val="Funotenzeichen"/>
        </w:rPr>
        <w:footnoteRef/>
      </w:r>
      <w:r>
        <w:rPr/>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227">
    <w:p>
      <w:pPr>
        <w:pStyle w:val="Funote"/>
        <w:rPr/>
      </w:pPr>
      <w:r>
        <w:rPr>
          <w:rStyle w:val="Funotenzeichen"/>
        </w:rPr>
        <w:footnoteRef/>
      </w:r>
      <w:r>
        <w:rPr>
          <w:i/>
        </w:rPr>
        <w:tab/>
        <w:t>Was … herauskommt</w:t>
      </w:r>
      <w:r>
        <w:rPr/>
        <w:t xml:space="preserve"> </w:t>
      </w:r>
      <w:hyperlink r:id="rId414">
        <w:r>
          <w:rPr>
            <w:rStyle w:val="Internetverknpfung"/>
          </w:rPr>
          <w:t>Subst. Ptz.</w:t>
        </w:r>
      </w:hyperlink>
      <w:r>
        <w:rPr/>
        <w:t>, als Relativsatz aufgelöst.</w:t>
      </w:r>
    </w:p>
  </w:footnote>
  <w:footnote w:id="4228">
    <w:p>
      <w:pPr>
        <w:pStyle w:val="Funote"/>
        <w:rPr/>
      </w:pPr>
      <w:r>
        <w:rPr>
          <w:rStyle w:val="Funotenzeichen"/>
        </w:rPr>
        <w:footnoteRef/>
      </w:r>
      <w:r>
        <w:rPr/>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229">
    <w:p>
      <w:pPr>
        <w:pStyle w:val="Funote"/>
        <w:rPr/>
      </w:pPr>
      <w:r>
        <w:rPr>
          <w:rStyle w:val="Funotenzeichen"/>
        </w:rPr>
        <w:footnoteRef/>
      </w:r>
      <w:r>
        <w:rPr/>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230">
    <w:p>
      <w:pPr>
        <w:pStyle w:val="Funote"/>
        <w:rPr/>
      </w:pPr>
      <w:r>
        <w:rPr>
          <w:rStyle w:val="Funotenzeichen"/>
        </w:rPr>
        <w:footnoteRef/>
      </w:r>
      <w:r>
        <w:rPr/>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231">
    <w:p>
      <w:pPr>
        <w:pStyle w:val="Funote"/>
        <w:rPr/>
      </w:pPr>
      <w:r>
        <w:rPr>
          <w:rStyle w:val="Funotenzeichen"/>
        </w:rPr>
        <w:footnoteRef/>
      </w:r>
      <w:r>
        <w:rPr/>
        <w:tab/>
        <w:t>Tyrus war ein Stadtstaat, der im Norden an Galiläa angrenzte. Die Bewohner der Region waren Nichtjuden. Ein zeitgenössischer jüdischer Autor beschreibt sie sinngemäß als „unsere Intimfeinde“ (France 2002, 297).</w:t>
      </w:r>
    </w:p>
  </w:footnote>
  <w:footnote w:id="4232">
    <w:p>
      <w:pPr>
        <w:pStyle w:val="Funote"/>
        <w:rPr/>
      </w:pPr>
      <w:r>
        <w:rPr>
          <w:rStyle w:val="Funotenzeichen"/>
        </w:rPr>
        <w:footnoteRef/>
      </w:r>
      <w:r>
        <w:rPr>
          <w:i/>
        </w:rPr>
        <w:tab/>
        <w:t>brach er auf und</w:t>
      </w:r>
      <w:r>
        <w:rPr/>
        <w:t xml:space="preserve"> sowie </w:t>
      </w:r>
      <w:r>
        <w:rPr>
          <w:i/>
        </w:rPr>
        <w:t>er begab sich … und</w:t>
      </w:r>
      <w:r>
        <w:rPr/>
        <w:t xml:space="preserve"> </w:t>
      </w:r>
      <w:hyperlink r:id="rId415">
        <w:r>
          <w:rPr>
            <w:rStyle w:val="Internetverknpfung"/>
          </w:rPr>
          <w:t>Ptz. conj.</w:t>
        </w:r>
      </w:hyperlink>
      <w:r>
        <w:rPr/>
        <w:t>, beigeordnet aufgelöst.</w:t>
      </w:r>
    </w:p>
  </w:footnote>
  <w:footnote w:id="4233">
    <w:p>
      <w:pPr>
        <w:pStyle w:val="Funote"/>
        <w:rPr/>
      </w:pPr>
      <w:r>
        <w:rPr>
          <w:rStyle w:val="Funotenzeichen"/>
        </w:rPr>
        <w:footnoteRef/>
      </w:r>
      <w:r>
        <w:rPr>
          <w:i/>
        </w:rPr>
        <w:tab/>
        <w:t>von einem unreinen Geist besessen war</w:t>
      </w:r>
      <w:r>
        <w:rPr/>
        <w:t xml:space="preserve"> W. „einen unreinen Geist hatte“</w:t>
      </w:r>
    </w:p>
  </w:footnote>
  <w:footnote w:id="4234">
    <w:p>
      <w:pPr>
        <w:pStyle w:val="Funote"/>
        <w:rPr/>
      </w:pPr>
      <w:r>
        <w:rPr>
          <w:rStyle w:val="Funotenzeichen"/>
        </w:rPr>
        <w:footnoteRef/>
      </w:r>
      <w:r>
        <w:rPr>
          <w:i/>
        </w:rPr>
        <w:tab/>
        <w:t>kam … und</w:t>
      </w:r>
      <w:r>
        <w:rPr/>
        <w:t xml:space="preserve"> </w:t>
      </w:r>
      <w:hyperlink r:id="rId416">
        <w:r>
          <w:rPr>
            <w:rStyle w:val="Internetverknpfung"/>
          </w:rPr>
          <w:t>Ptz. conj.</w:t>
        </w:r>
      </w:hyperlink>
      <w:r>
        <w:rPr/>
        <w:t>, temporal, beigeordnet aufgelöst.</w:t>
      </w:r>
    </w:p>
  </w:footnote>
  <w:footnote w:id="4235">
    <w:p>
      <w:pPr>
        <w:pStyle w:val="Funote"/>
        <w:rPr/>
      </w:pPr>
      <w:r>
        <w:rPr>
          <w:rStyle w:val="Funotenzeichen"/>
        </w:rPr>
        <w:footnoteRef/>
      </w:r>
      <w:r>
        <w:rPr/>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236">
    <w:p>
      <w:pPr>
        <w:pStyle w:val="Funote"/>
        <w:rPr/>
      </w:pPr>
      <w:r>
        <w:rPr>
          <w:rStyle w:val="Funotenzeichen"/>
        </w:rPr>
        <w:footnoteRef/>
      </w:r>
      <w:r>
        <w:rPr>
          <w:i/>
        </w:rPr>
        <w:tab/>
        <w:t>sie bat ihn hartnäckig (immer wieder)</w:t>
      </w:r>
      <w:r>
        <w:rPr/>
        <w:t xml:space="preserve"> Das Verb steht im </w:t>
      </w:r>
      <w:hyperlink r:id="rId417">
        <w:r>
          <w:rPr>
            <w:rStyle w:val="Internetverknpfung"/>
          </w:rPr>
          <w:t>Imperfekt</w:t>
        </w:r>
      </w:hyperlink>
      <w:r>
        <w:rPr/>
        <w:t xml:space="preserve">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237">
    <w:p>
      <w:pPr>
        <w:pStyle w:val="Funote"/>
        <w:rPr/>
      </w:pPr>
      <w:r>
        <w:rPr>
          <w:rStyle w:val="Funotenzeichen"/>
        </w:rPr>
        <w:footnoteRef/>
      </w:r>
      <w:r>
        <w:rPr/>
        <w:tab/>
        <w:t>die Krümel W. »von den Krümeln«, eine Präpositionalphrase, die den partitiven Genitiv ersetzt (NSS).</w:t>
      </w:r>
    </w:p>
  </w:footnote>
  <w:footnote w:id="4238">
    <w:p>
      <w:pPr>
        <w:pStyle w:val="Funote"/>
        <w:rPr/>
      </w:pPr>
      <w:r>
        <w:rPr>
          <w:rStyle w:val="Funotenzeichen"/>
        </w:rPr>
        <w:footnoteRef/>
      </w:r>
      <w:r>
        <w:rPr>
          <w:i/>
        </w:rPr>
        <w:tab/>
        <w:t>Weil du das gesagt hast</w:t>
      </w:r>
      <w:r>
        <w:rPr/>
        <w:t xml:space="preserve"> W. „Aufgrund dieses Wortes/dieser Äußerung bzw. Antwort“</w:t>
      </w:r>
    </w:p>
  </w:footnote>
  <w:footnote w:id="4239">
    <w:p>
      <w:pPr>
        <w:pStyle w:val="Funote"/>
        <w:rPr/>
      </w:pPr>
      <w:r>
        <w:rPr>
          <w:rStyle w:val="Funotenzeichen"/>
        </w:rPr>
        <w:footnoteRef/>
      </w:r>
      <w:r>
        <w:rPr/>
        <w:tab/>
        <w:t>geh D.h. »Du kannst gehen« (NGÜ) oder »Geh nach Hause« (EÜ, GNB). Vgl. 10,52.</w:t>
      </w:r>
    </w:p>
  </w:footnote>
  <w:footnote w:id="4240">
    <w:p>
      <w:pPr>
        <w:pStyle w:val="Funote"/>
        <w:rPr/>
      </w:pPr>
      <w:r>
        <w:rPr>
          <w:rStyle w:val="Funotenzeichen"/>
        </w:rPr>
        <w:footnoteRef/>
      </w:r>
      <w:r>
        <w:rPr>
          <w:i/>
        </w:rPr>
        <w:tab/>
        <w:t>ging zurück … und</w:t>
      </w:r>
      <w:r>
        <w:rPr/>
        <w:t xml:space="preserve"> W. „ging weg“. </w:t>
      </w:r>
      <w:hyperlink r:id="rId418">
        <w:r>
          <w:rPr>
            <w:rStyle w:val="Internetverknpfung"/>
          </w:rPr>
          <w:t>Ptz. conj.</w:t>
        </w:r>
      </w:hyperlink>
      <w:r>
        <w:rPr/>
        <w:t>, beigeordnet aufgelöst.</w:t>
      </w:r>
    </w:p>
  </w:footnote>
  <w:footnote w:id="4241">
    <w:p>
      <w:pPr>
        <w:pStyle w:val="Funote"/>
        <w:rPr/>
      </w:pPr>
      <w:r>
        <w:rPr>
          <w:rStyle w:val="Funotenzeichen"/>
        </w:rPr>
        <w:footnoteRef/>
      </w:r>
      <w:r>
        <w:rPr>
          <w:i/>
        </w:rPr>
        <w:tab/>
        <w:t>reiste … und</w:t>
      </w:r>
      <w:r>
        <w:rPr/>
        <w:t xml:space="preserve"> </w:t>
      </w:r>
      <w:hyperlink r:id="rId419">
        <w:r>
          <w:rPr>
            <w:rStyle w:val="Internetverknpfung"/>
          </w:rPr>
          <w:t>Ptz. conj.</w:t>
        </w:r>
      </w:hyperlink>
      <w:r>
        <w:rPr/>
        <w:t>, beigeordnet aufgelöst.</w:t>
      </w:r>
    </w:p>
  </w:footnote>
  <w:footnote w:id="4242">
    <w:p>
      <w:pPr>
        <w:pStyle w:val="Funote"/>
        <w:rPr/>
      </w:pPr>
      <w:r>
        <w:rPr>
          <w:rStyle w:val="Funotenzeichen"/>
        </w:rPr>
        <w:footnoteRef/>
      </w:r>
      <w:r>
        <w:rPr/>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243">
    <w:p>
      <w:pPr>
        <w:pStyle w:val="Funote"/>
        <w:rPr/>
      </w:pPr>
      <w:r>
        <w:rPr>
          <w:rStyle w:val="Funotenzeichen"/>
        </w:rPr>
        <w:footnoteRef/>
      </w:r>
      <w:r>
        <w:rPr/>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244">
    <w:p>
      <w:pPr>
        <w:pStyle w:val="Funote"/>
        <w:rPr/>
      </w:pPr>
      <w:r>
        <w:rPr>
          <w:rStyle w:val="Funotenzeichen"/>
        </w:rPr>
        <w:footnoteRef/>
      </w:r>
      <w:r>
        <w:rPr/>
        <w:tab/>
        <w:t>ihm die Hand aufzulegen bedeutet offenbar, ihn dadurch zu heilen (Collins 2007, 370).</w:t>
      </w:r>
    </w:p>
  </w:footnote>
  <w:footnote w:id="4245">
    <w:p>
      <w:pPr>
        <w:pStyle w:val="Funote"/>
        <w:rPr/>
      </w:pPr>
      <w:r>
        <w:rPr>
          <w:rStyle w:val="Funotenzeichen"/>
        </w:rPr>
        <w:footnoteRef/>
      </w:r>
      <w:r>
        <w:rPr/>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246">
    <w:p>
      <w:pPr>
        <w:pStyle w:val="Funote"/>
        <w:rPr/>
      </w:pPr>
      <w:r>
        <w:rPr>
          <w:rStyle w:val="Funotenzeichen"/>
        </w:rPr>
        <w:footnoteRef/>
      </w:r>
      <w:r>
        <w:rPr>
          <w:i/>
        </w:rPr>
        <w:tab/>
        <w:t>blickte er ... auf und</w:t>
      </w:r>
      <w:r>
        <w:rPr/>
        <w:t xml:space="preserve"> </w:t>
      </w:r>
      <w:hyperlink r:id="rId420">
        <w:r>
          <w:rPr>
            <w:rStyle w:val="Internetverknpfung"/>
          </w:rPr>
          <w:t>Ptz. conj.</w:t>
        </w:r>
      </w:hyperlink>
      <w:r>
        <w:rPr/>
        <w:t>, beigeordnet aufgelöst.</w:t>
      </w:r>
    </w:p>
  </w:footnote>
  <w:footnote w:id="4247">
    <w:p>
      <w:pPr>
        <w:pStyle w:val="Funote"/>
        <w:rPr/>
      </w:pPr>
      <w:r>
        <w:rPr>
          <w:rStyle w:val="Funotenzeichen"/>
        </w:rPr>
        <w:footnoteRef/>
      </w:r>
      <w:r>
        <w:rPr/>
        <w:tab/>
        <w:t>„</w:t>
      </w:r>
      <w:r>
        <w:rPr/>
        <w:t>Effata!“ Das ist wahrscheinlich eine nicht 100% genau überlieferte aramäische Form (France 2002, 304; Guelich 1989, 395f.).</w:t>
      </w:r>
    </w:p>
  </w:footnote>
  <w:footnote w:id="4248">
    <w:p>
      <w:pPr>
        <w:pStyle w:val="Funote"/>
        <w:rPr/>
      </w:pPr>
      <w:r>
        <w:rPr>
          <w:rStyle w:val="Funotenzeichen"/>
        </w:rPr>
        <w:footnoteRef/>
      </w:r>
      <w:r>
        <w:rPr/>
        <w:tab/>
        <w:t>Hemmung W. „Fessel“ (so die meisten Übersetzungen), MEN: „Gebundenheit“. Es handelt sich um eine übertragene Bedeutungserweiterung von „Fessel“, die hier die Einschränkung der Sprachfertigkeit bezeichnet (LN 23.156).</w:t>
      </w:r>
    </w:p>
  </w:footnote>
  <w:footnote w:id="4249">
    <w:p>
      <w:pPr>
        <w:pStyle w:val="Funote"/>
        <w:rPr/>
      </w:pPr>
      <w:r>
        <w:rPr>
          <w:rStyle w:val="Funotenzeichen"/>
        </w:rPr>
        <w:footnoteRef/>
      </w:r>
      <w:r>
        <w:rPr/>
        <w:tab/>
        <w:t xml:space="preserve">konnte richtig sprechen (Imperfekt) Das Verb bezeichnet hier die Fähigkeit, sprechen zu können (BA </w:t>
      </w:r>
      <w:r>
        <w:rPr>
          <w:lang w:val="el-GR"/>
        </w:rPr>
        <w:t>λαλέω</w:t>
      </w:r>
      <w:r>
        <w:rPr/>
        <w:t>, 2a</w:t>
      </w:r>
      <w:r>
        <w:rPr>
          <w:lang w:val="el-GR"/>
        </w:rPr>
        <w:t>α</w:t>
      </w:r>
      <w:r>
        <w:rPr/>
        <w:t>; NSS).</w:t>
      </w:r>
    </w:p>
  </w:footnote>
  <w:footnote w:id="4250">
    <w:p>
      <w:pPr>
        <w:pStyle w:val="Funote"/>
        <w:rPr/>
      </w:pPr>
      <w:r>
        <w:rPr>
          <w:rStyle w:val="Funotenzeichen"/>
        </w:rPr>
        <w:footnoteRef/>
      </w:r>
      <w:r>
        <w:rPr>
          <w:i/>
        </w:rPr>
        <w:tab/>
        <w:t>und sagten</w:t>
      </w:r>
      <w:r>
        <w:rPr/>
        <w:t xml:space="preserve"> </w:t>
      </w:r>
      <w:hyperlink r:id="rId421">
        <w:r>
          <w:rPr>
            <w:rStyle w:val="Internetverknpfung"/>
          </w:rPr>
          <w:t>Ptz. conj.</w:t>
        </w:r>
      </w:hyperlink>
      <w:r>
        <w:rPr/>
        <w:t>, beigeordnet aufgelöst.</w:t>
      </w:r>
    </w:p>
  </w:footnote>
  <w:footnote w:id="4251">
    <w:p>
      <w:pPr>
        <w:pStyle w:val="Funote"/>
        <w:rPr/>
      </w:pPr>
      <w:r>
        <w:rPr>
          <w:rStyle w:val="Funotenzeichen"/>
        </w:rPr>
        <w:footnoteRef/>
      </w:r>
      <w:r>
        <w:rPr/>
        <w:tab/>
        <w:t>[Status: Zuverlässig]</w:t>
      </w:r>
    </w:p>
  </w:footnote>
  <w:footnote w:id="4252">
    <w:p>
      <w:pPr>
        <w:pStyle w:val="Funote"/>
        <w:rPr/>
      </w:pPr>
      <w:r>
        <w:rPr>
          <w:rStyle w:val="Funotenzeichen"/>
        </w:rPr>
        <w:footnoteRef/>
      </w:r>
      <w:r>
        <w:rPr>
          <w:i/>
        </w:rPr>
        <w:tab/>
        <w:t>rief er zu sich und</w:t>
      </w:r>
      <w:r>
        <w:rPr/>
        <w:t xml:space="preserve"> </w:t>
      </w:r>
      <w:hyperlink r:id="rId422">
        <w:r>
          <w:rPr>
            <w:rStyle w:val="Internetverknpfung"/>
          </w:rPr>
          <w:t>Ptz. conj.</w:t>
        </w:r>
      </w:hyperlink>
      <w:r>
        <w:rPr/>
        <w:t>, beigeordnet aufgelöst.</w:t>
      </w:r>
    </w:p>
  </w:footnote>
  <w:footnote w:id="4253">
    <w:p>
      <w:pPr>
        <w:pStyle w:val="Funote"/>
        <w:rPr/>
      </w:pPr>
      <w:r>
        <w:rPr>
          <w:rStyle w:val="Funotenzeichen"/>
        </w:rPr>
        <w:footnoteRef/>
      </w:r>
      <w:r>
        <w:rPr/>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254">
    <w:p>
      <w:pPr>
        <w:pStyle w:val="Funote"/>
        <w:rPr/>
      </w:pPr>
      <w:r>
        <w:rPr>
          <w:rStyle w:val="Funotenzeichen"/>
        </w:rPr>
        <w:footnoteRef/>
      </w:r>
      <w:r>
        <w:rPr/>
        <w:tab/>
        <w:t>Woher LUT, ZÜR übersetzen »Wie«, doch gemeint ist, woher die Jünger das Brot (pars pro toto für Nahrung) nehmen sollen (Pesch 1976, 403; vgl. GNB, NGÜ, EÜ).</w:t>
      </w:r>
    </w:p>
  </w:footnote>
  <w:footnote w:id="4255">
    <w:p>
      <w:pPr>
        <w:pStyle w:val="Funote"/>
        <w:rPr/>
      </w:pPr>
      <w:r>
        <w:rPr>
          <w:rStyle w:val="Funotenzeichen"/>
        </w:rPr>
        <w:footnoteRef/>
      </w:r>
      <w:r>
        <w:rPr>
          <w:i/>
        </w:rPr>
        <w:tab/>
        <w:t>nachdem er ... genommen und ein Dankgebet gesprochen hatte</w:t>
      </w:r>
      <w:r>
        <w:rPr/>
        <w:t xml:space="preserve"> Temporal-modales </w:t>
      </w:r>
      <w:hyperlink r:id="rId423">
        <w:r>
          <w:rPr>
            <w:rStyle w:val="Internetverknpfung"/>
          </w:rPr>
          <w:t>Ptz. conj.</w:t>
        </w:r>
      </w:hyperlink>
      <w:r>
        <w:rPr/>
        <w:t xml:space="preserve"> Aor., hier als vorzeitiger temporaler Nebensatz aufgelöst. </w:t>
      </w:r>
      <w:r>
        <w:rPr>
          <w:i/>
        </w:rPr>
        <w:t>ein Dankgebet gesprochen</w:t>
      </w:r>
      <w:r>
        <w:rPr/>
        <w:t xml:space="preserve"> W. „gedankt“. Gemeint ist hier jedoch ein Dankgebet.</w:t>
      </w:r>
    </w:p>
  </w:footnote>
  <w:footnote w:id="4256">
    <w:p>
      <w:pPr>
        <w:pStyle w:val="Funote"/>
        <w:rPr/>
      </w:pPr>
      <w:r>
        <w:rPr>
          <w:rStyle w:val="Funotenzeichen"/>
        </w:rPr>
        <w:footnoteRef/>
      </w:r>
      <w:r>
        <w:rPr/>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257">
    <w:p>
      <w:pPr>
        <w:pStyle w:val="Funote"/>
        <w:rPr/>
      </w:pPr>
      <w:r>
        <w:rPr>
          <w:rStyle w:val="Funotenzeichen"/>
        </w:rPr>
        <w:footnoteRef/>
      </w:r>
      <w:r>
        <w:rPr/>
        <w:tab/>
        <w:t>die übrig gebliebenen Brocken W. „die Reste der Brocken“ (Gen. part.; NSS)</w:t>
      </w:r>
    </w:p>
  </w:footnote>
  <w:footnote w:id="4258">
    <w:p>
      <w:pPr>
        <w:pStyle w:val="Funote"/>
        <w:rPr/>
      </w:pPr>
      <w:r>
        <w:rPr>
          <w:rStyle w:val="Funotenzeichen"/>
        </w:rPr>
        <w:footnoteRef/>
      </w:r>
      <w:r>
        <w:rPr>
          <w:i/>
        </w:rPr>
        <w:tab/>
        <w:t>stieg er … und</w:t>
      </w:r>
      <w:r>
        <w:rPr/>
        <w:t xml:space="preserve"> </w:t>
      </w:r>
      <w:hyperlink r:id="rId424">
        <w:r>
          <w:rPr>
            <w:rStyle w:val="Internetverknpfung"/>
          </w:rPr>
          <w:t>Ptz. conj.</w:t>
        </w:r>
      </w:hyperlink>
      <w:r>
        <w:rPr/>
        <w:t>, beigeordnet aufgelöst.</w:t>
      </w:r>
    </w:p>
  </w:footnote>
  <w:footnote w:id="4259">
    <w:p>
      <w:pPr>
        <w:pStyle w:val="Funote"/>
        <w:rPr/>
      </w:pPr>
      <w:r>
        <w:rPr>
          <w:rStyle w:val="Funotenzeichen"/>
        </w:rPr>
        <w:footnoteRef/>
      </w:r>
      <w:r>
        <w:rPr>
          <w:i/>
        </w:rPr>
        <w:tab/>
        <w:t>Dalmanuta</w:t>
      </w:r>
      <w:r>
        <w:rPr/>
        <w:t xml:space="preserve">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260">
    <w:p>
      <w:pPr>
        <w:pStyle w:val="Funote"/>
        <w:rPr/>
      </w:pPr>
      <w:r>
        <w:rPr>
          <w:rStyle w:val="Funotenzeichen"/>
        </w:rPr>
        <w:footnoteRef/>
      </w:r>
      <w:r>
        <w:rPr/>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261">
    <w:p>
      <w:pPr>
        <w:pStyle w:val="Funote"/>
        <w:rPr/>
      </w:pPr>
      <w:r>
        <w:rPr>
          <w:rStyle w:val="Funotenzeichen"/>
        </w:rPr>
        <w:footnoteRef/>
      </w:r>
      <w:r>
        <w:rPr/>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262">
    <w:p>
      <w:pPr>
        <w:pStyle w:val="Funote"/>
        <w:rPr/>
      </w:pPr>
      <w:r>
        <w:rPr>
          <w:rStyle w:val="Funotenzeichen"/>
        </w:rPr>
        <w:footnoteRef/>
      </w:r>
      <w:r>
        <w:rPr/>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263">
    <w:p>
      <w:pPr>
        <w:pStyle w:val="Funote"/>
        <w:rPr/>
      </w:pPr>
      <w:r>
        <w:rPr>
          <w:rStyle w:val="Funotenzeichen"/>
        </w:rPr>
        <w:footnoteRef/>
      </w:r>
      <w:r>
        <w:rPr/>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264">
    <w:p>
      <w:pPr>
        <w:pStyle w:val="Funote"/>
        <w:rPr/>
      </w:pPr>
      <w:r>
        <w:rPr>
          <w:rStyle w:val="Funotenzeichen"/>
        </w:rPr>
        <w:footnoteRef/>
      </w:r>
      <w:r>
        <w:rPr>
          <w:i/>
        </w:rPr>
        <w:tab/>
        <w:t>stöhnte (seufzte) … auf und</w:t>
      </w:r>
      <w:r>
        <w:rPr/>
        <w:t xml:space="preserve"> Modales </w:t>
      </w:r>
      <w:hyperlink r:id="rId425">
        <w:r>
          <w:rPr>
            <w:rStyle w:val="Internetverknpfung"/>
          </w:rPr>
          <w:t>Ptz. conj.</w:t>
        </w:r>
      </w:hyperlink>
      <w:r>
        <w:rPr/>
        <w:t>, beigeordnet aufgelöst.</w:t>
      </w:r>
    </w:p>
  </w:footnote>
  <w:footnote w:id="4265">
    <w:p>
      <w:pPr>
        <w:pStyle w:val="Funote"/>
        <w:rPr/>
      </w:pPr>
      <w:r>
        <w:rPr>
          <w:rStyle w:val="Funotenzeichen"/>
        </w:rPr>
        <w:footnoteRef/>
      </w:r>
      <w:r>
        <w:rPr/>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266">
    <w:p>
      <w:pPr>
        <w:pStyle w:val="Funote"/>
        <w:rPr/>
      </w:pPr>
      <w:r>
        <w:rPr>
          <w:rStyle w:val="Funotenzeichen"/>
        </w:rPr>
        <w:footnoteRef/>
      </w:r>
      <w:r>
        <w:rPr/>
        <w:tab/>
        <w:t>Diese Generation (dieses Pack) ist in Mk beinahe ein Schimpfwort, vgl. deutlich noch Mk 8,38; 9,19 (dazu auch FN ba); ad loc. z.B. van Iersel 1998, S. 262; allgemein EWNT I, S. 294; TWNT I, S. 661 u.ö. Sehr gut daher B/N: »Dieses Pack«.</w:t>
      </w:r>
    </w:p>
  </w:footnote>
  <w:footnote w:id="4267">
    <w:p>
      <w:pPr>
        <w:pStyle w:val="Funote"/>
        <w:rPr/>
      </w:pPr>
      <w:r>
        <w:rPr>
          <w:rStyle w:val="Funotenzeichen"/>
        </w:rPr>
        <w:footnoteRef/>
      </w:r>
      <w:r>
        <w:rPr>
          <w:i/>
        </w:rPr>
        <w:tab/>
        <w:t>er ließ sie [stehen]</w:t>
      </w:r>
      <w:r>
        <w:rPr/>
        <w:t xml:space="preserve"> Temporales </w:t>
      </w:r>
      <w:hyperlink r:id="rId426">
        <w:r>
          <w:rPr>
            <w:rStyle w:val="Internetverknpfung"/>
          </w:rPr>
          <w:t>Ptz. conj.</w:t>
        </w:r>
      </w:hyperlink>
      <w:r>
        <w:rPr/>
        <w:t>, beigeordnet aufgelöst.</w:t>
      </w:r>
    </w:p>
  </w:footnote>
  <w:footnote w:id="4268">
    <w:p>
      <w:pPr>
        <w:pStyle w:val="Funote"/>
        <w:rPr/>
      </w:pPr>
      <w:r>
        <w:rPr>
          <w:rStyle w:val="Funotenzeichen"/>
        </w:rPr>
        <w:footnoteRef/>
      </w:r>
      <w:r>
        <w:rPr>
          <w:i/>
        </w:rPr>
        <w:tab/>
        <w:t>Sie</w:t>
      </w:r>
      <w:r>
        <w:rPr/>
        <w:t xml:space="preserve"> Die meisten Übersetzungen übersetzen sinngemäß „die Jünger“, nicht „sie“, aber es gibt keinen direkten Anhaltspunkt dafür, dass Jesus davon auszunehmen ist.</w:t>
      </w:r>
    </w:p>
  </w:footnote>
  <w:footnote w:id="4269">
    <w:p>
      <w:pPr>
        <w:pStyle w:val="Funote"/>
        <w:rPr/>
      </w:pPr>
      <w:r>
        <w:rPr>
          <w:rStyle w:val="Funotenzeichen"/>
        </w:rPr>
        <w:footnoteRef/>
      </w:r>
      <w:r>
        <w:rPr>
          <w:i/>
        </w:rPr>
        <w:tab/>
        <w:t>sie hatten vergessen (vergaßen)</w:t>
      </w:r>
      <w:r>
        <w:rPr/>
        <w:t xml:space="preserve"> Der Aorist wird hier wohl mit vorzeitiger Bedeutung benutzt.</w:t>
      </w:r>
    </w:p>
  </w:footnote>
  <w:footnote w:id="4270">
    <w:p>
      <w:pPr>
        <w:pStyle w:val="Funote"/>
        <w:rPr/>
      </w:pPr>
      <w:r>
        <w:rPr>
          <w:rStyle w:val="Funotenzeichen"/>
        </w:rPr>
        <w:footnoteRef/>
      </w:r>
      <w:r>
        <w:rPr/>
        <w:tab/>
        <w:t>schärfte ihnen ein Das Verb steht im Imperfekt, was wohl impliziert, dass diese Aussage einen etwas längeren Diskurs zusammenfasst (oder eine häufige Aussage Jesu darstellt) (France 2002, 315). {sagend} Pleonastisches Partizip.</w:t>
      </w:r>
    </w:p>
  </w:footnote>
  <w:footnote w:id="4271">
    <w:p>
      <w:pPr>
        <w:pStyle w:val="Funote"/>
        <w:rPr/>
      </w:pPr>
      <w:r>
        <w:rPr>
          <w:rStyle w:val="Funotenzeichen"/>
        </w:rPr>
        <w:footnoteRef/>
      </w:r>
      <w:r>
        <w:rPr/>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272">
    <w:p>
      <w:pPr>
        <w:pStyle w:val="Funote"/>
        <w:rPr/>
      </w:pPr>
      <w:r>
        <w:rPr>
          <w:rStyle w:val="Funotenzeichen"/>
        </w:rPr>
        <w:footnoteRef/>
      </w:r>
      <w:r>
        <w:rPr/>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273">
    <w:p>
      <w:pPr>
        <w:pStyle w:val="Funote"/>
        <w:rPr/>
      </w:pPr>
      <w:r>
        <w:rPr>
          <w:rStyle w:val="Funotenzeichen"/>
        </w:rPr>
        <w:footnoteRef/>
      </w:r>
      <w:r>
        <w:rPr>
          <w:i/>
        </w:rPr>
        <w:tab/>
        <w:t>der (als er, weil er) Bescheid wusste ([das] bemerkte)</w:t>
      </w:r>
      <w:r>
        <w:rPr/>
        <w:t xml:space="preserve"> Modal-temporales </w:t>
      </w:r>
      <w:hyperlink r:id="rId427">
        <w:r>
          <w:rPr>
            <w:rStyle w:val="Internetverknpfung"/>
          </w:rPr>
          <w:t>Ptz. conj.</w:t>
        </w:r>
      </w:hyperlink>
      <w:r>
        <w:rPr/>
        <w:t xml:space="preserve"> (oder </w:t>
      </w:r>
      <w:hyperlink r:id="rId428">
        <w:r>
          <w:rPr>
            <w:rStyle w:val="Internetverknpfung"/>
          </w:rPr>
          <w:t>attr. Ptz.</w:t>
        </w:r>
      </w:hyperlink>
      <w:r>
        <w:rPr/>
        <w:t>), hier als Relativsatz aufgelöst.</w:t>
      </w:r>
    </w:p>
  </w:footnote>
  <w:footnote w:id="4274">
    <w:p>
      <w:pPr>
        <w:pStyle w:val="Funote"/>
        <w:rPr/>
      </w:pPr>
      <w:r>
        <w:rPr>
          <w:rStyle w:val="Funotenzeichen"/>
        </w:rPr>
        <w:footnoteRef/>
      </w:r>
      <w:r>
        <w:rPr>
          <w:i/>
        </w:rPr>
        <w:tab/>
        <w:t>diskutiert ihr (macht ihr euch Gedanken)</w:t>
      </w:r>
      <w:r>
        <w:rPr/>
        <w:t xml:space="preserve"> Zur Abwägung zwischen den beiden Alternativen s. die Fußnote im vorigen Vers.</w:t>
      </w:r>
    </w:p>
  </w:footnote>
  <w:footnote w:id="4275">
    <w:p>
      <w:pPr>
        <w:pStyle w:val="Funote"/>
        <w:rPr/>
      </w:pPr>
      <w:r>
        <w:rPr>
          <w:rStyle w:val="Funotenzeichen"/>
        </w:rPr>
        <w:footnoteRef/>
      </w:r>
      <w:r>
        <w:rPr>
          <w:i/>
        </w:rPr>
        <w:tab/>
        <w:t>und … [denn immer] noch nicht</w:t>
      </w:r>
      <w:r>
        <w:rPr/>
        <w:t xml:space="preserve">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276">
    <w:p>
      <w:pPr>
        <w:pStyle w:val="Funote"/>
        <w:rPr/>
      </w:pPr>
      <w:r>
        <w:rPr>
          <w:rStyle w:val="Funotenzeichen"/>
        </w:rPr>
        <w:footnoteRef/>
      </w:r>
      <w:r>
        <w:rPr/>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277">
    <w:p>
      <w:pPr>
        <w:pStyle w:val="Funote"/>
        <w:rPr/>
      </w:pPr>
      <w:r>
        <w:rPr>
          <w:rStyle w:val="Funotenzeichen"/>
        </w:rPr>
        <w:footnoteRef/>
      </w:r>
      <w:r>
        <w:rPr/>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278">
    <w:p>
      <w:pPr>
        <w:pStyle w:val="Funote"/>
        <w:rPr/>
      </w:pPr>
      <w:r>
        <w:rPr>
          <w:rStyle w:val="Funotenzeichen"/>
        </w:rPr>
        <w:footnoteRef/>
      </w:r>
      <w:r>
        <w:rPr/>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279">
    <w:p>
      <w:pPr>
        <w:pStyle w:val="Funote"/>
        <w:rPr/>
      </w:pPr>
      <w:r>
        <w:rPr>
          <w:rStyle w:val="Funotenzeichen"/>
        </w:rPr>
        <w:footnoteRef/>
      </w:r>
      <w:r>
        <w:rPr/>
        <w:tab/>
        <w:t>Brote … zerbrochen habe »Brote zerbrechen« steht hier als metonymisches Idiom dafür, dass Jesus sie mit Nahrung versorgt hat (vgl. LN 23.20).</w:t>
      </w:r>
    </w:p>
  </w:footnote>
  <w:footnote w:id="4280">
    <w:p>
      <w:pPr>
        <w:pStyle w:val="Funote"/>
        <w:rPr/>
      </w:pPr>
      <w:r>
        <w:rPr>
          <w:rStyle w:val="Funotenzeichen"/>
        </w:rPr>
        <w:footnoteRef/>
      </w:r>
      <w:r>
        <w:rPr>
          <w:i/>
        </w:rPr>
        <w:tab/>
        <w:t>sagte er (fuhr fort)</w:t>
      </w:r>
      <w:r>
        <w:rPr/>
        <w:t xml:space="preserve"> Das </w:t>
      </w:r>
      <w:hyperlink r:id="rId429">
        <w:r>
          <w:rPr>
            <w:rStyle w:val="Internetverknpfung"/>
          </w:rPr>
          <w:t>Imperfekt</w:t>
        </w:r>
      </w:hyperlink>
      <w:r>
        <w:rPr/>
        <w:t xml:space="preserve"> zeigt hier wohl einfach an, dass Jesus weitersprach oder fortfuhr.</w:t>
      </w:r>
    </w:p>
  </w:footnote>
  <w:footnote w:id="4281">
    <w:p>
      <w:pPr>
        <w:pStyle w:val="Funote"/>
        <w:rPr/>
      </w:pPr>
      <w:r>
        <w:rPr>
          <w:rStyle w:val="Funotenzeichen"/>
        </w:rPr>
        <w:footnoteRef/>
      </w:r>
      <w:r>
        <w:rPr/>
        <w:tab/>
        <w:t>Als, ({Und} ... {und}) W. „und … und“, hier als temporales Satzgefüge verstanden (vgl. Reiser 1983, 119).</w:t>
      </w:r>
    </w:p>
  </w:footnote>
  <w:footnote w:id="4282">
    <w:p>
      <w:pPr>
        <w:pStyle w:val="Funote"/>
        <w:rPr/>
      </w:pPr>
      <w:r>
        <w:rPr>
          <w:rStyle w:val="Funotenzeichen"/>
        </w:rPr>
        <w:footnoteRef/>
      </w:r>
      <w:r>
        <w:rPr>
          <w:i/>
        </w:rPr>
        <w:tab/>
        <w:t>er nahm … und</w:t>
      </w:r>
      <w:r>
        <w:rPr/>
        <w:t xml:space="preserve"> </w:t>
      </w:r>
      <w:hyperlink r:id="rId430">
        <w:r>
          <w:rPr>
            <w:rStyle w:val="Internetverknpfung"/>
          </w:rPr>
          <w:t>Ptz. conj.</w:t>
        </w:r>
      </w:hyperlink>
      <w:r>
        <w:rPr/>
        <w:t>, beigeordnet aufgelöst.</w:t>
      </w:r>
    </w:p>
  </w:footnote>
  <w:footnote w:id="4283">
    <w:p>
      <w:pPr>
        <w:pStyle w:val="Funote"/>
        <w:rPr/>
      </w:pPr>
      <w:r>
        <w:rPr>
          <w:rStyle w:val="Funotenzeichen"/>
        </w:rPr>
        <w:footnoteRef/>
      </w:r>
      <w:r>
        <w:rPr>
          <w:i/>
        </w:rPr>
        <w:tab/>
        <w:t>gespuckt</w:t>
      </w:r>
      <w:r>
        <w:rPr/>
        <w:t xml:space="preserve"> Zur Funktion von Spucke in Wunderheilungen vgl. </w:t>
      </w:r>
      <w:r>
        <w:fldChar w:fldCharType="begin"/>
      </w:r>
      <w:r>
        <w:rPr>
          <w:rStyle w:val="Internetverknpfung"/>
        </w:rPr>
        <w:instrText> HYPERLINK "http://www.offene-bibel.de/wiki/index.php5?title=Markus_7" \l "note_bf"</w:instrText>
      </w:r>
      <w:r>
        <w:rPr>
          <w:rStyle w:val="Internetverknpfung"/>
        </w:rPr>
        <w:fldChar w:fldCharType="separate"/>
      </w:r>
      <w:r>
        <w:rPr>
          <w:rStyle w:val="Internetverknpfung"/>
        </w:rPr>
        <w:t>FN bf</w:t>
      </w:r>
      <w:r>
        <w:rPr>
          <w:rStyle w:val="Internetverknpfung"/>
        </w:rPr>
        <w:fldChar w:fldCharType="end"/>
      </w:r>
      <w:r>
        <w:rPr/>
        <w:t xml:space="preserve"> zu </w:t>
      </w:r>
      <w:r>
        <w:fldChar w:fldCharType="begin"/>
      </w:r>
      <w:r>
        <w:rPr>
          <w:rStyle w:val="Internetverknpfung"/>
        </w:rPr>
        <w:instrText> HYPERLINK "../../../../../../../../../wiki/Markus_7" \l "s33"</w:instrText>
      </w:r>
      <w:r>
        <w:rPr>
          <w:rStyle w:val="Internetverknpfung"/>
        </w:rPr>
        <w:fldChar w:fldCharType="separate"/>
      </w:r>
      <w:r>
        <w:rPr>
          <w:rStyle w:val="Internetverknpfung"/>
        </w:rPr>
        <w:t>Mk 7,33</w:t>
      </w:r>
      <w:r>
        <w:rPr>
          <w:rStyle w:val="Internetverknpfung"/>
        </w:rPr>
        <w:fldChar w:fldCharType="end"/>
      </w:r>
      <w:r>
        <w:rPr/>
        <w:t xml:space="preserve">. Ähnlich wie dort wird auch hier der Brauch des Ausspeiens durch das Motiv des Auflegens der Hände erweitert, das eine für Jesus typische „Medikation“ bei Wunderheilungen gewesen zu sein scheint (s. noch </w:t>
      </w:r>
      <w:r>
        <w:fldChar w:fldCharType="begin"/>
      </w:r>
      <w:r>
        <w:rPr>
          <w:rStyle w:val="Internetverknpfung"/>
        </w:rPr>
        <w:instrText> HYPERLINK "../../../../../../../../../wiki/Markus_1" \l "s41"</w:instrText>
      </w:r>
      <w:r>
        <w:rPr>
          <w:rStyle w:val="Internetverknpfung"/>
        </w:rPr>
        <w:fldChar w:fldCharType="separate"/>
      </w:r>
      <w:r>
        <w:rPr>
          <w:rStyle w:val="Internetverknpfung"/>
        </w:rPr>
        <w:t>Mk 1,41</w:t>
      </w:r>
      <w:r>
        <w:rPr>
          <w:rStyle w:val="Internetverknpfung"/>
        </w:rPr>
        <w:fldChar w:fldCharType="end"/>
      </w:r>
      <w:r>
        <w:rPr/>
        <w:t xml:space="preserve">; </w:t>
      </w:r>
      <w:r>
        <w:fldChar w:fldCharType="begin"/>
      </w:r>
      <w:r>
        <w:rPr>
          <w:rStyle w:val="Internetverknpfung"/>
        </w:rPr>
        <w:instrText> HYPERLINK "../../../../../../../../../wiki/Markus_5" \l "s23"</w:instrText>
      </w:r>
      <w:r>
        <w:rPr>
          <w:rStyle w:val="Internetverknpfung"/>
        </w:rPr>
        <w:fldChar w:fldCharType="separate"/>
      </w:r>
      <w:r>
        <w:rPr>
          <w:rStyle w:val="Internetverknpfung"/>
        </w:rPr>
        <w:t>5,23</w:t>
      </w:r>
      <w:r>
        <w:rPr>
          <w:rStyle w:val="Internetverknpfung"/>
        </w:rPr>
        <w:fldChar w:fldCharType="end"/>
      </w:r>
      <w:r>
        <w:rPr/>
        <w:t>).</w:t>
      </w:r>
    </w:p>
  </w:footnote>
  <w:footnote w:id="4284">
    <w:p>
      <w:pPr>
        <w:pStyle w:val="Funote"/>
        <w:rPr/>
      </w:pPr>
      <w:r>
        <w:rPr>
          <w:rStyle w:val="Funotenzeichen"/>
        </w:rPr>
        <w:footnoteRef/>
      </w:r>
      <w:r>
        <w:rPr>
          <w:i/>
        </w:rPr>
        <w:tab/>
        <w:t>nachdem er … gespuckt und … aufgelegt hatte</w:t>
      </w:r>
      <w:r>
        <w:rPr/>
        <w:t xml:space="preserve"> Temp. </w:t>
      </w:r>
      <w:hyperlink r:id="rId431">
        <w:r>
          <w:rPr>
            <w:rStyle w:val="Internetverknpfung"/>
          </w:rPr>
          <w:t>Ptz. conj.</w:t>
        </w:r>
      </w:hyperlink>
      <w:r>
        <w:rPr/>
        <w:t xml:space="preserve"> (2x), als Nebensatz aufgelöst.</w:t>
      </w:r>
    </w:p>
  </w:footnote>
  <w:footnote w:id="4285">
    <w:p>
      <w:pPr>
        <w:pStyle w:val="Funote"/>
        <w:rPr/>
      </w:pPr>
      <w:r>
        <w:rPr>
          <w:rStyle w:val="Funotenzeichen"/>
        </w:rPr>
        <w:footnoteRef/>
      </w:r>
      <w:r>
        <w:rPr/>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286">
    <w:p>
      <w:pPr>
        <w:pStyle w:val="Funote"/>
        <w:rPr/>
      </w:pPr>
      <w:r>
        <w:rPr>
          <w:rStyle w:val="Funotenzeichen"/>
        </w:rPr>
        <w:footnoteRef/>
      </w:r>
      <w:r>
        <w:rPr/>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287">
    <w:p>
      <w:pPr>
        <w:pStyle w:val="Funote"/>
        <w:rPr/>
      </w:pPr>
      <w:r>
        <w:rPr>
          <w:rStyle w:val="Funotenzeichen"/>
        </w:rPr>
        <w:footnoteRef/>
      </w:r>
      <w:r>
        <w:rPr/>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288">
    <w:p>
      <w:pPr>
        <w:pStyle w:val="Funote"/>
        <w:rPr/>
      </w:pPr>
      <w:r>
        <w:rPr>
          <w:rStyle w:val="Funotenzeichen"/>
        </w:rPr>
        <w:footnoteRef/>
      </w:r>
      <w:r>
        <w:rPr/>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289">
    <w:p>
      <w:pPr>
        <w:pStyle w:val="Funote"/>
        <w:rPr/>
      </w:pPr>
      <w:r>
        <w:rPr>
          <w:rStyle w:val="Funotenzeichen"/>
        </w:rPr>
        <w:footnoteRef/>
      </w:r>
      <w:r>
        <w:rPr/>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290">
    <w:p>
      <w:pPr>
        <w:pStyle w:val="Funote"/>
        <w:rPr/>
      </w:pPr>
      <w:r>
        <w:rPr>
          <w:rStyle w:val="Funotenzeichen"/>
        </w:rPr>
        <w:footnoteRef/>
      </w:r>
      <w:r>
        <w:rPr>
          <w:i/>
        </w:rPr>
        <w:tab/>
        <w:t>wobei er ihm auftrug (sagte)</w:t>
      </w:r>
      <w:r>
        <w:rPr/>
        <w:t xml:space="preserve"> Modales </w:t>
      </w:r>
      <w:hyperlink r:id="rId432">
        <w:r>
          <w:rPr>
            <w:rStyle w:val="Internetverknpfung"/>
          </w:rPr>
          <w:t>Ptz. conj.</w:t>
        </w:r>
      </w:hyperlink>
      <w:r>
        <w:rPr/>
        <w:t>, als Nebensatz aufgelöst. Eine andere Möglichkeit wäre „mit den (folgenden) Worten“.</w:t>
      </w:r>
    </w:p>
  </w:footnote>
  <w:footnote w:id="4291">
    <w:p>
      <w:pPr>
        <w:pStyle w:val="Funote"/>
        <w:rPr/>
      </w:pPr>
      <w:r>
        <w:rPr>
          <w:rStyle w:val="Funotenzeichen"/>
        </w:rPr>
        <w:footnoteRef/>
      </w:r>
      <w:r>
        <w:rPr/>
        <w:tab/>
        <w:t>»Geh auch nicht ins Dorf!« Das ist offenbar so zu verstehen, dass der Mann nicht direkt in Betsaida (=dem Dorf) lebte. Vgl. GNB: »Geh nicht erst nach Betsaida hinein, sondern geh gleich nach Hause!«</w:t>
      </w:r>
    </w:p>
  </w:footnote>
  <w:footnote w:id="4292">
    <w:p>
      <w:pPr>
        <w:pStyle w:val="Funote"/>
        <w:rPr/>
      </w:pPr>
      <w:r>
        <w:rPr>
          <w:rStyle w:val="Funotenzeichen"/>
        </w:rPr>
        <w:footnoteRef/>
      </w:r>
      <w:r>
        <w:rPr/>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293">
    <w:p>
      <w:pPr>
        <w:pStyle w:val="Funote"/>
        <w:rPr/>
      </w:pPr>
      <w:r>
        <w:rPr>
          <w:rStyle w:val="Funotenzeichen"/>
        </w:rPr>
        <w:footnoteRef/>
      </w:r>
      <w:r>
        <w:rPr>
          <w:i/>
        </w:rPr>
        <w:tab/>
        <w:t>{und sagte}</w:t>
      </w:r>
      <w:r>
        <w:rPr/>
        <w:t xml:space="preserve"> </w:t>
      </w:r>
      <w:hyperlink r:id="rId433">
        <w:r>
          <w:rPr>
            <w:rStyle w:val="Internetverknpfung"/>
          </w:rPr>
          <w:t>Pleonastisches Partizip</w:t>
        </w:r>
      </w:hyperlink>
      <w:r>
        <w:rPr/>
        <w:t>.</w:t>
      </w:r>
    </w:p>
  </w:footnote>
  <w:footnote w:id="4294">
    <w:p>
      <w:pPr>
        <w:pStyle w:val="Funote"/>
        <w:rPr/>
      </w:pPr>
      <w:r>
        <w:rPr>
          <w:rStyle w:val="Funotenzeichen"/>
        </w:rPr>
        <w:footnoteRef/>
      </w:r>
      <w:r>
        <w:rPr/>
        <w:tab/>
        <w:t>„</w:t>
      </w:r>
      <w:r>
        <w:rPr>
          <w:i/>
        </w:rPr>
        <w:t>Für wen halten mich die Leute?“</w:t>
      </w:r>
      <w:r>
        <w:rPr/>
        <w:t xml:space="preserve"> Oder „Was sagen die Leute (Menschen), wer ich bin?“ W. etwa „Wen sagen/halten die Leute mich zu sein?“ (</w:t>
      </w:r>
      <w:hyperlink r:id="rId434">
        <w:r>
          <w:rPr>
            <w:rStyle w:val="Internetverknpfung"/>
          </w:rPr>
          <w:t>AcI</w:t>
        </w:r>
      </w:hyperlink>
      <w:r>
        <w:rPr/>
        <w:t>)</w:t>
      </w:r>
    </w:p>
  </w:footnote>
  <w:footnote w:id="4295">
    <w:p>
      <w:pPr>
        <w:pStyle w:val="Funote"/>
        <w:rPr/>
      </w:pPr>
      <w:r>
        <w:rPr>
          <w:rStyle w:val="Funotenzeichen"/>
        </w:rPr>
        <w:footnoteRef/>
      </w:r>
      <w:r>
        <w:rPr>
          <w:i/>
        </w:rPr>
        <w:tab/>
        <w:t>{sagend}</w:t>
      </w:r>
      <w:r>
        <w:rPr/>
        <w:t xml:space="preserve"> </w:t>
      </w:r>
      <w:hyperlink r:id="rId435">
        <w:r>
          <w:rPr>
            <w:rStyle w:val="Internetverknpfung"/>
          </w:rPr>
          <w:t>Pleonastisches Partizip</w:t>
        </w:r>
      </w:hyperlink>
      <w:r>
        <w:rPr/>
        <w:t>.</w:t>
      </w:r>
    </w:p>
  </w:footnote>
  <w:footnote w:id="4296">
    <w:p>
      <w:pPr>
        <w:pStyle w:val="Funote"/>
        <w:rPr/>
      </w:pPr>
      <w:r>
        <w:rPr>
          <w:rStyle w:val="Funotenzeichen"/>
        </w:rPr>
        <w:footnoteRef/>
      </w:r>
      <w:r>
        <w:rPr>
          <w:i/>
        </w:rPr>
        <w:tab/>
        <w:t>Für wen haltet ihr mich?</w:t>
      </w:r>
      <w:r>
        <w:rPr/>
        <w:t xml:space="preserve"> W. etwa „Ihr aber, wen sagt/haltet ihr mich zu sein?“ (</w:t>
      </w:r>
      <w:hyperlink r:id="rId436">
        <w:r>
          <w:rPr>
            <w:rStyle w:val="Internetverknpfung"/>
          </w:rPr>
          <w:t>AcI</w:t>
        </w:r>
      </w:hyperlink>
      <w:r>
        <w:rPr/>
        <w:t>. Vgl. die Frage in V. 27)</w:t>
      </w:r>
    </w:p>
  </w:footnote>
  <w:footnote w:id="4297">
    <w:p>
      <w:pPr>
        <w:pStyle w:val="Funote"/>
        <w:rPr/>
      </w:pPr>
      <w:r>
        <w:rPr>
          <w:rStyle w:val="Funotenzeichen"/>
        </w:rPr>
        <w:footnoteRef/>
      </w:r>
      <w:r>
        <w:rPr>
          <w:i/>
        </w:rPr>
        <w:tab/>
        <w:t>{antwortend}</w:t>
      </w:r>
      <w:r>
        <w:rPr/>
        <w:t xml:space="preserve"> </w:t>
      </w:r>
      <w:hyperlink r:id="rId437">
        <w:r>
          <w:rPr>
            <w:rStyle w:val="Internetverknpfung"/>
          </w:rPr>
          <w:t>Pleonastisches Partizip</w:t>
        </w:r>
      </w:hyperlink>
      <w:r>
        <w:rPr/>
        <w:t>; übersetze schlicht: „Petrus antwortete:...“</w:t>
      </w:r>
    </w:p>
  </w:footnote>
  <w:footnote w:id="4298">
    <w:p>
      <w:pPr>
        <w:pStyle w:val="Funote"/>
        <w:rPr/>
      </w:pPr>
      <w:r>
        <w:rPr>
          <w:rStyle w:val="Funotenzeichen"/>
        </w:rPr>
        <w:footnoteRef/>
      </w:r>
      <w:r>
        <w:rPr/>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299">
    <w:p>
      <w:pPr>
        <w:pStyle w:val="Funote"/>
        <w:rPr/>
      </w:pPr>
      <w:r>
        <w:rPr>
          <w:rStyle w:val="Funotenzeichen"/>
        </w:rPr>
        <w:footnoteRef/>
      </w:r>
      <w:r>
        <w:rPr/>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300">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301">
    <w:p>
      <w:pPr>
        <w:pStyle w:val="Funote"/>
        <w:rPr/>
      </w:pPr>
      <w:r>
        <w:rPr>
          <w:rStyle w:val="Funotenzeichen"/>
        </w:rPr>
        <w:footnoteRef/>
      </w:r>
      <w:r>
        <w:rPr/>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302">
    <w:p>
      <w:pPr>
        <w:pStyle w:val="Funote"/>
        <w:rPr/>
      </w:pPr>
      <w:r>
        <w:rPr>
          <w:rStyle w:val="Funotenzeichen"/>
        </w:rPr>
        <w:footnoteRef/>
      </w:r>
      <w:r>
        <w:rPr/>
        <w:tab/>
        <w:t>er sagte das ganz offen W. „Diese Aussage machte er mit Offenheit“ (instr. Dat.); gut MEN, ZÜR: „und er sprach das ganz offen aus“, EÜ (vgl. NGÜ): „er redete ganz offen darüber“. Markus bezieht sich hier speziell auf die Lehre aus V. 31 (France 2002, 337).</w:t>
      </w:r>
    </w:p>
  </w:footnote>
  <w:footnote w:id="4303">
    <w:p>
      <w:pPr>
        <w:pStyle w:val="Funote"/>
        <w:rPr/>
      </w:pPr>
      <w:r>
        <w:rPr>
          <w:rStyle w:val="Funotenzeichen"/>
        </w:rPr>
        <w:footnoteRef/>
      </w:r>
      <w:r>
        <w:rPr/>
        <w:tab/>
        <w:t>begann, missbilligend auf ihn einzureden W. „tadeln, zurechtweisen“. Gemeint ist, dass Petrus Jesus solche düsteren Vorhersagen ausreden und ihn zur Vernunft bringen möchte. GNB: „wollte ihm das ausreden“, MEN: „begann auf ihn einzureden“.</w:t>
      </w:r>
    </w:p>
  </w:footnote>
  <w:footnote w:id="4304">
    <w:p>
      <w:pPr>
        <w:pStyle w:val="Funote"/>
        <w:rPr/>
      </w:pPr>
      <w:r>
        <w:rPr>
          <w:rStyle w:val="Funotenzeichen"/>
        </w:rPr>
        <w:footnoteRef/>
      </w:r>
      <w:r>
        <w:rPr/>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305">
    <w:p>
      <w:pPr>
        <w:pStyle w:val="Funote"/>
        <w:rPr/>
      </w:pPr>
      <w:r>
        <w:rPr>
          <w:rStyle w:val="Funotenzeichen"/>
        </w:rPr>
        <w:footnoteRef/>
      </w:r>
      <w:r>
        <w:rPr/>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306">
    <w:p>
      <w:pPr>
        <w:pStyle w:val="Funote"/>
        <w:rPr/>
      </w:pPr>
      <w:r>
        <w:rPr>
          <w:rStyle w:val="Funotenzeichen"/>
        </w:rPr>
        <w:footnoteRef/>
      </w:r>
      <w:r>
        <w:rPr/>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307">
    <w:p>
      <w:pPr>
        <w:pStyle w:val="Funote"/>
        <w:rPr/>
      </w:pPr>
      <w:r>
        <w:rPr>
          <w:rStyle w:val="Funotenzeichen"/>
        </w:rPr>
        <w:footnoteRef/>
      </w:r>
      <w:r>
        <w:rPr/>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308">
    <w:p>
      <w:pPr>
        <w:pStyle w:val="Funote"/>
        <w:rPr/>
      </w:pPr>
      <w:r>
        <w:rPr>
          <w:rStyle w:val="Funotenzeichen"/>
        </w:rPr>
        <w:footnoteRef/>
      </w:r>
      <w:r>
        <w:rPr>
          <w:i/>
        </w:rPr>
        <w:tab/>
        <w:t>rief zu sich … und</w:t>
      </w:r>
      <w:r>
        <w:rPr/>
        <w:t xml:space="preserve"> Temporales </w:t>
      </w:r>
      <w:hyperlink r:id="rId438">
        <w:r>
          <w:rPr>
            <w:rStyle w:val="Internetverknpfung"/>
          </w:rPr>
          <w:t>Ptz. conj.</w:t>
        </w:r>
      </w:hyperlink>
      <w:r>
        <w:rPr/>
        <w:t>, beigeordnet aufgelöst.</w:t>
      </w:r>
    </w:p>
  </w:footnote>
  <w:footnote w:id="4309">
    <w:p>
      <w:pPr>
        <w:pStyle w:val="Funote"/>
        <w:rPr/>
      </w:pPr>
      <w:r>
        <w:rPr>
          <w:rStyle w:val="Funotenzeichen"/>
        </w:rPr>
        <w:footnoteRef/>
      </w:r>
      <w:r>
        <w:rPr/>
        <w:tab/>
        <w:t>mir nachfolgen W. »hinter mir gehen« (vgl. Mk 1,17; 2,14). Manche Übersetzungen: »Wer mein Jünger sein will...« (EÜ, NGÜ) Genau das hat Jesus hier im Blick (France 2002, 339; Pryke 1978, S. 41).</w:t>
      </w:r>
    </w:p>
  </w:footnote>
  <w:footnote w:id="4310">
    <w:p>
      <w:pPr>
        <w:pStyle w:val="Funote"/>
        <w:rPr/>
      </w:pPr>
      <w:r>
        <w:rPr>
          <w:rStyle w:val="Funotenzeichen"/>
        </w:rPr>
        <w:footnoteRef/>
      </w:r>
      <w:r>
        <w:rPr/>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311">
    <w:p>
      <w:pPr>
        <w:pStyle w:val="Funote"/>
        <w:rPr/>
      </w:pPr>
      <w:r>
        <w:rPr>
          <w:rStyle w:val="Funotenzeichen"/>
        </w:rPr>
        <w:footnoteRef/>
      </w:r>
      <w:r>
        <w:rPr/>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312">
    <w:p>
      <w:pPr>
        <w:pStyle w:val="Funote"/>
        <w:rPr/>
      </w:pPr>
      <w:r>
        <w:rPr>
          <w:rStyle w:val="Funotenzeichen"/>
        </w:rPr>
        <w:footnoteRef/>
      </w:r>
      <w:r>
        <w:rPr/>
        <w:tab/>
        <w:t>die gesamte Welt zu gewinnen Das heißt im übertragenen Sinn, (im diesseitigen Leben) den größtmöglichen Erfolg zu erzielen (France 2002, 341).</w:t>
      </w:r>
    </w:p>
  </w:footnote>
  <w:footnote w:id="4313">
    <w:p>
      <w:pPr>
        <w:pStyle w:val="Funote"/>
        <w:rPr/>
      </w:pPr>
      <w:r>
        <w:rPr>
          <w:rStyle w:val="Funotenzeichen"/>
        </w:rPr>
        <w:footnoteRef/>
      </w:r>
      <w:r>
        <w:rPr/>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314">
    <w:p>
      <w:pPr>
        <w:pStyle w:val="Funote"/>
        <w:rPr/>
      </w:pPr>
      <w:r>
        <w:rPr>
          <w:rStyle w:val="Funotenzeichen"/>
        </w:rPr>
        <w:footnoteRef/>
      </w:r>
      <w:r>
        <w:rPr>
          <w:i/>
        </w:rPr>
        <w:tab/>
        <w:t>Generation (Pack)</w:t>
      </w:r>
      <w:r>
        <w:rPr/>
        <w:t xml:space="preserve"> - zu diesem Ausdruck s. </w:t>
      </w:r>
      <w:r>
        <w:fldChar w:fldCharType="begin"/>
      </w:r>
      <w:r>
        <w:rPr>
          <w:rStyle w:val="Internetverknpfung"/>
        </w:rPr>
        <w:instrText> HYPERLINK "http://www.offene-bibel.de/wiki/index.php5?title=Markus_8" \l "note_o"</w:instrText>
      </w:r>
      <w:r>
        <w:rPr>
          <w:rStyle w:val="Internetverknpfung"/>
        </w:rPr>
        <w:fldChar w:fldCharType="separate"/>
      </w:r>
      <w:r>
        <w:rPr>
          <w:rStyle w:val="Internetverknpfung"/>
        </w:rPr>
        <w:t>FN o</w:t>
      </w:r>
      <w:r>
        <w:rPr>
          <w:rStyle w:val="Internetverknpfung"/>
        </w:rPr>
        <w:fldChar w:fldCharType="end"/>
      </w:r>
      <w:r>
        <w:rPr/>
        <w:t xml:space="preserve"> zu </w:t>
      </w:r>
      <w:r>
        <w:fldChar w:fldCharType="begin"/>
      </w:r>
      <w:r>
        <w:rPr>
          <w:rStyle w:val="Internetverknpfung"/>
        </w:rPr>
        <w:instrText> HYPERLINK "../../../../../../../../../wiki/Markus_8" \l "s12"</w:instrText>
      </w:r>
      <w:r>
        <w:rPr>
          <w:rStyle w:val="Internetverknpfung"/>
        </w:rPr>
        <w:fldChar w:fldCharType="separate"/>
      </w:r>
      <w:r>
        <w:rPr>
          <w:rStyle w:val="Internetverknpfung"/>
        </w:rPr>
        <w:t>V. 12</w:t>
      </w:r>
      <w:r>
        <w:rPr>
          <w:rStyle w:val="Internetverknpfung"/>
        </w:rPr>
        <w:fldChar w:fldCharType="end"/>
      </w:r>
      <w:r>
        <w:rPr/>
        <w:t>.</w:t>
      </w:r>
    </w:p>
  </w:footnote>
  <w:footnote w:id="4315">
    <w:p>
      <w:pPr>
        <w:pStyle w:val="Funote"/>
        <w:rPr/>
      </w:pPr>
      <w:r>
        <w:rPr>
          <w:rStyle w:val="Funotenzeichen"/>
        </w:rPr>
        <w:footnoteRef/>
      </w:r>
      <w:r>
        <w:rPr/>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316">
    <w:p>
      <w:pPr>
        <w:pStyle w:val="Funote"/>
        <w:rPr/>
      </w:pPr>
      <w:r>
        <w:rPr>
          <w:rStyle w:val="Funotenzeichen"/>
        </w:rPr>
        <w:footnoteRef/>
      </w:r>
      <w:r>
        <w:rPr/>
        <w:tab/>
        <w:t>[Status: Zuverlässig]</w:t>
      </w:r>
    </w:p>
  </w:footnote>
  <w:footnote w:id="4317">
    <w:p>
      <w:pPr>
        <w:pStyle w:val="Funote"/>
        <w:rPr/>
      </w:pPr>
      <w:r>
        <w:rPr>
          <w:rStyle w:val="Funotenzeichen"/>
        </w:rPr>
        <w:footnoteRef/>
      </w:r>
      <w:r>
        <w:rPr/>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318">
    <w:p>
      <w:pPr>
        <w:pStyle w:val="Funote"/>
        <w:rPr/>
      </w:pPr>
      <w:r>
        <w:rPr>
          <w:rStyle w:val="Funotenzeichen"/>
        </w:rPr>
        <w:footnoteRef/>
      </w:r>
      <w:r>
        <w:rPr/>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319">
    <w:p>
      <w:pPr>
        <w:pStyle w:val="Funote"/>
        <w:rPr/>
      </w:pPr>
      <w:r>
        <w:rPr>
          <w:rStyle w:val="Funotenzeichen"/>
        </w:rPr>
        <w:footnoteRef/>
      </w:r>
      <w:r>
        <w:rPr/>
        <w:tab/>
        <w:t>den Tod nicht schmecken - hebräisches Idiom für »sterben«; auch in Joh 8,52; Heb 2,9 und häufiger in der frühjüdischen Literatur (Stellen bei B/S I, S. 751f; vgl. auch BDAG 195). Verwandt ist vielleicht der Ausdruck »(bitterer) Kelch des Todes« für den Tod in TestAb 16,12; TgN zu Dtn 32,1 und TgN, TgJ, TgF zu Gen 40,23. BB, Camacho/Mateos 1994, CEB, GNT, GW, HfA, NCV, NGÜ, NIRV, NL, NLT, Pesch 1977, S. 66 einfach: »nicht sterben« - das ist wohl die einfachste Lösung.</w:t>
      </w:r>
    </w:p>
  </w:footnote>
  <w:footnote w:id="4320">
    <w:p>
      <w:pPr>
        <w:pStyle w:val="Funote"/>
        <w:rPr/>
      </w:pPr>
      <w:r>
        <w:rPr>
          <w:rStyle w:val="Funotenzeichen"/>
        </w:rPr>
        <w:footnoteRef/>
      </w:r>
      <w:r>
        <w:rPr/>
        <w:tab/>
        <w:t xml:space="preserve">zu </w:t>
      </w:r>
      <w:r>
        <w:rPr>
          <w:i/>
        </w:rPr>
        <w:t>Reich Gottes</w:t>
      </w:r>
      <w:r>
        <w:rPr/>
        <w:t xml:space="preserve"> vgl. Terminologie/</w:t>
      </w:r>
      <w:hyperlink r:id="rId439">
        <w:r>
          <w:rPr>
            <w:rStyle w:val="Internetverknpfung"/>
          </w:rPr>
          <w:t>Reich Gottes</w:t>
        </w:r>
      </w:hyperlink>
      <w:r>
        <w:rPr/>
        <w:t>.</w:t>
      </w:r>
    </w:p>
  </w:footnote>
  <w:footnote w:id="4321">
    <w:p>
      <w:pPr>
        <w:pStyle w:val="Funote"/>
        <w:rPr/>
      </w:pPr>
      <w:r>
        <w:rPr>
          <w:rStyle w:val="Funotenzeichen"/>
        </w:rPr>
        <w:footnoteRef/>
      </w:r>
      <w:r>
        <w:rPr/>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322">
    <w:p>
      <w:pPr>
        <w:pStyle w:val="Funote"/>
        <w:rPr/>
      </w:pPr>
      <w:r>
        <w:rPr>
          <w:rStyle w:val="Funotenzeichen"/>
        </w:rPr>
        <w:footnoteRef/>
      </w:r>
      <w:r>
        <w:rPr/>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323">
    <w:p>
      <w:pPr>
        <w:pStyle w:val="Funote"/>
        <w:rPr/>
      </w:pPr>
      <w:r>
        <w:rPr>
          <w:rStyle w:val="Funotenzeichen"/>
        </w:rPr>
        <w:footnoteRef/>
      </w:r>
      <w:r>
        <w:rPr/>
        <w:tab/>
        <w:t>s. letzte FN</w:t>
      </w:r>
    </w:p>
  </w:footnote>
  <w:footnote w:id="4324">
    <w:p>
      <w:pPr>
        <w:pStyle w:val="Funote"/>
        <w:rPr/>
      </w:pPr>
      <w:r>
        <w:rPr>
          <w:rStyle w:val="Funotenzeichen"/>
        </w:rPr>
        <w:footnoteRef/>
      </w:r>
      <w:r>
        <w:rPr>
          <w:i/>
        </w:rPr>
        <w:tab/>
        <w:t>vor ihnen</w:t>
      </w:r>
      <w:r>
        <w:rPr/>
        <w:t xml:space="preserve"> - viele Üss. stilistisch gut: „vor ihren Augen“, aber Mk verwendet wohl bewusst „ihnen“: Die Geschehnisse der Perikope Mk 9,2-8 sind kein Selbstzweck, sondern </w:t>
      </w:r>
      <w:r>
        <w:rPr>
          <w:i/>
        </w:rPr>
        <w:t>für die Jünger bestimmt</w:t>
      </w:r>
      <w:r>
        <w:rPr/>
        <w:t xml:space="preserve">: </w:t>
      </w:r>
      <w:r>
        <w:rPr>
          <w:i/>
        </w:rPr>
        <w:t>Vor ihnen</w:t>
      </w:r>
      <w:r>
        <w:rPr/>
        <w:t xml:space="preserve"> wird Jesus verwandelt; </w:t>
      </w:r>
      <w:r>
        <w:rPr>
          <w:i/>
        </w:rPr>
        <w:t>ihnen</w:t>
      </w:r>
      <w:r>
        <w:rPr/>
        <w:t xml:space="preserve"> erscheinen Elija mit Mose, und </w:t>
      </w:r>
      <w:r>
        <w:rPr>
          <w:i/>
        </w:rPr>
        <w:t>ihnen</w:t>
      </w:r>
      <w:r>
        <w:rPr/>
        <w:t xml:space="preserve"> („aus der Wolke“) deutet die „Stimme“ aus, was sie da eben gesehen haben.</w:t>
      </w:r>
    </w:p>
  </w:footnote>
  <w:footnote w:id="4325">
    <w:p>
      <w:pPr>
        <w:pStyle w:val="Funote"/>
        <w:rPr/>
      </w:pPr>
      <w:r>
        <w:rPr>
          <w:rStyle w:val="Funotenzeichen"/>
        </w:rPr>
        <w:footnoteRef/>
      </w:r>
      <w:r>
        <w:rPr/>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326">
    <w:p>
      <w:pPr>
        <w:pStyle w:val="Funote"/>
        <w:rPr/>
      </w:pPr>
      <w:r>
        <w:rPr>
          <w:rStyle w:val="Funotenzeichen"/>
        </w:rPr>
        <w:footnoteRef/>
      </w:r>
      <w:r>
        <w:rPr/>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327">
    <w:p>
      <w:pPr>
        <w:pStyle w:val="Funote"/>
        <w:rPr/>
      </w:pPr>
      <w:r>
        <w:rPr>
          <w:rStyle w:val="Funotenzeichen"/>
        </w:rPr>
        <w:footnoteRef/>
      </w:r>
      <w:r>
        <w:rPr/>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328">
    <w:p>
      <w:pPr>
        <w:pStyle w:val="Funote"/>
        <w:rPr/>
      </w:pPr>
      <w:r>
        <w:rPr>
          <w:rStyle w:val="Funotenzeichen"/>
        </w:rPr>
        <w:footnoteRef/>
      </w:r>
      <w:r>
        <w:rPr/>
        <w:tab/>
        <w:t>zu Walker gut Dschulnigg 2007, S. 245: „Walker oder Tuchscherer krempelten Wolle, kratzten Tücher auf und reinigten schmutzige Gewänder. Der Vergleich verdeutlicht, dass die Kleider Jesu in himmlischem Glanz versetzt werden.“</w:t>
      </w:r>
    </w:p>
  </w:footnote>
  <w:footnote w:id="4329">
    <w:p>
      <w:pPr>
        <w:pStyle w:val="Funote"/>
        <w:rPr/>
      </w:pPr>
      <w:r>
        <w:rPr>
          <w:rStyle w:val="Funotenzeichen"/>
        </w:rPr>
        <w:footnoteRef/>
      </w:r>
      <w:r>
        <w:rPr/>
        <w:tab/>
        <w:t>auf der [ganzen] Erde - eigentlich unnötig; natürlich geht es um irdische Walker. Der Sinn ist emphatisch (Cranfield 1959, S. 290), daher [ganzen].</w:t>
      </w:r>
    </w:p>
  </w:footnote>
  <w:footnote w:id="4330">
    <w:p>
      <w:pPr>
        <w:pStyle w:val="Funote"/>
        <w:rPr/>
      </w:pPr>
      <w:r>
        <w:rPr>
          <w:rStyle w:val="Funotenzeichen"/>
        </w:rPr>
        <w:footnoteRef/>
      </w:r>
      <w:r>
        <w:rPr/>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331">
    <w:p>
      <w:pPr>
        <w:pStyle w:val="Funote"/>
        <w:rPr/>
      </w:pPr>
      <w:r>
        <w:rPr>
          <w:rStyle w:val="Funotenzeichen"/>
        </w:rPr>
        <w:footnoteRef/>
      </w:r>
      <w:r>
        <w:rPr/>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332">
    <w:p>
      <w:pPr>
        <w:pStyle w:val="Funote"/>
        <w:rPr/>
      </w:pPr>
      <w:r>
        <w:rPr>
          <w:rStyle w:val="Funotenzeichen"/>
        </w:rPr>
        <w:footnoteRef/>
      </w:r>
      <w:r>
        <w:rPr/>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333">
    <w:p>
      <w:pPr>
        <w:pStyle w:val="Funote"/>
        <w:rPr/>
      </w:pPr>
      <w:r>
        <w:rPr>
          <w:rStyle w:val="Funotenzeichen"/>
        </w:rPr>
        <w:footnoteRef/>
      </w:r>
      <w:r>
        <w:rPr/>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334">
    <w:p>
      <w:pPr>
        <w:pStyle w:val="Funote"/>
        <w:rPr/>
      </w:pPr>
      <w:r>
        <w:rPr>
          <w:rStyle w:val="Funotenzeichen"/>
        </w:rPr>
        <w:footnoteRef/>
      </w:r>
      <w:r>
        <w:rPr/>
        <w:tab/>
        <w:t xml:space="preserve">Und lass uns (so lass uns denn) - konsekutives </w:t>
      </w:r>
      <w:r>
        <w:rPr>
          <w:lang w:val="el-GR"/>
        </w:rPr>
        <w:t>καὶ</w:t>
      </w:r>
      <w:r>
        <w:rPr/>
        <w:t>; »So lass uns denn...« gut nach Reiser 1983, S. 117.</w:t>
      </w:r>
    </w:p>
  </w:footnote>
  <w:footnote w:id="4335">
    <w:p>
      <w:pPr>
        <w:pStyle w:val="Funote"/>
        <w:rPr/>
      </w:pPr>
      <w:r>
        <w:rPr>
          <w:rStyle w:val="Funotenzeichen"/>
        </w:rPr>
        <w:footnoteRef/>
      </w:r>
      <w:r>
        <w:rPr/>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336">
    <w:p>
      <w:pPr>
        <w:pStyle w:val="Funote"/>
        <w:rPr/>
      </w:pPr>
      <w:r>
        <w:rPr>
          <w:rStyle w:val="Funotenzeichen"/>
        </w:rPr>
        <w:footnoteRef/>
      </w:r>
      <w:r>
        <w:rPr>
          <w:i/>
        </w:rPr>
        <w:tab/>
        <w:t>hüllte ein (verbarg, überschattete)</w:t>
      </w:r>
      <w:r>
        <w:rPr/>
        <w:t xml:space="preserve"> - s. nächste Fußnote</w:t>
      </w:r>
    </w:p>
  </w:footnote>
  <w:footnote w:id="4337">
    <w:p>
      <w:pPr>
        <w:pStyle w:val="Funote"/>
        <w:rPr/>
      </w:pPr>
      <w:r>
        <w:rPr>
          <w:rStyle w:val="Funotenzeichen"/>
        </w:rPr>
        <w:footnoteRef/>
      </w:r>
      <w:r>
        <w:rPr/>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338">
    <w:p>
      <w:pPr>
        <w:pStyle w:val="Funote"/>
        <w:rPr/>
      </w:pPr>
      <w:r>
        <w:rPr>
          <w:rStyle w:val="Funotenzeichen"/>
        </w:rPr>
        <w:footnoteRef/>
      </w:r>
      <w:r>
        <w:rPr/>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339">
    <w:p>
      <w:pPr>
        <w:pStyle w:val="Funote"/>
        <w:rPr/>
      </w:pPr>
      <w:r>
        <w:rPr>
          <w:rStyle w:val="Funotenzeichen"/>
        </w:rPr>
        <w:footnoteRef/>
      </w:r>
      <w:r>
        <w:rPr/>
        <w:tab/>
        <w:t>[darum] - »[darum]« gut nach Reiser 1983, S. 145.</w:t>
      </w:r>
    </w:p>
  </w:footnote>
  <w:footnote w:id="4340">
    <w:p>
      <w:pPr>
        <w:pStyle w:val="Funote"/>
        <w:rPr/>
      </w:pPr>
      <w:r>
        <w:rPr>
          <w:rStyle w:val="Funotenzeichen"/>
        </w:rPr>
        <w:footnoteRef/>
      </w:r>
      <w:r>
        <w:rPr/>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341">
    <w:p>
      <w:pPr>
        <w:pStyle w:val="Funote"/>
        <w:rPr/>
      </w:pPr>
      <w:r>
        <w:rPr>
          <w:rStyle w:val="Funotenzeichen"/>
        </w:rPr>
        <w:footnoteRef/>
      </w:r>
      <w:r>
        <w:rPr/>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342">
    <w:p>
      <w:pPr>
        <w:pStyle w:val="Funote"/>
        <w:rPr/>
      </w:pPr>
      <w:r>
        <w:rPr>
          <w:rStyle w:val="Funotenzeichen"/>
        </w:rPr>
        <w:footnoteRef/>
      </w:r>
      <w:r>
        <w:rPr/>
        <w:tab/>
        <w:t xml:space="preserve">V. 9: </w:t>
      </w:r>
      <w:r>
        <w:rPr>
          <w:i/>
        </w:rPr>
        <w:t>vom (aus dem)</w:t>
      </w:r>
      <w:r>
        <w:rPr/>
        <w:t xml:space="preserve"> - </w:t>
      </w:r>
      <w:r>
        <w:rPr>
          <w:lang w:val="el-GR"/>
        </w:rPr>
        <w:t>ἐκ</w:t>
      </w:r>
      <w:r>
        <w:rPr/>
        <w:t xml:space="preserve"> verwendet wie </w:t>
      </w:r>
      <w:r>
        <w:rPr>
          <w:lang w:val="el-GR"/>
        </w:rPr>
        <w:t>ἀπό</w:t>
      </w:r>
      <w:r>
        <w:rPr/>
        <w:t>; vielleicht Semitismus - s. Turner 1929a, S. 282f. Daher auch Textvarianten.</w:t>
      </w:r>
    </w:p>
  </w:footnote>
  <w:footnote w:id="4343">
    <w:p>
      <w:pPr>
        <w:pStyle w:val="Funote"/>
        <w:rPr/>
      </w:pPr>
      <w:r>
        <w:rPr>
          <w:rStyle w:val="Funotenzeichen"/>
        </w:rPr>
        <w:footnoteRef/>
      </w:r>
      <w:r>
        <w:rPr/>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344">
    <w:p>
      <w:pPr>
        <w:pStyle w:val="Funote"/>
        <w:rPr/>
      </w:pPr>
      <w:r>
        <w:rPr>
          <w:rStyle w:val="Funotenzeichen"/>
        </w:rPr>
        <w:footnoteRef/>
      </w:r>
      <w:r>
        <w:rPr/>
        <w:tab/>
        <w:t>erst (außer) - Exzeptivsatz temporal verwendet, wohl Semitismus; vgl. Beyer 1968, S. 132-34; Marcus 2009</w:t>
      </w:r>
    </w:p>
  </w:footnote>
  <w:footnote w:id="4345">
    <w:p>
      <w:pPr>
        <w:pStyle w:val="Funote"/>
        <w:rPr/>
      </w:pPr>
      <w:r>
        <w:rPr>
          <w:rStyle w:val="Funotenzeichen"/>
        </w:rPr>
        <w:footnoteRef/>
      </w:r>
      <w:r>
        <w:rPr/>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346">
    <w:p>
      <w:pPr>
        <w:pStyle w:val="Funote"/>
        <w:rPr/>
      </w:pPr>
      <w:r>
        <w:rPr>
          <w:rStyle w:val="Funotenzeichen"/>
        </w:rPr>
        <w:footnoteRef/>
      </w:r>
      <w:r>
        <w:rPr/>
        <w:tab/>
        <w:t>von den Toten - gemeint ist nicht das „Reich der Toten“, sondern die toten Menschen; vgl. BDAG 668; ad loc. Marcus 2009. Vor allen anderen Toten und als (vorerst) einziger unter den Toten wird der Menschensohn auferstehen.</w:t>
      </w:r>
    </w:p>
  </w:footnote>
  <w:footnote w:id="4347">
    <w:p>
      <w:pPr>
        <w:pStyle w:val="Funote"/>
        <w:rPr/>
      </w:pPr>
      <w:r>
        <w:rPr>
          <w:rStyle w:val="Funotenzeichen"/>
        </w:rPr>
        <w:footnoteRef/>
      </w:r>
      <w:r>
        <w:rPr/>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348">
    <w:p>
      <w:pPr>
        <w:pStyle w:val="Funote"/>
        <w:rPr/>
      </w:pPr>
      <w:r>
        <w:rPr>
          <w:rStyle w:val="Funotenzeichen"/>
        </w:rPr>
        <w:footnoteRef/>
      </w:r>
      <w:r>
        <w:rPr/>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349">
    <w:p>
      <w:pPr>
        <w:pStyle w:val="Funote"/>
        <w:rPr/>
      </w:pPr>
      <w:r>
        <w:rPr>
          <w:rStyle w:val="Funotenzeichen"/>
        </w:rPr>
        <w:footnoteRef/>
      </w:r>
      <w:r>
        <w:rPr/>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350">
    <w:p>
      <w:pPr>
        <w:pStyle w:val="Funote"/>
        <w:rPr/>
      </w:pPr>
      <w:r>
        <w:rPr>
          <w:rStyle w:val="Funotenzeichen"/>
        </w:rPr>
        <w:footnoteRef/>
      </w:r>
      <w:r>
        <w:rPr/>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351">
    <w:p>
      <w:pPr>
        <w:pStyle w:val="Funote"/>
        <w:rPr/>
      </w:pPr>
      <w:r>
        <w:rPr>
          <w:rStyle w:val="Funotenzeichen"/>
        </w:rPr>
        <w:footnoteRef/>
      </w:r>
      <w:r>
        <w:rPr>
          <w:i/>
        </w:rPr>
        <w:tab/>
        <w:t>kommt</w:t>
      </w:r>
      <w:r>
        <w:rPr/>
        <w:t xml:space="preserve"> + </w:t>
      </w:r>
      <w:r>
        <w:rPr>
          <w:i/>
        </w:rPr>
        <w:t>stellt wieder her</w:t>
      </w:r>
      <w:r>
        <w:rPr/>
        <w:t xml:space="preserve"> - Wenn wir Vv. 12f richtig gedeutet haben (vgl. </w:t>
      </w:r>
      <w:r>
        <w:fldChar w:fldCharType="begin"/>
      </w:r>
      <w:r>
        <w:rPr>
          <w:rStyle w:val="Internetverknpfung"/>
        </w:rPr>
        <w:instrText> HYPERLINK "http://www.offene-bibel.de/wiki/index.php5?title=Markus_9" \l "note_ai"</w:instrText>
      </w:r>
      <w:r>
        <w:rPr>
          <w:rStyle w:val="Internetverknpfung"/>
        </w:rPr>
        <w:fldChar w:fldCharType="separate"/>
      </w:r>
      <w:r>
        <w:rPr>
          <w:rStyle w:val="Internetverknpfung"/>
        </w:rPr>
        <w:t>FN ai</w:t>
      </w:r>
      <w:r>
        <w:rPr>
          <w:rStyle w:val="Internetverknpfung"/>
        </w:rPr>
        <w:fldChar w:fldCharType="end"/>
      </w:r>
      <w:r>
        <w:rPr/>
        <w:t xml:space="preserve">, </w:t>
      </w:r>
      <w:r>
        <w:fldChar w:fldCharType="begin"/>
      </w:r>
      <w:r>
        <w:rPr>
          <w:rStyle w:val="Internetverknpfung"/>
        </w:rPr>
        <w:instrText> HYPERLINK "http://www.offene-bibel.de/wiki/index.php5?title=Markus_9" \l "note_al"</w:instrText>
      </w:r>
      <w:r>
        <w:rPr>
          <w:rStyle w:val="Internetverknpfung"/>
        </w:rPr>
        <w:fldChar w:fldCharType="separate"/>
      </w:r>
      <w:r>
        <w:rPr>
          <w:rStyle w:val="Internetverknpfung"/>
        </w:rPr>
        <w:t>FN al</w:t>
      </w:r>
      <w:r>
        <w:rPr>
          <w:rStyle w:val="Internetverknpfung"/>
        </w:rPr>
        <w:fldChar w:fldCharType="end"/>
      </w:r>
      <w:r>
        <w:rPr/>
        <w:t xml:space="preserve">), werden die Verbformen in V. 12 klug verwendet: </w:t>
      </w:r>
      <w:r>
        <w:rPr>
          <w:lang w:val="el-GR"/>
        </w:rPr>
        <w:t>ἐλθὼν</w:t>
      </w:r>
      <w:r>
        <w:rPr/>
        <w:t xml:space="preserve"> </w:t>
      </w:r>
      <w:r>
        <w:rPr>
          <w:i/>
        </w:rPr>
        <w:t>kommt</w:t>
      </w:r>
      <w:r>
        <w:rPr/>
        <w:t xml:space="preserve"> ist Partizip Aorist, </w:t>
      </w:r>
      <w:r>
        <w:rPr>
          <w:lang w:val="el-GR"/>
        </w:rPr>
        <w:t>ἀποκαθιστάνει</w:t>
      </w:r>
      <w:r>
        <w:rPr/>
        <w:t xml:space="preserve"> </w:t>
      </w:r>
      <w:r>
        <w:rPr>
          <w:i/>
        </w:rPr>
        <w:t>stellt wieder her</w:t>
      </w:r>
      <w:r>
        <w:rPr/>
        <w:t xml:space="preserve"> ist Indikativ Präsens. Partizip Aorist hat meist </w:t>
      </w:r>
      <w:r>
        <w:rPr>
          <w:i/>
        </w:rPr>
        <w:t>vorzeitige</w:t>
      </w:r>
      <w:r>
        <w:rPr/>
        <w:t xml:space="preserve"> Bedeutung und wird so zeitlich relativ </w:t>
      </w:r>
      <w:r>
        <w:rPr>
          <w:i/>
        </w:rPr>
        <w:t>vor</w:t>
      </w:r>
      <w:r>
        <w:rPr/>
        <w:t xml:space="preserve"> das Indikativ Präsens </w:t>
      </w:r>
      <w:r>
        <w:rPr>
          <w:i/>
        </w:rPr>
        <w:t>er stellt wieder her</w:t>
      </w:r>
      <w:r>
        <w:rPr/>
        <w:t xml:space="preserve"> eingeordnet. Und Indikativ Präsens kann (1) </w:t>
      </w:r>
      <w:r>
        <w:rPr>
          <w:i/>
        </w:rPr>
        <w:t>gnomische</w:t>
      </w:r>
      <w:r>
        <w:rPr/>
        <w:t xml:space="preserve"> Bedeutung haben; Jesus würde dann etwas über die überzeitliche Wahrheit dessen, was geschrieben steht, aussagen, ohne auf den exakten Zeitpunkt zu achten(„In der Tat: Das mit dem zuerst-Kommen und dem folgenden alles-Wiederherstellen Elija's stimmt“), es kann aber (2) auch </w:t>
      </w:r>
      <w:r>
        <w:rPr>
          <w:i/>
        </w:rPr>
        <w:t>effektive</w:t>
      </w:r>
      <w:r>
        <w:rPr/>
        <w:t xml:space="preserve"> Bedeutung haben und so aussagen, dass es bereits geschehen ist und nun die Effekte dieses eingetreten-Seins in Kraft sind, also „er ist gekommen, </w:t>
      </w:r>
      <w:r>
        <w:rPr>
          <w:i/>
        </w:rPr>
        <w:t>hat</w:t>
      </w:r>
      <w:r>
        <w:rPr/>
        <w:t xml:space="preserve"> alles wiederhergestellt und nun </w:t>
      </w:r>
      <w:r>
        <w:rPr>
          <w:i/>
        </w:rPr>
        <w:t>ist</w:t>
      </w:r>
      <w:r>
        <w:rPr/>
        <w:t xml:space="preserve"> alles wiederhergestellt.“ In V. 12 sind - wieder: wenn wir Vv. 12f richtig gedeutet haben - beide Bedeutungen aktiv: (1) macht V. 12 zu einer sinnvollen Antwort auf die Anfrage der Jünger in V. 11, (2) deckt sich mit der folgenden Richtigstellung in V. 13.</w:t>
      </w:r>
    </w:p>
  </w:footnote>
  <w:footnote w:id="4352">
    <w:p>
      <w:pPr>
        <w:pStyle w:val="Funote"/>
        <w:rPr/>
      </w:pPr>
      <w:r>
        <w:rPr>
          <w:rStyle w:val="Funotenzeichen"/>
        </w:rPr>
        <w:footnoteRef/>
      </w:r>
      <w:r>
        <w:rPr/>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353">
    <w:p>
      <w:pPr>
        <w:pStyle w:val="Funote"/>
        <w:rPr/>
      </w:pPr>
      <w:r>
        <w:rPr>
          <w:rStyle w:val="Funotenzeichen"/>
        </w:rPr>
        <w:footnoteRef/>
      </w:r>
      <w:r>
        <w:rPr/>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354">
    <w:p>
      <w:pPr>
        <w:pStyle w:val="Funote"/>
        <w:rPr/>
      </w:pPr>
      <w:r>
        <w:rPr>
          <w:rStyle w:val="Funotenzeichen"/>
        </w:rPr>
        <w:footnoteRef/>
      </w:r>
      <w:r>
        <w:rPr>
          <w:i/>
        </w:rPr>
        <w:tab/>
        <w:t>auch (sogar)</w:t>
      </w:r>
      <w:r>
        <w:rPr/>
        <w:t xml:space="preserve"> - s. </w:t>
      </w:r>
      <w:r>
        <w:fldChar w:fldCharType="begin"/>
      </w:r>
      <w:r>
        <w:rPr>
          <w:rStyle w:val="Internetverknpfung"/>
        </w:rPr>
        <w:instrText> HYPERLINK "http://www.offene-bibel.de/wiki/index.php5?title=Markus_9" \l "note_an"</w:instrText>
      </w:r>
      <w:r>
        <w:rPr>
          <w:rStyle w:val="Internetverknpfung"/>
        </w:rPr>
        <w:fldChar w:fldCharType="separate"/>
      </w:r>
      <w:r>
        <w:rPr>
          <w:rStyle w:val="Internetverknpfung"/>
        </w:rPr>
        <w:t>FN an</w:t>
      </w:r>
      <w:r>
        <w:rPr>
          <w:rStyle w:val="Internetverknpfung"/>
        </w:rPr>
        <w:fldChar w:fldCharType="end"/>
      </w:r>
    </w:p>
  </w:footnote>
  <w:footnote w:id="4355">
    <w:p>
      <w:pPr>
        <w:pStyle w:val="Funote"/>
        <w:rPr/>
      </w:pPr>
      <w:r>
        <w:rPr>
          <w:rStyle w:val="Funotenzeichen"/>
        </w:rPr>
        <w:footnoteRef/>
      </w:r>
      <w:r>
        <w:rPr/>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356">
    <w:p>
      <w:pPr>
        <w:pStyle w:val="Funote"/>
        <w:rPr/>
      </w:pPr>
      <w:r>
        <w:rPr>
          <w:rStyle w:val="Funotenzeichen"/>
        </w:rPr>
        <w:footnoteRef/>
      </w:r>
      <w:r>
        <w:rPr/>
        <w:tab/>
        <w:t xml:space="preserve">begrüßte ihn [freudig] - [freudig] nach EWNT I, S. 416: </w:t>
      </w:r>
      <w:r>
        <w:rPr>
          <w:lang w:val="el-GR"/>
        </w:rPr>
        <w:t>ἀσπάζομαι</w:t>
      </w:r>
      <w:r>
        <w:rPr/>
        <w:t xml:space="preserve"> „als Ausdruck der Zuneigung, der freudigen Aufnahme“.</w:t>
      </w:r>
    </w:p>
  </w:footnote>
  <w:footnote w:id="4357">
    <w:p>
      <w:pPr>
        <w:pStyle w:val="Funote"/>
        <w:rPr/>
      </w:pPr>
      <w:r>
        <w:rPr>
          <w:rStyle w:val="Funotenzeichen"/>
        </w:rPr>
        <w:footnoteRef/>
      </w:r>
      <w:r>
        <w:rPr/>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358">
    <w:p>
      <w:pPr>
        <w:pStyle w:val="Funote"/>
        <w:rPr/>
      </w:pPr>
      <w:r>
        <w:rPr>
          <w:rStyle w:val="Funotenzeichen"/>
        </w:rPr>
        <w:footnoteRef/>
      </w:r>
      <w:r>
        <w:rPr/>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359">
    <w:p>
      <w:pPr>
        <w:pStyle w:val="Funote"/>
        <w:rPr/>
      </w:pPr>
      <w:r>
        <w:rPr>
          <w:rStyle w:val="Funotenzeichen"/>
        </w:rPr>
        <w:footnoteRef/>
      </w:r>
      <w:r>
        <w:rPr>
          <w:i/>
        </w:rPr>
        <w:tab/>
        <w:t>aus (aus heraus)</w:t>
      </w:r>
      <w:r>
        <w:rPr/>
        <w:t xml:space="preserve"> - vgl. </w:t>
      </w:r>
      <w:r>
        <w:fldChar w:fldCharType="begin"/>
      </w:r>
      <w:r>
        <w:rPr>
          <w:rStyle w:val="Internetverknpfung"/>
        </w:rPr>
        <w:instrText> HYPERLINK "http://www.offene-bibel.de/wiki/index.php5?title=Markus_9" \l "note_ac"</w:instrText>
      </w:r>
      <w:r>
        <w:rPr>
          <w:rStyle w:val="Internetverknpfung"/>
        </w:rPr>
        <w:fldChar w:fldCharType="separate"/>
      </w:r>
      <w:r>
        <w:rPr>
          <w:rStyle w:val="Internetverknpfung"/>
        </w:rPr>
        <w:t>FN ac</w:t>
      </w:r>
      <w:r>
        <w:rPr>
          <w:rStyle w:val="Internetverknpfung"/>
        </w:rPr>
        <w:fldChar w:fldCharType="end"/>
      </w:r>
      <w:r>
        <w:rPr/>
        <w:t xml:space="preserve">: </w:t>
      </w:r>
      <w:r>
        <w:rPr>
          <w:lang w:val="el-GR"/>
        </w:rPr>
        <w:t>ἐκ</w:t>
      </w:r>
      <w:r>
        <w:rPr/>
        <w:t xml:space="preserve"> verwendet wie </w:t>
      </w:r>
      <w:r>
        <w:rPr>
          <w:lang w:val="el-GR"/>
        </w:rPr>
        <w:t>ἀπό</w:t>
      </w:r>
      <w:r>
        <w:rPr/>
        <w:t>; vielleicht Semitismus - s. Turner 1929a, S. 282f.</w:t>
      </w:r>
    </w:p>
  </w:footnote>
  <w:footnote w:id="4360">
    <w:p>
      <w:pPr>
        <w:pStyle w:val="Funote"/>
        <w:rPr/>
      </w:pPr>
      <w:r>
        <w:rPr>
          <w:rStyle w:val="Funotenzeichen"/>
        </w:rPr>
        <w:footnoteRef/>
      </w:r>
      <w:r>
        <w:rPr/>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361">
    <w:p>
      <w:pPr>
        <w:pStyle w:val="Funote"/>
        <w:rPr/>
      </w:pPr>
      <w:r>
        <w:rPr>
          <w:rStyle w:val="Funotenzeichen"/>
        </w:rPr>
        <w:footnoteRef/>
      </w:r>
      <w:r>
        <w:rPr>
          <w:i/>
        </w:rPr>
        <w:tab/>
        <w:t>weil</w:t>
      </w:r>
      <w:r>
        <w:rPr/>
        <w:t xml:space="preserve"> - </w:t>
      </w:r>
      <w:r>
        <w:fldChar w:fldCharType="begin"/>
      </w:r>
      <w:r>
        <w:rPr>
          <w:rStyle w:val="Internetverknpfung"/>
        </w:rPr>
        <w:instrText> HYPERLINK "http://www.offene-bibel.de/wiki/index.php5?title=Partizip" \l "Die_Sinnrichtungen"</w:instrText>
      </w:r>
      <w:r>
        <w:rPr>
          <w:rStyle w:val="Internetverknpfung"/>
        </w:rPr>
        <w:fldChar w:fldCharType="separate"/>
      </w:r>
      <w:r>
        <w:rPr>
          <w:rStyle w:val="Internetverknpfung"/>
        </w:rPr>
        <w:t>adv. Ptc.</w:t>
      </w:r>
      <w:r>
        <w:rPr>
          <w:rStyle w:val="Internetverknpfung"/>
        </w:rPr>
        <w:fldChar w:fldCharType="end"/>
      </w:r>
      <w:r>
        <w:rPr/>
        <w:t>, kausal aufgelöst.</w:t>
      </w:r>
    </w:p>
  </w:footnote>
  <w:footnote w:id="4362">
    <w:p>
      <w:pPr>
        <w:pStyle w:val="Funote"/>
        <w:rPr/>
      </w:pPr>
      <w:r>
        <w:rPr>
          <w:rStyle w:val="Funotenzeichen"/>
        </w:rPr>
        <w:footnoteRef/>
      </w:r>
      <w:r>
        <w:rPr/>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363">
    <w:p>
      <w:pPr>
        <w:pStyle w:val="Funote"/>
        <w:rPr/>
      </w:pPr>
      <w:r>
        <w:rPr>
          <w:rStyle w:val="Funotenzeichen"/>
        </w:rPr>
        <w:footnoteRef/>
      </w:r>
      <w:r>
        <w:rPr/>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364">
    <w:p>
      <w:pPr>
        <w:pStyle w:val="Funote"/>
        <w:rPr/>
      </w:pPr>
      <w:r>
        <w:rPr>
          <w:rStyle w:val="Funotenzeichen"/>
        </w:rPr>
        <w:footnoteRef/>
      </w:r>
      <w:r>
        <w:rPr>
          <w:i/>
        </w:rPr>
        <w:tab/>
        <w:t>anfällt (packt)</w:t>
      </w:r>
      <w:r>
        <w:rPr/>
        <w:t xml:space="preserve"> - meist „packt“. </w:t>
      </w:r>
      <w:r>
        <w:rPr>
          <w:lang w:val="el-GR"/>
        </w:rPr>
        <w:t>καταλαμβάνω</w:t>
      </w:r>
      <w:r>
        <w:rPr/>
        <w:t xml:space="preserve"> kommt von der selben Wurzel wie </w:t>
      </w:r>
      <w:r>
        <w:rPr>
          <w:lang w:val="el-GR"/>
        </w:rPr>
        <w:t>ἐπιλαμβάνομαι</w:t>
      </w:r>
      <w:r>
        <w:rPr/>
        <w:t xml:space="preserve">, das gleichzeitig </w:t>
      </w:r>
      <w:r>
        <w:rPr>
          <w:i/>
        </w:rPr>
        <w:t>terminus technicus</w:t>
      </w:r>
      <w:r>
        <w:rPr/>
        <w:t xml:space="preserve"> für Besessenheit und für den epileptischen Anfall ist (und sogar das Etymon des deutschen „Epilepsie“ ist). In „anfallen“ kommt dieser Zhg. auch im Deutschen zum Ausdruck.</w:t>
      </w:r>
    </w:p>
  </w:footnote>
  <w:footnote w:id="4365">
    <w:p>
      <w:pPr>
        <w:pStyle w:val="Funote"/>
        <w:rPr/>
      </w:pPr>
      <w:r>
        <w:rPr>
          <w:rStyle w:val="Funotenzeichen"/>
        </w:rPr>
        <w:footnoteRef/>
      </w:r>
      <w:r>
        <w:rPr/>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366">
    <w:p>
      <w:pPr>
        <w:pStyle w:val="Funote"/>
        <w:rPr/>
      </w:pPr>
      <w:r>
        <w:rPr>
          <w:rStyle w:val="Funotenzeichen"/>
        </w:rPr>
        <w:footnoteRef/>
      </w:r>
      <w:r>
        <w:rPr>
          <w:i/>
        </w:rPr>
        <w:tab/>
        <w:t>er hat Schaum vor dem Mund (er schäumt)</w:t>
      </w:r>
      <w:r>
        <w:rPr/>
        <w:t xml:space="preserve"> + </w:t>
      </w:r>
      <w:r>
        <w:rPr>
          <w:i/>
        </w:rPr>
        <w:t>er knirscht mit den Zähnen</w:t>
      </w:r>
      <w:r>
        <w:rPr/>
        <w:t xml:space="preserve"> + </w:t>
      </w:r>
      <w:r>
        <w:rPr>
          <w:i/>
        </w:rPr>
        <w:t>er wird [ganz] starr</w:t>
      </w:r>
      <w:r>
        <w:rPr/>
        <w:t xml:space="preserve">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w:t>
      </w:r>
      <w:r>
        <w:rPr>
          <w:i/>
        </w:rPr>
        <w:t>Starr werden</w:t>
      </w:r>
      <w:r>
        <w:rPr/>
        <w:t xml:space="preserve"> gut nach Louw/Nida 23.172.; gemeint ist der Ganzkörperkrampf. Treffender: „Er hat Schaum vor dem Mund, sein Gesicht verzerrt sich und er krampft am ganzen Körper“.</w:t>
      </w:r>
    </w:p>
  </w:footnote>
  <w:footnote w:id="4367">
    <w:p>
      <w:pPr>
        <w:pStyle w:val="Funote"/>
        <w:rPr/>
      </w:pPr>
      <w:r>
        <w:rPr>
          <w:rStyle w:val="Funotenzeichen"/>
        </w:rPr>
        <w:footnoteRef/>
      </w:r>
      <w:r>
        <w:rPr/>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368">
    <w:p>
      <w:pPr>
        <w:pStyle w:val="Funote"/>
        <w:rPr/>
      </w:pPr>
      <w:r>
        <w:rPr>
          <w:rStyle w:val="Funotenzeichen"/>
        </w:rPr>
        <w:footnoteRef/>
      </w:r>
      <w:r>
        <w:rPr/>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369">
    <w:p>
      <w:pPr>
        <w:pStyle w:val="Funote"/>
        <w:rPr/>
      </w:pPr>
      <w:r>
        <w:rPr>
          <w:rStyle w:val="Funotenzeichen"/>
        </w:rPr>
        <w:footnoteRef/>
      </w:r>
      <w:r>
        <w:rPr/>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370">
    <w:p>
      <w:pPr>
        <w:pStyle w:val="Funote"/>
        <w:rPr/>
      </w:pPr>
      <w:r>
        <w:rPr>
          <w:rStyle w:val="Funotenzeichen"/>
        </w:rPr>
        <w:footnoteRef/>
      </w:r>
      <w:r>
        <w:rPr>
          <w:i/>
        </w:rPr>
        <w:tab/>
        <w:t>werde (muss)</w:t>
      </w:r>
      <w:r>
        <w:rPr/>
        <w:t xml:space="preserve"> - sicher modales Futur</w:t>
      </w:r>
    </w:p>
  </w:footnote>
  <w:footnote w:id="4371">
    <w:p>
      <w:pPr>
        <w:pStyle w:val="Funote"/>
        <w:rPr/>
      </w:pPr>
      <w:r>
        <w:rPr>
          <w:rStyle w:val="Funotenzeichen"/>
        </w:rPr>
        <w:footnoteRef/>
      </w:r>
      <w:r>
        <w:rPr>
          <w:i/>
        </w:rPr>
        <w:tab/>
        <w:t>Und als der Geist ihn sah, sofort (Kaum hatte der Geist in gesehen - da)</w:t>
      </w:r>
      <w:r>
        <w:rPr/>
        <w:t xml:space="preserve"> - Das Adverb </w:t>
      </w:r>
      <w:r>
        <w:rPr>
          <w:lang w:val="el-GR"/>
        </w:rPr>
        <w:t>εὐθύς</w:t>
      </w:r>
      <w:r>
        <w:rPr/>
        <w:t xml:space="preserve"> </w:t>
      </w:r>
      <w:r>
        <w:rPr>
          <w:i/>
        </w:rPr>
        <w:t>sofort</w:t>
      </w:r>
      <w:r>
        <w:rPr/>
        <w:t xml:space="preserve"> in „zerrte er ihn sofort in Krämpfen hin und her“ hat im Griechischen die Funktion, Spannung zu erzeugen (vgl. Pryke 1987, S. 87). Daher treffender die in der Klammer angegebene Übersetzung.</w:t>
      </w:r>
    </w:p>
  </w:footnote>
  <w:footnote w:id="4372">
    <w:p>
      <w:pPr>
        <w:pStyle w:val="Funote"/>
        <w:rPr/>
      </w:pPr>
      <w:r>
        <w:rPr>
          <w:rStyle w:val="Funotenzeichen"/>
        </w:rPr>
        <w:footnoteRef/>
      </w:r>
      <w:r>
        <w:rPr/>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373">
    <w:p>
      <w:pPr>
        <w:pStyle w:val="Funote"/>
        <w:rPr/>
      </w:pPr>
      <w:r>
        <w:rPr>
          <w:rStyle w:val="Funotenzeichen"/>
        </w:rPr>
        <w:footnoteRef/>
      </w:r>
      <w:r>
        <w:rPr>
          <w:i/>
        </w:rPr>
        <w:tab/>
        <w:t>und auf die Erde gefallen wälzte er sich schäumend (so dass der Knabe sich mit Schaum vor dem Mund auf der Erde wälzte)</w:t>
      </w:r>
      <w:r>
        <w:rPr/>
        <w:t xml:space="preserve"> - Der Satz drückt die Folgen der heftigen Konvulsionen aus; besser daher konsekutives </w:t>
      </w:r>
      <w:r>
        <w:rPr>
          <w:lang w:val="el-GR"/>
        </w:rPr>
        <w:t>καί</w:t>
      </w:r>
      <w:r>
        <w:rPr/>
        <w:t xml:space="preserve">: </w:t>
      </w:r>
      <w:r>
        <w:rPr>
          <w:i/>
        </w:rPr>
        <w:t>so dass</w:t>
      </w:r>
      <w:r>
        <w:rPr/>
        <w:t xml:space="preserve">. „Auf die Erde gefallen“ ist Partizip Aorist und drückt so das dem „Wälzen“ zeitlich relativ Vorangehende aus; schöner effektiv zu übersetzen: </w:t>
      </w:r>
      <w:r>
        <w:rPr>
          <w:i/>
        </w:rPr>
        <w:t>auf der Erde (liegend)</w:t>
      </w:r>
      <w:r>
        <w:rPr/>
        <w:t>.</w:t>
      </w:r>
    </w:p>
  </w:footnote>
  <w:footnote w:id="4374">
    <w:p>
      <w:pPr>
        <w:pStyle w:val="Funote"/>
        <w:rPr/>
      </w:pPr>
      <w:r>
        <w:rPr>
          <w:rStyle w:val="Funotenzeichen"/>
        </w:rPr>
        <w:footnoteRef/>
      </w:r>
      <w:r>
        <w:rPr/>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375">
    <w:p>
      <w:pPr>
        <w:pStyle w:val="Funote"/>
        <w:rPr/>
      </w:pPr>
      <w:r>
        <w:rPr>
          <w:rStyle w:val="Funotenzeichen"/>
        </w:rPr>
        <w:footnoteRef/>
      </w:r>
      <w:r>
        <w:rPr>
          <w:i/>
        </w:rPr>
        <w:tab/>
        <w:t>sogar (und)</w:t>
      </w:r>
      <w:r>
        <w:rPr/>
        <w:t xml:space="preserve"> + </w:t>
      </w:r>
      <w:r>
        <w:rPr>
          <w:i/>
        </w:rPr>
        <w:t>sogar (sowohl)</w:t>
      </w:r>
      <w:r>
        <w:rPr/>
        <w:t xml:space="preserve"> - sicher emphatisches </w:t>
      </w:r>
      <w:r>
        <w:rPr>
          <w:lang w:val="el-GR"/>
        </w:rPr>
        <w:t>καὶ</w:t>
      </w:r>
      <w:r>
        <w:rPr/>
        <w:t xml:space="preserve">; hierzu gut Dana/Mantey §221.3; zur Funktion im Text siehe </w:t>
      </w:r>
      <w:r>
        <w:fldChar w:fldCharType="begin"/>
      </w:r>
      <w:r>
        <w:rPr>
          <w:rStyle w:val="Internetverknpfung"/>
        </w:rPr>
        <w:instrText> HYPERLINK "http://www.offene-bibel.de/wiki/index.php5?title=Markus_9" \l "note_bl"</w:instrText>
      </w:r>
      <w:r>
        <w:rPr>
          <w:rStyle w:val="Internetverknpfung"/>
        </w:rPr>
        <w:fldChar w:fldCharType="separate"/>
      </w:r>
      <w:r>
        <w:rPr>
          <w:rStyle w:val="Internetverknpfung"/>
        </w:rPr>
        <w:t>bl</w:t>
      </w:r>
      <w:r>
        <w:rPr>
          <w:rStyle w:val="Internetverknpfung"/>
        </w:rPr>
        <w:fldChar w:fldCharType="end"/>
      </w:r>
    </w:p>
  </w:footnote>
  <w:footnote w:id="4376">
    <w:p>
      <w:pPr>
        <w:pStyle w:val="Funote"/>
        <w:rPr/>
      </w:pPr>
      <w:r>
        <w:rPr>
          <w:rStyle w:val="Funotenzeichen"/>
        </w:rPr>
        <w:footnoteRef/>
      </w:r>
      <w:r>
        <w:rPr/>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377">
    <w:p>
      <w:pPr>
        <w:pStyle w:val="Funote"/>
        <w:rPr/>
      </w:pPr>
      <w:r>
        <w:rPr>
          <w:rStyle w:val="Funotenzeichen"/>
        </w:rPr>
        <w:footnoteRef/>
      </w:r>
      <w:r>
        <w:rPr/>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378">
    <w:p>
      <w:pPr>
        <w:pStyle w:val="Funote"/>
        <w:rPr/>
      </w:pPr>
      <w:r>
        <w:rPr>
          <w:rStyle w:val="Funotenzeichen"/>
        </w:rPr>
        <w:footnoteRef/>
      </w:r>
      <w:r>
        <w:rPr/>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379">
    <w:p>
      <w:pPr>
        <w:pStyle w:val="Funote"/>
        <w:rPr/>
      </w:pPr>
      <w:r>
        <w:rPr>
          <w:rStyle w:val="Funotenzeichen"/>
        </w:rPr>
        <w:footnoteRef/>
      </w:r>
      <w:r>
        <w:rPr/>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380">
    <w:p>
      <w:pPr>
        <w:pStyle w:val="Funote"/>
        <w:rPr/>
      </w:pPr>
      <w:r>
        <w:rPr>
          <w:rStyle w:val="Funotenzeichen"/>
        </w:rPr>
        <w:footnoteRef/>
      </w:r>
      <w:r>
        <w:rPr>
          <w:i/>
        </w:rPr>
        <w:tab/>
        <w:t xml:space="preserve">vermag </w:t>
      </w:r>
      <w:r>
        <w:rPr/>
        <w:t xml:space="preserve">Alles </w:t>
      </w:r>
      <w:r>
        <w:rPr>
          <w:i/>
        </w:rPr>
        <w:t>(ist allmächtig)</w:t>
      </w:r>
      <w:r>
        <w:rPr/>
        <w:t xml:space="preserve"> - s. </w:t>
      </w:r>
      <w:r>
        <w:fldChar w:fldCharType="begin"/>
      </w:r>
      <w:r>
        <w:rPr>
          <w:rStyle w:val="Internetverknpfung"/>
        </w:rPr>
        <w:instrText> HYPERLINK "http://www.offene-bibel.de/wiki/index.php5?title=Markus_9" \l "note_bk"</w:instrText>
      </w:r>
      <w:r>
        <w:rPr>
          <w:rStyle w:val="Internetverknpfung"/>
        </w:rPr>
        <w:fldChar w:fldCharType="separate"/>
      </w:r>
      <w:r>
        <w:rPr>
          <w:rStyle w:val="Internetverknpfung"/>
        </w:rPr>
        <w:t>FN bk</w:t>
      </w:r>
      <w:r>
        <w:rPr>
          <w:rStyle w:val="Internetverknpfung"/>
        </w:rPr>
        <w:fldChar w:fldCharType="end"/>
      </w:r>
      <w:r>
        <w:rPr/>
        <w:t>.</w:t>
      </w:r>
    </w:p>
  </w:footnote>
  <w:footnote w:id="4381">
    <w:p>
      <w:pPr>
        <w:pStyle w:val="Funote"/>
        <w:rPr/>
      </w:pPr>
      <w:r>
        <w:rPr>
          <w:rStyle w:val="Funotenzeichen"/>
        </w:rPr>
        <w:footnoteRef/>
      </w:r>
      <w:r>
        <w:rPr/>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382">
    <w:p>
      <w:pPr>
        <w:pStyle w:val="Funote"/>
        <w:rPr/>
      </w:pPr>
      <w:r>
        <w:rPr>
          <w:rStyle w:val="Funotenzeichen"/>
        </w:rPr>
        <w:footnoteRef/>
      </w:r>
      <w:r>
        <w:rPr/>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383">
    <w:p>
      <w:pPr>
        <w:pStyle w:val="Funote"/>
        <w:rPr/>
      </w:pPr>
      <w:r>
        <w:rPr>
          <w:rStyle w:val="Funotenzeichen"/>
        </w:rPr>
        <w:footnoteRef/>
      </w:r>
      <w:r>
        <w:rPr>
          <w:i/>
        </w:rPr>
        <w:tab/>
        <w:t>zusammenlief (herandrängte)</w:t>
      </w:r>
      <w:r>
        <w:rPr/>
        <w:t xml:space="preserve"> - </w:t>
      </w:r>
      <w:r>
        <w:rPr>
          <w:lang w:val="el-GR"/>
        </w:rPr>
        <w:t>ἐπισυντρέχω</w:t>
      </w:r>
      <w:r>
        <w:rPr/>
        <w:t xml:space="preserve"> ist ein Hapax Legomenon im gesamten Griechisch; Wortbildung: </w:t>
      </w:r>
      <w:r>
        <w:rPr>
          <w:lang w:val="el-GR"/>
        </w:rPr>
        <w:t>τρέχω</w:t>
      </w:r>
      <w:r>
        <w:rPr/>
        <w:t xml:space="preserve"> </w:t>
      </w:r>
      <w:r>
        <w:rPr>
          <w:i/>
        </w:rPr>
        <w:t>laufen</w:t>
      </w:r>
      <w:r>
        <w:rPr/>
        <w:t xml:space="preserve"> -&gt; </w:t>
      </w:r>
      <w:r>
        <w:rPr>
          <w:lang w:val="el-GR"/>
        </w:rPr>
        <w:t>συν-τρέχω</w:t>
      </w:r>
      <w:r>
        <w:rPr/>
        <w:t xml:space="preserve"> </w:t>
      </w:r>
      <w:r>
        <w:rPr>
          <w:i/>
        </w:rPr>
        <w:t>zusammen-laufen</w:t>
      </w:r>
      <w:r>
        <w:rPr/>
        <w:t xml:space="preserve"> -&gt; </w:t>
      </w:r>
      <w:r>
        <w:rPr>
          <w:lang w:val="el-GR"/>
        </w:rPr>
        <w:t>ἐπι-συντρέχω</w:t>
      </w:r>
      <w:r>
        <w:rPr/>
        <w:t xml:space="preserve"> </w:t>
      </w:r>
      <w:r>
        <w:rPr>
          <w:i/>
        </w:rPr>
        <w:t>heran-zusammenlaufen</w:t>
      </w:r>
      <w:r>
        <w:rPr/>
        <w:t>; gut Louw/Nida 15.134: „eilig an einen Ort zusammenlaufen“. Redundante Wortbildung („an einen Ort“ ist in „zusammenlaufen“ bereits enthalten); besser daher gesteigert: „herandrängen“.</w:t>
      </w:r>
    </w:p>
  </w:footnote>
  <w:footnote w:id="4384">
    <w:p>
      <w:pPr>
        <w:pStyle w:val="Funote"/>
        <w:rPr/>
      </w:pPr>
      <w:r>
        <w:rPr>
          <w:rStyle w:val="Funotenzeichen"/>
        </w:rPr>
        <w:footnoteRef/>
      </w:r>
      <w:r>
        <w:rPr/>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385">
    <w:p>
      <w:pPr>
        <w:pStyle w:val="Funote"/>
        <w:rPr/>
      </w:pPr>
      <w:r>
        <w:rPr>
          <w:rStyle w:val="Funotenzeichen"/>
        </w:rPr>
        <w:footnoteRef/>
      </w:r>
      <w:r>
        <w:rPr/>
        <w:tab/>
        <w:t>Du stummer und tauber Geist - W. der stumme und taube Geist; Nominativ für Vokativ (Grosvenor/Zerwick). Kein Semitismus; vgl. Doudna 1961, S. 78.</w:t>
      </w:r>
    </w:p>
  </w:footnote>
  <w:footnote w:id="4386">
    <w:p>
      <w:pPr>
        <w:pStyle w:val="Funote"/>
        <w:rPr/>
      </w:pPr>
      <w:r>
        <w:rPr>
          <w:rStyle w:val="Funotenzeichen"/>
        </w:rPr>
        <w:footnoteRef/>
      </w:r>
      <w:r>
        <w:rPr/>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387">
    <w:p>
      <w:pPr>
        <w:pStyle w:val="Funote"/>
        <w:rPr/>
      </w:pPr>
      <w:r>
        <w:rPr>
          <w:rStyle w:val="Funotenzeichen"/>
        </w:rPr>
        <w:footnoteRef/>
      </w:r>
      <w:r>
        <w:rPr>
          <w:i/>
        </w:rPr>
        <w:tab/>
        <w:t>wurde (war)</w:t>
      </w:r>
      <w:r>
        <w:rPr/>
        <w:t xml:space="preserve"> - Nicht: „er </w:t>
      </w:r>
      <w:r>
        <w:rPr>
          <w:i/>
        </w:rPr>
        <w:t>wurde</w:t>
      </w:r>
      <w:r>
        <w:rPr/>
        <w:t xml:space="preserv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388">
    <w:p>
      <w:pPr>
        <w:pStyle w:val="Funote"/>
        <w:rPr/>
      </w:pPr>
      <w:r>
        <w:rPr>
          <w:rStyle w:val="Funotenzeichen"/>
        </w:rPr>
        <w:footnoteRef/>
      </w:r>
      <w:r>
        <w:rPr/>
        <w:tab/>
        <w:t xml:space="preserve">daher (sodass) - resultatives </w:t>
      </w:r>
      <w:r>
        <w:rPr>
          <w:lang w:val="el-GR"/>
        </w:rPr>
        <w:t>ὥστε</w:t>
      </w:r>
      <w:r>
        <w:rPr/>
        <w:t xml:space="preserve"> (Pryke 1978, S. 115) -&gt; „sodass“</w:t>
      </w:r>
    </w:p>
  </w:footnote>
  <w:footnote w:id="4389">
    <w:p>
      <w:pPr>
        <w:pStyle w:val="Funote"/>
        <w:rPr/>
      </w:pPr>
      <w:r>
        <w:rPr>
          <w:rStyle w:val="Funotenzeichen"/>
        </w:rPr>
        <w:footnoteRef/>
      </w:r>
      <w:r>
        <w:rPr>
          <w:i/>
        </w:rPr>
        <w:tab/>
        <w:t>die Meisten (die Menge)</w:t>
      </w:r>
      <w:r>
        <w:rPr/>
        <w:t xml:space="preserve"> - „die Meisten“ i.S.v. „die Menge“; vgl. </w:t>
      </w:r>
      <w:hyperlink r:id="rId440">
        <w:r>
          <w:rPr>
            <w:rStyle w:val="Internetverknpfung"/>
          </w:rPr>
          <w:t>Pape 671, Bed. 3</w:t>
        </w:r>
      </w:hyperlink>
    </w:p>
  </w:footnote>
  <w:footnote w:id="4390">
    <w:p>
      <w:pPr>
        <w:pStyle w:val="Funote"/>
        <w:rPr/>
      </w:pPr>
      <w:r>
        <w:rPr>
          <w:rStyle w:val="Funotenzeichen"/>
        </w:rPr>
        <w:footnoteRef/>
      </w:r>
      <w:r>
        <w:rPr>
          <w:i/>
        </w:rPr>
        <w:tab/>
        <w:t>hieß ihn aufstehen</w:t>
      </w:r>
      <w:r>
        <w:rPr/>
        <w:t xml:space="preserve"> nach Louw/Nida 17.10 („to cause to stand up“); in Anbetracht des Folgesatzes sinnvoller als „weckte ihn auf“ oder gar „erweckte ihn“. Das häufige „richtete ihn auf“ oder „zog ihn hoch“ ist gut; wäre aber eine Doppelung mit dem Folgesatz.</w:t>
      </w:r>
    </w:p>
  </w:footnote>
  <w:footnote w:id="4391">
    <w:p>
      <w:pPr>
        <w:pStyle w:val="Funote"/>
        <w:rPr/>
      </w:pPr>
      <w:r>
        <w:rPr>
          <w:rStyle w:val="Funotenzeichen"/>
        </w:rPr>
        <w:footnoteRef/>
      </w:r>
      <w:r>
        <w:rPr>
          <w:i/>
        </w:rPr>
        <w:tab/>
        <w:t>für sich</w:t>
      </w:r>
      <w:r>
        <w:rPr/>
        <w:t xml:space="preserve"> - versprachlicht hier das Motiv der Sonderbelehrung (siehe Parallelstellen); besser: „Und nachdem er ins Haus gegangen war und sie unter sich waren, fragten ihn seine Jünger“.</w:t>
      </w:r>
    </w:p>
  </w:footnote>
  <w:footnote w:id="4392">
    <w:p>
      <w:pPr>
        <w:pStyle w:val="Funote"/>
        <w:rPr/>
      </w:pPr>
      <w:r>
        <w:rPr>
          <w:rStyle w:val="Funotenzeichen"/>
        </w:rPr>
        <w:footnoteRef/>
      </w:r>
      <w:r>
        <w:rPr/>
        <w:tab/>
        <w:t xml:space="preserve">Dass (warum) - </w:t>
      </w:r>
      <w:r>
        <w:rPr>
          <w:lang w:val="el-GR"/>
        </w:rPr>
        <w:t>ὅτι</w:t>
      </w:r>
      <w:r>
        <w:rPr/>
        <w:t xml:space="preserve"> zur Einleitung von Warum-Fragen; vgl. Turner 1925d, S. 58. So auch fast alle Üss.</w:t>
      </w:r>
    </w:p>
  </w:footnote>
  <w:footnote w:id="4393">
    <w:p>
      <w:pPr>
        <w:pStyle w:val="Funote"/>
        <w:rPr/>
      </w:pPr>
      <w:r>
        <w:rPr>
          <w:rStyle w:val="Funotenzeichen"/>
        </w:rPr>
        <w:footnoteRef/>
      </w:r>
      <w:r>
        <w:rPr/>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394">
    <w:p>
      <w:pPr>
        <w:pStyle w:val="Funote"/>
        <w:rPr/>
      </w:pPr>
      <w:r>
        <w:rPr>
          <w:rStyle w:val="Funotenzeichen"/>
        </w:rPr>
        <w:footnoteRef/>
      </w:r>
      <w:r>
        <w:rPr>
          <w:i/>
        </w:rPr>
        <w:tab/>
        <w:t>aus (gingen sie fort und)</w:t>
      </w:r>
      <w:r>
        <w:rPr/>
        <w:t xml:space="preserve"> - W. „Von dort fortgegangen seiend“</w:t>
      </w:r>
    </w:p>
  </w:footnote>
  <w:footnote w:id="4395">
    <w:p>
      <w:pPr>
        <w:pStyle w:val="Funote"/>
        <w:rPr/>
      </w:pPr>
      <w:r>
        <w:rPr>
          <w:rStyle w:val="Funotenzeichen"/>
        </w:rPr>
        <w:footnoteRef/>
      </w:r>
      <w:r>
        <w:rPr/>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396">
    <w:p>
      <w:pPr>
        <w:pStyle w:val="Funote"/>
        <w:rPr/>
      </w:pPr>
      <w:r>
        <w:rPr>
          <w:rStyle w:val="Funotenzeichen"/>
        </w:rPr>
        <w:footnoteRef/>
      </w:r>
      <w:r>
        <w:rPr>
          <w:i/>
        </w:rPr>
        <w:tab/>
        <w:t>in die Hände der Menschen</w:t>
      </w:r>
      <w:r>
        <w:rPr/>
        <w:t xml:space="preserve"> - Biblizismus, „in die Hand von X“ entspricht „an X“, „in die Gewalt von X“. </w:t>
      </w:r>
    </w:p>
  </w:footnote>
  <w:footnote w:id="4397">
    <w:p>
      <w:pPr>
        <w:pStyle w:val="Funote"/>
        <w:rPr/>
      </w:pPr>
      <w:r>
        <w:rPr>
          <w:rStyle w:val="Funotenzeichen"/>
        </w:rPr>
        <w:footnoteRef/>
      </w:r>
      <w:r>
        <w:rPr/>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398">
    <w:p>
      <w:pPr>
        <w:pStyle w:val="Funote"/>
        <w:rPr/>
      </w:pPr>
      <w:r>
        <w:rPr>
          <w:rStyle w:val="Funotenzeichen"/>
        </w:rPr>
        <w:footnoteRef/>
      </w:r>
      <w:r>
        <w:rPr/>
        <w:tab/>
        <w:t>nachdem (obwohl) - beide Deutungen des Partizips sind möglich; »nachdem« z.B. Gnilka 1979; Marcus 2009; Schenke 2005; »obwohl« Camacho/Mateos 1994; Kleist 1937. Beides trifft die gern gewählte Übersetzung »drei Tage nach seinem Tod wird er auferstehen«</w:t>
      </w:r>
    </w:p>
  </w:footnote>
  <w:footnote w:id="4399">
    <w:p>
      <w:pPr>
        <w:pStyle w:val="Funote"/>
        <w:rPr/>
      </w:pPr>
      <w:r>
        <w:rPr>
          <w:rStyle w:val="Funotenzeichen"/>
        </w:rPr>
        <w:footnoteRef/>
      </w:r>
      <w:r>
        <w:rPr/>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400">
    <w:p>
      <w:pPr>
        <w:pStyle w:val="Funote"/>
        <w:rPr/>
      </w:pPr>
      <w:r>
        <w:rPr>
          <w:rStyle w:val="Funotenzeichen"/>
        </w:rPr>
        <w:footnoteRef/>
      </w:r>
      <w:r>
        <w:rPr>
          <w:i/>
        </w:rPr>
        <w:tab/>
        <w:t>war</w:t>
      </w:r>
      <w:r>
        <w:rPr/>
        <w:t xml:space="preserve">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401">
    <w:p>
      <w:pPr>
        <w:pStyle w:val="Funote"/>
        <w:rPr/>
      </w:pPr>
      <w:r>
        <w:rPr>
          <w:rStyle w:val="Funotenzeichen"/>
        </w:rPr>
        <w:footnoteRef/>
      </w:r>
      <w:r>
        <w:rPr/>
        <w:tab/>
        <w:t>der Größte (größer) - Komparativ als Superlativ; vgl. Cranfield 1959, S. 307.</w:t>
      </w:r>
    </w:p>
  </w:footnote>
  <w:footnote w:id="4402">
    <w:p>
      <w:pPr>
        <w:pStyle w:val="Funote"/>
        <w:rPr/>
      </w:pPr>
      <w:r>
        <w:rPr>
          <w:rStyle w:val="Funotenzeichen"/>
        </w:rPr>
        <w:footnoteRef/>
      </w:r>
      <w:r>
        <w:rPr/>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403">
    <w:p>
      <w:pPr>
        <w:pStyle w:val="Funote"/>
        <w:rPr/>
      </w:pPr>
      <w:r>
        <w:rPr>
          <w:rStyle w:val="Funotenzeichen"/>
        </w:rPr>
        <w:footnoteRef/>
      </w:r>
      <w:r>
        <w:rPr/>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404">
    <w:p>
      <w:pPr>
        <w:pStyle w:val="Funote"/>
        <w:rPr/>
      </w:pPr>
      <w:r>
        <w:rPr>
          <w:rStyle w:val="Funotenzeichen"/>
        </w:rPr>
        <w:footnoteRef/>
      </w:r>
      <w:r>
        <w:rPr/>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405">
    <w:p>
      <w:pPr>
        <w:pStyle w:val="Funote"/>
        <w:rPr/>
      </w:pPr>
      <w:r>
        <w:rPr>
          <w:rStyle w:val="Funotenzeichen"/>
        </w:rPr>
        <w:footnoteRef/>
      </w:r>
      <w:r>
        <w:rPr/>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406">
    <w:p>
      <w:pPr>
        <w:pStyle w:val="Funote"/>
        <w:rPr/>
      </w:pPr>
      <w:r>
        <w:rPr>
          <w:rStyle w:val="Funotenzeichen"/>
        </w:rPr>
        <w:footnoteRef/>
      </w:r>
      <w:r>
        <w:rPr/>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407">
    <w:p>
      <w:pPr>
        <w:pStyle w:val="Funote"/>
        <w:rPr/>
      </w:pPr>
      <w:r>
        <w:rPr>
          <w:rStyle w:val="Funotenzeichen"/>
        </w:rPr>
        <w:footnoteRef/>
      </w:r>
      <w:r>
        <w:rPr/>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408">
    <w:p>
      <w:pPr>
        <w:pStyle w:val="Funote"/>
        <w:rPr/>
      </w:pPr>
      <w:r>
        <w:rPr>
          <w:rStyle w:val="Funotenzeichen"/>
        </w:rPr>
        <w:footnoteRef/>
      </w:r>
      <w:r>
        <w:rPr/>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409">
    <w:p>
      <w:pPr>
        <w:pStyle w:val="Funote"/>
        <w:rPr/>
      </w:pPr>
      <w:r>
        <w:rPr>
          <w:rStyle w:val="Funotenzeichen"/>
        </w:rPr>
        <w:footnoteRef/>
      </w:r>
      <w:r>
        <w:rPr/>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410">
    <w:p>
      <w:pPr>
        <w:pStyle w:val="Funote"/>
        <w:rPr/>
      </w:pPr>
      <w:r>
        <w:rPr>
          <w:rStyle w:val="Funotenzeichen"/>
        </w:rPr>
        <w:footnoteRef/>
      </w:r>
      <w:r>
        <w:rPr>
          <w:i/>
        </w:rPr>
        <w:tab/>
        <w:t>mit meinem Namen</w:t>
      </w:r>
      <w:r>
        <w:rPr/>
        <w:t xml:space="preserve"> - </w:t>
      </w:r>
      <w:r>
        <w:rPr>
          <w:lang w:val="el-GR"/>
        </w:rPr>
        <w:t>ἐπὶ τῷ ὀνόματί</w:t>
      </w:r>
      <w:r>
        <w:rPr/>
        <w:t xml:space="preserve"> verwendet wie oben </w:t>
      </w:r>
      <w:r>
        <w:rPr>
          <w:lang w:val="el-GR"/>
        </w:rPr>
        <w:t>ἐν τῷ ὀνόματί</w:t>
      </w:r>
      <w:r>
        <w:rPr/>
        <w:t xml:space="preserve"> (s. </w:t>
      </w:r>
      <w:r>
        <w:fldChar w:fldCharType="begin"/>
      </w:r>
      <w:r>
        <w:rPr>
          <w:rStyle w:val="Internetverknpfung"/>
        </w:rPr>
        <w:instrText> HYPERLINK "http://www.offene-bibel.de/wiki/index.php5?title=Markus_9" \l "note_cp"</w:instrText>
      </w:r>
      <w:r>
        <w:rPr>
          <w:rStyle w:val="Internetverknpfung"/>
        </w:rPr>
        <w:fldChar w:fldCharType="separate"/>
      </w:r>
      <w:r>
        <w:rPr>
          <w:rStyle w:val="Internetverknpfung"/>
        </w:rPr>
        <w:t>FN cp</w:t>
      </w:r>
      <w:r>
        <w:rPr>
          <w:rStyle w:val="Internetverknpfung"/>
        </w:rPr>
        <w:fldChar w:fldCharType="end"/>
      </w:r>
      <w:r>
        <w:rPr/>
        <w:t>); vgl. BDAG: „der Machttaten vollbringt, indem er meinen Namen nennt“. So auch viele Üss.</w:t>
      </w:r>
    </w:p>
  </w:footnote>
  <w:footnote w:id="4411">
    <w:p>
      <w:pPr>
        <w:pStyle w:val="Funote"/>
        <w:rPr/>
      </w:pPr>
      <w:r>
        <w:rPr>
          <w:rStyle w:val="Funotenzeichen"/>
        </w:rPr>
        <w:footnoteRef/>
      </w:r>
      <w:r>
        <w:rPr/>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412">
    <w:p>
      <w:pPr>
        <w:pStyle w:val="Funote"/>
        <w:rPr/>
      </w:pPr>
      <w:r>
        <w:rPr>
          <w:rStyle w:val="Funotenzeichen"/>
        </w:rPr>
        <w:footnoteRef/>
      </w:r>
      <w:r>
        <w:rPr>
          <w:i/>
        </w:rPr>
        <w:tab/>
        <w:t>schlecht von mir zu sprechen vermag (von mir sprechen kann)</w:t>
      </w:r>
      <w:r>
        <w:rPr/>
        <w:t xml:space="preserve"> - </w:t>
      </w:r>
      <w:r>
        <w:rPr>
          <w:lang w:val="el-GR"/>
        </w:rPr>
        <w:t>δύναμαι</w:t>
      </w:r>
      <w:r>
        <w:rPr/>
        <w:t xml:space="preserve"> </w:t>
      </w:r>
      <w:r>
        <w:rPr>
          <w:i/>
        </w:rPr>
        <w:t>vermögen</w:t>
      </w:r>
      <w:r>
        <w:rPr/>
        <w:t xml:space="preserve"> verwendet als Hilfsverb, besser einfach „verfluchen kann“. Vgl. Turner 1927a, S. 355.</w:t>
      </w:r>
    </w:p>
  </w:footnote>
  <w:footnote w:id="4413">
    <w:p>
      <w:pPr>
        <w:pStyle w:val="Funote"/>
        <w:rPr/>
      </w:pPr>
      <w:r>
        <w:rPr>
          <w:rStyle w:val="Funotenzeichen"/>
        </w:rPr>
        <w:footnoteRef/>
      </w:r>
      <w:r>
        <w:rPr/>
        <w:tab/>
        <w:t>Wer nicht gegen uns ist, ist für uns - auch dies ist ein Sprichwort; s. Cicero, Lig 11 (vgl. Cranfield 1959, S. 310).</w:t>
      </w:r>
    </w:p>
  </w:footnote>
  <w:footnote w:id="4414">
    <w:p>
      <w:pPr>
        <w:pStyle w:val="Funote"/>
        <w:rPr/>
      </w:pPr>
      <w:r>
        <w:rPr>
          <w:rStyle w:val="Funotenzeichen"/>
        </w:rPr>
        <w:footnoteRef/>
      </w:r>
      <w:r>
        <w:rPr/>
        <w:tab/>
        <w:t xml:space="preserve">Zur Strukturellen Zuordnung von Vv. 41f siehe </w:t>
      </w:r>
      <w:r>
        <w:fldChar w:fldCharType="begin"/>
      </w:r>
      <w:r>
        <w:rPr>
          <w:rStyle w:val="Internetverknpfung"/>
        </w:rPr>
        <w:instrText> HYPERLINK "http://www.offene-bibel.de/wiki/index.php5?title=Kommentar:Markus_9" \l "Struktur_der_Studienfassung"</w:instrText>
      </w:r>
      <w:r>
        <w:rPr>
          <w:rStyle w:val="Internetverknpfung"/>
        </w:rPr>
        <w:fldChar w:fldCharType="separate"/>
      </w:r>
      <w:r>
        <w:rPr>
          <w:rStyle w:val="Internetverknpfung"/>
        </w:rPr>
        <w:t>Kommentar</w:t>
      </w:r>
      <w:r>
        <w:rPr>
          <w:rStyle w:val="Internetverknpfung"/>
        </w:rPr>
        <w:fldChar w:fldCharType="end"/>
      </w:r>
      <w:r>
        <w:rPr/>
        <w:t>.</w:t>
      </w:r>
    </w:p>
  </w:footnote>
  <w:footnote w:id="4415">
    <w:p>
      <w:pPr>
        <w:pStyle w:val="Funote"/>
        <w:rPr/>
      </w:pPr>
      <w:r>
        <w:rPr>
          <w:rStyle w:val="Funotenzeichen"/>
        </w:rPr>
        <w:footnoteRef/>
      </w:r>
      <w:r>
        <w:rPr/>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416">
    <w:p>
      <w:pPr>
        <w:pStyle w:val="Funote"/>
        <w:rPr/>
      </w:pPr>
      <w:r>
        <w:rPr>
          <w:rStyle w:val="Funotenzeichen"/>
        </w:rPr>
        <w:footnoteRef/>
      </w:r>
      <w:r>
        <w:rPr/>
        <w:tab/>
        <w:t>[auch nur] - »einen Becher Wasser zu trinken geben« ist das geringste Werk der Gastfreundschaft (Pesch 1977, S. 110); es wird hier für die sprichwörtlich kleinstmögliche gute Tat verwendet - daher »[auch nur]«.</w:t>
      </w:r>
    </w:p>
  </w:footnote>
  <w:footnote w:id="4417">
    <w:p>
      <w:pPr>
        <w:pStyle w:val="Funote"/>
        <w:rPr/>
      </w:pPr>
      <w:r>
        <w:rPr>
          <w:rStyle w:val="Funotenzeichen"/>
        </w:rPr>
        <w:footnoteRef/>
      </w:r>
      <w:r>
        <w:rPr>
          <w:i/>
        </w:rPr>
        <w:tab/>
        <w:t>einen Becher Wasser zu trinken gibt</w:t>
      </w:r>
      <w:r>
        <w:rPr/>
        <w:t xml:space="preserve"> - im Griechischen figura etymologica: </w:t>
      </w:r>
      <w:r>
        <w:rPr>
          <w:lang w:val="el-GR"/>
        </w:rPr>
        <w:t>ποτίσῃ ποτήριον</w:t>
      </w:r>
      <w:r>
        <w:rPr/>
        <w:t xml:space="preserve"> </w:t>
      </w:r>
      <w:r>
        <w:rPr>
          <w:i/>
        </w:rPr>
        <w:t>[Wer euch] tränkt mit einem Trunk</w:t>
      </w:r>
      <w:r>
        <w:rPr/>
        <w:t xml:space="preserve"> („Trunk“ aber w. „Becher“).</w:t>
      </w:r>
    </w:p>
  </w:footnote>
  <w:footnote w:id="4418">
    <w:p>
      <w:pPr>
        <w:pStyle w:val="Funote"/>
        <w:rPr/>
      </w:pPr>
      <w:r>
        <w:rPr>
          <w:rStyle w:val="Funotenzeichen"/>
        </w:rPr>
        <w:footnoteRef/>
      </w:r>
      <w:r>
        <w:rPr/>
        <w:tab/>
        <w:t>weil (im Namen, dass) - W. »im Namen, dass«, aber gr. Idiom für »weil«; vgl. BDAG, Heitmüller 1903, S. 48.50; ad loc. Cranfield 1959, S. 312; Grosvenor/Zerwick; Taylor 1979, S. 486. So auch viele Üss. Allerdings seltenes Idiom; daher die Varianten.</w:t>
      </w:r>
    </w:p>
  </w:footnote>
  <w:footnote w:id="4419">
    <w:p>
      <w:pPr>
        <w:pStyle w:val="Funote"/>
        <w:rPr/>
      </w:pPr>
      <w:r>
        <w:rPr>
          <w:rStyle w:val="Funotenzeichen"/>
        </w:rPr>
        <w:footnoteRef/>
      </w:r>
      <w:r>
        <w:rPr/>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420">
    <w:p>
      <w:pPr>
        <w:pStyle w:val="Funote"/>
        <w:rPr/>
      </w:pPr>
      <w:r>
        <w:rPr>
          <w:rStyle w:val="Funotenzeichen"/>
        </w:rPr>
        <w:footnoteRef/>
      </w:r>
      <w:r>
        <w:rPr>
          <w:i/>
        </w:rPr>
        <w:tab/>
        <w:t>wird seinen Lohn nicht verlieren (wird ihn bekommen)</w:t>
      </w:r>
      <w:r>
        <w:rPr/>
        <w:t xml:space="preserve">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421">
    <w:p>
      <w:pPr>
        <w:pStyle w:val="Funote"/>
        <w:rPr/>
      </w:pPr>
      <w:r>
        <w:rPr>
          <w:rStyle w:val="Funotenzeichen"/>
        </w:rPr>
        <w:footnoteRef/>
      </w:r>
      <w:r>
        <w:rPr>
          <w:i/>
        </w:rPr>
        <w:tab/>
        <w:t>aber (und)</w:t>
      </w:r>
      <w:r>
        <w:rPr/>
        <w:t xml:space="preserve"> - „und“ zur Verknüpfung von Gegensätzen.</w:t>
      </w:r>
    </w:p>
  </w:footnote>
  <w:footnote w:id="4422">
    <w:p>
      <w:pPr>
        <w:pStyle w:val="Funote"/>
        <w:rPr/>
      </w:pPr>
      <w:r>
        <w:rPr>
          <w:rStyle w:val="Funotenzeichen"/>
        </w:rPr>
        <w:footnoteRef/>
      </w:r>
      <w:r>
        <w:rPr/>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423">
    <w:p>
      <w:pPr>
        <w:pStyle w:val="Funote"/>
        <w:rPr/>
      </w:pPr>
      <w:r>
        <w:rPr>
          <w:rStyle w:val="Funotenzeichen"/>
        </w:rPr>
        <w:footnoteRef/>
      </w:r>
      <w:r>
        <w:rPr/>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424">
    <w:p>
      <w:pPr>
        <w:pStyle w:val="Funote"/>
        <w:rPr/>
      </w:pPr>
      <w:r>
        <w:rPr>
          <w:rStyle w:val="Funotenzeichen"/>
        </w:rPr>
        <w:footnoteRef/>
      </w:r>
      <w:r>
        <w:rPr/>
        <w:tab/>
        <w:t>ist (wäre) - modales Indikativ; vgl. Kleist 1937, S. 216. So fast alle Üss.</w:t>
      </w:r>
    </w:p>
  </w:footnote>
  <w:footnote w:id="4425">
    <w:p>
      <w:pPr>
        <w:pStyle w:val="Funote"/>
        <w:rPr/>
      </w:pPr>
      <w:r>
        <w:rPr>
          <w:rStyle w:val="Funotenzeichen"/>
        </w:rPr>
        <w:footnoteRef/>
      </w:r>
      <w:r>
        <w:rPr/>
        <w:tab/>
        <w:t>gut (besser) - sicher Positiv als Komparativ; vgl. Zerwick §145. So auch alle Üss. Kein Semitismus; vgl. z.B. Herodot IX.26.7; auch BDR §245.</w:t>
      </w:r>
    </w:p>
  </w:footnote>
  <w:footnote w:id="4426">
    <w:p>
      <w:pPr>
        <w:pStyle w:val="Funote"/>
        <w:rPr/>
      </w:pPr>
      <w:r>
        <w:rPr>
          <w:rStyle w:val="Funotenzeichen"/>
        </w:rPr>
        <w:footnoteRef/>
      </w:r>
      <w:r>
        <w:rPr/>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427">
    <w:p>
      <w:pPr>
        <w:pStyle w:val="Funote"/>
        <w:rPr/>
      </w:pPr>
      <w:r>
        <w:rPr>
          <w:rStyle w:val="Funotenzeichen"/>
        </w:rPr>
        <w:footnoteRef/>
      </w:r>
      <w:r>
        <w:rPr/>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428">
    <w:p>
      <w:pPr>
        <w:pStyle w:val="Funote"/>
        <w:rPr/>
      </w:pPr>
      <w:r>
        <w:rPr>
          <w:rStyle w:val="Funotenzeichen"/>
        </w:rPr>
        <w:footnoteRef/>
      </w:r>
      <w:r>
        <w:rPr/>
        <w:tab/>
        <w:t>[Denn] - Asyndese zum Ausdruck kausaler Verhältnisse, so gut Reiser 1983, S. 143.</w:t>
      </w:r>
    </w:p>
  </w:footnote>
  <w:footnote w:id="4429">
    <w:p>
      <w:pPr>
        <w:pStyle w:val="Funote"/>
        <w:rPr/>
      </w:pPr>
      <w:r>
        <w:rPr>
          <w:rStyle w:val="Funotenzeichen"/>
        </w:rPr>
        <w:footnoteRef/>
      </w:r>
      <w:r>
        <w:rPr>
          <w:i/>
        </w:rPr>
        <w:tab/>
        <w:t>Leben</w:t>
      </w:r>
      <w:r>
        <w:rPr/>
        <w:t xml:space="preserve"> wird hier als Wechselbegriff für das „Reich Gottes“ verwendet; so eigtl. alle. „Reich Gottes“ steht ja denn auch statt „Leben“ in V. 47.</w:t>
      </w:r>
    </w:p>
  </w:footnote>
  <w:footnote w:id="4430">
    <w:p>
      <w:pPr>
        <w:pStyle w:val="Funote"/>
        <w:rPr/>
      </w:pPr>
      <w:r>
        <w:rPr>
          <w:rStyle w:val="Funotenzeichen"/>
        </w:rPr>
        <w:footnoteRef/>
      </w:r>
      <w:r>
        <w:rPr>
          <w:i/>
        </w:rPr>
        <w:tab/>
        <w:t>Gehenna (Hölle)</w:t>
      </w:r>
      <w:r>
        <w:rPr/>
        <w:t xml:space="preserve"> - „Gehenna “ war ursprünglich eine griechische Ortsbezeichnung für das Hinnomtal (</w:t>
      </w:r>
      <w:r>
        <w:rPr>
          <w:rtl w:val="true"/>
          <w:lang w:bidi="he-IL"/>
        </w:rPr>
        <w:t>גֵּי הִנּׂם</w:t>
      </w:r>
      <w:r>
        <w:rPr/>
        <w:t xml:space="preserve"> </w:t>
      </w:r>
      <w:r>
        <w:rPr>
          <w:i/>
        </w:rPr>
        <w:t>gê hinnom</w:t>
      </w:r>
      <w:r>
        <w:rPr/>
        <w:t xml:space="preserve">) im Süden Jerusalems. Wohl, weil (s. </w:t>
      </w:r>
      <w:hyperlink r:id="rId441">
        <w:r>
          <w:rPr>
            <w:rStyle w:val="Internetverknpfung"/>
          </w:rPr>
          <w:t>2Kön 16,3</w:t>
        </w:r>
      </w:hyperlink>
      <w:r>
        <w:rPr/>
        <w:t xml:space="preserve">; </w:t>
      </w:r>
      <w:hyperlink r:id="rId442">
        <w:r>
          <w:rPr>
            <w:rStyle w:val="Internetverknpfung"/>
          </w:rPr>
          <w:t>21,6</w:t>
        </w:r>
      </w:hyperlink>
      <w:r>
        <w:rPr/>
        <w:t>) dort unter Ahas und Manasse Kinder geopfert wurden, wurde es nach und nach mythisiert, bis „Gehenna“ als Wechselbegriff für die Feuerhölle verwendet werden konnte.</w:t>
      </w:r>
    </w:p>
  </w:footnote>
  <w:footnote w:id="4431">
    <w:p>
      <w:pPr>
        <w:pStyle w:val="Funote"/>
        <w:rPr/>
      </w:pPr>
      <w:r>
        <w:rPr>
          <w:rStyle w:val="Funotenzeichen"/>
        </w:rPr>
        <w:footnoteRef/>
      </w:r>
      <w:r>
        <w:rPr/>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432">
    <w:p>
      <w:pPr>
        <w:pStyle w:val="Funote"/>
        <w:rPr/>
      </w:pPr>
      <w:r>
        <w:rPr>
          <w:rStyle w:val="Funotenzeichen"/>
        </w:rPr>
        <w:footnoteRef/>
      </w:r>
      <w:r>
        <w:rPr/>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433">
    <w:p>
      <w:pPr>
        <w:pStyle w:val="Funote"/>
        <w:rPr/>
      </w:pPr>
      <w:r>
        <w:rPr>
          <w:rStyle w:val="Funotenzeichen"/>
        </w:rPr>
        <w:footnoteRef/>
      </w:r>
      <w:r>
        <w:rPr/>
        <w:tab/>
        <w:t>Textkritik: Vv. 44.46 sind eine Doppelung von V. 48 und fehlen in einigen wichtigen Mss.; daher werden sie heute fast einheitlich als sekundär erklärt.</w:t>
      </w:r>
    </w:p>
  </w:footnote>
  <w:footnote w:id="4434">
    <w:p>
      <w:pPr>
        <w:pStyle w:val="Funote"/>
        <w:rPr/>
      </w:pPr>
      <w:r>
        <w:rPr>
          <w:rStyle w:val="Funotenzeichen"/>
        </w:rPr>
        <w:footnoteRef/>
      </w:r>
      <w:r>
        <w:rPr/>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435">
    <w:p>
      <w:pPr>
        <w:pStyle w:val="Funote"/>
        <w:rPr/>
      </w:pPr>
      <w:r>
        <w:rPr>
          <w:rStyle w:val="Funotenzeichen"/>
        </w:rPr>
        <w:footnoteRef/>
      </w:r>
      <w:r>
        <w:rPr>
          <w:i/>
          <w:strike/>
        </w:rPr>
        <w:tab/>
        <w:t>Denn</w:t>
      </w:r>
      <w:r>
        <w:rPr>
          <w:i/>
        </w:rPr>
        <w:t xml:space="preserve"> (Denn)</w:t>
      </w:r>
      <w:r>
        <w:rPr/>
        <w:t xml:space="preserve"> - Vv. 49f gehören sehr sicher nicht mit dem vorangehenden Abschnitt zusammen; gemeinsam ist ihnen nur das ominöse „Feuer“, dass hier aber nicht das obige Höllenfeuer meint, sondern etwas Gutes, das zum „Gesalzen-sein“ führt. Zu </w:t>
      </w:r>
      <w:r>
        <w:rPr>
          <w:i/>
          <w:strike/>
        </w:rPr>
        <w:t>denn</w:t>
      </w:r>
      <w:r>
        <w:rPr/>
        <w:t xml:space="preserve"> siehe </w:t>
      </w:r>
      <w:r>
        <w:fldChar w:fldCharType="begin"/>
      </w:r>
      <w:r>
        <w:rPr>
          <w:rStyle w:val="Internetverknpfung"/>
        </w:rPr>
        <w:instrText> HYPERLINK "http://www.offene-bibel.de/wiki/index.php5?title=Markus_9" \l "note_cx"</w:instrText>
      </w:r>
      <w:r>
        <w:rPr>
          <w:rStyle w:val="Internetverknpfung"/>
        </w:rPr>
        <w:fldChar w:fldCharType="separate"/>
      </w:r>
      <w:r>
        <w:rPr>
          <w:rStyle w:val="Internetverknpfung"/>
        </w:rPr>
        <w:t>FN cx</w:t>
      </w:r>
      <w:r>
        <w:rPr>
          <w:rStyle w:val="Internetverknpfung"/>
        </w:rPr>
        <w:fldChar w:fldCharType="end"/>
      </w:r>
      <w:r>
        <w:rPr/>
        <w:t>.</w:t>
      </w:r>
    </w:p>
  </w:footnote>
  <w:footnote w:id="4436">
    <w:p>
      <w:pPr>
        <w:pStyle w:val="Funote"/>
        <w:rPr/>
      </w:pPr>
      <w:r>
        <w:rPr>
          <w:rStyle w:val="Funotenzeichen"/>
        </w:rPr>
        <w:footnoteRef/>
      </w:r>
      <w:r>
        <w:rPr/>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437">
    <w:p>
      <w:pPr>
        <w:pStyle w:val="Funote"/>
        <w:rPr/>
      </w:pPr>
      <w:r>
        <w:rPr>
          <w:rStyle w:val="Funotenzeichen"/>
        </w:rPr>
        <w:footnoteRef/>
      </w:r>
      <w:r>
        <w:rPr/>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438">
    <w:p>
      <w:pPr>
        <w:pStyle w:val="Funote"/>
        <w:rPr/>
      </w:pPr>
      <w:r>
        <w:rPr>
          <w:rStyle w:val="Funotenzeichen"/>
        </w:rPr>
        <w:footnoteRef/>
      </w:r>
      <w:r>
        <w:rPr/>
        <w:tab/>
        <w:t>werdet (wollt) - wahrscheinlich deliberatives Futur, um die Frage als rhetorische Frage zu markieren (vgl. Dana/Mantey §178.4; Wallace, S. 570 u.ö.). »wollt« auch in vielen Üss.</w:t>
      </w:r>
    </w:p>
  </w:footnote>
  <w:footnote w:id="4439">
    <w:p>
      <w:pPr>
        <w:pStyle w:val="Funote"/>
        <w:rPr/>
      </w:pPr>
      <w:r>
        <w:rPr>
          <w:rStyle w:val="Funotenzeichen"/>
        </w:rPr>
        <w:footnoteRef/>
      </w:r>
      <w:r>
        <w:rPr/>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440">
    <w:p>
      <w:pPr>
        <w:pStyle w:val="Funote"/>
        <w:rPr/>
      </w:pPr>
      <w:r>
        <w:rPr>
          <w:rStyle w:val="Funotenzeichen"/>
        </w:rPr>
        <w:footnoteRef/>
      </w:r>
      <w:r>
        <w:rPr/>
        <w:tab/>
        <w:t>und haltet [so] - [so] gut nach Cranfield 1959, S. 317, der den ersten Imperativ als Bedingung für den zweiten liest.</w:t>
      </w:r>
    </w:p>
  </w:footnote>
  <w:footnote w:id="4441">
    <w:p>
      <w:pPr>
        <w:pStyle w:val="Funote"/>
        <w:rPr/>
      </w:pPr>
      <w:r>
        <w:rPr>
          <w:rStyle w:val="Funotenzeichen"/>
        </w:rPr>
        <w:footnoteRef/>
      </w:r>
      <w:r>
        <w:rPr/>
        <w:tab/>
        <w:t>[Status: Zuverlässig]</w:t>
      </w:r>
    </w:p>
  </w:footnote>
  <w:footnote w:id="4442">
    <w:p>
      <w:pPr>
        <w:pStyle w:val="Funote"/>
        <w:rPr/>
      </w:pPr>
      <w:r>
        <w:rPr>
          <w:rStyle w:val="Funotenzeichen"/>
        </w:rPr>
        <w:footnoteRef/>
      </w:r>
      <w:r>
        <w:rPr>
          <w:i/>
        </w:rPr>
        <w:tab/>
        <w:t>brach auf und</w:t>
      </w:r>
      <w:r>
        <w:rPr/>
        <w:t xml:space="preserve"> </w:t>
      </w:r>
      <w:hyperlink r:id="rId443">
        <w:r>
          <w:rPr>
            <w:rStyle w:val="Internetverknpfung"/>
          </w:rPr>
          <w:t>Ptz. conj.</w:t>
        </w:r>
      </w:hyperlink>
      <w:r>
        <w:rPr/>
        <w:t>, beigeordnet aufgelöst.</w:t>
      </w:r>
    </w:p>
  </w:footnote>
  <w:footnote w:id="4443">
    <w:p>
      <w:pPr>
        <w:pStyle w:val="Funote"/>
        <w:rPr/>
      </w:pPr>
      <w:r>
        <w:rPr>
          <w:rStyle w:val="Funotenzeichen"/>
        </w:rPr>
        <w:footnoteRef/>
      </w:r>
      <w:r>
        <w:rPr/>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444">
    <w:p>
      <w:pPr>
        <w:pStyle w:val="Funote"/>
        <w:rPr/>
      </w:pPr>
      <w:r>
        <w:rPr>
          <w:rStyle w:val="Funotenzeichen"/>
        </w:rPr>
        <w:footnoteRef/>
      </w:r>
      <w:r>
        <w:rPr>
          <w:i/>
        </w:rPr>
        <w:tab/>
        <w:t>Er jedoch erwiderte {und sagte zu ihnen}</w:t>
      </w:r>
      <w:r>
        <w:rPr/>
        <w:t xml:space="preserve"> Die pleonastische Formulierung kann in der Übersetzung gekürzt werden. erwiderte Modales </w:t>
      </w:r>
      <w:hyperlink r:id="rId444">
        <w:r>
          <w:rPr>
            <w:rStyle w:val="Internetverknpfung"/>
          </w:rPr>
          <w:t>Ptz. conj.</w:t>
        </w:r>
      </w:hyperlink>
      <w:r>
        <w:rPr/>
        <w:t>, beigeordnet aufgelöst.</w:t>
      </w:r>
    </w:p>
  </w:footnote>
  <w:footnote w:id="4445">
    <w:p>
      <w:pPr>
        <w:pStyle w:val="Funote"/>
        <w:rPr/>
      </w:pPr>
      <w:r>
        <w:rPr>
          <w:rStyle w:val="Funotenzeichen"/>
        </w:rPr>
        <w:footnoteRef/>
      </w:r>
      <w:r>
        <w:rPr/>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446">
    <w:p>
      <w:pPr>
        <w:pStyle w:val="Funote"/>
        <w:rPr/>
      </w:pPr>
      <w:r>
        <w:rPr>
          <w:rStyle w:val="Funotenzeichen"/>
        </w:rPr>
        <w:footnoteRef/>
      </w:r>
      <w:r>
        <w:rPr/>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447">
    <w:p>
      <w:pPr>
        <w:pStyle w:val="Funote"/>
        <w:rPr/>
      </w:pPr>
      <w:r>
        <w:rPr>
          <w:rStyle w:val="Funotenzeichen"/>
        </w:rPr>
        <w:footnoteRef/>
      </w:r>
      <w:r>
        <w:rPr>
          <w:i/>
        </w:rPr>
        <w:tab/>
        <w:t>das soll (darf) ein ([der]) Mensch nicht trennen</w:t>
      </w:r>
      <w:r>
        <w:rPr/>
        <w:t xml:space="preserve"> Das Verb steht in der dritten Person des Imperativs, den man am besten mit Hilfsverb („soll“, „muss“ bzw. negativ „darf“ oder „möge“) oder einem Konjunktiv umschreibt. Hier beschreibt Jesus eine ethische Maxime aufgrund eines Schöpfungsprinzips, daher ist soll am passendsten. </w:t>
      </w:r>
      <w:r>
        <w:rPr>
          <w:i/>
        </w:rPr>
        <w:t>ein ([der]) Mensch</w:t>
      </w:r>
      <w:r>
        <w:rPr/>
        <w:t xml:space="preserve"> Gemeint ist entweder „(irgend)ein Mensch“ oder „der Mensch“ (Synonym zu „Menschheit“), wobei die meisten Übersetzungen sich für die letzte Variante entscheiden.</w:t>
      </w:r>
    </w:p>
  </w:footnote>
  <w:footnote w:id="4448">
    <w:p>
      <w:pPr>
        <w:pStyle w:val="Funote"/>
        <w:rPr/>
      </w:pPr>
      <w:r>
        <w:rPr>
          <w:rStyle w:val="Funotenzeichen"/>
        </w:rPr>
        <w:footnoteRef/>
      </w:r>
      <w:r>
        <w:rPr>
          <w:i/>
        </w:rPr>
        <w:tab/>
        <w:t>Als … da</w:t>
      </w:r>
      <w:r>
        <w:rPr/>
        <w:t xml:space="preserve"> W. „Und … und“, hier als temporales Verhältnis verstanden und übersetzt.</w:t>
      </w:r>
    </w:p>
  </w:footnote>
  <w:footnote w:id="4449">
    <w:p>
      <w:pPr>
        <w:pStyle w:val="Funote"/>
        <w:rPr/>
      </w:pPr>
      <w:r>
        <w:rPr>
          <w:rStyle w:val="Funotenzeichen"/>
        </w:rPr>
        <w:footnoteRef/>
      </w:r>
      <w:r>
        <w:rPr/>
        <w:tab/>
        <w:t>bricht an ihr die Ehe D.h. »bricht so die Ehe, die mit der ersten Frau bestand« (vgl. Collins 2007, 469).</w:t>
      </w:r>
    </w:p>
  </w:footnote>
  <w:footnote w:id="4450">
    <w:p>
      <w:pPr>
        <w:pStyle w:val="Funote"/>
        <w:rPr/>
      </w:pPr>
      <w:r>
        <w:rPr>
          <w:rStyle w:val="Funotenzeichen"/>
        </w:rPr>
        <w:footnoteRef/>
      </w:r>
      <w:r>
        <w:rPr>
          <w:i/>
        </w:rPr>
        <w:tab/>
        <w:t>sie sich ... geschieden hat und</w:t>
      </w:r>
      <w:r>
        <w:rPr/>
        <w:t xml:space="preserve"> </w:t>
      </w:r>
      <w:hyperlink r:id="rId445">
        <w:r>
          <w:rPr>
            <w:rStyle w:val="Internetverknpfung"/>
          </w:rPr>
          <w:t>Ptz. conj.</w:t>
        </w:r>
      </w:hyperlink>
      <w:r>
        <w:rPr/>
        <w:t>, beigeordnet aufgelöst.</w:t>
      </w:r>
    </w:p>
  </w:footnote>
  <w:footnote w:id="4451">
    <w:p>
      <w:pPr>
        <w:pStyle w:val="Funote"/>
        <w:rPr/>
      </w:pPr>
      <w:r>
        <w:rPr>
          <w:rStyle w:val="Funotenzeichen"/>
        </w:rPr>
        <w:footnoteRef/>
      </w:r>
      <w:r>
        <w:rPr/>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452">
    <w:p>
      <w:pPr>
        <w:pStyle w:val="Funote"/>
        <w:rPr/>
      </w:pPr>
      <w:r>
        <w:rPr>
          <w:rStyle w:val="Funotenzeichen"/>
        </w:rPr>
        <w:footnoteRef/>
      </w:r>
      <w:r>
        <w:rPr/>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453">
    <w:p>
      <w:pPr>
        <w:pStyle w:val="Funote"/>
        <w:rPr/>
      </w:pPr>
      <w:r>
        <w:rPr>
          <w:rStyle w:val="Funotenzeichen"/>
        </w:rPr>
        <w:footnoteRef/>
      </w:r>
      <w:r>
        <w:rPr>
          <w:i/>
        </w:rPr>
        <w:tab/>
        <w:t>als Jesus [das] sah</w:t>
      </w:r>
      <w:r>
        <w:rPr/>
        <w:t xml:space="preserve"> Temporales </w:t>
      </w:r>
      <w:hyperlink r:id="rId446">
        <w:r>
          <w:rPr>
            <w:rStyle w:val="Internetverknpfung"/>
          </w:rPr>
          <w:t>Ptz. conj.</w:t>
        </w:r>
      </w:hyperlink>
      <w:r>
        <w:rPr/>
        <w:t>, als Nebensatz aufgelöst.</w:t>
      </w:r>
    </w:p>
  </w:footnote>
  <w:footnote w:id="4454">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55">
    <w:p>
      <w:pPr>
        <w:pStyle w:val="Funote"/>
        <w:rPr/>
      </w:pPr>
      <w:r>
        <w:rPr>
          <w:rStyle w:val="Funotenzeichen"/>
        </w:rPr>
        <w:footnoteRef/>
      </w:r>
      <w:r>
        <w:rPr/>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456">
    <w:p>
      <w:pPr>
        <w:pStyle w:val="Funote"/>
        <w:rPr/>
      </w:pPr>
      <w:r>
        <w:rPr>
          <w:rStyle w:val="Funotenzeichen"/>
        </w:rPr>
        <w:footnoteRef/>
      </w:r>
      <w:r>
        <w:rPr>
          <w:i/>
        </w:rPr>
        <w:tab/>
        <w:t>er nahm sie in die Arme und</w:t>
      </w:r>
      <w:r>
        <w:rPr/>
        <w:t xml:space="preserve"> </w:t>
      </w:r>
      <w:hyperlink r:id="rId447">
        <w:r>
          <w:rPr>
            <w:rStyle w:val="Internetverknpfung"/>
          </w:rPr>
          <w:t>Ptz. conj.</w:t>
        </w:r>
      </w:hyperlink>
      <w:r>
        <w:rPr/>
        <w:t>, beigeordnet aufgelöst.</w:t>
      </w:r>
    </w:p>
  </w:footnote>
  <w:footnote w:id="4457">
    <w:p>
      <w:pPr>
        <w:pStyle w:val="Funote"/>
        <w:rPr/>
      </w:pPr>
      <w:r>
        <w:rPr>
          <w:rStyle w:val="Funotenzeichen"/>
        </w:rPr>
        <w:footnoteRef/>
      </w:r>
      <w:r>
        <w:rPr>
          <w:i/>
        </w:rPr>
        <w:tab/>
        <w:t>indem er … auflegte</w:t>
      </w:r>
      <w:r>
        <w:rPr/>
        <w:t xml:space="preserve"> Modales </w:t>
      </w:r>
      <w:hyperlink r:id="rId448">
        <w:r>
          <w:rPr>
            <w:rStyle w:val="Internetverknpfung"/>
          </w:rPr>
          <w:t>Ptz. conj.</w:t>
        </w:r>
      </w:hyperlink>
      <w:r>
        <w:rPr/>
        <w:t>, als Nebensatz aufgelöst.</w:t>
      </w:r>
    </w:p>
  </w:footnote>
  <w:footnote w:id="4458">
    <w:p>
      <w:pPr>
        <w:pStyle w:val="Funote"/>
        <w:rPr/>
      </w:pPr>
      <w:r>
        <w:rPr>
          <w:rStyle w:val="Funotenzeichen"/>
        </w:rPr>
        <w:footnoteRef/>
      </w:r>
      <w:r>
        <w:rPr>
          <w:i/>
        </w:rPr>
        <w:tab/>
        <w:t>kam angerannt und kniete sich hin</w:t>
      </w:r>
      <w:r>
        <w:rPr/>
        <w:t xml:space="preserve"> Temp. </w:t>
      </w:r>
      <w:hyperlink r:id="rId449">
        <w:r>
          <w:rPr>
            <w:rStyle w:val="Internetverknpfung"/>
          </w:rPr>
          <w:t>Ptz. conj.</w:t>
        </w:r>
      </w:hyperlink>
      <w:r>
        <w:rPr/>
        <w:t xml:space="preserve"> (2x), hier als separater Hauptsatz wiedergeben.</w:t>
      </w:r>
    </w:p>
  </w:footnote>
  <w:footnote w:id="4459">
    <w:p>
      <w:pPr>
        <w:pStyle w:val="Funote"/>
        <w:rPr/>
      </w:pPr>
      <w:r>
        <w:rPr>
          <w:rStyle w:val="Funotenzeichen"/>
        </w:rPr>
        <w:footnoteRef/>
      </w:r>
      <w:r>
        <w:rPr/>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460">
    <w:p>
      <w:pPr>
        <w:pStyle w:val="Funote"/>
        <w:rPr/>
      </w:pPr>
      <w:r>
        <w:rPr>
          <w:rStyle w:val="Funotenzeichen"/>
        </w:rPr>
        <w:footnoteRef/>
      </w:r>
      <w:r>
        <w:rPr/>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461">
    <w:p>
      <w:pPr>
        <w:pStyle w:val="Funote"/>
        <w:rPr/>
      </w:pPr>
      <w:r>
        <w:rPr>
          <w:rStyle w:val="Funotenzeichen"/>
        </w:rPr>
        <w:footnoteRef/>
      </w:r>
      <w:r>
        <w:rPr>
          <w:i/>
        </w:rPr>
        <w:tab/>
        <w:t>sah ihn an und</w:t>
      </w:r>
      <w:r>
        <w:rPr/>
        <w:t xml:space="preserve"> Beigeordnet aufgelöstes </w:t>
      </w:r>
      <w:hyperlink r:id="rId450">
        <w:r>
          <w:rPr>
            <w:rStyle w:val="Internetverknpfung"/>
          </w:rPr>
          <w:t>Ptz. conj.</w:t>
        </w:r>
      </w:hyperlink>
      <w:r>
        <w:rPr/>
        <w:t>.</w:t>
      </w:r>
    </w:p>
  </w:footnote>
  <w:footnote w:id="4462">
    <w:p>
      <w:pPr>
        <w:pStyle w:val="Funote"/>
        <w:rPr/>
      </w:pPr>
      <w:r>
        <w:rPr>
          <w:rStyle w:val="Funotenzeichen"/>
        </w:rPr>
        <w:footnoteRef/>
      </w:r>
      <w:r>
        <w:rPr/>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463">
    <w:p>
      <w:pPr>
        <w:pStyle w:val="Funote"/>
        <w:rPr/>
      </w:pPr>
      <w:r>
        <w:rPr>
          <w:rStyle w:val="Funotenzeichen"/>
        </w:rPr>
        <w:footnoteRef/>
      </w:r>
      <w:r>
        <w:rPr>
          <w:i/>
        </w:rPr>
        <w:tab/>
        <w:t>erschüttert (getroffen; enttäuscht)</w:t>
      </w:r>
      <w:r>
        <w:rPr/>
        <w:t xml:space="preserve">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464">
    <w:p>
      <w:pPr>
        <w:pStyle w:val="Funote"/>
        <w:rPr/>
      </w:pPr>
      <w:r>
        <w:rPr>
          <w:rStyle w:val="Funotenzeichen"/>
        </w:rPr>
        <w:footnoteRef/>
      </w:r>
      <w:r>
        <w:rPr>
          <w:i/>
        </w:rPr>
        <w:tab/>
        <w:t>war erschüttert … und</w:t>
      </w:r>
      <w:r>
        <w:rPr/>
        <w:t xml:space="preserve"> </w:t>
      </w:r>
      <w:hyperlink r:id="rId451">
        <w:r>
          <w:rPr>
            <w:rStyle w:val="Internetverknpfung"/>
          </w:rPr>
          <w:t>Ptz. conj.</w:t>
        </w:r>
      </w:hyperlink>
      <w:r>
        <w:rPr/>
        <w:t>, beigeordnet aufgelöst.</w:t>
      </w:r>
    </w:p>
  </w:footnote>
  <w:footnote w:id="4465">
    <w:p>
      <w:pPr>
        <w:pStyle w:val="Funote"/>
        <w:rPr/>
      </w:pPr>
      <w:r>
        <w:rPr>
          <w:rStyle w:val="Funotenzeichen"/>
        </w:rPr>
        <w:footnoteRef/>
      </w:r>
      <w:r>
        <w:rPr>
          <w:i/>
        </w:rPr>
        <w:tab/>
        <w:t>er besaß</w:t>
      </w:r>
      <w:r>
        <w:rPr/>
        <w:t xml:space="preserve"> </w:t>
      </w:r>
      <w:hyperlink r:id="rId452">
        <w:r>
          <w:rPr>
            <w:rStyle w:val="Internetverknpfung"/>
          </w:rPr>
          <w:t>Pleonastisches Ptz.</w:t>
        </w:r>
      </w:hyperlink>
    </w:p>
  </w:footnote>
  <w:footnote w:id="4466">
    <w:p>
      <w:pPr>
        <w:pStyle w:val="Funote"/>
        <w:rPr/>
      </w:pPr>
      <w:r>
        <w:rPr>
          <w:rStyle w:val="Funotenzeichen"/>
        </w:rPr>
        <w:footnoteRef/>
      </w:r>
      <w:r>
        <w:rPr>
          <w:i/>
        </w:rPr>
        <w:tab/>
        <w:t>schaute sich um und</w:t>
      </w:r>
      <w:r>
        <w:rPr/>
        <w:t xml:space="preserve"> </w:t>
      </w:r>
      <w:hyperlink r:id="rId453">
        <w:r>
          <w:rPr>
            <w:rStyle w:val="Internetverknpfung"/>
          </w:rPr>
          <w:t>Ptz. conj.</w:t>
        </w:r>
      </w:hyperlink>
      <w:r>
        <w:rPr/>
        <w:t>, beigeordnet aufgelöst. Eine weitere mögliche Auflösung wäre z.B. „mit/nach einem Blick in die Runde“</w:t>
      </w:r>
    </w:p>
  </w:footnote>
  <w:footnote w:id="4467">
    <w:p>
      <w:pPr>
        <w:pStyle w:val="Funote"/>
        <w:rPr/>
      </w:pPr>
      <w:r>
        <w:rPr>
          <w:rStyle w:val="Funotenzeichen"/>
        </w:rPr>
        <w:footnoteRef/>
      </w:r>
      <w:r>
        <w:rPr/>
        <w:tab/>
        <w:t>die Wohlhabenden W. etwa »diejenigen, welche {die} Güter/Reichtümer haben« (subst. Ptz.), oder wie NGÜ: »Menschen, die viel besitzen«</w:t>
      </w:r>
    </w:p>
  </w:footnote>
  <w:footnote w:id="4468">
    <w:p>
      <w:pPr>
        <w:pStyle w:val="Funote"/>
        <w:rPr/>
      </w:pPr>
      <w:r>
        <w:rPr>
          <w:rStyle w:val="Funotenzeichen"/>
        </w:rPr>
        <w:footnoteRef/>
      </w:r>
      <w:r>
        <w:rPr>
          <w:i/>
        </w:rPr>
        <w:tab/>
        <w:t>überrascht (bestürzt, entgeistert)</w:t>
      </w:r>
      <w:r>
        <w:rPr/>
        <w:t xml:space="preserve"> D.h. sie hatten so eine Aussage von Jesus nicht erwartet.</w:t>
      </w:r>
    </w:p>
  </w:footnote>
  <w:footnote w:id="4469">
    <w:p>
      <w:pPr>
        <w:pStyle w:val="Funote"/>
        <w:rPr/>
      </w:pPr>
      <w:r>
        <w:rPr>
          <w:rStyle w:val="Funotenzeichen"/>
        </w:rPr>
        <w:footnoteRef/>
      </w:r>
      <w:r>
        <w:rPr/>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470">
    <w:p>
      <w:pPr>
        <w:pStyle w:val="Funote"/>
        <w:rPr/>
      </w:pPr>
      <w:r>
        <w:rPr>
          <w:rStyle w:val="Funotenzeichen"/>
        </w:rPr>
        <w:footnoteRef/>
      </w:r>
      <w:r>
        <w:rPr/>
        <w:tab/>
        <w:t>Kinder D.h. etwa »Leute«, eine freundliche Anrede an die Jüngergruppe (vgl. France 2002, 404). Vgl. Joh 21,5, wo die Wiedergabe mit »Männer« etwas angemessener ist und den Vorzug erhielt.</w:t>
      </w:r>
    </w:p>
  </w:footnote>
  <w:footnote w:id="4471">
    <w:p>
      <w:pPr>
        <w:pStyle w:val="Funote"/>
        <w:rPr/>
      </w:pPr>
      <w:r>
        <w:rPr>
          <w:rStyle w:val="Funotenzeichen"/>
        </w:rPr>
        <w:footnoteRef/>
      </w:r>
      <w:r>
        <w:rPr/>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472">
    <w:p>
      <w:pPr>
        <w:pStyle w:val="Funote"/>
        <w:rPr/>
      </w:pPr>
      <w:r>
        <w:rPr>
          <w:rStyle w:val="Funotenzeichen"/>
        </w:rPr>
        <w:footnoteRef/>
      </w:r>
      <w:r>
        <w:rPr/>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473">
    <w:p>
      <w:pPr>
        <w:pStyle w:val="Funote"/>
        <w:rPr/>
      </w:pPr>
      <w:r>
        <w:rPr>
          <w:rStyle w:val="Funotenzeichen"/>
        </w:rPr>
        <w:footnoteRef/>
      </w:r>
      <w:r>
        <w:rPr>
          <w:i/>
        </w:rPr>
        <w:tab/>
        <w:t>und sagten</w:t>
      </w:r>
      <w:r>
        <w:rPr/>
        <w:t xml:space="preserve"> </w:t>
      </w:r>
      <w:hyperlink r:id="rId454">
        <w:r>
          <w:rPr>
            <w:rStyle w:val="Internetverknpfung"/>
          </w:rPr>
          <w:t>Ptz. conj.</w:t>
        </w:r>
      </w:hyperlink>
      <w:r>
        <w:rPr/>
        <w:t xml:space="preserve">, beigeordnet aufgelöst. </w:t>
      </w:r>
    </w:p>
  </w:footnote>
  <w:footnote w:id="4474">
    <w:p>
      <w:pPr>
        <w:pStyle w:val="Funote"/>
        <w:rPr/>
      </w:pPr>
      <w:r>
        <w:rPr>
          <w:rStyle w:val="Funotenzeichen"/>
        </w:rPr>
        <w:footnoteRef/>
      </w:r>
      <w:r>
        <w:rPr>
          <w:i/>
        </w:rPr>
        <w:tab/>
        <w:t>sah an und</w:t>
      </w:r>
      <w:r>
        <w:rPr/>
        <w:t xml:space="preserve"> </w:t>
      </w:r>
      <w:hyperlink r:id="rId455">
        <w:r>
          <w:rPr>
            <w:rStyle w:val="Internetverknpfung"/>
          </w:rPr>
          <w:t>Ptz. conj.</w:t>
        </w:r>
      </w:hyperlink>
      <w:r>
        <w:rPr/>
        <w:t xml:space="preserve">, beigeordnet aufgelöst. </w:t>
      </w:r>
    </w:p>
  </w:footnote>
  <w:footnote w:id="4475">
    <w:p>
      <w:pPr>
        <w:pStyle w:val="Funote"/>
        <w:rPr/>
      </w:pPr>
      <w:r>
        <w:rPr>
          <w:rStyle w:val="Funotenzeichen"/>
        </w:rPr>
        <w:footnoteRef/>
      </w:r>
      <w:r>
        <w:rPr>
          <w:i/>
        </w:rPr>
        <w:tab/>
        <w:t>sagte</w:t>
      </w:r>
      <w:r>
        <w:rPr/>
        <w:t xml:space="preserve"> W. „fing an zu sagen“, eine bei Markus typische Wendung, wo „anfangen“ sehr schwache Bedeutung hat.</w:t>
      </w:r>
    </w:p>
  </w:footnote>
  <w:footnote w:id="4476">
    <w:p>
      <w:pPr>
        <w:pStyle w:val="Funote"/>
        <w:rPr/>
      </w:pPr>
      <w:r>
        <w:rPr>
          <w:rStyle w:val="Funotenzeichen"/>
        </w:rPr>
        <w:footnoteRef/>
      </w:r>
      <w:r>
        <w:rPr/>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477">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78">
    <w:p>
      <w:pPr>
        <w:pStyle w:val="Funote"/>
        <w:rPr/>
      </w:pPr>
      <w:r>
        <w:rPr>
          <w:rStyle w:val="Funotenzeichen"/>
        </w:rPr>
        <w:footnoteRef/>
      </w:r>
      <w:r>
        <w:rPr>
          <w:i/>
        </w:rPr>
        <w:tab/>
        <w:t>der nicht</w:t>
      </w:r>
      <w:r>
        <w:rPr/>
        <w:t xml:space="preserve"> W. „(Es gibt niemanden (V. 29)...,) wenn er nicht“</w:t>
      </w:r>
    </w:p>
  </w:footnote>
  <w:footnote w:id="4479">
    <w:p>
      <w:pPr>
        <w:pStyle w:val="Funote"/>
        <w:rPr/>
      </w:pPr>
      <w:r>
        <w:rPr>
          <w:rStyle w:val="Funotenzeichen"/>
        </w:rPr>
        <w:footnoteRef/>
      </w:r>
      <w:r>
        <w:rPr/>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480">
    <w:p>
      <w:pPr>
        <w:pStyle w:val="Funote"/>
        <w:rPr/>
      </w:pPr>
      <w:r>
        <w:rPr>
          <w:rStyle w:val="Funotenzeichen"/>
        </w:rPr>
        <w:footnoteRef/>
      </w:r>
      <w:r>
        <w:rPr/>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481">
    <w:p>
      <w:pPr>
        <w:pStyle w:val="Funote"/>
        <w:rPr/>
      </w:pPr>
      <w:r>
        <w:rPr>
          <w:rStyle w:val="Funotenzeichen"/>
        </w:rPr>
        <w:footnoteRef/>
      </w:r>
      <w:r>
        <w:rPr/>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482">
    <w:p>
      <w:pPr>
        <w:pStyle w:val="Funote"/>
        <w:rPr/>
      </w:pPr>
      <w:r>
        <w:rPr>
          <w:rStyle w:val="Funotenzeichen"/>
        </w:rPr>
        <w:footnoteRef/>
      </w:r>
      <w:r>
        <w:rPr/>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483">
    <w:p>
      <w:pPr>
        <w:pStyle w:val="Funote"/>
        <w:rPr/>
      </w:pPr>
      <w:r>
        <w:rPr>
          <w:rStyle w:val="Funotenzeichen"/>
        </w:rPr>
        <w:footnoteRef/>
      </w:r>
      <w:r>
        <w:rPr>
          <w:i/>
        </w:rPr>
        <w:tab/>
        <w:t>nahm beiseite und</w:t>
      </w:r>
      <w:r>
        <w:rPr/>
        <w:t xml:space="preserve"> </w:t>
      </w:r>
      <w:hyperlink r:id="rId456">
        <w:r>
          <w:rPr>
            <w:rStyle w:val="Internetverknpfung"/>
          </w:rPr>
          <w:t>Ptz. conj.</w:t>
        </w:r>
      </w:hyperlink>
      <w:r>
        <w:rPr/>
        <w:t xml:space="preserve">, beigeordnet aufgelöst. </w:t>
      </w:r>
      <w:r>
        <w:rPr>
          <w:i/>
        </w:rPr>
        <w:t>teilte ihnen mit</w:t>
      </w:r>
      <w:r>
        <w:rPr/>
        <w:t xml:space="preserve"> W. „begann ihnen zu sagen“</w:t>
      </w:r>
    </w:p>
  </w:footnote>
  <w:footnote w:id="4484">
    <w:p>
      <w:pPr>
        <w:pStyle w:val="Funote"/>
        <w:rPr/>
      </w:pPr>
      <w:r>
        <w:rPr>
          <w:rStyle w:val="Funotenzeichen"/>
        </w:rPr>
        <w:footnoteRef/>
      </w:r>
      <w:r>
        <w:rPr/>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485">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486">
    <w:p>
      <w:pPr>
        <w:pStyle w:val="Funote"/>
        <w:rPr/>
      </w:pPr>
      <w:r>
        <w:rPr>
          <w:rStyle w:val="Funotenzeichen"/>
        </w:rPr>
        <w:footnoteRef/>
      </w:r>
      <w:r>
        <w:rPr>
          <w:i/>
        </w:rPr>
        <w:tab/>
        <w:t>[für] uns</w:t>
      </w:r>
      <w:r>
        <w:rPr/>
        <w:t xml:space="preserve"> </w:t>
      </w:r>
      <w:hyperlink r:id="rId457">
        <w:r>
          <w:rPr>
            <w:rStyle w:val="Internetverknpfung"/>
          </w:rPr>
          <w:t>Dat. commodi</w:t>
        </w:r>
      </w:hyperlink>
      <w:r>
        <w:rPr/>
        <w:t>.</w:t>
      </w:r>
    </w:p>
  </w:footnote>
  <w:footnote w:id="4487">
    <w:p>
      <w:pPr>
        <w:pStyle w:val="Funote"/>
        <w:rPr/>
      </w:pPr>
      <w:r>
        <w:rPr>
          <w:rStyle w:val="Funotenzeichen"/>
        </w:rPr>
        <w:footnoteRef/>
      </w:r>
      <w:r>
        <w:rPr>
          <w:i/>
        </w:rPr>
        <w:tab/>
        <w:t>[für] euch</w:t>
      </w:r>
      <w:r>
        <w:rPr/>
        <w:t xml:space="preserve"> </w:t>
      </w:r>
      <w:hyperlink r:id="rId458">
        <w:r>
          <w:rPr>
            <w:rStyle w:val="Internetverknpfung"/>
          </w:rPr>
          <w:t>Dat. commodi</w:t>
        </w:r>
      </w:hyperlink>
      <w:r>
        <w:rPr/>
        <w:t>.</w:t>
      </w:r>
    </w:p>
  </w:footnote>
  <w:footnote w:id="4488">
    <w:p>
      <w:pPr>
        <w:pStyle w:val="Funote"/>
        <w:rPr/>
      </w:pPr>
      <w:r>
        <w:rPr>
          <w:rStyle w:val="Funotenzeichen"/>
        </w:rPr>
        <w:footnoteRef/>
      </w:r>
      <w:r>
        <w:rPr>
          <w:i/>
        </w:rPr>
        <w:tab/>
        <w:t>Gestatte uns</w:t>
      </w:r>
      <w:r>
        <w:rPr/>
        <w:t xml:space="preserve"> W. „Gib uns“, was wohl eine respektvolle Formulierung ist.</w:t>
      </w:r>
    </w:p>
  </w:footnote>
  <w:footnote w:id="4489">
    <w:p>
      <w:pPr>
        <w:pStyle w:val="Funote"/>
        <w:rPr/>
      </w:pPr>
      <w:r>
        <w:rPr>
          <w:rStyle w:val="Funotenzeichen"/>
        </w:rPr>
        <w:footnoteRef/>
      </w:r>
      <w:r>
        <w:rPr/>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490">
    <w:p>
      <w:pPr>
        <w:pStyle w:val="Funote"/>
        <w:rPr/>
      </w:pPr>
      <w:r>
        <w:rPr>
          <w:rStyle w:val="Funotenzeichen"/>
        </w:rPr>
        <w:footnoteRef/>
      </w:r>
      <w:r>
        <w:rPr>
          <w:i/>
        </w:rPr>
        <w:tab/>
        <w:t>Becher (Kelch) trinken, den ich trinke</w:t>
      </w:r>
      <w:r>
        <w:rPr/>
        <w:t xml:space="preserve"> - Metapher, die sich auch in </w:t>
      </w:r>
      <w:r>
        <w:fldChar w:fldCharType="begin"/>
      </w:r>
      <w:r>
        <w:rPr>
          <w:rStyle w:val="Internetverknpfung"/>
        </w:rPr>
        <w:instrText> HYPERLINK "../../../../../../../../../wiki/Markus_14" \l "s36"</w:instrText>
      </w:r>
      <w:r>
        <w:rPr>
          <w:rStyle w:val="Internetverknpfung"/>
        </w:rPr>
        <w:fldChar w:fldCharType="separate"/>
      </w:r>
      <w:r>
        <w:rPr>
          <w:rStyle w:val="Internetverknpfung"/>
        </w:rPr>
        <w:t>Mk 14,36</w:t>
      </w:r>
      <w:r>
        <w:rPr>
          <w:rStyle w:val="Internetverknpfung"/>
        </w:rPr>
        <w:fldChar w:fldCharType="end"/>
      </w:r>
      <w:r>
        <w:rPr/>
        <w:t xml:space="preserve"> findet. Diese Stelle, MartPol 14,2 („Ich danke dir, dass ich zu deinen Märtyrern gehören und am Kelch Christi teilhaben darf“), MartJes 5,13 (Jesaja bei seinem gewaltsamen Tod: „Nur für mich hat Gott diesen Kelch gemischt“) und der Ausdruck „(bitterer) Kelch des Todes“ für den Tod in TestAb 16,12; TgN zu Dtn 32,1 und TgN, TgJ, TgF zu Gen 40,23 legen nahe, dass die Rede vom „Kelch“, den jemand trinken muss, metaphorisch für den (gewaltsamen?) Tod (eines Gerechten?) steht. Verwandt ist vielleicht der Ausdruck „den Tod schmecken“ für „sterben“ in </w:t>
      </w:r>
      <w:r>
        <w:fldChar w:fldCharType="begin"/>
      </w:r>
      <w:r>
        <w:rPr>
          <w:rStyle w:val="Internetverknpfung"/>
        </w:rPr>
        <w:instrText> HYPERLINK "../../../../../../../../../wiki/Markus_9" \l "s1"</w:instrText>
      </w:r>
      <w:r>
        <w:rPr>
          <w:rStyle w:val="Internetverknpfung"/>
        </w:rPr>
        <w:fldChar w:fldCharType="separate"/>
      </w:r>
      <w:r>
        <w:rPr>
          <w:rStyle w:val="Internetverknpfung"/>
        </w:rPr>
        <w:t>Mk 9,1</w:t>
      </w:r>
      <w:r>
        <w:rPr>
          <w:rStyle w:val="Internetverknpfung"/>
        </w:rPr>
        <w:fldChar w:fldCharType="end"/>
      </w:r>
      <w:r>
        <w:rPr/>
        <w:t xml:space="preserve">; </w:t>
      </w:r>
      <w:r>
        <w:fldChar w:fldCharType="begin"/>
      </w:r>
      <w:r>
        <w:rPr>
          <w:rStyle w:val="Internetverknpfung"/>
        </w:rPr>
        <w:instrText> HYPERLINK "../../../../../../../../../wiki/Johannes_8" \l "s52"</w:instrText>
      </w:r>
      <w:r>
        <w:rPr>
          <w:rStyle w:val="Internetverknpfung"/>
        </w:rPr>
        <w:fldChar w:fldCharType="separate"/>
      </w:r>
      <w:r>
        <w:rPr>
          <w:rStyle w:val="Internetverknpfung"/>
        </w:rPr>
        <w:t>Joh 8,52</w:t>
      </w:r>
      <w:r>
        <w:rPr>
          <w:rStyle w:val="Internetverknpfung"/>
        </w:rPr>
        <w:fldChar w:fldCharType="end"/>
      </w:r>
      <w:r>
        <w:rPr/>
        <w:t xml:space="preserve">; </w:t>
      </w:r>
      <w:hyperlink r:id="rId459">
        <w:r>
          <w:rPr>
            <w:rStyle w:val="Internetverknpfung"/>
          </w:rPr>
          <w:t>Heb 2,9</w:t>
        </w:r>
      </w:hyperlink>
      <w:r>
        <w:rPr/>
        <w:t xml:space="preserve"> und häufiger in der frühjüdischen Literatur.</w:t>
        <w:br/>
        <w:t>In der Tat ist Johannes der einzige der Zwölf, von dem kein Märtyrertod überliefert ist; er musste Jesu Becher nicht trinken.</w:t>
      </w:r>
    </w:p>
  </w:footnote>
  <w:footnote w:id="4491">
    <w:p>
      <w:pPr>
        <w:pStyle w:val="Funote"/>
        <w:rPr/>
      </w:pPr>
      <w:r>
        <w:rPr>
          <w:rStyle w:val="Funotenzeichen"/>
        </w:rPr>
        <w:footnoteRef/>
      </w:r>
      <w:r>
        <w:rPr/>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492">
    <w:p>
      <w:pPr>
        <w:pStyle w:val="Funote"/>
        <w:rPr/>
      </w:pPr>
      <w:r>
        <w:rPr>
          <w:rStyle w:val="Funotenzeichen"/>
        </w:rPr>
        <w:footnoteRef/>
      </w:r>
      <w:r>
        <w:rPr>
          <w:i/>
        </w:rPr>
        <w:tab/>
        <w:t>gewähren</w:t>
      </w:r>
      <w:r>
        <w:rPr/>
        <w:t xml:space="preserve"> W. „geben“ (vgl. V. 37)</w:t>
      </w:r>
    </w:p>
  </w:footnote>
  <w:footnote w:id="4493">
    <w:p>
      <w:pPr>
        <w:pStyle w:val="Funote"/>
        <w:rPr/>
      </w:pPr>
      <w:r>
        <w:rPr>
          <w:rStyle w:val="Funotenzeichen"/>
        </w:rPr>
        <w:footnoteRef/>
      </w:r>
      <w:r>
        <w:rPr/>
        <w:tab/>
        <w:t>sondern [das Sitzen steht denjenigen zu], [für] die es vorgesehen (bestimmt, bereitet) ist D.h. »Auf diesen Plätzen werden diejenigen Sitzen, die dafür vorgesehen sind«, und zwar (wie das Passiv anzeigt) von Gott (France 2002, 417). [für] die Dat. commodi.</w:t>
      </w:r>
    </w:p>
  </w:footnote>
  <w:footnote w:id="4494">
    <w:p>
      <w:pPr>
        <w:pStyle w:val="Funote"/>
        <w:rPr/>
      </w:pPr>
      <w:r>
        <w:rPr>
          <w:rStyle w:val="Funotenzeichen"/>
        </w:rPr>
        <w:footnoteRef/>
      </w:r>
      <w:r>
        <w:rPr>
          <w:i/>
        </w:rPr>
        <w:tab/>
        <w:t>als ... hörten</w:t>
      </w:r>
      <w:r>
        <w:rPr/>
        <w:t xml:space="preserve"> </w:t>
      </w:r>
      <w:hyperlink r:id="rId460">
        <w:r>
          <w:rPr>
            <w:rStyle w:val="Internetverknpfung"/>
          </w:rPr>
          <w:t>Ptz. conj.</w:t>
        </w:r>
      </w:hyperlink>
      <w:r>
        <w:rPr/>
        <w:t>, als temporaler Nebensatz aufgelöst.</w:t>
      </w:r>
    </w:p>
  </w:footnote>
  <w:footnote w:id="4495">
    <w:p>
      <w:pPr>
        <w:pStyle w:val="Funote"/>
        <w:rPr/>
      </w:pPr>
      <w:r>
        <w:rPr>
          <w:rStyle w:val="Funotenzeichen"/>
        </w:rPr>
        <w:footnoteRef/>
      </w:r>
      <w:r>
        <w:rPr>
          <w:i/>
        </w:rPr>
        <w:tab/>
        <w:t>waren sie wütend</w:t>
      </w:r>
      <w:r>
        <w:rPr/>
        <w:t xml:space="preserve"> W. „begannen sie, wütend zu sein“</w:t>
      </w:r>
    </w:p>
  </w:footnote>
  <w:footnote w:id="4496">
    <w:p>
      <w:pPr>
        <w:pStyle w:val="Funote"/>
        <w:rPr/>
      </w:pPr>
      <w:r>
        <w:rPr>
          <w:rStyle w:val="Funotenzeichen"/>
        </w:rPr>
        <w:footnoteRef/>
      </w:r>
      <w:r>
        <w:rPr/>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497">
    <w:p>
      <w:pPr>
        <w:pStyle w:val="Funote"/>
        <w:rPr/>
      </w:pPr>
      <w:r>
        <w:rPr>
          <w:rStyle w:val="Funotenzeichen"/>
        </w:rPr>
        <w:footnoteRef/>
      </w:r>
      <w:r>
        <w:rPr>
          <w:i/>
        </w:rPr>
        <w:tab/>
        <w:t>die Menschen</w:t>
      </w:r>
      <w:r>
        <w:rPr/>
        <w:t xml:space="preserve"> W. „sie“, d.h. ihre Völker oder Untertanen.</w:t>
      </w:r>
    </w:p>
  </w:footnote>
  <w:footnote w:id="4498">
    <w:p>
      <w:pPr>
        <w:pStyle w:val="Funote"/>
        <w:rPr/>
      </w:pPr>
      <w:r>
        <w:rPr>
          <w:rStyle w:val="Funotenzeichen"/>
        </w:rPr>
        <w:footnoteRef/>
      </w:r>
      <w:r>
        <w:rPr/>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499">
    <w:p>
      <w:pPr>
        <w:pStyle w:val="Funote"/>
        <w:rPr/>
      </w:pPr>
      <w:r>
        <w:rPr>
          <w:rStyle w:val="Funotenzeichen"/>
        </w:rPr>
        <w:footnoteRef/>
      </w:r>
      <w:r>
        <w:rPr/>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500">
    <w:p>
      <w:pPr>
        <w:pStyle w:val="Funote"/>
        <w:rPr/>
      </w:pPr>
      <w:r>
        <w:rPr>
          <w:rStyle w:val="Funotenzeichen"/>
        </w:rPr>
        <w:footnoteRef/>
      </w:r>
      <w:r>
        <w:rPr/>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501">
    <w:p>
      <w:pPr>
        <w:pStyle w:val="Funote"/>
        <w:rPr/>
      </w:pPr>
      <w:r>
        <w:rPr>
          <w:rStyle w:val="Funotenzeichen"/>
        </w:rPr>
        <w:footnoteRef/>
      </w:r>
      <w:r>
        <w:rPr>
          <w:i/>
        </w:rPr>
        <w:tab/>
        <w:t>als er hörte</w:t>
      </w:r>
      <w:r>
        <w:rPr/>
        <w:t xml:space="preserve"> </w:t>
      </w:r>
      <w:hyperlink r:id="rId461">
        <w:r>
          <w:rPr>
            <w:rStyle w:val="Internetverknpfung"/>
          </w:rPr>
          <w:t>Ptz. conj.</w:t>
        </w:r>
      </w:hyperlink>
      <w:r>
        <w:rPr/>
        <w:t>, als temporaler Nebensatz aufgelöst.</w:t>
      </w:r>
    </w:p>
  </w:footnote>
  <w:footnote w:id="4502">
    <w:p>
      <w:pPr>
        <w:pStyle w:val="Funote"/>
        <w:rPr/>
      </w:pPr>
      <w:r>
        <w:rPr>
          <w:rStyle w:val="Funotenzeichen"/>
        </w:rPr>
        <w:footnoteRef/>
      </w:r>
      <w:r>
        <w:rPr/>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503">
    <w:p>
      <w:pPr>
        <w:pStyle w:val="Funote"/>
        <w:rPr/>
      </w:pPr>
      <w:r>
        <w:rPr>
          <w:rStyle w:val="Funotenzeichen"/>
        </w:rPr>
        <w:footnoteRef/>
      </w:r>
      <w:r>
        <w:rPr/>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504">
    <w:p>
      <w:pPr>
        <w:pStyle w:val="Funote"/>
        <w:rPr/>
      </w:pPr>
      <w:r>
        <w:rPr>
          <w:rStyle w:val="Funotenzeichen"/>
        </w:rPr>
        <w:footnoteRef/>
      </w:r>
      <w:r>
        <w:rPr>
          <w:i/>
        </w:rPr>
        <w:tab/>
        <w:t>warf er … ab, sprang auf und</w:t>
      </w:r>
      <w:r>
        <w:rPr/>
        <w:t xml:space="preserve"> </w:t>
      </w:r>
      <w:hyperlink r:id="rId462">
        <w:r>
          <w:rPr>
            <w:rStyle w:val="Internetverknpfung"/>
          </w:rPr>
          <w:t>Ptz. conj.</w:t>
        </w:r>
      </w:hyperlink>
      <w:r>
        <w:rPr/>
        <w:t xml:space="preserve"> (2x), beigeordnet aufgelöst.</w:t>
      </w:r>
    </w:p>
  </w:footnote>
  <w:footnote w:id="4505">
    <w:p>
      <w:pPr>
        <w:pStyle w:val="Funote"/>
        <w:rPr/>
      </w:pPr>
      <w:r>
        <w:rPr>
          <w:rStyle w:val="Funotenzeichen"/>
        </w:rPr>
        <w:footnoteRef/>
      </w:r>
      <w:r>
        <w:rPr>
          <w:i/>
        </w:rPr>
        <w:tab/>
        <w:t>fragte ihn</w:t>
      </w:r>
      <w:r>
        <w:rPr/>
        <w:t xml:space="preserve"> W. „antwortete ihm und sagte“ Jesus „antwortet“ (d.h. reagiert) hier auf die Situation, vielleicht auf die Zurufe des Bettlers (DBL Greek 646), allerdings mit einer eigenen Frage (vgl. V. 24).</w:t>
      </w:r>
    </w:p>
  </w:footnote>
  <w:footnote w:id="4506">
    <w:p>
      <w:pPr>
        <w:pStyle w:val="Funote"/>
        <w:rPr/>
      </w:pPr>
      <w:r>
        <w:rPr>
          <w:rStyle w:val="Funotenzeichen"/>
        </w:rPr>
        <w:footnoteRef/>
      </w:r>
      <w:r>
        <w:rPr/>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507">
    <w:p>
      <w:pPr>
        <w:pStyle w:val="Funote"/>
        <w:rPr/>
      </w:pPr>
      <w:r>
        <w:rPr>
          <w:rStyle w:val="Funotenzeichen"/>
        </w:rPr>
        <w:footnoteRef/>
      </w:r>
      <w:r>
        <w:rPr/>
        <w:tab/>
        <w:t>Geh D.h. »Geh nur!« (GNB, NGÜ). Vgl. 7,29. Gemeint ist einfach, dass er geheilt ist und gehen kann, wenn er möchte. Markus stellt Bartimäus also nicht als ungehorsam dar, wenn er sich Jesus im nächsten Vers anschließt (France 2002, 425).</w:t>
      </w:r>
    </w:p>
  </w:footnote>
  <w:footnote w:id="4508">
    <w:p>
      <w:pPr>
        <w:pStyle w:val="Funote"/>
        <w:rPr/>
      </w:pPr>
      <w:r>
        <w:rPr>
          <w:rStyle w:val="Funotenzeichen"/>
        </w:rPr>
        <w:footnoteRef/>
      </w:r>
      <w:r>
        <w:rPr/>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509">
    <w:p>
      <w:pPr>
        <w:pStyle w:val="Funote"/>
        <w:rPr/>
      </w:pPr>
      <w:r>
        <w:rPr>
          <w:rStyle w:val="Funotenzeichen"/>
        </w:rPr>
        <w:footnoteRef/>
      </w:r>
      <w:r>
        <w:rPr/>
        <w:tab/>
        <w:t>[Status: Zuverlässig]</w:t>
      </w:r>
    </w:p>
  </w:footnote>
  <w:footnote w:id="4510">
    <w:p>
      <w:pPr>
        <w:pStyle w:val="Funote"/>
        <w:rPr/>
      </w:pPr>
      <w:r>
        <w:rPr>
          <w:rStyle w:val="Funotenzeichen"/>
        </w:rPr>
        <w:footnoteRef/>
      </w:r>
      <w:r>
        <w:rPr/>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511">
    <w:p>
      <w:pPr>
        <w:pStyle w:val="Funote"/>
        <w:rPr/>
      </w:pPr>
      <w:r>
        <w:rPr>
          <w:rStyle w:val="Funotenzeichen"/>
        </w:rPr>
        <w:footnoteRef/>
      </w:r>
      <w:r>
        <w:rPr>
          <w:i/>
        </w:rPr>
        <w:tab/>
        <w:t>Er sagte</w:t>
      </w:r>
      <w:r>
        <w:rPr/>
        <w:t xml:space="preserve"> Modales </w:t>
      </w:r>
      <w:hyperlink r:id="rId463">
        <w:r>
          <w:rPr>
            <w:rStyle w:val="Internetverknpfung"/>
          </w:rPr>
          <w:t>Ptz. conj.</w:t>
        </w:r>
      </w:hyperlink>
      <w:r>
        <w:rPr/>
        <w:t>, als eigenständiger Hauptsatz aufgelöst.</w:t>
      </w:r>
    </w:p>
  </w:footnote>
  <w:footnote w:id="4512">
    <w:p>
      <w:pPr>
        <w:pStyle w:val="Funote"/>
        <w:rPr/>
      </w:pPr>
      <w:r>
        <w:rPr>
          <w:rStyle w:val="Funotenzeichen"/>
        </w:rPr>
        <w:footnoteRef/>
      </w:r>
      <w:r>
        <w:rPr>
          <w:i/>
        </w:rPr>
        <w:tab/>
        <w:t>wenn ihr hineingeht</w:t>
      </w:r>
      <w:r>
        <w:rPr/>
        <w:t xml:space="preserve"> Temporales </w:t>
      </w:r>
      <w:hyperlink r:id="rId464">
        <w:r>
          <w:rPr>
            <w:rStyle w:val="Internetverknpfung"/>
          </w:rPr>
          <w:t>Ptz. conj.</w:t>
        </w:r>
      </w:hyperlink>
      <w:r>
        <w:rPr/>
        <w:t>, als Nebensatz aufgelöst.</w:t>
      </w:r>
    </w:p>
  </w:footnote>
  <w:footnote w:id="4513">
    <w:p>
      <w:pPr>
        <w:pStyle w:val="Funote"/>
        <w:rPr/>
      </w:pPr>
      <w:r>
        <w:rPr>
          <w:rStyle w:val="Funotenzeichen"/>
        </w:rPr>
        <w:footnoteRef/>
      </w:r>
      <w:r>
        <w:rPr/>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514">
    <w:p>
      <w:pPr>
        <w:pStyle w:val="Funote"/>
        <w:rPr/>
      </w:pPr>
      <w:r>
        <w:rPr>
          <w:rStyle w:val="Funotenzeichen"/>
        </w:rPr>
        <w:footnoteRef/>
      </w:r>
      <w:r>
        <w:rPr>
          <w:i/>
        </w:rPr>
        <w:tab/>
        <w:t>noch nie ein Mensch</w:t>
      </w:r>
      <w:r>
        <w:rPr/>
        <w:t xml:space="preserve"> W. „niemand der Menschen“</w:t>
      </w:r>
    </w:p>
  </w:footnote>
  <w:footnote w:id="4515">
    <w:p>
      <w:pPr>
        <w:pStyle w:val="Funote"/>
        <w:rPr/>
      </w:pPr>
      <w:r>
        <w:rPr>
          <w:rStyle w:val="Funotenzeichen"/>
        </w:rPr>
        <w:footnoteRef/>
      </w:r>
      <w:r>
        <w:rPr/>
        <w:tab/>
        <w:t>Für detaillierte Textkritik vgl. den Exkurs im Kommentar.</w:t>
      </w:r>
    </w:p>
  </w:footnote>
  <w:footnote w:id="4516">
    <w:p>
      <w:pPr>
        <w:pStyle w:val="Funote"/>
        <w:rPr/>
      </w:pPr>
      <w:r>
        <w:rPr>
          <w:rStyle w:val="Funotenzeichen"/>
        </w:rPr>
        <w:footnoteRef/>
      </w:r>
      <w:r>
        <w:rPr/>
        <w:tab/>
        <w:t>macht ihr … dass ihr losbindet Prädikatives Partizip, als Nebensatz aufgelöst. EÜ: »Wie kommt ihr dazu, den Esel loszubinden?«</w:t>
      </w:r>
    </w:p>
  </w:footnote>
  <w:footnote w:id="4517">
    <w:p>
      <w:pPr>
        <w:pStyle w:val="Funote"/>
        <w:rPr/>
      </w:pPr>
      <w:r>
        <w:rPr>
          <w:rStyle w:val="Funotenzeichen"/>
        </w:rPr>
        <w:footnoteRef/>
      </w:r>
      <w:r>
        <w:rPr>
          <w:i/>
        </w:rPr>
        <w:tab/>
        <w:t>die sie … abgeschnitten (abgerissen) hatten</w:t>
      </w:r>
      <w:r>
        <w:rPr/>
        <w:t xml:space="preserve"> Temp. </w:t>
      </w:r>
      <w:hyperlink r:id="rId465">
        <w:r>
          <w:rPr>
            <w:rStyle w:val="Internetverknpfung"/>
          </w:rPr>
          <w:t>Ptz. conj.</w:t>
        </w:r>
      </w:hyperlink>
      <w:r>
        <w:rPr/>
        <w:t>, als Relativsatz aufgelöst.</w:t>
      </w:r>
    </w:p>
  </w:footnote>
  <w:footnote w:id="4518">
    <w:p>
      <w:pPr>
        <w:pStyle w:val="Funote"/>
        <w:rPr/>
      </w:pPr>
      <w:r>
        <w:rPr>
          <w:rStyle w:val="Funotenzeichen"/>
        </w:rPr>
        <w:footnoteRef/>
      </w:r>
      <w:r>
        <w:rPr>
          <w:i/>
        </w:rPr>
        <w:tab/>
        <w:t>riefen immer wieder</w:t>
      </w:r>
      <w:r>
        <w:rPr/>
        <w:t xml:space="preserve"> Das </w:t>
      </w:r>
      <w:hyperlink r:id="rId466">
        <w:r>
          <w:rPr>
            <w:rStyle w:val="Internetverknpfung"/>
          </w:rPr>
          <w:t>Impferfekt</w:t>
        </w:r>
      </w:hyperlink>
      <w:r>
        <w:rPr/>
        <w:t xml:space="preserve"> drückt das, dass die Menschen diese Worte in Sprechchören riefen (oder sangen).</w:t>
      </w:r>
    </w:p>
  </w:footnote>
  <w:footnote w:id="4519">
    <w:p>
      <w:pPr>
        <w:pStyle w:val="Funote"/>
        <w:rPr/>
      </w:pPr>
      <w:r>
        <w:rPr>
          <w:rStyle w:val="Funotenzeichen"/>
        </w:rPr>
        <w:footnoteRef/>
      </w:r>
      <w:r>
        <w:rPr/>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520">
    <w:p>
      <w:pPr>
        <w:pStyle w:val="Funote"/>
        <w:rPr/>
      </w:pPr>
      <w:r>
        <w:rPr>
          <w:rStyle w:val="Funotenzeichen"/>
        </w:rPr>
        <w:footnoteRef/>
      </w:r>
      <w:r>
        <w:rPr/>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521">
    <w:p>
      <w:pPr>
        <w:pStyle w:val="Funote"/>
        <w:rPr/>
      </w:pPr>
      <w:r>
        <w:rPr>
          <w:rStyle w:val="Funotenzeichen"/>
        </w:rPr>
        <w:footnoteRef/>
      </w:r>
      <w:r>
        <w:rPr>
          <w:i/>
        </w:rPr>
        <w:tab/>
        <w:t>wurde er hungrig</w:t>
      </w:r>
      <w:r>
        <w:rPr/>
        <w:t xml:space="preserve"> Als </w:t>
      </w:r>
      <w:hyperlink r:id="rId467">
        <w:r>
          <w:rPr>
            <w:rStyle w:val="Internetverknpfung"/>
          </w:rPr>
          <w:t>ingressives Aorist</w:t>
        </w:r>
      </w:hyperlink>
      <w:r>
        <w:rPr/>
        <w:t xml:space="preserve"> übersetzt.</w:t>
      </w:r>
    </w:p>
  </w:footnote>
  <w:footnote w:id="4522">
    <w:p>
      <w:pPr>
        <w:pStyle w:val="Funote"/>
        <w:rPr/>
      </w:pPr>
      <w:r>
        <w:rPr>
          <w:rStyle w:val="Funotenzeichen"/>
        </w:rPr>
        <w:footnoteRef/>
      </w:r>
      <w:r>
        <w:rPr>
          <w:i/>
        </w:rPr>
        <w:tab/>
        <w:t>als er … sah</w:t>
      </w:r>
      <w:r>
        <w:rPr/>
        <w:t xml:space="preserve"> </w:t>
      </w:r>
      <w:hyperlink r:id="rId468">
        <w:r>
          <w:rPr>
            <w:rStyle w:val="Internetverknpfung"/>
          </w:rPr>
          <w:t>Ptz. conj.</w:t>
        </w:r>
      </w:hyperlink>
      <w:r>
        <w:rPr/>
        <w:t>, als temporaler Nebensatz aufgelöst.</w:t>
      </w:r>
    </w:p>
  </w:footnote>
  <w:footnote w:id="4523">
    <w:p>
      <w:pPr>
        <w:pStyle w:val="Funote"/>
        <w:rPr/>
      </w:pPr>
      <w:r>
        <w:rPr>
          <w:rStyle w:val="Funotenzeichen"/>
        </w:rPr>
        <w:footnoteRef/>
      </w:r>
      <w:r>
        <w:rPr>
          <w:i/>
        </w:rPr>
        <w:tab/>
        <w:t>Da (Und) sagte er zu [dem Baum]</w:t>
      </w:r>
      <w:r>
        <w:rPr/>
        <w:t xml:space="preserve"> W. „antwortete und sagte er zu ihm“. Jesus „antwortet“ (d.h. reagiert) hier auf die Situation (DBL Greek 646; vgl. V. 51).</w:t>
      </w:r>
    </w:p>
  </w:footnote>
  <w:footnote w:id="4524">
    <w:p>
      <w:pPr>
        <w:pStyle w:val="Funote"/>
        <w:rPr/>
      </w:pPr>
      <w:r>
        <w:rPr>
          <w:rStyle w:val="Funotenzeichen"/>
        </w:rPr>
        <w:footnoteRef/>
      </w:r>
      <w:r>
        <w:rPr>
          <w:i/>
        </w:rPr>
        <w:tab/>
        <w:t>Nie mehr, bis in Ewigkeit soll jemand</w:t>
      </w:r>
      <w:r>
        <w:rPr/>
        <w:t xml:space="preserve"> W. „nie mehr, bis in Ewigkeit, soll niemand“. Die doppelte Verneinung verstärkt den Schwur.</w:t>
      </w:r>
    </w:p>
  </w:footnote>
  <w:footnote w:id="4525">
    <w:p>
      <w:pPr>
        <w:pStyle w:val="Funote"/>
        <w:rPr/>
      </w:pPr>
      <w:r>
        <w:rPr>
          <w:rStyle w:val="Funotenzeichen"/>
        </w:rPr>
        <w:footnoteRef/>
      </w:r>
      <w:r>
        <w:rPr>
          <w:i/>
        </w:rPr>
        <w:tab/>
        <w:t>Als (Und) ... {und}</w:t>
      </w:r>
      <w:r>
        <w:rPr/>
        <w:t xml:space="preserve"> W. „und … und“, hier als temporale Verknüpfung wiedergegeben.</w:t>
      </w:r>
    </w:p>
  </w:footnote>
  <w:footnote w:id="4526">
    <w:p>
      <w:pPr>
        <w:pStyle w:val="Funote"/>
        <w:rPr/>
      </w:pPr>
      <w:r>
        <w:rPr>
          <w:rStyle w:val="Funotenzeichen"/>
        </w:rPr>
        <w:footnoteRef/>
      </w:r>
      <w:r>
        <w:rPr>
          <w:i/>
        </w:rPr>
        <w:tab/>
        <w:t>ging er … und</w:t>
      </w:r>
      <w:r>
        <w:rPr/>
        <w:t xml:space="preserve"> </w:t>
      </w:r>
      <w:hyperlink r:id="rId469">
        <w:r>
          <w:rPr>
            <w:rStyle w:val="Internetverknpfung"/>
          </w:rPr>
          <w:t>Ptz. conj.</w:t>
        </w:r>
      </w:hyperlink>
      <w:r>
        <w:rPr/>
        <w:t>, beigeordnet aufgelöst.</w:t>
      </w:r>
    </w:p>
  </w:footnote>
  <w:footnote w:id="4527">
    <w:p>
      <w:pPr>
        <w:pStyle w:val="Funote"/>
        <w:rPr/>
      </w:pPr>
      <w:r>
        <w:rPr>
          <w:rStyle w:val="Funotenzeichen"/>
        </w:rPr>
        <w:footnoteRef/>
      </w:r>
      <w:r>
        <w:rPr/>
        <w:tab/>
        <w:t>Taubenverkäufer W. „die Tauben verkauften“ (Subst. Ptz.). Jesus ist gegen Kommerz im Tempelhof, der der Anbetung Gottes vorbehalten sein sollte (vgl. V. 17) (Evans 2001, 169-171).</w:t>
      </w:r>
    </w:p>
  </w:footnote>
  <w:footnote w:id="4528">
    <w:p>
      <w:pPr>
        <w:pStyle w:val="Funote"/>
        <w:rPr/>
      </w:pPr>
      <w:r>
        <w:rPr>
          <w:rStyle w:val="Funotenzeichen"/>
        </w:rPr>
        <w:footnoteRef/>
      </w:r>
      <w:r>
        <w:rPr/>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529">
    <w:p>
      <w:pPr>
        <w:pStyle w:val="Funote"/>
        <w:rPr/>
      </w:pPr>
      <w:r>
        <w:rPr>
          <w:rStyle w:val="Funotenzeichen"/>
        </w:rPr>
        <w:footnoteRef/>
      </w:r>
      <w:r>
        <w:rPr/>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530">
    <w:p>
      <w:pPr>
        <w:pStyle w:val="Funote"/>
        <w:rPr/>
      </w:pPr>
      <w:r>
        <w:rPr>
          <w:rStyle w:val="Funotenzeichen"/>
        </w:rPr>
        <w:footnoteRef/>
      </w:r>
      <w:r>
        <w:rPr/>
        <w:tab/>
        <w:t>Haus des Gebets [für] alle Völker (Dat. commodi). Der griechische Text folgt in diesem Zitat wörtlich der LXX und dem hebräischen.</w:t>
      </w:r>
    </w:p>
  </w:footnote>
  <w:footnote w:id="4531">
    <w:p>
      <w:pPr>
        <w:pStyle w:val="Funote"/>
        <w:rPr/>
      </w:pPr>
      <w:r>
        <w:rPr>
          <w:rStyle w:val="Funotenzeichen"/>
        </w:rPr>
        <w:footnoteRef/>
      </w:r>
      <w:r>
        <w:rPr/>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532">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533">
    <w:p>
      <w:pPr>
        <w:pStyle w:val="Funote"/>
        <w:rPr/>
      </w:pPr>
      <w:r>
        <w:rPr>
          <w:rStyle w:val="Funotenzeichen"/>
        </w:rPr>
        <w:footnoteRef/>
      </w:r>
      <w:r>
        <w:rPr>
          <w:i/>
        </w:rPr>
        <w:tab/>
        <w:t>suchten ... fürchteten … war fasziniert</w:t>
      </w:r>
      <w:r>
        <w:rPr/>
        <w:t xml:space="preserve"> Die letzten beiden </w:t>
      </w:r>
      <w:hyperlink r:id="rId470">
        <w:r>
          <w:rPr>
            <w:rStyle w:val="Internetverknpfung"/>
          </w:rPr>
          <w:t>Imperfekte</w:t>
        </w:r>
      </w:hyperlink>
      <w:r>
        <w:rPr/>
        <w:t xml:space="preserve"> erklären die Situation. Der erste könnte auch linear „suchten weiter/ständig [nach einer Möglichkeit]“ oder inchoativ „begannen (erneut) zu suchen“ wiedergegeben werden. Zu </w:t>
      </w:r>
      <w:r>
        <w:rPr>
          <w:i/>
        </w:rPr>
        <w:t>suchten</w:t>
      </w:r>
      <w:r>
        <w:rPr/>
        <w:t xml:space="preserve"> oder inchoativ „begannen zu suchen“ vgl. die parallelen Formulierungen in Mk 12,12; 14,1 und 11.</w:t>
      </w:r>
    </w:p>
  </w:footnote>
  <w:footnote w:id="4534">
    <w:p>
      <w:pPr>
        <w:pStyle w:val="Funote"/>
        <w:rPr/>
      </w:pPr>
      <w:r>
        <w:rPr>
          <w:rStyle w:val="Funotenzeichen"/>
        </w:rPr>
        <w:footnoteRef/>
      </w:r>
      <w:r>
        <w:rPr>
          <w:i/>
        </w:rPr>
        <w:tab/>
        <w:t>das ganze Volk</w:t>
      </w:r>
      <w:r>
        <w:rPr/>
        <w:t xml:space="preserve"> D.h. nicht das Volk der Juden, sondern das Straßenvolk (gr. </w:t>
      </w:r>
      <w:r>
        <w:rPr>
          <w:lang w:val="el-GR"/>
        </w:rPr>
        <w:t>ὄχλος</w:t>
      </w:r>
      <w:r>
        <w:rPr/>
        <w:t xml:space="preserve"> „Menschenmenge“), die Leute, die Jesus zuhörten.</w:t>
      </w:r>
    </w:p>
  </w:footnote>
  <w:footnote w:id="4535">
    <w:p>
      <w:pPr>
        <w:pStyle w:val="Funote"/>
        <w:rPr/>
      </w:pPr>
      <w:r>
        <w:rPr>
          <w:rStyle w:val="Funotenzeichen"/>
        </w:rPr>
        <w:footnoteRef/>
      </w:r>
      <w:r>
        <w:rPr/>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536">
    <w:p>
      <w:pPr>
        <w:pStyle w:val="Funote"/>
        <w:rPr/>
      </w:pPr>
      <w:r>
        <w:rPr>
          <w:rStyle w:val="Funotenzeichen"/>
        </w:rPr>
        <w:footnoteRef/>
      </w:r>
      <w:r>
        <w:rPr>
          <w:i/>
        </w:rPr>
        <w:tab/>
        <w:t>als sie … vorbeikamen</w:t>
      </w:r>
      <w:r>
        <w:rPr/>
        <w:t xml:space="preserve"> </w:t>
      </w:r>
      <w:hyperlink r:id="rId471">
        <w:r>
          <w:rPr>
            <w:rStyle w:val="Internetverknpfung"/>
          </w:rPr>
          <w:t>Ptz. conj.</w:t>
        </w:r>
      </w:hyperlink>
      <w:r>
        <w:rPr/>
        <w:t>, temporal aufgelöst.</w:t>
      </w:r>
    </w:p>
  </w:footnote>
  <w:footnote w:id="4537">
    <w:p>
      <w:pPr>
        <w:pStyle w:val="Funote"/>
        <w:rPr/>
      </w:pPr>
      <w:r>
        <w:rPr>
          <w:rStyle w:val="Funotenzeichen"/>
        </w:rPr>
        <w:footnoteRef/>
      </w:r>
      <w:r>
        <w:rPr/>
        <w:tab/>
        <w:t>Glauben (Vertrauen) [an] Gott Objektiver Genitiv (Evans 2001, 186).</w:t>
      </w:r>
    </w:p>
  </w:footnote>
  <w:footnote w:id="4538">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539">
    <w:p>
      <w:pPr>
        <w:pStyle w:val="Funote"/>
        <w:rPr/>
      </w:pPr>
      <w:r>
        <w:rPr>
          <w:rStyle w:val="Funotenzeichen"/>
        </w:rPr>
        <w:footnoteRef/>
      </w:r>
      <w:r>
        <w:rPr/>
        <w:tab/>
        <w:t>für den wird es eintreffen W. »dem wird es zuteil werden« (vgl. NSS)</w:t>
      </w:r>
    </w:p>
  </w:footnote>
  <w:footnote w:id="4540">
    <w:p>
      <w:pPr>
        <w:pStyle w:val="Funote"/>
        <w:rPr/>
      </w:pPr>
      <w:r>
        <w:rPr>
          <w:rStyle w:val="Funotenzeichen"/>
        </w:rPr>
        <w:footnoteRef/>
      </w:r>
      <w:r>
        <w:rPr>
          <w:i/>
        </w:rPr>
        <w:tab/>
        <w:t>Glaubt [bei] allen [Dingen], für die...</w:t>
      </w:r>
      <w:r>
        <w:rPr/>
        <w:t xml:space="preserve"> W. „Alle [Dinge], für die ihr betet und bittet: glaubt, dass ihr...“</w:t>
      </w:r>
    </w:p>
  </w:footnote>
  <w:footnote w:id="4541">
    <w:p>
      <w:pPr>
        <w:pStyle w:val="Funote"/>
        <w:rPr/>
      </w:pPr>
      <w:r>
        <w:rPr>
          <w:rStyle w:val="Funotenzeichen"/>
        </w:rPr>
        <w:footnoteRef/>
      </w:r>
      <w:r>
        <w:rPr/>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542">
    <w:p>
      <w:pPr>
        <w:pStyle w:val="Funote"/>
        <w:rPr/>
      </w:pPr>
      <w:r>
        <w:rPr>
          <w:rStyle w:val="Funotenzeichen"/>
        </w:rPr>
        <w:footnoteRef/>
      </w:r>
      <w:r>
        <w:rPr/>
        <w:tab/>
        <w:t>dann werden sie {für euch} eintreffen W. »dann wird es euch zuteil werden« (vgl. NSS)</w:t>
      </w:r>
    </w:p>
  </w:footnote>
  <w:footnote w:id="4543">
    <w:p>
      <w:pPr>
        <w:pStyle w:val="Funote"/>
        <w:rPr/>
      </w:pPr>
      <w:r>
        <w:rPr>
          <w:rStyle w:val="Funotenzeichen"/>
        </w:rPr>
        <w:footnoteRef/>
      </w:r>
      <w:r>
        <w:rPr/>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544">
    <w:p>
      <w:pPr>
        <w:pStyle w:val="Funote"/>
        <w:rPr/>
      </w:pPr>
      <w:r>
        <w:rPr>
          <w:rStyle w:val="Funotenzeichen"/>
        </w:rPr>
        <w:footnoteRef/>
      </w:r>
      <w:r>
        <w:rPr/>
        <w:tab/>
        <w:t>Textkritik: In einigen der besten Zeugen fehlt V. 26.</w:t>
      </w:r>
    </w:p>
  </w:footnote>
  <w:footnote w:id="4545">
    <w:p>
      <w:pPr>
        <w:pStyle w:val="Funote"/>
        <w:rPr/>
      </w:pPr>
      <w:r>
        <w:rPr>
          <w:rStyle w:val="Funotenzeichen"/>
        </w:rPr>
        <w:footnoteRef/>
      </w:r>
      <w:r>
        <w:rPr/>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546">
    <w:p>
      <w:pPr>
        <w:pStyle w:val="Funote"/>
        <w:rPr/>
      </w:pPr>
      <w:r>
        <w:rPr>
          <w:rStyle w:val="Funotenzeichen"/>
        </w:rPr>
        <w:footnoteRef/>
      </w:r>
      <w:r>
        <w:rPr/>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547">
    <w:p>
      <w:pPr>
        <w:pStyle w:val="Funote"/>
        <w:rPr/>
      </w:pPr>
      <w:r>
        <w:rPr>
          <w:rStyle w:val="Funotenzeichen"/>
        </w:rPr>
        <w:footnoteRef/>
      </w:r>
      <w:r>
        <w:rPr/>
        <w:tab/>
        <w:t>{und} Antwortet mir Oder »Wenn ihr mir antwortet...« Der Imperativ steht hier wie in einem semitischen Bedingungssatz für die Bedingung (Evans 2001, 204). GNB: »Die beantwortet mir, dann...«</w:t>
      </w:r>
    </w:p>
  </w:footnote>
  <w:footnote w:id="4548">
    <w:p>
      <w:pPr>
        <w:pStyle w:val="Funote"/>
        <w:rPr/>
      </w:pPr>
      <w:r>
        <w:rPr>
          <w:rStyle w:val="Funotenzeichen"/>
        </w:rPr>
        <w:footnoteRef/>
      </w:r>
      <w:r>
        <w:rPr>
          <w:i/>
        </w:rPr>
        <w:tab/>
        <w:t>{und sagten}</w:t>
      </w:r>
      <w:r>
        <w:rPr/>
        <w:t xml:space="preserve"> Das </w:t>
      </w:r>
      <w:hyperlink r:id="rId472">
        <w:r>
          <w:rPr>
            <w:rStyle w:val="Internetverknpfung"/>
          </w:rPr>
          <w:t>pleonatische Partizip</w:t>
        </w:r>
      </w:hyperlink>
      <w:r>
        <w:rPr/>
        <w:t xml:space="preserve"> leitet die zitierte Rede ein, ist im Deutschen aber unnötig.</w:t>
      </w:r>
    </w:p>
  </w:footnote>
  <w:footnote w:id="4549">
    <w:p>
      <w:pPr>
        <w:pStyle w:val="Funote"/>
        <w:rPr/>
      </w:pPr>
      <w:r>
        <w:rPr>
          <w:rStyle w:val="Funotenzeichen"/>
        </w:rPr>
        <w:footnoteRef/>
      </w:r>
      <w:r>
        <w:rPr/>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550">
    <w:p>
      <w:pPr>
        <w:pStyle w:val="Funote"/>
        <w:rPr/>
      </w:pPr>
      <w:r>
        <w:rPr>
          <w:rStyle w:val="Funotenzeichen"/>
        </w:rPr>
        <w:footnoteRef/>
      </w:r>
      <w:r>
        <w:rPr/>
        <w:tab/>
        <w:t>[Bayer 2008, S. 423]</w:t>
      </w:r>
    </w:p>
  </w:footnote>
  <w:footnote w:id="4551">
    <w:p>
      <w:pPr>
        <w:pStyle w:val="Funote"/>
        <w:rPr/>
      </w:pPr>
      <w:r>
        <w:rPr>
          <w:rStyle w:val="Funotenzeichen"/>
        </w:rPr>
        <w:footnoteRef/>
      </w:r>
      <w:r>
        <w:rPr/>
        <w:tab/>
        <w:t>[Gnilka 1979, S. 160 ]</w:t>
      </w:r>
    </w:p>
  </w:footnote>
  <w:footnote w:id="4552">
    <w:p>
      <w:pPr>
        <w:pStyle w:val="Funote"/>
        <w:rPr/>
      </w:pPr>
      <w:r>
        <w:rPr>
          <w:rStyle w:val="Funotenzeichen"/>
        </w:rPr>
        <w:footnoteRef/>
      </w:r>
      <w:r>
        <w:rPr/>
        <w:tab/>
        <w:t>[Bayer 2008, S. 432f ]</w:t>
      </w:r>
    </w:p>
  </w:footnote>
  <w:footnote w:id="4553">
    <w:p>
      <w:pPr>
        <w:pStyle w:val="Funote"/>
        <w:rPr/>
      </w:pPr>
      <w:r>
        <w:rPr>
          <w:rStyle w:val="Funotenzeichen"/>
        </w:rPr>
        <w:footnoteRef/>
      </w:r>
      <w:r>
        <w:rPr/>
        <w:tab/>
        <w:t>[Bayer 2008, S. 436 - 440, Gnilka 1979, S. 175 und 178]</w:t>
      </w:r>
    </w:p>
  </w:footnote>
  <w:footnote w:id="4554">
    <w:p>
      <w:pPr>
        <w:pStyle w:val="Funote"/>
        <w:rPr/>
      </w:pPr>
      <w:r>
        <w:rPr>
          <w:rStyle w:val="Funotenzeichen"/>
        </w:rPr>
        <w:footnoteRef/>
      </w:r>
      <w:r>
        <w:rPr/>
        <w:tab/>
        <w:t>[Status: Zuverlässig]</w:t>
      </w:r>
    </w:p>
  </w:footnote>
  <w:footnote w:id="4555">
    <w:p>
      <w:pPr>
        <w:pStyle w:val="Funote"/>
        <w:rPr/>
      </w:pPr>
      <w:r>
        <w:rPr>
          <w:rStyle w:val="Funotenzeichen"/>
        </w:rPr>
        <w:footnoteRef/>
      </w:r>
      <w:r>
        <w:rPr/>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556">
    <w:p>
      <w:pPr>
        <w:pStyle w:val="Funote"/>
        <w:rPr/>
      </w:pPr>
      <w:r>
        <w:rPr>
          <w:rStyle w:val="Funotenzeichen"/>
        </w:rPr>
        <w:footnoteRef/>
      </w:r>
      <w:r>
        <w:rPr/>
        <w:tab/>
        <w:t>mit ihnen D.h. die Vertreter der jüdischen Führung aus dem vorigen Kapitel, die wegen der Tempelreinigung Streit mit Jesus gesucht hatten (vgl. V. 12) (vgl. France 2002, 458; Collins 2007, 544).</w:t>
      </w:r>
    </w:p>
  </w:footnote>
  <w:footnote w:id="4557">
    <w:p>
      <w:pPr>
        <w:pStyle w:val="Funote"/>
        <w:rPr/>
      </w:pPr>
      <w:r>
        <w:rPr>
          <w:rStyle w:val="Funotenzeichen"/>
        </w:rPr>
        <w:footnoteRef/>
      </w:r>
      <w:r>
        <w:rPr>
          <w:i/>
        </w:rPr>
        <w:tab/>
        <w:t>Mauer</w:t>
      </w:r>
      <w:r>
        <w:rPr/>
        <w:t xml:space="preserve">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w:t>
      </w:r>
      <w:hyperlink r:id="rId473">
        <w:r>
          <w:rPr>
            <w:rStyle w:val="Internetverknpfung"/>
          </w:rPr>
          <w:t>Dalman 1935</w:t>
        </w:r>
      </w:hyperlink>
      <w:r>
        <w:rPr/>
        <w:t>, 316, 309, 334f.).</w:t>
      </w:r>
    </w:p>
  </w:footnote>
  <w:footnote w:id="4558">
    <w:p>
      <w:pPr>
        <w:pStyle w:val="Funote"/>
        <w:rPr/>
      </w:pPr>
      <w:r>
        <w:rPr>
          <w:rStyle w:val="Funotenzeichen"/>
        </w:rPr>
        <w:footnoteRef/>
      </w:r>
      <w:r>
        <w:rPr/>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559">
    <w:p>
      <w:pPr>
        <w:pStyle w:val="Funote"/>
        <w:rPr/>
      </w:pPr>
      <w:r>
        <w:rPr>
          <w:rStyle w:val="Funotenzeichen"/>
        </w:rPr>
        <w:footnoteRef/>
      </w:r>
      <w:r>
        <w:rPr>
          <w:i/>
        </w:rPr>
        <w:tab/>
        <w:t>Wachtturm</w:t>
      </w:r>
      <w:r>
        <w:rPr/>
        <w:t xml:space="preserve"> und Schutzmauer waren nötig, um die reifenden Trauben vor Eindringlingen zu schützen. Der Turm konnte eine erhöhte Aussichtsplattform, ein einfaches Häuschen oder, recht häufig, ein gemauerter Steinturm sein, der dazu diente, den gesamten Weinberg zu überblicken (</w:t>
      </w:r>
      <w:hyperlink r:id="rId474">
        <w:r>
          <w:rPr>
            <w:rStyle w:val="Internetverknpfung"/>
          </w:rPr>
          <w:t>Dalman 1935</w:t>
        </w:r>
      </w:hyperlink>
      <w:r>
        <w:rPr/>
        <w:t>,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560">
    <w:p>
      <w:pPr>
        <w:pStyle w:val="Funote"/>
        <w:rPr/>
      </w:pPr>
      <w:r>
        <w:rPr>
          <w:rStyle w:val="Funotenzeichen"/>
        </w:rPr>
        <w:footnoteRef/>
      </w:r>
      <w:r>
        <w:rPr/>
        <w:tab/>
        <w:t>zur [vereinbarten] Zeit Temporaler Dativ. Gemeint ist die in der Pachtvereinbarung abgesprochene Zeit (Evans 2001, 233). Bei einem neuen Weinberg wären bis zur ersten Ernte wenigstens 4 Jahre vergangen (France 2002, 459).</w:t>
      </w:r>
    </w:p>
  </w:footnote>
  <w:footnote w:id="4561">
    <w:p>
      <w:pPr>
        <w:pStyle w:val="Funote"/>
        <w:rPr/>
      </w:pPr>
      <w:r>
        <w:rPr>
          <w:rStyle w:val="Funotenzeichen"/>
        </w:rPr>
        <w:footnoteRef/>
      </w:r>
      <w:r>
        <w:rPr/>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562">
    <w:p>
      <w:pPr>
        <w:pStyle w:val="Funote"/>
        <w:rPr/>
      </w:pPr>
      <w:r>
        <w:rPr>
          <w:rStyle w:val="Funotenzeichen"/>
        </w:rPr>
        <w:footnoteRef/>
      </w:r>
      <w:r>
        <w:rPr/>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563">
    <w:p>
      <w:pPr>
        <w:pStyle w:val="Funote"/>
        <w:rPr/>
      </w:pPr>
      <w:r>
        <w:rPr>
          <w:rStyle w:val="Funotenzeichen"/>
        </w:rPr>
        <w:footnoteRef/>
      </w:r>
      <w:r>
        <w:rPr/>
        <w:tab/>
        <w:t>entehrten ihn (behandelten ihn verächtlich) - Vermutlich in Form von Beschimpfungen; viele Üss. daher sinnvoll: »beschimpften ihn« (z.B. BB, EÜ, GN, HER05, HfA).</w:t>
      </w:r>
    </w:p>
  </w:footnote>
  <w:footnote w:id="4564">
    <w:p>
      <w:pPr>
        <w:pStyle w:val="Funote"/>
        <w:rPr/>
      </w:pPr>
      <w:r>
        <w:rPr>
          <w:rStyle w:val="Funotenzeichen"/>
        </w:rPr>
        <w:footnoteRef/>
      </w:r>
      <w:r>
        <w:rPr/>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565">
    <w:p>
      <w:pPr>
        <w:pStyle w:val="Funote"/>
        <w:rPr/>
      </w:pPr>
      <w:r>
        <w:rPr>
          <w:rStyle w:val="Funotenzeichen"/>
        </w:rPr>
        <w:footnoteRef/>
      </w:r>
      <w:r>
        <w:rPr>
          <w:i/>
        </w:rPr>
        <w:tab/>
        <w:t>verprügelten sie ... brachten sie um</w:t>
      </w:r>
      <w:r>
        <w:rPr/>
        <w:t xml:space="preserve"> Modales </w:t>
      </w:r>
      <w:hyperlink r:id="rId475">
        <w:r>
          <w:rPr>
            <w:rStyle w:val="Internetverknpfung"/>
          </w:rPr>
          <w:t>Ptz. conj.</w:t>
        </w:r>
      </w:hyperlink>
      <w:r>
        <w:rPr/>
        <w:t xml:space="preserve"> (2x), hier als Indikative aufgelöst. </w:t>
      </w:r>
    </w:p>
  </w:footnote>
  <w:footnote w:id="4566">
    <w:p>
      <w:pPr>
        <w:pStyle w:val="Funote"/>
        <w:rPr/>
      </w:pPr>
      <w:r>
        <w:rPr>
          <w:rStyle w:val="Funotenzeichen"/>
        </w:rPr>
        <w:footnoteRef/>
      </w:r>
      <w:r>
        <w:rPr/>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567">
    <w:p>
      <w:pPr>
        <w:pStyle w:val="Funote"/>
        <w:rPr/>
      </w:pPr>
      <w:r>
        <w:rPr>
          <w:rStyle w:val="Funotenzeichen"/>
        </w:rPr>
        <w:footnoteRef/>
      </w:r>
      <w:r>
        <w:rPr>
          <w:i/>
        </w:rPr>
        <w:tab/>
        <w:t>weil er glaubte (dachte, sich sagte)</w:t>
      </w:r>
      <w:r>
        <w:rPr/>
        <w:t xml:space="preserve"> Kausales (oder modales) </w:t>
      </w:r>
      <w:hyperlink r:id="rId476">
        <w:r>
          <w:rPr>
            <w:rStyle w:val="Internetverknpfung"/>
          </w:rPr>
          <w:t>Ptz. conj.</w:t>
        </w:r>
      </w:hyperlink>
      <w:r>
        <w:rPr/>
        <w:t>, als Nebensatz aufgelöst.</w:t>
      </w:r>
    </w:p>
  </w:footnote>
  <w:footnote w:id="4568">
    <w:p>
      <w:pPr>
        <w:pStyle w:val="Funote"/>
        <w:rPr/>
      </w:pPr>
      <w:r>
        <w:rPr>
          <w:rStyle w:val="Funotenzeichen"/>
        </w:rPr>
        <w:footnoteRef/>
      </w:r>
      <w:r>
        <w:rPr>
          <w:i/>
        </w:rPr>
        <w:tab/>
        <w:t>uns gehören</w:t>
      </w:r>
      <w:r>
        <w:rPr/>
        <w:t xml:space="preserve"> W. „unser sein“. </w:t>
      </w:r>
    </w:p>
  </w:footnote>
  <w:footnote w:id="4569">
    <w:p>
      <w:pPr>
        <w:pStyle w:val="Funote"/>
        <w:rPr/>
      </w:pPr>
      <w:r>
        <w:rPr>
          <w:rStyle w:val="Funotenzeichen"/>
        </w:rPr>
        <w:footnoteRef/>
      </w:r>
      <w:r>
        <w:rPr>
          <w:i/>
        </w:rPr>
        <w:tab/>
        <w:t>sie packten ihn und</w:t>
      </w:r>
      <w:r>
        <w:rPr/>
        <w:t xml:space="preserve"> Modales </w:t>
      </w:r>
      <w:hyperlink r:id="rId477">
        <w:r>
          <w:rPr>
            <w:rStyle w:val="Internetverknpfung"/>
          </w:rPr>
          <w:t>Ptz. conj.</w:t>
        </w:r>
      </w:hyperlink>
      <w:r>
        <w:rPr/>
        <w:t>, beigeordnet aufgelöst.</w:t>
      </w:r>
    </w:p>
  </w:footnote>
  <w:footnote w:id="4570">
    <w:p>
      <w:pPr>
        <w:pStyle w:val="Funote"/>
        <w:rPr/>
      </w:pPr>
      <w:r>
        <w:rPr>
          <w:rStyle w:val="Funotenzeichen"/>
        </w:rPr>
        <w:footnoteRef/>
      </w:r>
      <w:r>
        <w:rPr/>
        <w:tab/>
        <w:t>diese Schriftstelle W. »diese Schrift«, d.h. »den folgenden Abschnitt der Schrift«. Viele Übersetzungen geben das Wort nach LUT mit »Schriftwort« wieder, GNB: »die Stelle in den Heiligen Schriften, wo es heißt«</w:t>
      </w:r>
    </w:p>
  </w:footnote>
  <w:footnote w:id="4571">
    <w:p>
      <w:pPr>
        <w:pStyle w:val="Funote"/>
        <w:rPr/>
      </w:pPr>
      <w:r>
        <w:rPr>
          <w:rStyle w:val="Funotenzeichen"/>
        </w:rPr>
        <w:footnoteRef/>
      </w:r>
      <w:r>
        <w:rPr/>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572">
    <w:p>
      <w:pPr>
        <w:pStyle w:val="Funote"/>
        <w:rPr/>
      </w:pPr>
      <w:r>
        <w:rPr>
          <w:rStyle w:val="Funotenzeichen"/>
        </w:rPr>
        <w:footnoteRef/>
      </w:r>
      <w:r>
        <w:rPr>
          <w:i/>
        </w:rPr>
        <w:tab/>
        <w:t xml:space="preserve">[Der] Stein, … , </w:t>
      </w:r>
      <w:r>
        <w:rPr>
          <w:i/>
          <w:u w:val="single"/>
        </w:rPr>
        <w:t>der</w:t>
      </w:r>
      <w:r>
        <w:rPr>
          <w:i/>
        </w:rPr>
        <w:t xml:space="preserve"> ist zum Eckstein geworden</w:t>
      </w:r>
      <w:r>
        <w:rPr/>
        <w:t xml:space="preserve"> Die Konstruktion legt Gewicht auf den angesprochenen Gegensatz. Man könnte auch formulieren: „Gerade [der] Stein … ist geworden“. W. „[der] Stein … dieser ist geworden.“</w:t>
      </w:r>
    </w:p>
  </w:footnote>
  <w:footnote w:id="4573">
    <w:p>
      <w:pPr>
        <w:pStyle w:val="Funote"/>
        <w:rPr/>
      </w:pPr>
      <w:r>
        <w:rPr>
          <w:rStyle w:val="Funotenzeichen"/>
        </w:rPr>
        <w:footnoteRef/>
      </w:r>
      <w:r>
        <w:rPr/>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574">
    <w:p>
      <w:pPr>
        <w:pStyle w:val="Funote"/>
        <w:rPr/>
      </w:pPr>
      <w:r>
        <w:rPr>
          <w:rStyle w:val="Funotenzeichen"/>
        </w:rPr>
        <w:footnoteRef/>
      </w:r>
      <w:r>
        <w:rPr/>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575">
    <w:p>
      <w:pPr>
        <w:pStyle w:val="Funote"/>
        <w:rPr/>
      </w:pPr>
      <w:r>
        <w:rPr>
          <w:rStyle w:val="Funotenzeichen"/>
        </w:rPr>
        <w:footnoteRef/>
      </w:r>
      <w:r>
        <w:rPr/>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576">
    <w:p>
      <w:pPr>
        <w:pStyle w:val="Funote"/>
        <w:rPr/>
      </w:pPr>
      <w:r>
        <w:rPr>
          <w:rStyle w:val="Funotenzeichen"/>
        </w:rPr>
        <w:footnoteRef/>
      </w:r>
      <w:r>
        <w:rPr/>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577">
    <w:p>
      <w:pPr>
        <w:pStyle w:val="Funote"/>
        <w:rPr/>
      </w:pPr>
      <w:r>
        <w:rPr>
          <w:rStyle w:val="Funotenzeichen"/>
        </w:rPr>
        <w:footnoteRef/>
      </w:r>
      <w:r>
        <w:rPr/>
        <w:tab/>
        <w:t>gegen sie gesprochen hatte Etwas freier formuliert, würde man in heutigem Deutsch sagen: „dass sie mit dem Gleichnis gemeint waren“ (vgl. NGÜ, EÜ). MEN: „gegen sie gerichtet hatte“, GNB: „dass das Gleichnis auf sie gemünzt war “.</w:t>
      </w:r>
    </w:p>
  </w:footnote>
  <w:footnote w:id="4578">
    <w:p>
      <w:pPr>
        <w:pStyle w:val="Funote"/>
        <w:rPr/>
      </w:pPr>
      <w:r>
        <w:rPr>
          <w:rStyle w:val="Funotenzeichen"/>
        </w:rPr>
        <w:footnoteRef/>
      </w:r>
      <w:r>
        <w:rPr/>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579">
    <w:p>
      <w:pPr>
        <w:pStyle w:val="Funote"/>
        <w:rPr/>
      </w:pPr>
      <w:r>
        <w:rPr>
          <w:rStyle w:val="Funotenzeichen"/>
        </w:rPr>
        <w:footnoteRef/>
      </w:r>
      <w:r>
        <w:rPr>
          <w:i/>
        </w:rPr>
        <w:tab/>
        <w:t>als sie ankamen</w:t>
      </w:r>
      <w:r>
        <w:rPr/>
        <w:t xml:space="preserve"> Temporal-modales </w:t>
      </w:r>
      <w:hyperlink r:id="rId478">
        <w:r>
          <w:rPr>
            <w:rStyle w:val="Internetverknpfung"/>
          </w:rPr>
          <w:t>Ptz. conj.</w:t>
        </w:r>
      </w:hyperlink>
      <w:r>
        <w:rPr/>
        <w:t>, mit temporalem Nebensatz übersetzt.</w:t>
      </w:r>
    </w:p>
  </w:footnote>
  <w:footnote w:id="4580">
    <w:p>
      <w:pPr>
        <w:pStyle w:val="Funote"/>
        <w:rPr/>
      </w:pPr>
      <w:r>
        <w:rPr>
          <w:rStyle w:val="Funotenzeichen"/>
        </w:rPr>
        <w:footnoteRef/>
      </w:r>
      <w:r>
        <w:rPr/>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581">
    <w:p>
      <w:pPr>
        <w:pStyle w:val="Funote"/>
        <w:rPr/>
      </w:pPr>
      <w:r>
        <w:rPr>
          <w:rStyle w:val="Funotenzeichen"/>
        </w:rPr>
        <w:footnoteRef/>
      </w:r>
      <w:r>
        <w:rPr/>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582">
    <w:p>
      <w:pPr>
        <w:pStyle w:val="Funote"/>
        <w:rPr/>
      </w:pPr>
      <w:r>
        <w:rPr>
          <w:rStyle w:val="Funotenzeichen"/>
        </w:rPr>
        <w:footnoteRef/>
      </w:r>
      <w:r>
        <w:rPr/>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583">
    <w:p>
      <w:pPr>
        <w:pStyle w:val="Funote"/>
        <w:rPr/>
      </w:pPr>
      <w:r>
        <w:rPr>
          <w:rStyle w:val="Funotenzeichen"/>
        </w:rPr>
        <w:footnoteRef/>
      </w:r>
      <w:r>
        <w:rPr/>
        <w:tab/>
        <w:t>Weg Gottes bezeichnet Gottes Willen für das menschliche Leben (vgl. France 2002, 468; NSS). Die gleiche Wendung findet sich in Apg 18,26 sowie Bar 3,13. Vgl. Apg 16,17; 18,25, aber auch Joh 14,6.</w:t>
      </w:r>
    </w:p>
  </w:footnote>
  <w:footnote w:id="4584">
    <w:p>
      <w:pPr>
        <w:pStyle w:val="Funote"/>
        <w:rPr/>
      </w:pPr>
      <w:r>
        <w:rPr>
          <w:rStyle w:val="Funotenzeichen"/>
        </w:rPr>
        <w:footnoteRef/>
      </w:r>
      <w:r>
        <w:rPr/>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585">
    <w:p>
      <w:pPr>
        <w:pStyle w:val="Funote"/>
        <w:rPr/>
      </w:pPr>
      <w:r>
        <w:rPr>
          <w:rStyle w:val="Funotenzeichen"/>
        </w:rPr>
        <w:footnoteRef/>
      </w:r>
      <w:r>
        <w:rPr/>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586">
    <w:p>
      <w:pPr>
        <w:pStyle w:val="Funote"/>
        <w:rPr/>
      </w:pPr>
      <w:r>
        <w:rPr>
          <w:rStyle w:val="Funotenzeichen"/>
        </w:rPr>
        <w:footnoteRef/>
      </w:r>
      <w:r>
        <w:rPr>
          <w:i/>
        </w:rPr>
        <w:tab/>
        <w:t>er erkannte … und</w:t>
      </w:r>
      <w:r>
        <w:rPr/>
        <w:t xml:space="preserve"> Temporal-modales </w:t>
      </w:r>
      <w:hyperlink r:id="rId479">
        <w:r>
          <w:rPr>
            <w:rStyle w:val="Internetverknpfung"/>
          </w:rPr>
          <w:t>Ptz. conj.</w:t>
        </w:r>
      </w:hyperlink>
      <w:r>
        <w:rPr/>
        <w:t xml:space="preserve">, mit „und“-Kombination aufgelöst. Auch die kausale Sinnrichtung wäre denkbar. </w:t>
      </w:r>
    </w:p>
  </w:footnote>
  <w:footnote w:id="4587">
    <w:p>
      <w:pPr>
        <w:pStyle w:val="Funote"/>
        <w:rPr/>
      </w:pPr>
      <w:r>
        <w:rPr>
          <w:rStyle w:val="Funotenzeichen"/>
        </w:rPr>
        <w:footnoteRef/>
      </w:r>
      <w:r>
        <w:rPr>
          <w:i/>
        </w:rPr>
        <w:tab/>
        <w:t>Warum stellt ihr mir eine Falle?</w:t>
      </w:r>
      <w:r>
        <w:rPr/>
        <w:t xml:space="preserve"> Die Pharisäer haben sich schon zweimal vorher an Fangfragen versucht (Mk 8,11; 10,2; vgl. Joh 8,6). Jetzt spricht Jesus den Vorwurf zum ersten Mal aus. Vorher benutzte nur Markus den Begriff. </w:t>
      </w:r>
    </w:p>
  </w:footnote>
  <w:footnote w:id="4588">
    <w:p>
      <w:pPr>
        <w:pStyle w:val="Funote"/>
        <w:rPr/>
      </w:pPr>
      <w:r>
        <w:rPr>
          <w:rStyle w:val="Funotenzeichen"/>
        </w:rPr>
        <w:footnoteRef/>
      </w:r>
      <w:r>
        <w:rPr/>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589">
    <w:p>
      <w:pPr>
        <w:pStyle w:val="Funote"/>
        <w:rPr/>
      </w:pPr>
      <w:r>
        <w:rPr>
          <w:rStyle w:val="Funotenzeichen"/>
        </w:rPr>
        <w:footnoteRef/>
      </w:r>
      <w:r>
        <w:rPr>
          <w:i/>
        </w:rPr>
        <w:tab/>
        <w:t>Was [dem] Kaiser (Cäsar) gehört...</w:t>
      </w:r>
      <w:r>
        <w:rPr/>
        <w:t xml:space="preserve"> Oder „Des Kaisers [Eigentum] gebt [dem] Kaiser“. W. etwa „was des Kaisers [ist], gebt...“. Ebenso bei </w:t>
      </w:r>
      <w:r>
        <w:rPr>
          <w:i/>
        </w:rPr>
        <w:t>was Gott gehört...</w:t>
      </w:r>
    </w:p>
  </w:footnote>
  <w:footnote w:id="4590">
    <w:p>
      <w:pPr>
        <w:pStyle w:val="Funote"/>
        <w:rPr/>
      </w:pPr>
      <w:r>
        <w:rPr>
          <w:rStyle w:val="Funotenzeichen"/>
        </w:rPr>
        <w:footnoteRef/>
      </w:r>
      <w:r>
        <w:rPr>
          <w:i/>
        </w:rPr>
        <w:tab/>
        <w:t>waren sie sehr erstaunt</w:t>
      </w:r>
      <w:r>
        <w:rPr/>
        <w:t xml:space="preserve"> Die Gute Nachricht trifft den Sinn am besten: „Solch eine Antwort hatten sie nicht von ihm erwartet.“</w:t>
      </w:r>
    </w:p>
  </w:footnote>
  <w:footnote w:id="4591">
    <w:p>
      <w:pPr>
        <w:pStyle w:val="Funote"/>
        <w:rPr/>
      </w:pPr>
      <w:r>
        <w:rPr>
          <w:rStyle w:val="Funotenzeichen"/>
        </w:rPr>
        <w:footnoteRef/>
      </w:r>
      <w:r>
        <w:rPr>
          <w:i/>
        </w:rPr>
        <w:tab/>
        <w:t>geschrieben</w:t>
      </w:r>
      <w:r>
        <w:rPr/>
        <w:t xml:space="preserve"> gemeint ist in der Torah als Gesetz aufgeschrieben</w:t>
      </w:r>
    </w:p>
  </w:footnote>
  <w:footnote w:id="4592">
    <w:p>
      <w:pPr>
        <w:pStyle w:val="Funote"/>
        <w:rPr/>
      </w:pPr>
      <w:r>
        <w:rPr>
          <w:rStyle w:val="Funotenzeichen"/>
        </w:rPr>
        <w:footnoteRef/>
      </w:r>
      <w:r>
        <w:rPr>
          <w:i/>
        </w:rPr>
        <w:tab/>
        <w:t>und eine Frau zurücklässt</w:t>
      </w:r>
      <w:r>
        <w:rPr/>
        <w:t xml:space="preserve"> ist eine Ergänzung des Markus zu diesem Zitat aus dem Dtn.</w:t>
      </w:r>
    </w:p>
  </w:footnote>
  <w:footnote w:id="4593">
    <w:p>
      <w:pPr>
        <w:pStyle w:val="Funote"/>
        <w:rPr/>
      </w:pPr>
      <w:r>
        <w:rPr>
          <w:rStyle w:val="Funotenzeichen"/>
        </w:rPr>
        <w:footnoteRef/>
      </w:r>
      <w:r>
        <w:rPr/>
        <w:tab/>
        <w:t>Der zweite Teil des Zitats stammt aus Gen</w:t>
      </w:r>
    </w:p>
  </w:footnote>
  <w:footnote w:id="4594">
    <w:p>
      <w:pPr>
        <w:pStyle w:val="Funote"/>
        <w:rPr/>
      </w:pPr>
      <w:r>
        <w:rPr>
          <w:rStyle w:val="Funotenzeichen"/>
        </w:rPr>
        <w:footnoteRef/>
      </w:r>
      <w:r>
        <w:rPr/>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595">
    <w:p>
      <w:pPr>
        <w:pStyle w:val="Funote"/>
        <w:rPr/>
      </w:pPr>
      <w:r>
        <w:rPr>
          <w:rStyle w:val="Funotenzeichen"/>
        </w:rPr>
        <w:footnoteRef/>
      </w:r>
      <w:r>
        <w:rPr/>
        <w:tab/>
        <w:t>Abrahams, Isaaks und Jakobs - Die Erzväter galten als bei Gott lebend (Dschulnigg 2007, 320) und dienen Jesus so gleichzeitig als Beleg aus der Schrift für die Auferstehung.</w:t>
      </w:r>
    </w:p>
  </w:footnote>
  <w:footnote w:id="4596">
    <w:p>
      <w:pPr>
        <w:pStyle w:val="Funote"/>
        <w:rPr/>
      </w:pPr>
      <w:r>
        <w:rPr>
          <w:rStyle w:val="Funotenzeichen"/>
        </w:rPr>
        <w:footnoteRef/>
      </w:r>
      <w:r>
        <w:rPr/>
        <w:tab/>
        <w:t xml:space="preserve">gr. </w:t>
      </w:r>
      <w:r>
        <w:rPr>
          <w:lang w:val="el-GR"/>
        </w:rPr>
        <w:t>συνέσεως</w:t>
      </w:r>
    </w:p>
  </w:footnote>
  <w:footnote w:id="4597">
    <w:p>
      <w:pPr>
        <w:pStyle w:val="Funote"/>
        <w:rPr/>
      </w:pPr>
      <w:r>
        <w:rPr>
          <w:rStyle w:val="Funotenzeichen"/>
        </w:rPr>
        <w:footnoteRef/>
      </w:r>
      <w:r>
        <w:rPr/>
        <w:tab/>
        <w:t>Ps 110,1</w:t>
      </w:r>
    </w:p>
  </w:footnote>
  <w:footnote w:id="4598">
    <w:p>
      <w:pPr>
        <w:pStyle w:val="Funote"/>
        <w:rPr/>
      </w:pPr>
      <w:r>
        <w:rPr>
          <w:rStyle w:val="Funotenzeichen"/>
        </w:rPr>
        <w:footnoteRef/>
      </w:r>
      <w:r>
        <w:rPr/>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599">
    <w:p>
      <w:pPr>
        <w:pStyle w:val="Funote"/>
        <w:rPr/>
      </w:pPr>
      <w:r>
        <w:rPr>
          <w:rStyle w:val="Funotenzeichen"/>
        </w:rPr>
        <w:footnoteRef/>
      </w:r>
      <w:r>
        <w:rPr>
          <w:i/>
        </w:rPr>
        <w:tab/>
        <w:t>ihr ganzes Leben (ihren ganzen Lebensunterhalt)</w:t>
      </w:r>
      <w:r>
        <w:rPr/>
        <w:t xml:space="preserve"> - </w:t>
      </w:r>
      <w:r>
        <w:rPr>
          <w:i/>
        </w:rPr>
        <w:t>bios</w:t>
      </w:r>
      <w:r>
        <w:rPr/>
        <w:t>,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600">
    <w:p>
      <w:pPr>
        <w:pStyle w:val="Funote"/>
        <w:rPr/>
      </w:pPr>
      <w:r>
        <w:rPr>
          <w:rStyle w:val="Funotenzeichen"/>
        </w:rPr>
        <w:footnoteRef/>
      </w:r>
      <w:r>
        <w:rPr/>
        <w:tab/>
        <w:t>[Status: Zuverlässig]</w:t>
      </w:r>
    </w:p>
  </w:footnote>
  <w:footnote w:id="4601">
    <w:p>
      <w:pPr>
        <w:pStyle w:val="Funote"/>
        <w:rPr/>
      </w:pPr>
      <w:r>
        <w:rPr>
          <w:rStyle w:val="Funotenzeichen"/>
        </w:rPr>
        <w:footnoteRef/>
      </w:r>
      <w:r>
        <w:rPr/>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602">
    <w:p>
      <w:pPr>
        <w:pStyle w:val="Funote"/>
        <w:rPr/>
      </w:pPr>
      <w:r>
        <w:rPr>
          <w:rStyle w:val="Funotenzeichen"/>
        </w:rPr>
        <w:footnoteRef/>
      </w:r>
      <w:r>
        <w:rPr>
          <w:i/>
        </w:rPr>
        <w:tab/>
        <w:t>als er hinausging</w:t>
      </w:r>
      <w:r>
        <w:rPr/>
        <w:t xml:space="preserve"> - Da das Präsens </w:t>
      </w:r>
      <w:r>
        <w:rPr>
          <w:lang w:val="el-GR"/>
        </w:rPr>
        <w:t>λέγει</w:t>
      </w:r>
      <w:r>
        <w:rPr/>
        <w:t xml:space="preserve"> </w:t>
      </w:r>
      <w:r>
        <w:rPr>
          <w:i/>
        </w:rPr>
        <w:t>er sagt(e)</w:t>
      </w:r>
      <w:r>
        <w:rPr/>
        <w:t xml:space="preserve">, zu dem der temporale Genitivus absolutus </w:t>
      </w:r>
      <w:r>
        <w:rPr>
          <w:lang w:val="el-GR"/>
        </w:rPr>
        <w:t>ἐκπορευομένου</w:t>
      </w:r>
      <w:r>
        <w:rPr/>
        <w:t xml:space="preserve"> </w:t>
      </w:r>
      <w:r>
        <w:rPr>
          <w:i/>
        </w:rPr>
        <w:t>als er hinausgeht/hinausging</w:t>
      </w:r>
      <w:r>
        <w:rPr/>
        <w:t xml:space="preserve"> in gleichzeitiger Relation steht, </w:t>
      </w:r>
      <w:r>
        <w:rPr>
          <w:i/>
        </w:rPr>
        <w:t>historisches</w:t>
      </w:r>
      <w:r>
        <w:rPr/>
        <w:t xml:space="preserve"> Präsens ist (s. nächste Fußnote), ist die präsentische Wiedergabe überwörtlich und sollte vermieden werden.</w:t>
      </w:r>
    </w:p>
  </w:footnote>
  <w:footnote w:id="4603">
    <w:p>
      <w:pPr>
        <w:pStyle w:val="Funote"/>
        <w:rPr/>
      </w:pPr>
      <w:r>
        <w:rPr>
          <w:rStyle w:val="Funotenzeichen"/>
        </w:rPr>
        <w:footnoteRef/>
      </w:r>
      <w:r>
        <w:rPr/>
        <w:tab/>
        <w:t>sagte - Historisches Präsens, vgl. Kmiecik 1997, S. 36; Mateos 1987, S. 81</w:t>
      </w:r>
    </w:p>
  </w:footnote>
  <w:footnote w:id="4604">
    <w:p>
      <w:pPr>
        <w:pStyle w:val="Funote"/>
        <w:rPr/>
      </w:pPr>
      <w:r>
        <w:rPr>
          <w:rStyle w:val="Funotenzeichen"/>
        </w:rPr>
        <w:footnoteRef/>
      </w:r>
      <w:r>
        <w:rPr/>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605">
    <w:p>
      <w:pPr>
        <w:pStyle w:val="Funote"/>
        <w:rPr/>
      </w:pPr>
      <w:r>
        <w:rPr>
          <w:rStyle w:val="Funotenzeichen"/>
        </w:rPr>
        <w:footnoteRef/>
      </w:r>
      <w:r>
        <w:rPr/>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606">
    <w:p>
      <w:pPr>
        <w:pStyle w:val="Funote"/>
        <w:rPr/>
      </w:pPr>
      <w:r>
        <w:rPr>
          <w:rStyle w:val="Funotenzeichen"/>
        </w:rPr>
        <w:footnoteRef/>
      </w:r>
      <w:r>
        <w:rPr/>
        <w:tab/>
        <w:t xml:space="preserve">Der Tempel war Teil einer größeren Tempelanlage (für ein Modell vgl. z.B. </w:t>
      </w:r>
      <w:hyperlink r:id="rId480">
        <w:r>
          <w:rPr>
            <w:rStyle w:val="Internetverknpfung"/>
          </w:rPr>
          <w:t>Reidinger 2004, S. 13</w:t>
        </w:r>
      </w:hyperlink>
      <w:r>
        <w:rPr/>
        <w:t>; daher Plural.</w:t>
      </w:r>
    </w:p>
  </w:footnote>
  <w:footnote w:id="4607">
    <w:p>
      <w:pPr>
        <w:pStyle w:val="Funote"/>
        <w:rPr/>
      </w:pPr>
      <w:r>
        <w:rPr>
          <w:rStyle w:val="Funotenzeichen"/>
        </w:rPr>
        <w:footnoteRef/>
      </w:r>
      <w:r>
        <w:rPr>
          <w:lang w:val="el-GR"/>
        </w:rPr>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608">
    <w:p>
      <w:pPr>
        <w:pStyle w:val="Funote"/>
        <w:rPr/>
      </w:pPr>
      <w:r>
        <w:rPr>
          <w:rStyle w:val="Funotenzeichen"/>
        </w:rPr>
        <w:footnoteRef/>
      </w:r>
      <w:r>
        <w:rPr>
          <w:lang w:val="el-GR"/>
        </w:rPr>
        <w:tab/>
        <w:t>οὐ μὴ</w:t>
      </w:r>
      <w:r>
        <w:rPr/>
        <w:t xml:space="preserve"> </w:t>
      </w:r>
      <w:r>
        <w:rPr>
          <w:i/>
        </w:rPr>
        <w:t>(sicher) nicht</w:t>
      </w:r>
      <w:r>
        <w:rPr/>
        <w:t xml:space="preserve"> ist eine besonders starke Verneinung, sie dient hier aber nur der Intensivierung, um Jesu Äußerung sprachlich zu markieren als (</w:t>
      </w:r>
      <w:r>
        <w:rPr>
          <w:i/>
        </w:rPr>
        <w:t>sichere</w:t>
      </w:r>
      <w:r>
        <w:rPr/>
        <w:t>) Prophezeiung. Das Deutsche verwendet hierfür andere Konstruktionen.</w:t>
      </w:r>
    </w:p>
  </w:footnote>
  <w:footnote w:id="4609">
    <w:p>
      <w:pPr>
        <w:pStyle w:val="Funote"/>
        <w:rPr/>
      </w:pPr>
      <w:r>
        <w:rPr>
          <w:rStyle w:val="Funotenzeichen"/>
        </w:rPr>
        <w:footnoteRef/>
      </w:r>
      <w:r>
        <w:rPr/>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610">
    <w:p>
      <w:pPr>
        <w:pStyle w:val="Funote"/>
        <w:rPr/>
      </w:pPr>
      <w:r>
        <w:rPr>
          <w:rStyle w:val="Funotenzeichen"/>
        </w:rPr>
        <w:footnoteRef/>
      </w:r>
      <w:r>
        <w:rPr/>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611">
    <w:p>
      <w:pPr>
        <w:pStyle w:val="Funote"/>
        <w:rPr/>
      </w:pPr>
      <w:r>
        <w:rPr>
          <w:rStyle w:val="Funotenzeichen"/>
        </w:rPr>
        <w:footnoteRef/>
      </w:r>
      <w:r>
        <w:rPr/>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612">
    <w:p>
      <w:pPr>
        <w:pStyle w:val="Funote"/>
        <w:rPr/>
      </w:pPr>
      <w:r>
        <w:rPr>
          <w:rStyle w:val="Funotenzeichen"/>
        </w:rPr>
        <w:footnoteRef/>
      </w:r>
      <w:r>
        <w:rPr/>
        <w:tab/>
        <w:t xml:space="preserve">Die Redeeinleitung </w:t>
      </w:r>
      <w:r>
        <w:rPr>
          <w:lang w:val="el-GR"/>
        </w:rPr>
        <w:t>Εἰπὸν ἡμῖν</w:t>
      </w:r>
      <w:r>
        <w:rPr/>
        <w:t xml:space="preserve"> </w:t>
      </w:r>
      <w:r>
        <w:rPr>
          <w:i/>
        </w:rPr>
        <w:t>sage uns</w:t>
      </w:r>
      <w:r>
        <w:rPr/>
        <w:t xml:space="preserve"> dient im NT häufiger nur als Bitte um eine Antwort (z.B. </w:t>
      </w:r>
      <w:r>
        <w:fldChar w:fldCharType="begin"/>
      </w:r>
      <w:r>
        <w:rPr>
          <w:rStyle w:val="Internetverknpfung"/>
        </w:rPr>
        <w:instrText> HYPERLINK "../../../../../../../../../wiki/Matth%C3%A4us_22" \l "s17"</w:instrText>
      </w:r>
      <w:r>
        <w:rPr>
          <w:rStyle w:val="Internetverknpfung"/>
        </w:rPr>
        <w:fldChar w:fldCharType="separate"/>
      </w:r>
      <w:r>
        <w:rPr>
          <w:rStyle w:val="Internetverknpfung"/>
        </w:rPr>
        <w:t>Mt 22,17</w:t>
      </w:r>
      <w:r>
        <w:rPr>
          <w:rStyle w:val="Internetverknpfung"/>
        </w:rPr>
        <w:fldChar w:fldCharType="end"/>
      </w:r>
      <w:r>
        <w:rPr/>
        <w:t xml:space="preserve">; </w:t>
      </w:r>
      <w:r>
        <w:fldChar w:fldCharType="begin"/>
      </w:r>
      <w:r>
        <w:rPr>
          <w:rStyle w:val="Internetverknpfung"/>
        </w:rPr>
        <w:instrText> HYPERLINK "../../../../../../../../../wiki/Lukas_20" \l "s20"</w:instrText>
      </w:r>
      <w:r>
        <w:rPr>
          <w:rStyle w:val="Internetverknpfung"/>
        </w:rPr>
        <w:fldChar w:fldCharType="separate"/>
      </w:r>
      <w:r>
        <w:rPr>
          <w:rStyle w:val="Internetverknpfung"/>
        </w:rPr>
        <w:t>Lk 20,2</w:t>
      </w:r>
      <w:r>
        <w:rPr>
          <w:rStyle w:val="Internetverknpfung"/>
        </w:rPr>
        <w:fldChar w:fldCharType="end"/>
      </w:r>
      <w:r>
        <w:rPr/>
        <w:t xml:space="preserve">; </w:t>
      </w:r>
      <w:hyperlink r:id="rId481">
        <w:r>
          <w:rPr>
            <w:rStyle w:val="Internetverknpfung"/>
          </w:rPr>
          <w:t>22,67</w:t>
        </w:r>
      </w:hyperlink>
      <w:r>
        <w:rPr/>
        <w:t xml:space="preserve"> u.ö.); im Deutschen entspricht dem funktional eher eine uneingeleitete Frage.</w:t>
      </w:r>
    </w:p>
  </w:footnote>
  <w:footnote w:id="4613">
    <w:p>
      <w:pPr>
        <w:pStyle w:val="Funote"/>
        <w:rPr/>
      </w:pPr>
      <w:r>
        <w:rPr>
          <w:rStyle w:val="Funotenzeichen"/>
        </w:rPr>
        <w:footnoteRef/>
      </w:r>
      <w:r>
        <w:rPr/>
        <w:tab/>
        <w:t xml:space="preserve">Die Referenz der Demonstrativpronomen </w:t>
      </w:r>
      <w:r>
        <w:rPr>
          <w:lang w:val="el-GR"/>
        </w:rPr>
        <w:t>ταῦτα</w:t>
      </w:r>
      <w:r>
        <w:rPr/>
        <w:t xml:space="preserve"> </w:t>
      </w:r>
      <w:r>
        <w:rPr>
          <w:i/>
        </w:rPr>
        <w:t>dies</w:t>
      </w:r>
      <w:r>
        <w:rPr/>
        <w:t xml:space="preserve"> und </w:t>
      </w:r>
      <w:r>
        <w:rPr>
          <w:lang w:val="el-GR"/>
        </w:rPr>
        <w:t>ταῦτα πάντα</w:t>
      </w:r>
      <w:r>
        <w:rPr/>
        <w:t xml:space="preserve"> </w:t>
      </w:r>
      <w:r>
        <w:rPr>
          <w:i/>
        </w:rPr>
        <w:t>all dies</w:t>
      </w:r>
      <w:r>
        <w:rPr/>
        <w:t xml:space="preserve"> sind in der Exegese umstritten; vgl. dazu den </w:t>
      </w:r>
      <w:r>
        <w:fldChar w:fldCharType="begin"/>
      </w:r>
      <w:r>
        <w:rPr>
          <w:rStyle w:val="Internetverknpfung"/>
        </w:rPr>
        <w:instrText> HYPERLINK "http://www.offene-bibel.de/wiki/index.php5?title=Kommentar:Markus_13" \l "Vv._28-31:_Abschnitt_1"</w:instrText>
      </w:r>
      <w:r>
        <w:rPr>
          <w:rStyle w:val="Internetverknpfung"/>
        </w:rPr>
        <w:fldChar w:fldCharType="separate"/>
      </w:r>
      <w:r>
        <w:rPr>
          <w:rStyle w:val="Internetverknpfung"/>
        </w:rPr>
        <w:t>Kommentar</w:t>
      </w:r>
      <w:r>
        <w:rPr>
          <w:rStyle w:val="Internetverknpfung"/>
        </w:rPr>
        <w:fldChar w:fldCharType="end"/>
      </w:r>
    </w:p>
  </w:footnote>
  <w:footnote w:id="4614">
    <w:p>
      <w:pPr>
        <w:pStyle w:val="Funote"/>
        <w:rPr/>
      </w:pPr>
      <w:r>
        <w:rPr>
          <w:rStyle w:val="Funotenzeichen"/>
        </w:rPr>
        <w:footnoteRef/>
      </w:r>
      <w:r>
        <w:rPr>
          <w:lang w:val="el-GR"/>
        </w:rPr>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615">
    <w:p>
      <w:pPr>
        <w:pStyle w:val="Funote"/>
        <w:rPr/>
      </w:pPr>
      <w:r>
        <w:rPr>
          <w:rStyle w:val="Funotenzeichen"/>
        </w:rPr>
        <w:footnoteRef/>
      </w:r>
      <w:r>
        <w:rPr>
          <w:lang w:val="el-GR"/>
        </w:rPr>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616">
    <w:p>
      <w:pPr>
        <w:pStyle w:val="Funote"/>
        <w:rPr/>
      </w:pPr>
      <w:r>
        <w:rPr>
          <w:rStyle w:val="Funotenzeichen"/>
        </w:rPr>
        <w:footnoteRef/>
      </w:r>
      <w:r>
        <w:rPr/>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617">
    <w:p>
      <w:pPr>
        <w:pStyle w:val="Funote"/>
        <w:rPr/>
      </w:pPr>
      <w:r>
        <w:rPr>
          <w:rStyle w:val="Funotenzeichen"/>
        </w:rPr>
        <w:footnoteRef/>
      </w:r>
      <w:r>
        <w:rPr/>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618">
    <w:p>
      <w:pPr>
        <w:pStyle w:val="Funote"/>
        <w:rPr/>
      </w:pPr>
      <w:r>
        <w:rPr>
          <w:rStyle w:val="Funotenzeichen"/>
        </w:rPr>
        <w:footnoteRef/>
      </w:r>
      <w:r>
        <w:rPr/>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619">
    <w:p>
      <w:pPr>
        <w:pStyle w:val="Funote"/>
        <w:rPr/>
      </w:pPr>
      <w:r>
        <w:rPr>
          <w:rStyle w:val="Funotenzeichen"/>
        </w:rPr>
        <w:footnoteRef/>
      </w:r>
      <w:r>
        <w:rPr/>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620">
    <w:p>
      <w:pPr>
        <w:pStyle w:val="Funote"/>
        <w:rPr/>
      </w:pPr>
      <w:r>
        <w:rPr>
          <w:rStyle w:val="Funotenzeichen"/>
        </w:rPr>
        <w:footnoteRef/>
      </w:r>
      <w:r>
        <w:rPr/>
        <w:tab/>
        <w:t xml:space="preserve">Meist: </w:t>
      </w:r>
      <w:r>
        <w:rPr>
          <w:i/>
        </w:rPr>
        <w:t>denn erheben wird sich...</w:t>
      </w:r>
      <w:r>
        <w:rPr/>
        <w:t xml:space="preserve">; besser aber: </w:t>
      </w:r>
      <w:r>
        <w:rPr>
          <w:i/>
        </w:rPr>
        <w:t>es wird sich nämlich erheben...</w:t>
      </w:r>
      <w:r>
        <w:rPr/>
        <w:t xml:space="preserve"> - das </w:t>
      </w:r>
      <w:r>
        <w:rPr>
          <w:lang w:val="el-GR"/>
        </w:rPr>
        <w:t>γὰρ</w:t>
      </w:r>
      <w:r>
        <w:rPr/>
        <w:t xml:space="preserve"> </w:t>
      </w:r>
      <w:r>
        <w:rPr>
          <w:i/>
        </w:rPr>
        <w:t>denn</w:t>
      </w:r>
      <w:r>
        <w:rPr/>
        <w:t xml:space="preserve"> ist besser als explikatives </w:t>
      </w:r>
      <w:r>
        <w:rPr>
          <w:lang w:val="el-GR"/>
        </w:rPr>
        <w:t>γὰρ</w:t>
      </w:r>
      <w:r>
        <w:rPr/>
        <w:t xml:space="preserve"> </w:t>
      </w:r>
      <w:r>
        <w:rPr>
          <w:i/>
        </w:rPr>
        <w:t>nämlich</w:t>
      </w:r>
      <w:r>
        <w:rPr/>
        <w:t xml:space="preserve"> zu interpretieren; vgl. </w:t>
      </w:r>
      <w:r>
        <w:fldChar w:fldCharType="begin"/>
      </w:r>
      <w:r>
        <w:rPr>
          <w:rStyle w:val="Internetverknpfung"/>
        </w:rPr>
        <w:instrText> HYPERLINK "http://www.offene-bibel.de/wiki/index.php5?title=Kommentar:Markus_13" \l "Vv._5-8:_Abschnitt_1"</w:instrText>
      </w:r>
      <w:r>
        <w:rPr>
          <w:rStyle w:val="Internetverknpfung"/>
        </w:rPr>
        <w:fldChar w:fldCharType="separate"/>
      </w:r>
      <w:r>
        <w:rPr>
          <w:rStyle w:val="Internetverknpfung"/>
        </w:rPr>
        <w:t>Kommentar</w:t>
      </w:r>
      <w:r>
        <w:rPr>
          <w:rStyle w:val="Internetverknpfung"/>
        </w:rPr>
        <w:fldChar w:fldCharType="end"/>
      </w:r>
      <w:r>
        <w:rPr/>
        <w:t>.</w:t>
      </w:r>
    </w:p>
  </w:footnote>
  <w:footnote w:id="4621">
    <w:p>
      <w:pPr>
        <w:pStyle w:val="Funote"/>
        <w:rPr/>
      </w:pPr>
      <w:r>
        <w:rPr>
          <w:rStyle w:val="Funotenzeichen"/>
        </w:rPr>
        <w:footnoteRef/>
      </w:r>
      <w:r>
        <w:rPr>
          <w:i/>
        </w:rPr>
        <w:tab/>
        <w:t>Anfang der Wehen</w:t>
      </w:r>
      <w:r>
        <w:rPr/>
        <w:t xml:space="preserve"> - apokalyptische Formel, die v.a. in der rabbinischen Literatur gebräuchlich ist. Die </w:t>
      </w:r>
      <w:r>
        <w:rPr>
          <w:i/>
        </w:rPr>
        <w:t>(Geburts-)wehen</w:t>
      </w:r>
      <w:r>
        <w:rPr/>
        <w:t xml:space="preserve"> stehen für die Zeit der Not, die vor dem Einbruch der schönen Endzeit ertragen werden müssen (so fast alle Kommentare)</w:t>
      </w:r>
    </w:p>
  </w:footnote>
  <w:footnote w:id="4622">
    <w:p>
      <w:pPr>
        <w:pStyle w:val="Funote"/>
        <w:rPr/>
      </w:pPr>
      <w:r>
        <w:rPr>
          <w:rStyle w:val="Funotenzeichen"/>
        </w:rPr>
        <w:footnoteRef/>
      </w:r>
      <w:r>
        <w:rPr/>
        <w:tab/>
        <w:t>impersonaler Plural; vgl. ad loc. Turner 1924a, S. 382. Pryke 1978, S. 107 hält es hier für ein Passivsubstitut, aber das ist angesichts der direkt folgenden Passivformen nicht sehr wahrscheinlich.</w:t>
      </w:r>
    </w:p>
  </w:footnote>
  <w:footnote w:id="4623">
    <w:p>
      <w:pPr>
        <w:pStyle w:val="Funote"/>
        <w:rPr/>
      </w:pPr>
      <w:r>
        <w:rPr>
          <w:rStyle w:val="Funotenzeichen"/>
        </w:rPr>
        <w:footnoteRef/>
      </w:r>
      <w:r>
        <w:rPr>
          <w:lang w:val="el-GR"/>
        </w:rPr>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624">
    <w:p>
      <w:pPr>
        <w:pStyle w:val="Funote"/>
        <w:rPr/>
      </w:pPr>
      <w:r>
        <w:rPr>
          <w:rStyle w:val="Funotenzeichen"/>
        </w:rPr>
        <w:footnoteRef/>
      </w:r>
      <w:r>
        <w:rPr/>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625">
    <w:p>
      <w:pPr>
        <w:pStyle w:val="Funote"/>
        <w:rPr/>
      </w:pPr>
      <w:r>
        <w:rPr>
          <w:rStyle w:val="Funotenzeichen"/>
        </w:rPr>
        <w:footnoteRef/>
      </w:r>
      <w:r>
        <w:rPr>
          <w:lang w:val="el-GR"/>
        </w:rPr>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626">
    <w:p>
      <w:pPr>
        <w:pStyle w:val="Funote"/>
        <w:rPr/>
      </w:pPr>
      <w:r>
        <w:rPr>
          <w:rStyle w:val="Funotenzeichen"/>
        </w:rPr>
        <w:footnoteRef/>
      </w:r>
      <w:r>
        <w:rPr/>
        <w:tab/>
        <w:t xml:space="preserve">Die Bedeutung dieses Nachsatzes ist etwas unklar. (1) ist nicht klar, ob </w:t>
      </w:r>
      <w:r>
        <w:rPr>
          <w:lang w:val="el-GR"/>
        </w:rPr>
        <w:t>αὐτοῖς</w:t>
      </w:r>
      <w:r>
        <w:rPr/>
        <w:t xml:space="preserve"> </w:t>
      </w:r>
      <w:r>
        <w:rPr>
          <w:i/>
        </w:rPr>
        <w:t>ihnen</w:t>
      </w:r>
      <w:r>
        <w:rPr/>
        <w:t xml:space="preserve"> sich auf die Statthalter und Könige bezieht oder auf die Auslieferer, Prügler, Statthalter und Könige, (2) lässt sich aus V. 9 allein nicht erkennen, worauf das </w:t>
      </w:r>
      <w:r>
        <w:rPr>
          <w:i/>
        </w:rPr>
        <w:t>ihnen zum Zeugnis</w:t>
      </w:r>
      <w:r>
        <w:rPr/>
        <w:t xml:space="preserve"> sich eigentlich beziehen soll. Die Mehrheitsmeinung bei der Interpretation von </w:t>
      </w:r>
      <w:r>
        <w:rPr>
          <w:i/>
        </w:rPr>
        <w:t>V. 10</w:t>
      </w:r>
      <w:r>
        <w:rPr/>
        <w:t xml:space="preserve"> ist aber, dass er parenthetisch das </w:t>
      </w:r>
      <w:r>
        <w:rPr>
          <w:i/>
        </w:rPr>
        <w:t>ihnen zum Zeugnis</w:t>
      </w:r>
      <w:r>
        <w:rPr/>
        <w:t xml:space="preserve"> auslegt und </w:t>
      </w:r>
      <w:r>
        <w:rPr>
          <w:i/>
        </w:rPr>
        <w:t>Zeugnis</w:t>
      </w:r>
      <w:r>
        <w:rPr/>
        <w:t xml:space="preserve">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627">
    <w:p>
      <w:pPr>
        <w:pStyle w:val="Funote"/>
        <w:rPr/>
      </w:pPr>
      <w:r>
        <w:rPr>
          <w:rStyle w:val="Funotenzeichen"/>
        </w:rPr>
        <w:footnoteRef/>
      </w:r>
      <w:r>
        <w:rPr/>
        <w:tab/>
        <w:t xml:space="preserve">Kausales </w:t>
      </w:r>
      <w:r>
        <w:rPr>
          <w:lang w:val="el-GR"/>
        </w:rPr>
        <w:t>καὶ</w:t>
      </w:r>
      <w:r>
        <w:rPr/>
        <w:t>; vgl. Reiser 1983, S. 127; Wilckens.</w:t>
      </w:r>
    </w:p>
  </w:footnote>
  <w:footnote w:id="4628">
    <w:p>
      <w:pPr>
        <w:pStyle w:val="Funote"/>
        <w:rPr/>
      </w:pPr>
      <w:r>
        <w:rPr>
          <w:rStyle w:val="Funotenzeichen"/>
        </w:rPr>
        <w:footnoteRef/>
      </w:r>
      <w:r>
        <w:rPr/>
        <w:tab/>
        <w:t>recht sicher i.S.v. „vor dem Ende“</w:t>
      </w:r>
    </w:p>
  </w:footnote>
  <w:footnote w:id="4629">
    <w:p>
      <w:pPr>
        <w:pStyle w:val="Funote"/>
        <w:rPr/>
      </w:pPr>
      <w:r>
        <w:rPr>
          <w:rStyle w:val="Funotenzeichen"/>
        </w:rPr>
        <w:footnoteRef/>
      </w:r>
      <w:r>
        <w:rPr>
          <w:lang w:val="el-GR"/>
        </w:rPr>
        <w:tab/>
        <w:t>εἰς</w:t>
      </w:r>
      <w:r>
        <w:rPr/>
        <w:t xml:space="preserve"> wird hier verwendet wie </w:t>
      </w:r>
      <w:r>
        <w:rPr>
          <w:lang w:val="el-GR"/>
        </w:rPr>
        <w:t>ἔν</w:t>
      </w:r>
      <w:r>
        <w:rPr/>
        <w:t>; vgl Cranfield 1959, S. 199; Turner 1924b, S. 20</w:t>
      </w:r>
    </w:p>
  </w:footnote>
  <w:footnote w:id="4630">
    <w:p>
      <w:pPr>
        <w:pStyle w:val="Funote"/>
        <w:rPr/>
      </w:pPr>
      <w:r>
        <w:rPr>
          <w:rStyle w:val="Funotenzeichen"/>
        </w:rPr>
        <w:footnoteRef/>
      </w:r>
      <w:r>
        <w:rPr/>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631">
    <w:p>
      <w:pPr>
        <w:pStyle w:val="Funote"/>
        <w:rPr/>
      </w:pPr>
      <w:r>
        <w:rPr>
          <w:rStyle w:val="Funotenzeichen"/>
        </w:rPr>
        <w:footnoteRef/>
      </w:r>
      <w:r>
        <w:rPr/>
        <w:tab/>
        <w:t>theologischer Passiv, eigentlich also besser »das, was Gott euch in jener Stunde eingeben wird«. Vgl. Grosvenor/Zerwick 1993, S. 151</w:t>
      </w:r>
    </w:p>
  </w:footnote>
  <w:footnote w:id="4632">
    <w:p>
      <w:pPr>
        <w:pStyle w:val="Funote"/>
        <w:rPr/>
      </w:pPr>
      <w:r>
        <w:rPr>
          <w:rStyle w:val="Funotenzeichen"/>
        </w:rPr>
        <w:footnoteRef/>
      </w:r>
      <w:r>
        <w:rPr/>
        <w:tab/>
        <w:t xml:space="preserve">wie im Hebräischen dient auch in der Koine </w:t>
      </w:r>
      <w:r>
        <w:rPr>
          <w:i/>
        </w:rPr>
        <w:t>Name</w:t>
      </w:r>
      <w:r>
        <w:rPr/>
        <w:t xml:space="preserve"> als Wechselbegriff für den Namensträger, also </w:t>
      </w:r>
      <w:r>
        <w:rPr>
          <w:i/>
        </w:rPr>
        <w:t>wegen meinem Namen</w:t>
      </w:r>
      <w:r>
        <w:rPr/>
        <w:t xml:space="preserve"> = </w:t>
      </w:r>
      <w:r>
        <w:rPr>
          <w:i/>
        </w:rPr>
        <w:t>wegen mir</w:t>
      </w:r>
      <w:r>
        <w:rPr/>
        <w:t>.</w:t>
      </w:r>
    </w:p>
  </w:footnote>
  <w:footnote w:id="4633">
    <w:p>
      <w:pPr>
        <w:pStyle w:val="Funote"/>
        <w:rPr/>
      </w:pPr>
      <w:r>
        <w:rPr>
          <w:rStyle w:val="Funotenzeichen"/>
        </w:rPr>
        <w:footnoteRef/>
      </w:r>
      <w:r>
        <w:rPr/>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634">
    <w:p>
      <w:pPr>
        <w:pStyle w:val="Funote"/>
        <w:rPr/>
      </w:pPr>
      <w:r>
        <w:rPr>
          <w:rStyle w:val="Funotenzeichen"/>
        </w:rPr>
        <w:footnoteRef/>
      </w:r>
      <w:r>
        <w:rPr>
          <w:lang w:val="el-GR"/>
        </w:rPr>
        <w:tab/>
        <w:t>ὑπομένω</w:t>
      </w:r>
      <w:r>
        <w:rPr/>
        <w:t xml:space="preserve"> steht nicht nur für ausharren i.S.v. warten, sondern - bes. hier - für das Ertragen und Erdulden von Leiden; vgl. EWNT III, S. 968</w:t>
      </w:r>
    </w:p>
  </w:footnote>
  <w:footnote w:id="4635">
    <w:p>
      <w:pPr>
        <w:pStyle w:val="Funote"/>
        <w:rPr/>
      </w:pPr>
      <w:r>
        <w:rPr>
          <w:rStyle w:val="Funotenzeichen"/>
        </w:rPr>
        <w:footnoteRef/>
      </w:r>
      <w:r>
        <w:rPr/>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636">
    <w:p>
      <w:pPr>
        <w:pStyle w:val="Funote"/>
        <w:rPr/>
      </w:pPr>
      <w:r>
        <w:rPr>
          <w:rStyle w:val="Funotenzeichen"/>
        </w:rPr>
        <w:footnoteRef/>
      </w:r>
      <w:r>
        <w:rPr/>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637">
    <w:p>
      <w:pPr>
        <w:pStyle w:val="Funote"/>
        <w:rPr/>
      </w:pPr>
      <w:r>
        <w:rPr>
          <w:rStyle w:val="Funotenzeichen"/>
        </w:rPr>
        <w:footnoteRef/>
      </w:r>
      <w:r>
        <w:rPr/>
        <w:tab/>
        <w:t>Das Motiv der Flucht ins Gebirge ist ein häufigeres Motiv; vgl. z.B. 1Makk 2,28 (s. z.B. Gnilka 1978, S. 195f); umgekehrt kennt man auch das Motiv der Flucht aus dem Umland in die Hauptstadt, vgl. z.B. Jer 4,1ff. (s. z.B. Pesch 1977, S. 292).</w:t>
      </w:r>
    </w:p>
  </w:footnote>
  <w:footnote w:id="4638">
    <w:p>
      <w:pPr>
        <w:pStyle w:val="Funote"/>
        <w:rPr/>
      </w:pPr>
      <w:r>
        <w:rPr>
          <w:rStyle w:val="Funotenzeichen"/>
        </w:rPr>
        <w:footnoteRef/>
      </w:r>
      <w:r>
        <w:rPr/>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639">
    <w:p>
      <w:pPr>
        <w:pStyle w:val="Funote"/>
        <w:rPr/>
      </w:pPr>
      <w:r>
        <w:rPr>
          <w:rStyle w:val="Funotenzeichen"/>
        </w:rPr>
        <w:footnoteRef/>
      </w:r>
      <w:r>
        <w:rPr>
          <w:i/>
        </w:rPr>
        <w:tab/>
        <w:t>nicht hinabsteigen, um hineinzugehen</w:t>
      </w:r>
      <w:r>
        <w:rPr/>
        <w:t xml:space="preserve"> vs. </w:t>
      </w:r>
      <w:r>
        <w:rPr>
          <w:i/>
        </w:rPr>
        <w:t>weder herabsteigen noch hineingehen</w:t>
      </w:r>
      <w:r>
        <w:rPr/>
        <w:t xml:space="preserve">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w:t>
      </w:r>
      <w:r>
        <w:rPr>
          <w:strike/>
        </w:rPr>
        <w:t>hinuntersteigen, um</w:t>
      </w:r>
      <w:r>
        <w:rPr/>
        <w:t xml:space="preserve"> ins Haus gehen, um sich etwas zu holen“</w:t>
      </w:r>
    </w:p>
  </w:footnote>
  <w:footnote w:id="4640">
    <w:p>
      <w:pPr>
        <w:pStyle w:val="Funote"/>
        <w:rPr/>
      </w:pPr>
      <w:r>
        <w:rPr>
          <w:rStyle w:val="Funotenzeichen"/>
        </w:rPr>
        <w:footnoteRef/>
      </w:r>
      <w:r>
        <w:rPr/>
        <w:tab/>
        <w:t xml:space="preserve">W. </w:t>
      </w:r>
      <w:r>
        <w:rPr>
          <w:i/>
        </w:rPr>
        <w:t>soll sich nicht zurückwenden nach zurück</w:t>
      </w:r>
      <w:r>
        <w:rPr/>
        <w:t>; gemeint ist sicher „nach Hause zurückkehren“.</w:t>
      </w:r>
    </w:p>
  </w:footnote>
  <w:footnote w:id="4641">
    <w:p>
      <w:pPr>
        <w:pStyle w:val="Funote"/>
        <w:rPr/>
      </w:pPr>
      <w:r>
        <w:rPr>
          <w:rStyle w:val="Funotenzeichen"/>
        </w:rPr>
        <w:footnoteRef/>
      </w:r>
      <w:r>
        <w:rPr/>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642">
    <w:p>
      <w:pPr>
        <w:pStyle w:val="Funote"/>
        <w:rPr/>
      </w:pPr>
      <w:r>
        <w:rPr>
          <w:rStyle w:val="Funotenzeichen"/>
        </w:rPr>
        <w:footnoteRef/>
      </w:r>
      <w:r>
        <w:rPr>
          <w:i/>
        </w:rPr>
        <w:tab/>
        <w:t>in jenen Tagen</w:t>
      </w:r>
      <w:r>
        <w:rPr/>
        <w:t xml:space="preserve">: Stereotype alttestamentliche Phrase, die häufig in eschatologischen Kontexten verwendet wird; s. z.B. </w:t>
      </w:r>
      <w:r>
        <w:fldChar w:fldCharType="begin"/>
      </w:r>
      <w:r>
        <w:rPr>
          <w:rStyle w:val="Internetverknpfung"/>
        </w:rPr>
        <w:instrText> HYPERLINK "../../../../../../../../../wiki/Jeremia_3" \l "s16"</w:instrText>
      </w:r>
      <w:r>
        <w:rPr>
          <w:rStyle w:val="Internetverknpfung"/>
        </w:rPr>
        <w:fldChar w:fldCharType="separate"/>
      </w:r>
      <w:r>
        <w:rPr>
          <w:rStyle w:val="Internetverknpfung"/>
        </w:rPr>
        <w:t>Jer 3,16</w:t>
      </w:r>
      <w:r>
        <w:rPr>
          <w:rStyle w:val="Internetverknpfung"/>
        </w:rPr>
        <w:fldChar w:fldCharType="end"/>
      </w:r>
      <w:r>
        <w:rPr/>
        <w:t>.</w:t>
      </w:r>
      <w:r>
        <w:fldChar w:fldCharType="begin"/>
      </w:r>
      <w:r>
        <w:rPr>
          <w:rStyle w:val="Internetverknpfung"/>
        </w:rPr>
        <w:instrText> HYPERLINK "../../../../../../../../../wiki/Jeremia_3" \l "s18"</w:instrText>
      </w:r>
      <w:r>
        <w:rPr>
          <w:rStyle w:val="Internetverknpfung"/>
        </w:rPr>
        <w:fldChar w:fldCharType="separate"/>
      </w:r>
      <w:r>
        <w:rPr>
          <w:rStyle w:val="Internetverknpfung"/>
        </w:rPr>
        <w:t>18</w:t>
      </w:r>
      <w:r>
        <w:rPr>
          <w:rStyle w:val="Internetverknpfung"/>
        </w:rPr>
        <w:fldChar w:fldCharType="end"/>
      </w:r>
      <w:r>
        <w:rPr/>
        <w:t xml:space="preserve">; </w:t>
      </w:r>
      <w:hyperlink r:id="rId482">
        <w:r>
          <w:rPr>
            <w:rStyle w:val="Internetverknpfung"/>
          </w:rPr>
          <w:t>31,29</w:t>
        </w:r>
      </w:hyperlink>
      <w:r>
        <w:rPr/>
        <w:t xml:space="preserve">; </w:t>
      </w:r>
      <w:hyperlink r:id="rId483">
        <w:r>
          <w:rPr>
            <w:rStyle w:val="Internetverknpfung"/>
          </w:rPr>
          <w:t>33,15f</w:t>
        </w:r>
      </w:hyperlink>
      <w:r>
        <w:rPr/>
        <w:t xml:space="preserve">.; </w:t>
      </w:r>
      <w:hyperlink r:id="rId484">
        <w:r>
          <w:rPr>
            <w:rStyle w:val="Internetverknpfung"/>
          </w:rPr>
          <w:t>Joel 3,1</w:t>
        </w:r>
      </w:hyperlink>
      <w:r>
        <w:rPr/>
        <w:t xml:space="preserve">; </w:t>
      </w:r>
      <w:hyperlink r:id="rId485">
        <w:r>
          <w:rPr>
            <w:rStyle w:val="Internetverknpfung"/>
          </w:rPr>
          <w:t>Sach 8,23</w:t>
        </w:r>
      </w:hyperlink>
      <w:r>
        <w:rPr/>
        <w:t xml:space="preserve"> u.ö.</w:t>
      </w:r>
    </w:p>
  </w:footnote>
  <w:footnote w:id="4643">
    <w:p>
      <w:pPr>
        <w:pStyle w:val="Funote"/>
        <w:rPr/>
      </w:pPr>
      <w:r>
        <w:rPr>
          <w:rStyle w:val="Funotenzeichen"/>
        </w:rPr>
        <w:footnoteRef/>
      </w:r>
      <w:r>
        <w:rPr/>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w:t>
      </w:r>
      <w:r>
        <w:rPr>
          <w:i/>
        </w:rPr>
        <w:t>Darum betet, dass es nicht winters geschieht!</w:t>
      </w:r>
    </w:p>
  </w:footnote>
  <w:footnote w:id="4644">
    <w:p>
      <w:pPr>
        <w:pStyle w:val="Funote"/>
        <w:rPr/>
      </w:pPr>
      <w:r>
        <w:rPr>
          <w:rStyle w:val="Funotenzeichen"/>
        </w:rPr>
        <w:footnoteRef/>
      </w:r>
      <w:r>
        <w:rPr/>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645">
    <w:p>
      <w:pPr>
        <w:pStyle w:val="Funote"/>
        <w:rPr/>
      </w:pPr>
      <w:r>
        <w:rPr>
          <w:rStyle w:val="Funotenzeichen"/>
        </w:rPr>
        <w:footnoteRef/>
      </w:r>
      <w:r>
        <w:rPr>
          <w:lang w:val="el-GR"/>
        </w:rPr>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646">
    <w:p>
      <w:pPr>
        <w:pStyle w:val="Funote"/>
        <w:rPr/>
      </w:pPr>
      <w:r>
        <w:rPr>
          <w:rStyle w:val="Funotenzeichen"/>
        </w:rPr>
        <w:footnoteRef/>
      </w:r>
      <w:r>
        <w:rPr/>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647">
    <w:p>
      <w:pPr>
        <w:pStyle w:val="Funote"/>
        <w:rPr/>
      </w:pPr>
      <w:r>
        <w:rPr>
          <w:rStyle w:val="Funotenzeichen"/>
        </w:rPr>
        <w:footnoteRef/>
      </w:r>
      <w:r>
        <w:rPr/>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648">
    <w:p>
      <w:pPr>
        <w:pStyle w:val="Funote"/>
        <w:rPr/>
      </w:pPr>
      <w:r>
        <w:rPr>
          <w:rStyle w:val="Funotenzeichen"/>
        </w:rPr>
        <w:footnoteRef/>
      </w:r>
      <w:r>
        <w:rPr/>
        <w:tab/>
        <w:t>Bailey 2009, S. 360 hat die beiden Ausrufe sehr gut analysiert: Fokalisiert ist in beiden jeweils der Lokativ (</w:t>
      </w:r>
      <w:r>
        <w:rPr>
          <w:i/>
        </w:rPr>
        <w:t>Hier</w:t>
      </w:r>
      <w:r>
        <w:rPr/>
        <w:t xml:space="preserve"> + </w:t>
      </w:r>
      <w:r>
        <w:rPr>
          <w:i/>
        </w:rPr>
        <w:t>dort</w:t>
      </w:r>
      <w:r>
        <w:rPr/>
        <w:t xml:space="preserve">);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w:t>
      </w:r>
      <w:r>
        <w:rPr>
          <w:i/>
        </w:rPr>
        <w:t>Hier!</w:t>
      </w:r>
      <w:r>
        <w:rPr/>
        <w:t xml:space="preserve"> und </w:t>
      </w:r>
      <w:r>
        <w:rPr>
          <w:i/>
        </w:rPr>
        <w:t>dort!</w:t>
      </w:r>
      <w:r>
        <w:rPr/>
        <w:t xml:space="preserve"> auf die verschiedenen Pseudo-christusse verweisen soll; also sinngemäß eher „Dieser hier ist der Christus!“ und „jener dort ist der Christus!“. Ich denke aber, dass das auch bei wörtlicher Übersetzung klar herauskommt.</w:t>
      </w:r>
    </w:p>
  </w:footnote>
  <w:footnote w:id="4649">
    <w:p>
      <w:pPr>
        <w:pStyle w:val="Funote"/>
        <w:rPr/>
      </w:pPr>
      <w:r>
        <w:rPr>
          <w:rStyle w:val="Funotenzeichen"/>
        </w:rPr>
        <w:footnoteRef/>
      </w:r>
      <w:r>
        <w:rPr/>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650">
    <w:p>
      <w:pPr>
        <w:pStyle w:val="Funote"/>
        <w:rPr/>
      </w:pPr>
      <w:r>
        <w:rPr>
          <w:rStyle w:val="Funotenzeichen"/>
        </w:rPr>
        <w:footnoteRef/>
      </w:r>
      <w:r>
        <w:rPr/>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651">
    <w:p>
      <w:pPr>
        <w:pStyle w:val="Funote"/>
        <w:rPr/>
      </w:pPr>
      <w:r>
        <w:rPr>
          <w:rStyle w:val="Funotenzeichen"/>
        </w:rPr>
        <w:footnoteRef/>
      </w:r>
      <w:r>
        <w:rPr/>
        <w:tab/>
        <w:t xml:space="preserve">Das Verb </w:t>
      </w:r>
      <w:r>
        <w:rPr>
          <w:lang w:val="el-GR"/>
        </w:rPr>
        <w:t>ἀποπλανάω</w:t>
      </w:r>
      <w:r>
        <w:rPr/>
        <w:t xml:space="preserve"> hat hier »die Bedeutung eschatologischer Verführung« (EWNT III, S. 236)</w:t>
      </w:r>
    </w:p>
  </w:footnote>
  <w:footnote w:id="4652">
    <w:p>
      <w:pPr>
        <w:pStyle w:val="Funote"/>
        <w:rPr/>
      </w:pPr>
      <w:r>
        <w:rPr>
          <w:rStyle w:val="Funotenzeichen"/>
        </w:rPr>
        <w:footnoteRef/>
      </w:r>
      <w:r>
        <w:rPr/>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t>
      </w:r>
      <w:r>
        <w:rPr>
          <w:i/>
        </w:rPr>
        <w:t>wenn möglich</w:t>
      </w:r>
      <w:r>
        <w:rPr/>
        <w:t xml:space="preserve"> in V. 22 könnte theoretisch auch bedeuten </w:t>
      </w:r>
      <w:r>
        <w:rPr>
          <w:i/>
        </w:rPr>
        <w:t>wo/bei wem immer das möglich ist (=ihnen das gelingt)</w:t>
      </w:r>
      <w:r>
        <w:rPr/>
        <w:t xml:space="preserve">;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w:t>
      </w:r>
      <w:r>
        <w:rPr>
          <w:i/>
        </w:rPr>
        <w:t>und so all jene</w:t>
      </w:r>
      <w:r>
        <w:rPr/>
        <w:t xml:space="preserve"> Erwählten verführen, </w:t>
      </w:r>
      <w:r>
        <w:rPr>
          <w:i/>
        </w:rPr>
        <w:t>bei denen</w:t>
      </w:r>
      <w:r>
        <w:rPr/>
        <w:t xml:space="preserve"> es ihnen gelingt. </w:t>
      </w:r>
      <w:r>
        <w:rPr>
          <w:i/>
        </w:rPr>
        <w:t>Ihr dagegen</w:t>
      </w:r>
      <w:r>
        <w:rPr/>
        <w:t xml:space="preserve">: Achtet auf euch selbst...“ - So aber m.W. niemand und es ist diese Verwendung von </w:t>
      </w:r>
      <w:r>
        <w:rPr>
          <w:lang w:val="el-GR"/>
        </w:rPr>
        <w:t>εἰ</w:t>
      </w:r>
      <w:r>
        <w:rPr/>
        <w:t xml:space="preserve"> auch eher selten, daher können wir getrost bei der angegebenen Standard-übersetzung bleiben.</w:t>
      </w:r>
    </w:p>
  </w:footnote>
  <w:footnote w:id="4653">
    <w:p>
      <w:pPr>
        <w:pStyle w:val="Funote"/>
        <w:rPr/>
      </w:pPr>
      <w:r>
        <w:rPr>
          <w:rStyle w:val="Funotenzeichen"/>
        </w:rPr>
        <w:footnoteRef/>
      </w:r>
      <w:r>
        <w:rPr/>
        <w:tab/>
        <w:t xml:space="preserve">Die Bedeutung von </w:t>
      </w:r>
      <w:r>
        <w:rPr>
          <w:lang w:val="el-GR"/>
        </w:rPr>
        <w:t>πάντα</w:t>
      </w:r>
      <w:r>
        <w:rPr/>
        <w:t xml:space="preserve"> ist in der Exegese umstritten; vgl. dazu den </w:t>
      </w:r>
      <w:r>
        <w:fldChar w:fldCharType="begin"/>
      </w:r>
      <w:r>
        <w:rPr>
          <w:rStyle w:val="Internetverknpfung"/>
        </w:rPr>
        <w:instrText> HYPERLINK "http://www.offene-bibel.de/wiki/index.php5?title=Kommentar:Markus_13" \l "Vv._28-31:_Abschnitt_1"</w:instrText>
      </w:r>
      <w:r>
        <w:rPr>
          <w:rStyle w:val="Internetverknpfung"/>
        </w:rPr>
        <w:fldChar w:fldCharType="separate"/>
      </w:r>
      <w:r>
        <w:rPr>
          <w:rStyle w:val="Internetverknpfung"/>
        </w:rPr>
        <w:t>Kommentar</w:t>
      </w:r>
      <w:r>
        <w:rPr>
          <w:rStyle w:val="Internetverknpfung"/>
        </w:rPr>
        <w:fldChar w:fldCharType="end"/>
      </w:r>
      <w:r>
        <w:rPr/>
        <w:t>.</w:t>
      </w:r>
    </w:p>
  </w:footnote>
  <w:footnote w:id="4654">
    <w:p>
      <w:pPr>
        <w:pStyle w:val="Funote"/>
        <w:rPr/>
      </w:pPr>
      <w:r>
        <w:rPr>
          <w:rStyle w:val="Funotenzeichen"/>
        </w:rPr>
        <w:footnoteRef/>
      </w:r>
      <w:r>
        <w:rPr/>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w:t>
      </w:r>
      <w:hyperlink r:id="rId486">
        <w:r>
          <w:rPr>
            <w:rStyle w:val="Internetverknpfung"/>
          </w:rPr>
          <w:t>CH 8,1</w:t>
        </w:r>
      </w:hyperlink>
      <w:r>
        <w:rPr/>
        <w:t xml:space="preserve">); heute stellen sie in der Engellehre sozusagen „ganz offiziell“ einen der Neun Englischen Chöre: die </w:t>
      </w:r>
      <w:r>
        <w:rPr>
          <w:i/>
        </w:rPr>
        <w:t>virtutes</w:t>
      </w:r>
      <w:r>
        <w:rPr/>
        <w:t xml:space="preserve">, die dafür verantwortlich sind, in Gottes Auftrag Wunder zu wirken. Vermutlich stammt das Bild noch aus der Apokalypse-Schilderung in </w:t>
      </w:r>
      <w:hyperlink r:id="rId487">
        <w:r>
          <w:rPr>
            <w:rStyle w:val="Internetverknpfung"/>
          </w:rPr>
          <w:t>Jes 34,4</w:t>
        </w:r>
      </w:hyperlink>
      <w:r>
        <w:rPr/>
        <w:t>.</w:t>
      </w:r>
    </w:p>
  </w:footnote>
  <w:footnote w:id="4655">
    <w:p>
      <w:pPr>
        <w:pStyle w:val="Funote"/>
        <w:rPr/>
      </w:pPr>
      <w:r>
        <w:rPr>
          <w:rStyle w:val="Funotenzeichen"/>
        </w:rPr>
        <w:footnoteRef/>
      </w:r>
      <w:r>
        <w:rPr/>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656">
    <w:p>
      <w:pPr>
        <w:pStyle w:val="Funote"/>
        <w:rPr/>
      </w:pPr>
      <w:r>
        <w:rPr>
          <w:rStyle w:val="Funotenzeichen"/>
        </w:rPr>
        <w:footnoteRef/>
      </w:r>
      <w:r>
        <w:rPr/>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657">
    <w:p>
      <w:pPr>
        <w:pStyle w:val="Funote"/>
        <w:rPr/>
      </w:pPr>
      <w:r>
        <w:rPr>
          <w:rStyle w:val="Funotenzeichen"/>
        </w:rPr>
        <w:footnoteRef/>
      </w:r>
      <w:r>
        <w:rPr/>
        <w:tab/>
        <w:t xml:space="preserve">Im Singular (anders als im Plural, V. 25) ist die </w:t>
      </w:r>
      <w:r>
        <w:rPr>
          <w:lang w:val="el-GR"/>
        </w:rPr>
        <w:t>δύναμις</w:t>
      </w:r>
      <w:r>
        <w:rPr/>
        <w:t xml:space="preserve"> ein Attribut Gottes/Christi und bezeichnet deren (All)Macht.</w:t>
      </w:r>
    </w:p>
  </w:footnote>
  <w:footnote w:id="4658">
    <w:p>
      <w:pPr>
        <w:pStyle w:val="Funote"/>
        <w:rPr/>
      </w:pPr>
      <w:r>
        <w:rPr>
          <w:rStyle w:val="Funotenzeichen"/>
        </w:rPr>
        <w:footnoteRef/>
      </w:r>
      <w:r>
        <w:rPr>
          <w:lang w:val="el-GR"/>
        </w:rPr>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659">
    <w:p>
      <w:pPr>
        <w:pStyle w:val="Funote"/>
        <w:rPr/>
      </w:pPr>
      <w:r>
        <w:rPr>
          <w:rStyle w:val="Funotenzeichen"/>
        </w:rPr>
        <w:footnoteRef/>
      </w:r>
      <w:r>
        <w:rPr/>
        <w:tab/>
        <w:t>Himmelsrichtungen - W. »Winde«; zur Bedeutung »Himmelsrichtungen« vgl. EWNT I, S. 231. Im Hintergrund steht die im Alten Orient häufigere Verortung der (Personifikationen der) vier Winde an die vier Enden der Erde (s. in der Bibel noch Offb 7,1; auch Ez 37,9; für ein Bsp. in der ägyptischen Ikonographie s. z.B. hier oder hier, S. 328; jeweils dargestellt durch vier geflügelte Tiere). Damit und dadurch stehen die Winde gleichzeitig für die Himmelsrichtungen.</w:t>
      </w:r>
    </w:p>
  </w:footnote>
  <w:footnote w:id="4660">
    <w:p>
      <w:pPr>
        <w:pStyle w:val="Funote"/>
        <w:rPr/>
      </w:pPr>
      <w:r>
        <w:rPr>
          <w:rStyle w:val="Funotenzeichen"/>
        </w:rPr>
        <w:footnoteRef/>
      </w:r>
      <w:r>
        <w:rPr/>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661">
    <w:p>
      <w:pPr>
        <w:pStyle w:val="Funote"/>
        <w:rPr/>
      </w:pPr>
      <w:r>
        <w:rPr>
          <w:rStyle w:val="Funotenzeichen"/>
        </w:rPr>
        <w:footnoteRef/>
      </w:r>
      <w:r>
        <w:rPr/>
        <w:tab/>
        <w:t xml:space="preserve">zu </w:t>
      </w:r>
      <w:r>
        <w:rPr>
          <w:lang w:val="el-GR"/>
        </w:rPr>
        <w:t>Ἀπὸ</w:t>
      </w:r>
      <w:r>
        <w:rPr/>
        <w:t xml:space="preserve"> i.S.v. </w:t>
      </w:r>
      <w:r>
        <w:rPr>
          <w:i/>
        </w:rPr>
        <w:t>über</w:t>
      </w:r>
      <w:r>
        <w:rPr/>
        <w:t xml:space="preserve"> vgl. LSJ (Bed. A7)</w:t>
      </w:r>
    </w:p>
  </w:footnote>
  <w:footnote w:id="4662">
    <w:p>
      <w:pPr>
        <w:pStyle w:val="Funote"/>
        <w:rPr/>
      </w:pPr>
      <w:r>
        <w:rPr>
          <w:rStyle w:val="Funotenzeichen"/>
        </w:rPr>
        <w:footnoteRef/>
      </w:r>
      <w:r>
        <w:rPr/>
        <w:tab/>
        <w:t xml:space="preserve">zu </w:t>
      </w:r>
      <w:r>
        <w:rPr>
          <w:lang w:val="el-GR"/>
        </w:rPr>
        <w:t>ὅταν ἤδη</w:t>
      </w:r>
      <w:r>
        <w:rPr/>
        <w:t xml:space="preserve"> i.S.v. sobald vgl. ad loc. Grosvenor/Zerwick.</w:t>
      </w:r>
    </w:p>
  </w:footnote>
  <w:footnote w:id="4663">
    <w:p>
      <w:pPr>
        <w:pStyle w:val="Funote"/>
        <w:rPr/>
      </w:pPr>
      <w:r>
        <w:rPr>
          <w:rStyle w:val="Funotenzeichen"/>
        </w:rPr>
        <w:footnoteRef/>
      </w:r>
      <w:r>
        <w:rPr/>
        <w:tab/>
        <w:t xml:space="preserve">W. </w:t>
      </w:r>
      <w:r>
        <w:rPr>
          <w:i/>
        </w:rPr>
        <w:t>sein Zweig</w:t>
      </w:r>
      <w:r>
        <w:rPr/>
        <w:t>; kollektiver Singular</w:t>
      </w:r>
    </w:p>
  </w:footnote>
  <w:footnote w:id="4664">
    <w:p>
      <w:pPr>
        <w:pStyle w:val="Funote"/>
        <w:rPr/>
      </w:pPr>
      <w:r>
        <w:rPr>
          <w:rStyle w:val="Funotenzeichen"/>
        </w:rPr>
        <w:footnoteRef/>
      </w:r>
      <w:r>
        <w:rPr/>
        <w:tab/>
        <w:t>sicher i.S.v. Wenn der Saft in die Zweige steigt (so z.B. GN, NGÜ). Sehr schön BB: Wenn seine Zweige frisch austreiben und Blätter bekommen.</w:t>
      </w:r>
    </w:p>
  </w:footnote>
  <w:footnote w:id="4665">
    <w:p>
      <w:pPr>
        <w:pStyle w:val="Funote"/>
        <w:rPr/>
      </w:pPr>
      <w:r>
        <w:rPr>
          <w:rStyle w:val="Funotenzeichen"/>
        </w:rPr>
        <w:footnoteRef/>
      </w:r>
      <w:r>
        <w:rPr/>
        <w:tab/>
        <w:t xml:space="preserve">Zum Gleichnis vgl. den </w:t>
      </w:r>
      <w:r>
        <w:fldChar w:fldCharType="begin"/>
      </w:r>
      <w:r>
        <w:rPr>
          <w:rStyle w:val="Internetverknpfung"/>
        </w:rPr>
        <w:instrText> HYPERLINK "http://www.offene-bibel.de/wiki/index.php5?title=Kommentar:Markus_13" \l "Vv._28-31:_Abschnitt_1"</w:instrText>
      </w:r>
      <w:r>
        <w:rPr>
          <w:rStyle w:val="Internetverknpfung"/>
        </w:rPr>
        <w:fldChar w:fldCharType="separate"/>
      </w:r>
      <w:r>
        <w:rPr>
          <w:rStyle w:val="Internetverknpfung"/>
        </w:rPr>
        <w:t>Kommentar</w:t>
      </w:r>
      <w:r>
        <w:rPr>
          <w:rStyle w:val="Internetverknpfung"/>
        </w:rPr>
        <w:fldChar w:fldCharType="end"/>
      </w:r>
    </w:p>
  </w:footnote>
  <w:footnote w:id="4666">
    <w:p>
      <w:pPr>
        <w:pStyle w:val="Funote"/>
        <w:rPr/>
      </w:pPr>
      <w:r>
        <w:rPr>
          <w:rStyle w:val="Funotenzeichen"/>
        </w:rPr>
        <w:footnoteRef/>
      </w:r>
      <w:r>
        <w:rPr>
          <w:lang w:val="el-GR"/>
        </w:rPr>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667">
    <w:p>
      <w:pPr>
        <w:pStyle w:val="Funote"/>
        <w:rPr/>
      </w:pPr>
      <w:r>
        <w:rPr>
          <w:rStyle w:val="Funotenzeichen"/>
        </w:rPr>
        <w:footnoteRef/>
      </w:r>
      <w:r>
        <w:rPr/>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668">
    <w:p>
      <w:pPr>
        <w:pStyle w:val="Funote"/>
        <w:rPr/>
      </w:pPr>
      <w:r>
        <w:rPr>
          <w:rStyle w:val="Funotenzeichen"/>
        </w:rPr>
        <w:footnoteRef/>
      </w:r>
      <w:r>
        <w:rPr/>
        <w:tab/>
        <w:t xml:space="preserve">Die Bedeutung von </w:t>
      </w:r>
      <w:r>
        <w:rPr>
          <w:lang w:val="el-GR"/>
        </w:rPr>
        <w:t>ταῦτα πάντα</w:t>
      </w:r>
      <w:r>
        <w:rPr/>
        <w:t xml:space="preserve"> </w:t>
      </w:r>
      <w:r>
        <w:rPr>
          <w:i/>
        </w:rPr>
        <w:t>dies alles</w:t>
      </w:r>
      <w:r>
        <w:rPr/>
        <w:t xml:space="preserve"> ist in der Exegese umstritten; vgl. dazu den </w:t>
      </w:r>
      <w:r>
        <w:fldChar w:fldCharType="begin"/>
      </w:r>
      <w:r>
        <w:rPr>
          <w:rStyle w:val="Internetverknpfung"/>
        </w:rPr>
        <w:instrText> HYPERLINK "http://www.offene-bibel.de/wiki/index.php5?title=Kommentar:Markus_13" \l "Vv._28-31:_Abschnitt_1"</w:instrText>
      </w:r>
      <w:r>
        <w:rPr>
          <w:rStyle w:val="Internetverknpfung"/>
        </w:rPr>
        <w:fldChar w:fldCharType="separate"/>
      </w:r>
      <w:r>
        <w:rPr>
          <w:rStyle w:val="Internetverknpfung"/>
        </w:rPr>
        <w:t>Kommentar</w:t>
      </w:r>
      <w:r>
        <w:rPr>
          <w:rStyle w:val="Internetverknpfung"/>
        </w:rPr>
        <w:fldChar w:fldCharType="end"/>
      </w:r>
    </w:p>
  </w:footnote>
  <w:footnote w:id="4669">
    <w:p>
      <w:pPr>
        <w:pStyle w:val="Funote"/>
        <w:rPr/>
      </w:pPr>
      <w:r>
        <w:rPr>
          <w:rStyle w:val="Funotenzeichen"/>
        </w:rPr>
        <w:footnoteRef/>
      </w:r>
      <w:r>
        <w:rPr/>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670">
    <w:p>
      <w:pPr>
        <w:pStyle w:val="Funote"/>
        <w:rPr/>
      </w:pPr>
      <w:r>
        <w:rPr>
          <w:rStyle w:val="Funotenzeichen"/>
        </w:rPr>
        <w:footnoteRef/>
      </w:r>
      <w:r>
        <w:rPr/>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671">
    <w:p>
      <w:pPr>
        <w:pStyle w:val="Funote"/>
        <w:rPr/>
      </w:pPr>
      <w:r>
        <w:rPr>
          <w:rStyle w:val="Funotenzeichen"/>
        </w:rPr>
        <w:footnoteRef/>
      </w:r>
      <w:r>
        <w:rPr/>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672">
    <w:p>
      <w:pPr>
        <w:pStyle w:val="Funote"/>
        <w:rPr/>
      </w:pPr>
      <w:r>
        <w:rPr>
          <w:rStyle w:val="Funotenzeichen"/>
        </w:rPr>
        <w:footnoteRef/>
      </w:r>
      <w:r>
        <w:rPr/>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673">
    <w:p>
      <w:pPr>
        <w:pStyle w:val="Funote"/>
        <w:rPr/>
      </w:pPr>
      <w:r>
        <w:rPr>
          <w:rStyle w:val="Funotenzeichen"/>
        </w:rPr>
        <w:footnoteRef/>
      </w:r>
      <w:r>
        <w:rPr/>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674">
    <w:p>
      <w:pPr>
        <w:pStyle w:val="Funote"/>
        <w:rPr/>
      </w:pPr>
      <w:r>
        <w:rPr>
          <w:rStyle w:val="Funotenzeichen"/>
        </w:rPr>
        <w:footnoteRef/>
      </w:r>
      <w:r>
        <w:rPr/>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675">
    <w:p>
      <w:pPr>
        <w:pStyle w:val="Funote"/>
        <w:rPr/>
      </w:pPr>
      <w:r>
        <w:rPr>
          <w:rStyle w:val="Funotenzeichen"/>
        </w:rPr>
        <w:footnoteRef/>
      </w:r>
      <w:r>
        <w:rPr/>
        <w:tab/>
        <w:t xml:space="preserve">partikularisierendes </w:t>
      </w:r>
      <w:r>
        <w:rPr>
          <w:lang w:val="el-GR"/>
        </w:rPr>
        <w:t>καὶ</w:t>
      </w:r>
      <w:r>
        <w:rPr/>
        <w:t xml:space="preserve">: Der Torhüter ist bereits in </w:t>
      </w:r>
      <w:r>
        <w:rPr>
          <w:i/>
        </w:rPr>
        <w:t>seinen Knechten</w:t>
      </w:r>
      <w:r>
        <w:rPr/>
        <w:t xml:space="preserve"> inkludiert; nun wird noch einmal gesondert auf den Torhüter Bezug genommen</w:t>
      </w:r>
    </w:p>
  </w:footnote>
  <w:footnote w:id="4676">
    <w:p>
      <w:pPr>
        <w:pStyle w:val="Funote"/>
        <w:rPr/>
      </w:pPr>
      <w:r>
        <w:rPr>
          <w:rStyle w:val="Funotenzeichen"/>
        </w:rPr>
        <w:footnoteRef/>
      </w:r>
      <w:r>
        <w:rPr/>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677">
    <w:p>
      <w:pPr>
        <w:pStyle w:val="Funote"/>
        <w:rPr/>
      </w:pPr>
      <w:r>
        <w:rPr>
          <w:rStyle w:val="Funotenzeichen"/>
        </w:rPr>
        <w:footnoteRef/>
      </w:r>
      <w:r>
        <w:rPr/>
        <w:tab/>
        <w:t xml:space="preserve">Der Satz ist spannend, denn er steht sowohl auf der Bildseite als auch auf der Sachseite des Gleichnisses (-&gt;°Gleichnis°) und bezieht sich sowohl auf die </w:t>
      </w:r>
      <w:r>
        <w:rPr>
          <w:i/>
        </w:rPr>
        <w:t>Rückkehr</w:t>
      </w:r>
      <w:r>
        <w:rPr/>
        <w:t xml:space="preserve"> des Hausherrn als auch als die eschatologisch zu verstehende (vgl. </w:t>
      </w:r>
      <w:r>
        <w:fldChar w:fldCharType="begin"/>
      </w:r>
      <w:r>
        <w:rPr>
          <w:rStyle w:val="Internetverknpfung"/>
        </w:rPr>
        <w:instrText> HYPERLINK "http://www.offene-bibel.de/wiki/index.php5?title=Markus_13" \l "note_bg"</w:instrText>
      </w:r>
      <w:r>
        <w:rPr>
          <w:rStyle w:val="Internetverknpfung"/>
        </w:rPr>
        <w:fldChar w:fldCharType="separate"/>
      </w:r>
      <w:r>
        <w:rPr>
          <w:rStyle w:val="Internetverknpfung"/>
        </w:rPr>
        <w:t>Fußnote bg</w:t>
      </w:r>
      <w:r>
        <w:rPr>
          <w:rStyle w:val="Internetverknpfung"/>
        </w:rPr>
        <w:fldChar w:fldCharType="end"/>
      </w:r>
      <w:r>
        <w:rPr/>
        <w:t xml:space="preserve">) </w:t>
      </w:r>
      <w:r>
        <w:rPr>
          <w:i/>
        </w:rPr>
        <w:t>Wiederkunft</w:t>
      </w:r>
      <w:r>
        <w:rPr/>
        <w:t xml:space="preserve"> des </w:t>
      </w:r>
      <w:r>
        <w:rPr>
          <w:i/>
        </w:rPr>
        <w:t>Herrn</w:t>
      </w:r>
      <w:r>
        <w:rPr/>
        <w:t>, also des Menschensohnes.</w:t>
      </w:r>
    </w:p>
  </w:footnote>
  <w:footnote w:id="4678">
    <w:p>
      <w:pPr>
        <w:pStyle w:val="Funote"/>
        <w:rPr/>
      </w:pPr>
      <w:r>
        <w:rPr>
          <w:rStyle w:val="Funotenzeichen"/>
        </w:rPr>
        <w:footnoteRef/>
      </w:r>
      <w:r>
        <w:rPr/>
        <w:tab/>
        <w:t>Abend, Mitternacht, Hahnenschrei und Morgengrauen sind die vier Nachtwachenzeiten der Römer (vgl. Thüsing 2011, S. 115); die Zeitangaben passen also ausgesprochen gut zur Aufgabe des Wache-haltens eines Torwächters.</w:t>
      </w:r>
    </w:p>
  </w:footnote>
  <w:footnote w:id="4679">
    <w:p>
      <w:pPr>
        <w:pStyle w:val="Funote"/>
        <w:rPr/>
      </w:pPr>
      <w:r>
        <w:rPr>
          <w:rStyle w:val="Funotenzeichen"/>
        </w:rPr>
        <w:footnoteRef/>
      </w:r>
      <w:r>
        <w:rPr/>
        <w:tab/>
        <w:t>sehr gut GN: »Was ich euch gesagt habe, gilt für alle«.</w:t>
      </w:r>
    </w:p>
  </w:footnote>
  <w:footnote w:id="4680">
    <w:p>
      <w:pPr>
        <w:pStyle w:val="Funote"/>
        <w:rPr/>
      </w:pPr>
      <w:r>
        <w:rPr>
          <w:rStyle w:val="Funotenzeichen"/>
        </w:rPr>
        <w:footnoteRef/>
      </w:r>
      <w:r>
        <w:rPr/>
        <w:tab/>
        <w:t>[... Der Verrat des Judas ist letztlich die höchste Steigerungsform des fortwährenden Jüngerunverständnisses, das das ganze Mk-Evangelium durchzieht.]</w:t>
      </w:r>
    </w:p>
  </w:footnote>
  <w:footnote w:id="4681">
    <w:p>
      <w:pPr>
        <w:pStyle w:val="Funote"/>
        <w:rPr/>
      </w:pPr>
      <w:r>
        <w:rPr>
          <w:rStyle w:val="Funotenzeichen"/>
        </w:rPr>
        <w:footnoteRef/>
      </w:r>
      <w:r>
        <w:rPr/>
        <w:tab/>
        <w:t>[S. auch die Formulierung „durch den der Menschensohn ausgeliefert wird“ – das gr. Äquivalent von „durch“ drückt nicht den Handelnden selbst aus, sondern das Medium, durch das eine Handlung vollbracht wird (vgl. gut Marcus 2009, S. 952)]</w:t>
      </w:r>
    </w:p>
  </w:footnote>
  <w:footnote w:id="4682">
    <w:p>
      <w:pPr>
        <w:pStyle w:val="Funote"/>
        <w:rPr/>
      </w:pPr>
      <w:r>
        <w:rPr>
          <w:rStyle w:val="Funotenzeichen"/>
        </w:rPr>
        <w:footnoteRef/>
      </w:r>
      <w:r>
        <w:rPr/>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683">
    <w:p>
      <w:pPr>
        <w:pStyle w:val="Funote"/>
        <w:rPr/>
      </w:pPr>
      <w:r>
        <w:rPr>
          <w:rStyle w:val="Funotenzeichen"/>
        </w:rPr>
        <w:footnoteRef/>
      </w:r>
      <w:r>
        <w:rPr/>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684">
    <w:p>
      <w:pPr>
        <w:pStyle w:val="Funote"/>
        <w:rPr/>
      </w:pPr>
      <w:r>
        <w:rPr>
          <w:rStyle w:val="Funotenzeichen"/>
        </w:rPr>
        <w:footnoteRef/>
      </w:r>
      <w:r>
        <w:rPr/>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685">
    <w:p>
      <w:pPr>
        <w:pStyle w:val="Funote"/>
        <w:rPr/>
      </w:pPr>
      <w:r>
        <w:rPr>
          <w:rStyle w:val="Funotenzeichen"/>
        </w:rPr>
        <w:footnoteRef/>
      </w:r>
      <w:r>
        <w:rPr/>
        <w:tab/>
        <w:t>[miniatur|Himation. Foto von Giovanni Dall'Orto [CC BY-SA 3.0], aus Wikimedia Commons</w:t>
      </w:r>
    </w:p>
    <w:p>
      <w:pPr>
        <w:pStyle w:val="Funote"/>
        <w:rPr/>
      </w:pPr>
      <w:r>
        <w:rPr/>
        <w:tab/>
        <w:t>miniatur|Verrutschte Leinentücher. Rekonstruktion aus Brian B. Shefton: Herakles and Theseus on a Red-Figured Louterion, in: Hesperia 31/4, 1962. S. 330-368, hier: Fig. 2.</w:t>
      </w:r>
    </w:p>
    <w:p>
      <w:pPr>
        <w:pStyle w:val="Funote"/>
        <w:rPr/>
      </w:pPr>
      <w:r>
        <w:rPr/>
        <w:tab/>
        <w:t>Weil diese beiden Verse vielen rätselhaft schienen, sind sie häufig symbolisch ausgelegt worden. Sehr rätselhaft sind die Verse aber nicht (vgl. zum Folgenden bes. Jackson 1997): Ein „Leinentuch“ (gr. sindon) war im Alten Israel ein gewöhnliches, wenn auch nicht billiges Kleidungsstück, sehr ähnlich dem ganz rechts abgebildten himation: Ein rechteckiges Tuch, das um den Körper gewunden und nur manchmal mit einem Gürtel o.Ä. befestigt wurde. Ebenso gewöhnlich war es, dieses Kleidungsstück über dem nackten Körper (statt über einem zusätzlichen Untergewandt) zu tragen. Ein solches Leinentuch konnte sich sehr leicht vom Körper lösen, wie z.B. auf der rechts abgebildeten Kampfszene gut zu sehen ist. Vergleichbare Szenen finden sich daher häufiger. Schon in Gen 39,12 flieht Joseph vor Potifars Frau, indem er seine Kleidung „in ihrer Hand lässt“; nach TestJos 8,3 berichtet er darüber: „Sie griff mein Gewand, ich ließ es und rannte nackt davon“. In Lysias, Or 3.12.35 wird ein Junge beim Gewand gepackt, doch dieser „warf seinen Mantel ab und rannte davon“, und selbst der große Redner Demosthenes berichtet in Or 21.215-17, dass er, als er einmal am Gewand gepackt wurde und entkommen wollte, „seinen Mantel herabgleiten ließ und so fast nackt dastand.“ Dass der junge Mann hier beim Versuch, Jesu Häschern zu entkommen, sein Leinentuch verliert und nackt davonläuft, ist also durchaus realistisch (so auch Casey 2010, S. 440), ist aber (natürlich, und gerade im Alten Israel) sehr schmachvoll und färbt so die plötzliche Flucht aller Anhänger Jesu, von der V. 50 spricht.]</w:t>
      </w:r>
    </w:p>
  </w:footnote>
  <w:footnote w:id="4686">
    <w:p>
      <w:pPr>
        <w:pStyle w:val="Funote"/>
        <w:rPr/>
      </w:pPr>
      <w:r>
        <w:rPr>
          <w:rStyle w:val="Funotenzeichen"/>
        </w:rPr>
        <w:footnoteRef/>
      </w:r>
      <w:r>
        <w:rPr/>
        <w:tab/>
        <w:t>[Status: Zuverlässig]</w:t>
      </w:r>
    </w:p>
  </w:footnote>
  <w:footnote w:id="4687">
    <w:p>
      <w:pPr>
        <w:pStyle w:val="Funote"/>
        <w:rPr/>
      </w:pPr>
      <w:r>
        <w:rPr>
          <w:rStyle w:val="Funotenzeichen"/>
        </w:rPr>
        <w:footnoteRef/>
      </w:r>
      <w:r>
        <w:rPr/>
        <w:tab/>
        <w:t xml:space="preserve">Zu den Zeitangaben s. den </w:t>
      </w:r>
      <w:r>
        <w:fldChar w:fldCharType="begin"/>
      </w:r>
      <w:r>
        <w:rPr>
          <w:rStyle w:val="Internetverknpfung"/>
        </w:rPr>
        <w:instrText> HYPERLINK "http://www.offene-bibel.de/wiki/index.php5?title=Kommentar:Markus_14" \l "Exkurs_zur_Zeitrechnung"</w:instrText>
      </w:r>
      <w:r>
        <w:rPr>
          <w:rStyle w:val="Internetverknpfung"/>
        </w:rPr>
        <w:fldChar w:fldCharType="separate"/>
      </w:r>
      <w:r>
        <w:rPr>
          <w:rStyle w:val="Internetverknpfung"/>
        </w:rPr>
        <w:t>Exkurs zur Zeitrechnung</w:t>
      </w:r>
      <w:r>
        <w:rPr>
          <w:rStyle w:val="Internetverknpfung"/>
        </w:rPr>
        <w:fldChar w:fldCharType="end"/>
      </w:r>
      <w:r>
        <w:rPr/>
        <w:t xml:space="preserve">. Das „Pascha“ war die jährliche jüdische Feier des Auszugs aus Ägypten (vgl. näher </w:t>
      </w:r>
      <w:hyperlink r:id="rId488">
        <w:r>
          <w:rPr>
            <w:rStyle w:val="Internetverknpfung"/>
          </w:rPr>
          <w:t>Passa (AT) (WiBiLex)</w:t>
        </w:r>
      </w:hyperlink>
      <w:r>
        <w:rPr/>
        <w:t xml:space="preserve">, zur heutigen Gestalt des Paschafestes gut </w:t>
      </w:r>
      <w:hyperlink r:id="rId489">
        <w:r>
          <w:rPr>
            <w:rStyle w:val="Internetverknpfung"/>
          </w:rPr>
          <w:t>Böckler 2006: Das Geburtstagsfest des Volkes</w:t>
        </w:r>
      </w:hyperlink>
      <w:r>
        <w:rPr/>
        <w:t xml:space="preserve">), das „Fest der ungesäuerten Brote“ ursprünglich ein Frühlingsfest, das direkt an das Paschafest anschloss, eine Woche dauerte und für das charakteristisch war, dass man während dieser Zeit nur Brot ohne Sauerteig (eine Art Hefe) essen durfte (vgl. näher </w:t>
      </w:r>
      <w:hyperlink r:id="rId490">
        <w:r>
          <w:rPr>
            <w:rStyle w:val="Internetverknpfung"/>
          </w:rPr>
          <w:t>Mazzen / Mazzotfest (WiBiLex)</w:t>
        </w:r>
      </w:hyperlink>
      <w:r>
        <w:rPr/>
        <w:t>.</w:t>
      </w:r>
    </w:p>
  </w:footnote>
  <w:footnote w:id="4688">
    <w:p>
      <w:pPr>
        <w:pStyle w:val="Funote"/>
        <w:rPr/>
      </w:pPr>
      <w:r>
        <w:rPr>
          <w:rStyle w:val="Funotenzeichen"/>
        </w:rPr>
        <w:footnoteRef/>
      </w:r>
      <w:r>
        <w:rPr>
          <w:i/>
        </w:rPr>
        <w:tab/>
        <w:t>die Hohepriester und die Schriftgelehrten</w:t>
      </w:r>
      <w:r>
        <w:rPr/>
        <w:t xml:space="preserve">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689">
    <w:p>
      <w:pPr>
        <w:pStyle w:val="Funote"/>
        <w:rPr/>
      </w:pPr>
      <w:r>
        <w:rPr>
          <w:rStyle w:val="Funotenzeichen"/>
        </w:rPr>
        <w:footnoteRef/>
      </w:r>
      <w:r>
        <w:rPr/>
        <w:tab/>
        <w:t>oder: vor den Festgängern – so Jeremias 1960, S. 65-67; dagegen aber z.B. gut Marcus 2009, S. 933.</w:t>
      </w:r>
    </w:p>
  </w:footnote>
  <w:footnote w:id="4690">
    <w:p>
      <w:pPr>
        <w:pStyle w:val="Funote"/>
        <w:rPr/>
      </w:pPr>
      <w:r>
        <w:rPr>
          <w:rStyle w:val="Funotenzeichen"/>
        </w:rPr>
        <w:footnoteRef/>
      </w:r>
      <w:r>
        <w:rPr/>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691">
    <w:p>
      <w:pPr>
        <w:pStyle w:val="Funote"/>
        <w:rPr/>
      </w:pPr>
      <w:r>
        <w:rPr>
          <w:rStyle w:val="Funotenzeichen"/>
        </w:rPr>
        <w:footnoteRef/>
      </w:r>
      <w:r>
        <w:rPr/>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692">
    <w:p>
      <w:pPr>
        <w:pStyle w:val="Funote"/>
        <w:rPr/>
      </w:pPr>
      <w:r>
        <w:rPr>
          <w:rStyle w:val="Funotenzeichen"/>
        </w:rPr>
        <w:footnoteRef/>
      </w:r>
      <w:r>
        <w:rPr>
          <w:i/>
        </w:rPr>
        <w:tab/>
        <w:t>[bei Tisch] lag</w:t>
      </w:r>
      <w:r>
        <w:rPr/>
        <w:t xml:space="preserve"> – in besonders wohlhabenden Haushalten pflegte man zur Zeit Jesu zu speisen, indem man sich um einen niedrigen Tisch herum auf Liegen niederlegte, mit einem Arm abstützte und mit dem anderen aß.</w:t>
      </w:r>
    </w:p>
  </w:footnote>
  <w:footnote w:id="4693">
    <w:p>
      <w:pPr>
        <w:pStyle w:val="Funote"/>
        <w:rPr/>
      </w:pPr>
      <w:r>
        <w:rPr>
          <w:rStyle w:val="Funotenzeichen"/>
        </w:rPr>
        <w:footnoteRef/>
      </w:r>
      <w:r>
        <w:rPr/>
        <w:tab/>
        <w:t xml:space="preserve">Keiner der drei Synoptiker identifiziert diese Frau. Johannes dagegen berichtet, es sei Maria, die Schwester Marthas, gewesen, verortet aber auch die ganze Szene in das Haus der beiden Schwestern. Ephräm der Syrer war es, der die namenlose Frau im 4. Jh. mit Maria Magdalena </w:t>
      </w:r>
      <w:r>
        <w:rPr>
          <w:i/>
        </w:rPr>
        <w:t>und gleichzeitig</w:t>
      </w:r>
      <w:r>
        <w:rPr/>
        <w:t xml:space="preserve"> mit Maria, der Schwester Marthas, gleichgesetzt hat. Papst Gregor I baut das 591 noch weiter aus und identifiziert auch ihre Sünde: Sie ist eine Prostituierte.</w:t>
        <w:br/>
        <w:t>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694">
    <w:p>
      <w:pPr>
        <w:pStyle w:val="Funote"/>
        <w:rPr/>
      </w:pPr>
      <w:r>
        <w:rPr>
          <w:rStyle w:val="Funotenzeichen"/>
        </w:rPr>
        <w:footnoteRef/>
      </w:r>
      <w:r>
        <w:rPr/>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695">
    <w:p>
      <w:pPr>
        <w:pStyle w:val="Funote"/>
        <w:rPr/>
      </w:pPr>
      <w:r>
        <w:rPr>
          <w:rStyle w:val="Funotenzeichen"/>
        </w:rPr>
        <w:footnoteRef/>
      </w:r>
      <w:r>
        <w:rPr/>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696">
    <w:p>
      <w:pPr>
        <w:pStyle w:val="Funote"/>
        <w:rPr/>
      </w:pPr>
      <w:r>
        <w:rPr>
          <w:rStyle w:val="Funotenzeichen"/>
        </w:rPr>
        <w:footnoteRef/>
      </w:r>
      <w:r>
        <w:rPr/>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697">
    <w:p>
      <w:pPr>
        <w:pStyle w:val="Funote"/>
        <w:rPr/>
      </w:pPr>
      <w:r>
        <w:rPr>
          <w:rStyle w:val="Funotenzeichen"/>
        </w:rPr>
        <w:footnoteRef/>
      </w:r>
      <w:r>
        <w:rPr>
          <w:i/>
        </w:rPr>
        <w:tab/>
        <w:t>Man hätte dieses Parfum verkaufen können</w:t>
      </w:r>
      <w:r>
        <w:rPr/>
        <w:t xml:space="preserve"> - W. „Dieses Salböl konnte verkauft werden.“</w:t>
      </w:r>
    </w:p>
  </w:footnote>
  <w:footnote w:id="4698">
    <w:p>
      <w:pPr>
        <w:pStyle w:val="Funote"/>
        <w:rPr/>
      </w:pPr>
      <w:r>
        <w:rPr>
          <w:rStyle w:val="Funotenzeichen"/>
        </w:rPr>
        <w:footnoteRef/>
      </w:r>
      <w:r>
        <w:rPr>
          <w:i/>
        </w:rPr>
        <w:tab/>
        <w:t>Was macht ihr ihr Beschwerden?</w:t>
      </w:r>
      <w:r>
        <w:rPr/>
        <w:t xml:space="preserve"> – Gr. Idiom, die Bed. ist etwa „Was lasst ihr sie nicht in Frieden?“ (s. noch </w:t>
      </w:r>
      <w:r>
        <w:fldChar w:fldCharType="begin"/>
      </w:r>
      <w:r>
        <w:rPr>
          <w:rStyle w:val="Internetverknpfung"/>
        </w:rPr>
        <w:instrText> HYPERLINK "../../../../../../../../../wiki/Lukas_11" \l "s7"</w:instrText>
      </w:r>
      <w:r>
        <w:rPr>
          <w:rStyle w:val="Internetverknpfung"/>
        </w:rPr>
        <w:fldChar w:fldCharType="separate"/>
      </w:r>
      <w:r>
        <w:rPr>
          <w:rStyle w:val="Internetverknpfung"/>
        </w:rPr>
        <w:t>Lk 11,7</w:t>
      </w:r>
      <w:r>
        <w:rPr>
          <w:rStyle w:val="Internetverknpfung"/>
        </w:rPr>
        <w:fldChar w:fldCharType="end"/>
      </w:r>
      <w:r>
        <w:rPr/>
        <w:t xml:space="preserve">; </w:t>
      </w:r>
      <w:r>
        <w:fldChar w:fldCharType="begin"/>
      </w:r>
      <w:r>
        <w:rPr>
          <w:rStyle w:val="Internetverknpfung"/>
        </w:rPr>
        <w:instrText> HYPERLINK "../../../../../../../../../wiki/Lukas_18" \l "s5"</w:instrText>
      </w:r>
      <w:r>
        <w:rPr>
          <w:rStyle w:val="Internetverknpfung"/>
        </w:rPr>
        <w:fldChar w:fldCharType="separate"/>
      </w:r>
      <w:r>
        <w:rPr>
          <w:rStyle w:val="Internetverknpfung"/>
        </w:rPr>
        <w:t>18,5</w:t>
      </w:r>
      <w:r>
        <w:rPr>
          <w:rStyle w:val="Internetverknpfung"/>
        </w:rPr>
        <w:fldChar w:fldCharType="end"/>
      </w:r>
      <w:r>
        <w:rPr/>
        <w:t xml:space="preserve">; </w:t>
      </w:r>
      <w:r>
        <w:fldChar w:fldCharType="begin"/>
      </w:r>
      <w:r>
        <w:rPr>
          <w:rStyle w:val="Internetverknpfung"/>
        </w:rPr>
        <w:instrText> HYPERLINK "../../../../../../../../../wiki/Galater_6" \l "s17"</w:instrText>
      </w:r>
      <w:r>
        <w:rPr>
          <w:rStyle w:val="Internetverknpfung"/>
        </w:rPr>
        <w:fldChar w:fldCharType="separate"/>
      </w:r>
      <w:r>
        <w:rPr>
          <w:rStyle w:val="Internetverknpfung"/>
        </w:rPr>
        <w:t>Gal 6,17</w:t>
      </w:r>
      <w:r>
        <w:rPr>
          <w:rStyle w:val="Internetverknpfung"/>
        </w:rPr>
        <w:fldChar w:fldCharType="end"/>
      </w:r>
      <w:r>
        <w:rPr/>
        <w:t>).</w:t>
      </w:r>
    </w:p>
  </w:footnote>
  <w:footnote w:id="4699">
    <w:p>
      <w:pPr>
        <w:pStyle w:val="Funote"/>
        <w:rPr/>
      </w:pPr>
      <w:r>
        <w:rPr>
          <w:rStyle w:val="Funotenzeichen"/>
        </w:rPr>
        <w:footnoteRef/>
      </w:r>
      <w:r>
        <w:rPr/>
        <w:tab/>
        <w:t>gutes Werk - kalon ergon, wie im Dt. ein Terminus technicus für Wohltätigkeit. Im Judentum wurden auch gute Taten an Toten zu solchen »guten Werken« gerechnet; schon hier wird also auf V. 8 vorausverwiesen (vgl. z.B. Dschulnigg 2007, S. 357).</w:t>
      </w:r>
    </w:p>
  </w:footnote>
  <w:footnote w:id="4700">
    <w:p>
      <w:pPr>
        <w:pStyle w:val="Funote"/>
        <w:rPr/>
      </w:pPr>
      <w:r>
        <w:rPr>
          <w:rStyle w:val="Funotenzeichen"/>
        </w:rPr>
        <w:footnoteRef/>
      </w:r>
      <w:r>
        <w:rPr>
          <w:i/>
        </w:rPr>
        <w:tab/>
        <w:t>und</w:t>
      </w:r>
      <w:r>
        <w:rPr/>
        <w:t xml:space="preserve"> - W. „denn“; der Satz ist die Rechtfertigung dafür, warum es in Ordnung ist, etwas Gutes an Jesus zu tun, wenn dies gleichzeitig verhindert, etwas Gutes für die Armen zu tun.</w:t>
      </w:r>
    </w:p>
  </w:footnote>
  <w:footnote w:id="4701">
    <w:p>
      <w:pPr>
        <w:pStyle w:val="Funote"/>
        <w:rPr/>
      </w:pPr>
      <w:r>
        <w:rPr>
          <w:rStyle w:val="Funotenzeichen"/>
        </w:rPr>
        <w:footnoteRef/>
      </w:r>
      <w:r>
        <w:rPr/>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702">
    <w:p>
      <w:pPr>
        <w:pStyle w:val="Funote"/>
        <w:rPr/>
      </w:pPr>
      <w:r>
        <w:rPr>
          <w:rStyle w:val="Funotenzeichen"/>
        </w:rPr>
        <w:footnoteRef/>
      </w:r>
      <w:r>
        <w:rPr/>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703">
    <w:p>
      <w:pPr>
        <w:pStyle w:val="Funote"/>
        <w:rPr/>
      </w:pPr>
      <w:r>
        <w:rPr>
          <w:rStyle w:val="Funotenzeichen"/>
        </w:rPr>
        <w:footnoteRef/>
      </w:r>
      <w:r>
        <w:rPr/>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704">
    <w:p>
      <w:pPr>
        <w:pStyle w:val="Funote"/>
        <w:rPr/>
      </w:pPr>
      <w:r>
        <w:rPr>
          <w:rStyle w:val="Funotenzeichen"/>
        </w:rPr>
        <w:footnoteRef/>
      </w:r>
      <w:r>
        <w:rPr/>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705">
    <w:p>
      <w:pPr>
        <w:pStyle w:val="Funote"/>
        <w:rPr/>
      </w:pPr>
      <w:r>
        <w:rPr>
          <w:rStyle w:val="Funotenzeichen"/>
        </w:rPr>
        <w:footnoteRef/>
      </w:r>
      <w:r>
        <w:rPr/>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706">
    <w:p>
      <w:pPr>
        <w:pStyle w:val="Funote"/>
        <w:rPr/>
      </w:pPr>
      <w:r>
        <w:rPr>
          <w:rStyle w:val="Funotenzeichen"/>
        </w:rPr>
        <w:footnoteRef/>
      </w:r>
      <w:r>
        <w:rPr/>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707">
    <w:p>
      <w:pPr>
        <w:pStyle w:val="Funote"/>
        <w:rPr/>
      </w:pPr>
      <w:r>
        <w:rPr>
          <w:rStyle w:val="Funotenzeichen"/>
        </w:rPr>
        <w:footnoteRef/>
      </w:r>
      <w:r>
        <w:rPr/>
        <w:tab/>
        <w:t xml:space="preserve">Zur Zeitangabe s. den </w:t>
      </w:r>
      <w:r>
        <w:fldChar w:fldCharType="begin"/>
      </w:r>
      <w:r>
        <w:rPr>
          <w:rStyle w:val="Internetverknpfung"/>
        </w:rPr>
        <w:instrText> HYPERLINK "http://www.offene-bibel.de/wiki/index.php5?title=Kommentar:Markus_14" \l "Exkurs_zur_Zeitrechnung"</w:instrText>
      </w:r>
      <w:r>
        <w:rPr>
          <w:rStyle w:val="Internetverknpfung"/>
        </w:rPr>
        <w:fldChar w:fldCharType="separate"/>
      </w:r>
      <w:r>
        <w:rPr>
          <w:rStyle w:val="Internetverknpfung"/>
        </w:rPr>
        <w:t>Exkurs zur Zeitrechnung</w:t>
      </w:r>
      <w:r>
        <w:rPr>
          <w:rStyle w:val="Internetverknpfung"/>
        </w:rPr>
        <w:fldChar w:fldCharType="end"/>
      </w:r>
      <w:r>
        <w:rPr/>
        <w:t>.</w:t>
      </w:r>
    </w:p>
  </w:footnote>
  <w:footnote w:id="4708">
    <w:p>
      <w:pPr>
        <w:pStyle w:val="Funote"/>
        <w:rPr/>
      </w:pPr>
      <w:r>
        <w:rPr>
          <w:rStyle w:val="Funotenzeichen"/>
        </w:rPr>
        <w:footnoteRef/>
      </w:r>
      <w:r>
        <w:rPr/>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709">
    <w:p>
      <w:pPr>
        <w:pStyle w:val="Funote"/>
        <w:rPr/>
      </w:pPr>
      <w:r>
        <w:rPr>
          <w:rStyle w:val="Funotenzeichen"/>
        </w:rPr>
        <w:footnoteRef/>
      </w:r>
      <w:hyperlink r:id="rId491">
        <w:r>
          <w:rPr>
            <w:rStyle w:val="Internetverknpfung"/>
          </w:rPr>
          <w:tab/>
          <w:t>Historisches Präsens</w:t>
        </w:r>
      </w:hyperlink>
      <w:r>
        <w:rPr/>
        <w:t xml:space="preserve">. </w:t>
      </w:r>
    </w:p>
  </w:footnote>
  <w:footnote w:id="4710">
    <w:p>
      <w:pPr>
        <w:pStyle w:val="Funote"/>
        <w:rPr/>
      </w:pPr>
      <w:r>
        <w:rPr>
          <w:rStyle w:val="Funotenzeichen"/>
        </w:rPr>
        <w:footnoteRef/>
      </w:r>
      <w:r>
        <w:rPr/>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Auch in Vv. 51f. ist wohl von einem Jünger die Rede, der nicht zum Zwölferkreis gehört, dennoch aber mindestens auf dem Ölberg anwesend ist und daher wohl auch im Abendmahlssaal anwesend war.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711">
    <w:p>
      <w:pPr>
        <w:pStyle w:val="Funote"/>
        <w:rPr/>
      </w:pPr>
      <w:r>
        <w:rPr>
          <w:rStyle w:val="Funotenzeichen"/>
        </w:rPr>
        <w:footnoteRef/>
      </w:r>
      <w:r>
        <w:rPr>
          <w:i/>
        </w:rPr>
        <w:tab/>
        <w:t>auf euch zutreten</w:t>
      </w:r>
      <w:r>
        <w:rPr/>
        <w:t xml:space="preserve"> - nicht: „</w:t>
      </w:r>
      <w:r>
        <w:rPr>
          <w:i/>
        </w:rPr>
        <w:t>Ihr</w:t>
      </w:r>
      <w:r>
        <w:rPr/>
        <w:t xml:space="preserve"> werdet treffen“ (so viele Üss.), LSJ S. 178: „move from a place to meet a person“ - die Initiative liegt beim Wasserträger. S. die Anmerkungen.</w:t>
      </w:r>
    </w:p>
  </w:footnote>
  <w:footnote w:id="4712">
    <w:p>
      <w:pPr>
        <w:pStyle w:val="Funote"/>
        <w:rPr/>
      </w:pPr>
      <w:r>
        <w:rPr>
          <w:rStyle w:val="Funotenzeichen"/>
        </w:rPr>
        <w:footnoteRef/>
      </w:r>
      <w:r>
        <w:rPr/>
        <w:tab/>
        <w:t xml:space="preserve">Da man zu Jesu Zeit das Paschamahl in Jerusalem zu sich nehmen sollte (s. </w:t>
      </w:r>
      <w:r>
        <w:fldChar w:fldCharType="begin"/>
      </w:r>
      <w:r>
        <w:rPr>
          <w:rStyle w:val="Internetverknpfung"/>
        </w:rPr>
        <w:instrText> HYPERLINK "http://offene-bibel.de/mediawiki/index.php?title=Markus_14" \l "note_d"</w:instrText>
      </w:r>
      <w:r>
        <w:rPr>
          <w:rStyle w:val="Internetverknpfung"/>
        </w:rPr>
        <w:fldChar w:fldCharType="separate"/>
      </w:r>
      <w:r>
        <w:rPr>
          <w:rStyle w:val="Internetverknpfung"/>
        </w:rPr>
        <w:t>FN d</w:t>
      </w:r>
      <w:r>
        <w:rPr>
          <w:rStyle w:val="Internetverknpfung"/>
        </w:rPr>
        <w:fldChar w:fldCharType="end"/>
      </w:r>
      <w:r>
        <w:rPr/>
        <w:t>), war es üblich, die Gastfreundlichkeit von Einheimischen in Anspruch zu nehmen und das Paschamahl in deren Haus zu sich zu nehmen.</w:t>
      </w:r>
    </w:p>
  </w:footnote>
  <w:footnote w:id="4713">
    <w:p>
      <w:pPr>
        <w:pStyle w:val="Funote"/>
        <w:rPr/>
      </w:pPr>
      <w:r>
        <w:rPr>
          <w:rStyle w:val="Funotenzeichen"/>
        </w:rPr>
        <w:footnoteRef/>
      </w:r>
      <w:r>
        <w:rPr/>
        <w:tab/>
        <w:t>vorbereitet ... dort bereitet vor - nämlich Möblierung etc. ist vorbereitet, das Essen aber noch nicht (vgl. z.B. Evans 2001, S. 375).</w:t>
      </w:r>
    </w:p>
  </w:footnote>
  <w:footnote w:id="4714">
    <w:p>
      <w:pPr>
        <w:pStyle w:val="Funote"/>
        <w:spacing w:before="0" w:after="283"/>
        <w:rPr/>
      </w:pPr>
      <w:r>
        <w:rPr>
          <w:rStyle w:val="Funotenzeichen"/>
        </w:rPr>
        <w:footnoteRef/>
      </w:r>
      <w:r>
        <w:rPr>
          <w:i/>
        </w:rPr>
        <w:tab/>
        <w:t>Und während (als) sie zum Essen lagen</w:t>
      </w:r>
      <w:r>
        <w:rPr/>
        <w:t xml:space="preserve"> (V. 18) + </w:t>
      </w:r>
      <w:r>
        <w:rPr>
          <w:i/>
        </w:rPr>
        <w:t>Und als er bei (nach) ihrem Essen</w:t>
      </w:r>
      <w:r>
        <w:rPr/>
        <w:t xml:space="preserve"> (V. 22) – Zu Jesu Zeit liefen ein griechisches Gastmahl, ein jüdisches Festmahl und später auch ein Passamahl alle nach dem selben Muster ab: Nach einer im Sitzen eingenommenen Vorspeise ging man in den Speisesaal,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w:t>
      </w:r>
      <w:hyperlink r:id="rId492">
        <w:r>
          <w:rPr>
            <w:rStyle w:val="Internetverknpfung"/>
          </w:rPr>
          <w:t>Lk 22,20</w:t>
        </w:r>
      </w:hyperlink>
      <w:r>
        <w:rPr/>
        <w:t xml:space="preserve">; </w:t>
      </w:r>
      <w:r>
        <w:fldChar w:fldCharType="begin"/>
      </w:r>
      <w:r>
        <w:rPr>
          <w:rStyle w:val="Internetverknpfung"/>
        </w:rPr>
        <w:instrText> HYPERLINK "../../../../../../../../../wiki/1_Korinther_11" \l "s25"</w:instrText>
      </w:r>
      <w:r>
        <w:rPr>
          <w:rStyle w:val="Internetverknpfung"/>
        </w:rPr>
        <w:fldChar w:fldCharType="separate"/>
      </w:r>
      <w:r>
        <w:rPr>
          <w:rStyle w:val="Internetverknpfung"/>
        </w:rPr>
        <w:t>1 Kor 11,25</w:t>
      </w:r>
      <w:r>
        <w:rPr>
          <w:rStyle w:val="Internetverknpfung"/>
        </w:rPr>
        <w:fldChar w:fldCharType="end"/>
      </w:r>
      <w:r>
        <w:rPr/>
        <w:t xml:space="preserve">: „Der Becher </w:t>
      </w:r>
      <w:r>
        <w:rPr>
          <w:i/>
        </w:rPr>
        <w:t>nach</w:t>
      </w:r>
      <w:r>
        <w:rPr/>
        <w:t xml:space="preserve"> dem Essen“).</w:t>
        <w:br/>
        <w:t xml:space="preserve">Bei Mk und Mt aber wirkt es wegen der Zeitangaben in Vv. 18.22.23 so, als würde sowohl die Brot- als auch die Becherhandlung </w:t>
      </w:r>
      <w:r>
        <w:rPr>
          <w:i/>
        </w:rPr>
        <w:t>nach</w:t>
      </w:r>
      <w:r>
        <w:rPr/>
        <w:t xml:space="preserve"> Beginn des Essens stattfinden. Mögliche Erklärungen sind:</w:t>
      </w:r>
    </w:p>
    <w:p>
      <w:pPr>
        <w:pStyle w:val="Textkrper"/>
        <w:rPr/>
      </w:pPr>
      <w:r>
        <w:rPr/>
        <w:tab/>
        <w:t xml:space="preserve">1. Die Gemeinde des Markus hat die Feier des Abendmahls vielleicht in einer anderen als der üblichen Abfolge gefeiert und die Brothandlung zur Kelchhandlung ans Ende der Feier verschoben. Markus hätte das dann auch in den Bericht vom Abendmahl „hineingeschrieben“: Während des Hauptgangs macht Jesus seine Judas-Prophezeiung und erst </w:t>
      </w:r>
      <w:r>
        <w:rPr>
          <w:i/>
        </w:rPr>
        <w:t>nach</w:t>
      </w:r>
      <w:r>
        <w:rPr/>
        <w:t xml:space="preserve"> dem Hauptgang folgen Brot- und Becherhandlung. Dann wäre V. 22 zu deuten als: „Als er am Ende ihres Essens ...“</w:t>
        <w:br/>
        <w:t xml:space="preserve">2. Die beiden Präsenspartizipien in V. 18 könnte man unter Umständen auch als „volitive Partizipien“ auffassen (vgl. z.B. </w:t>
      </w:r>
      <w:hyperlink r:id="rId493">
        <w:r>
          <w:rPr>
            <w:rStyle w:val="Internetverknpfung"/>
          </w:rPr>
          <w:t>Mt 27,40</w:t>
        </w:r>
      </w:hyperlink>
      <w:r>
        <w:rPr/>
        <w:t xml:space="preserve">: „Der du den Tempel einreißen und aufrichten </w:t>
      </w:r>
      <w:r>
        <w:rPr>
          <w:i/>
        </w:rPr>
        <w:t>willst</w:t>
      </w:r>
      <w:r>
        <w:rPr/>
        <w:t xml:space="preserve">...“; </w:t>
      </w:r>
      <w:r>
        <w:fldChar w:fldCharType="begin"/>
      </w:r>
      <w:r>
        <w:rPr>
          <w:rStyle w:val="Internetverknpfung"/>
        </w:rPr>
        <w:instrText> HYPERLINK "../../../../../../../../../wiki/Hebr%C3%A4er_11" \l "s6"</w:instrText>
      </w:r>
      <w:r>
        <w:rPr>
          <w:rStyle w:val="Internetverknpfung"/>
        </w:rPr>
        <w:fldChar w:fldCharType="separate"/>
      </w:r>
      <w:r>
        <w:rPr>
          <w:rStyle w:val="Internetverknpfung"/>
        </w:rPr>
        <w:t>Heb 11,6</w:t>
      </w:r>
      <w:r>
        <w:rPr>
          <w:rStyle w:val="Internetverknpfung"/>
        </w:rPr>
        <w:fldChar w:fldCharType="end"/>
      </w:r>
      <w:r>
        <w:rPr/>
        <w:t xml:space="preserve">: „Dem, der Gott nahen </w:t>
      </w:r>
      <w:r>
        <w:rPr>
          <w:i/>
        </w:rPr>
        <w:t>will</w:t>
      </w:r>
      <w:r>
        <w:rPr/>
        <w:t xml:space="preserve">...“ ): „Und als sie lagen und essen </w:t>
      </w:r>
      <w:r>
        <w:rPr>
          <w:i/>
        </w:rPr>
        <w:t>wollten</w:t>
      </w:r>
      <w:r>
        <w:rPr/>
        <w:t>“, d.h., direkt vor dem Hauptgang und dem Umzug ins Speisezimmer.</w:t>
      </w:r>
    </w:p>
    <w:p>
      <w:pPr>
        <w:pStyle w:val="Textkrper"/>
        <w:spacing w:before="0" w:after="283"/>
        <w:rPr/>
      </w:pPr>
      <w:r>
        <w:rPr/>
        <w:tab/>
        <w:t>3. Vielleicht erzählt Markus die Begebenheiten aus dem letzten Abendmahl (Ankündigung des Verrats und Einsetzungsworte) auch einfach unabhängig voneinander, ohne die Erzählung streng chronologisch zu verstehen.</w:t>
      </w:r>
    </w:p>
  </w:footnote>
  <w:footnote w:id="4715">
    <w:p>
      <w:pPr>
        <w:pStyle w:val="Funote"/>
        <w:rPr/>
      </w:pPr>
      <w:r>
        <w:rPr>
          <w:rStyle w:val="Funotenzeichen"/>
        </w:rPr>
        <w:footnoteRef/>
      </w:r>
      <w:r>
        <w:rPr>
          <w:i/>
        </w:rPr>
        <w:tab/>
        <w:t>lagen</w:t>
      </w:r>
      <w:r>
        <w:rPr/>
        <w:t xml:space="preserve"> - S. </w:t>
      </w:r>
      <w:r>
        <w:fldChar w:fldCharType="begin"/>
      </w:r>
      <w:r>
        <w:rPr>
          <w:rStyle w:val="Internetverknpfung"/>
        </w:rPr>
        <w:instrText> HYPERLINK "http://offene-bibel.de/mediawiki/index.php?title=Markus_14" \l "note_f"</w:instrText>
      </w:r>
      <w:r>
        <w:rPr>
          <w:rStyle w:val="Internetverknpfung"/>
        </w:rPr>
        <w:fldChar w:fldCharType="separate"/>
      </w:r>
      <w:r>
        <w:rPr>
          <w:rStyle w:val="Internetverknpfung"/>
        </w:rPr>
        <w:t>FN f</w:t>
      </w:r>
      <w:r>
        <w:rPr>
          <w:rStyle w:val="Internetverknpfung"/>
        </w:rPr>
        <w:fldChar w:fldCharType="end"/>
      </w:r>
      <w:r>
        <w:rPr/>
        <w:t>: Jesus feiert sein Letztes Abendmahl nach dem Muster eines Abendmahls wohlhabender Menschen. Das Liegen ist nicht auf das Datum zurückzuführen, s. die Anmerkungen.</w:t>
      </w:r>
    </w:p>
  </w:footnote>
  <w:footnote w:id="4716">
    <w:p>
      <w:pPr>
        <w:pStyle w:val="Funote"/>
        <w:rPr/>
      </w:pPr>
      <w:r>
        <w:rPr>
          <w:rStyle w:val="Funotenzeichen"/>
        </w:rPr>
        <w:footnoteRef/>
      </w:r>
      <w:r>
        <w:rPr/>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717">
    <w:p>
      <w:pPr>
        <w:pStyle w:val="Funote"/>
        <w:rPr/>
      </w:pPr>
      <w:r>
        <w:rPr>
          <w:rStyle w:val="Funotenzeichen"/>
        </w:rPr>
        <w:footnoteRef/>
      </w:r>
      <w:r>
        <w:rPr>
          <w:i/>
        </w:rPr>
        <w:tab/>
        <w:t>ausliefern</w:t>
      </w:r>
      <w:r>
        <w:rPr/>
        <w:t xml:space="preserve"> - Leitwort im Mk-Evangelium; stets im Sinne von „feindlichen Institutionen ausliefern“ verwendet (s. </w:t>
      </w:r>
      <w:r>
        <w:fldChar w:fldCharType="begin"/>
      </w:r>
      <w:r>
        <w:rPr>
          <w:rStyle w:val="Internetverknpfung"/>
        </w:rPr>
        <w:instrText> HYPERLINK "../../../../../../../../../wiki/Markus_9" \l "s31"</w:instrText>
      </w:r>
      <w:r>
        <w:rPr>
          <w:rStyle w:val="Internetverknpfung"/>
        </w:rPr>
        <w:fldChar w:fldCharType="separate"/>
      </w:r>
      <w:r>
        <w:rPr>
          <w:rStyle w:val="Internetverknpfung"/>
        </w:rPr>
        <w:t>Mk 9,31</w:t>
      </w:r>
      <w:r>
        <w:rPr>
          <w:rStyle w:val="Internetverknpfung"/>
        </w:rPr>
        <w:fldChar w:fldCharType="end"/>
      </w:r>
      <w:r>
        <w:rPr/>
        <w:t xml:space="preserve">; </w:t>
      </w:r>
      <w:r>
        <w:fldChar w:fldCharType="begin"/>
      </w:r>
      <w:r>
        <w:rPr>
          <w:rStyle w:val="Internetverknpfung"/>
        </w:rPr>
        <w:instrText> HYPERLINK "../../../../../../../../../wiki/Markus_10" \l "s33"</w:instrText>
      </w:r>
      <w:r>
        <w:rPr>
          <w:rStyle w:val="Internetverknpfung"/>
        </w:rPr>
        <w:fldChar w:fldCharType="separate"/>
      </w:r>
      <w:r>
        <w:rPr>
          <w:rStyle w:val="Internetverknpfung"/>
        </w:rPr>
        <w:t>10,33</w:t>
      </w:r>
      <w:r>
        <w:rPr>
          <w:rStyle w:val="Internetverknpfung"/>
        </w:rPr>
        <w:fldChar w:fldCharType="end"/>
      </w:r>
      <w:r>
        <w:rPr/>
        <w:t xml:space="preserve">; </w:t>
      </w:r>
      <w:r>
        <w:fldChar w:fldCharType="begin"/>
      </w:r>
      <w:r>
        <w:rPr>
          <w:rStyle w:val="Internetverknpfung"/>
        </w:rPr>
        <w:instrText> HYPERLINK "../../../../../../../../../wiki/Markus_13" \l "s9"</w:instrText>
      </w:r>
      <w:r>
        <w:rPr>
          <w:rStyle w:val="Internetverknpfung"/>
        </w:rPr>
        <w:fldChar w:fldCharType="separate"/>
      </w:r>
      <w:r>
        <w:rPr>
          <w:rStyle w:val="Internetverknpfung"/>
        </w:rPr>
        <w:t>13,9</w:t>
      </w:r>
      <w:r>
        <w:rPr>
          <w:rStyle w:val="Internetverknpfung"/>
        </w:rPr>
        <w:fldChar w:fldCharType="end"/>
      </w:r>
      <w:r>
        <w:rPr/>
        <w:t>.</w:t>
      </w:r>
      <w:r>
        <w:fldChar w:fldCharType="begin"/>
      </w:r>
      <w:r>
        <w:rPr>
          <w:rStyle w:val="Internetverknpfung"/>
        </w:rPr>
        <w:instrText> HYPERLINK "../../../../../../../../../wiki/Markus_13" \l "s11"</w:instrText>
      </w:r>
      <w:r>
        <w:rPr>
          <w:rStyle w:val="Internetverknpfung"/>
        </w:rPr>
        <w:fldChar w:fldCharType="separate"/>
      </w:r>
      <w:r>
        <w:rPr>
          <w:rStyle w:val="Internetverknpfung"/>
        </w:rPr>
        <w:t>11f</w:t>
      </w:r>
      <w:r>
        <w:rPr>
          <w:rStyle w:val="Internetverknpfung"/>
        </w:rPr>
        <w:fldChar w:fldCharType="end"/>
      </w:r>
      <w:r>
        <w:rPr/>
        <w:t xml:space="preserve">; </w:t>
      </w:r>
      <w:r>
        <w:fldChar w:fldCharType="begin"/>
      </w:r>
      <w:r>
        <w:rPr>
          <w:rStyle w:val="Internetverknpfung"/>
        </w:rPr>
        <w:instrText> HYPERLINK "../../../../../../../../../wiki/Markus_14" \l "s11"</w:instrText>
      </w:r>
      <w:r>
        <w:rPr>
          <w:rStyle w:val="Internetverknpfung"/>
        </w:rPr>
        <w:fldChar w:fldCharType="separate"/>
      </w:r>
      <w:r>
        <w:rPr>
          <w:rStyle w:val="Internetverknpfung"/>
        </w:rPr>
        <w:t>14,11</w:t>
      </w:r>
      <w:r>
        <w:rPr>
          <w:rStyle w:val="Internetverknpfung"/>
        </w:rPr>
        <w:fldChar w:fldCharType="end"/>
      </w:r>
      <w:r>
        <w:rPr/>
        <w:t>.</w:t>
      </w:r>
      <w:r>
        <w:fldChar w:fldCharType="begin"/>
      </w:r>
      <w:r>
        <w:rPr>
          <w:rStyle w:val="Internetverknpfung"/>
        </w:rPr>
        <w:instrText> HYPERLINK "../../../../../../../../../wiki/Markus_14" \l "s21"</w:instrText>
      </w:r>
      <w:r>
        <w:rPr>
          <w:rStyle w:val="Internetverknpfung"/>
        </w:rPr>
        <w:fldChar w:fldCharType="separate"/>
      </w:r>
      <w:r>
        <w:rPr>
          <w:rStyle w:val="Internetverknpfung"/>
        </w:rPr>
        <w:t>21</w:t>
      </w:r>
      <w:r>
        <w:rPr>
          <w:rStyle w:val="Internetverknpfung"/>
        </w:rPr>
        <w:fldChar w:fldCharType="end"/>
      </w:r>
      <w:r>
        <w:rPr/>
        <w:t>.</w:t>
      </w:r>
      <w:r>
        <w:fldChar w:fldCharType="begin"/>
      </w:r>
      <w:r>
        <w:rPr>
          <w:rStyle w:val="Internetverknpfung"/>
        </w:rPr>
        <w:instrText> HYPERLINK "../../../../../../../../../wiki/Markus_14" \l "s42"</w:instrText>
      </w:r>
      <w:r>
        <w:rPr>
          <w:rStyle w:val="Internetverknpfung"/>
        </w:rPr>
        <w:fldChar w:fldCharType="separate"/>
      </w:r>
      <w:r>
        <w:rPr>
          <w:rStyle w:val="Internetverknpfung"/>
        </w:rPr>
        <w:t>42</w:t>
      </w:r>
      <w:r>
        <w:rPr>
          <w:rStyle w:val="Internetverknpfung"/>
        </w:rPr>
        <w:fldChar w:fldCharType="end"/>
      </w:r>
      <w:r>
        <w:rPr/>
        <w:t>.</w:t>
      </w:r>
      <w:r>
        <w:fldChar w:fldCharType="begin"/>
      </w:r>
      <w:r>
        <w:rPr>
          <w:rStyle w:val="Internetverknpfung"/>
        </w:rPr>
        <w:instrText> HYPERLINK "../../../../../../../../../wiki/Markus_14" \l "s44"</w:instrText>
      </w:r>
      <w:r>
        <w:rPr>
          <w:rStyle w:val="Internetverknpfung"/>
        </w:rPr>
        <w:fldChar w:fldCharType="separate"/>
      </w:r>
      <w:r>
        <w:rPr>
          <w:rStyle w:val="Internetverknpfung"/>
        </w:rPr>
        <w:t>44</w:t>
      </w:r>
      <w:r>
        <w:rPr>
          <w:rStyle w:val="Internetverknpfung"/>
        </w:rPr>
        <w:fldChar w:fldCharType="end"/>
      </w:r>
      <w:r>
        <w:rPr/>
        <w:t xml:space="preserve">; </w:t>
      </w:r>
      <w:r>
        <w:fldChar w:fldCharType="begin"/>
      </w:r>
      <w:r>
        <w:rPr>
          <w:rStyle w:val="Internetverknpfung"/>
        </w:rPr>
        <w:instrText> HYPERLINK "../../../../../../../../../wiki/Markus_15" \l "s1"</w:instrText>
      </w:r>
      <w:r>
        <w:rPr>
          <w:rStyle w:val="Internetverknpfung"/>
        </w:rPr>
        <w:fldChar w:fldCharType="separate"/>
      </w:r>
      <w:r>
        <w:rPr>
          <w:rStyle w:val="Internetverknpfung"/>
        </w:rPr>
        <w:t>15,1</w:t>
      </w:r>
      <w:r>
        <w:rPr>
          <w:rStyle w:val="Internetverknpfung"/>
        </w:rPr>
        <w:fldChar w:fldCharType="end"/>
      </w:r>
      <w:r>
        <w:rPr/>
        <w:t>.</w:t>
      </w:r>
      <w:r>
        <w:fldChar w:fldCharType="begin"/>
      </w:r>
      <w:r>
        <w:rPr>
          <w:rStyle w:val="Internetverknpfung"/>
        </w:rPr>
        <w:instrText> HYPERLINK "../../../../../../../../../wiki/Markus_15" \l "s10"</w:instrText>
      </w:r>
      <w:r>
        <w:rPr>
          <w:rStyle w:val="Internetverknpfung"/>
        </w:rPr>
        <w:fldChar w:fldCharType="separate"/>
      </w:r>
      <w:r>
        <w:rPr>
          <w:rStyle w:val="Internetverknpfung"/>
        </w:rPr>
        <w:t>10</w:t>
      </w:r>
      <w:r>
        <w:rPr>
          <w:rStyle w:val="Internetverknpfung"/>
        </w:rPr>
        <w:fldChar w:fldCharType="end"/>
      </w:r>
      <w:r>
        <w:rPr/>
        <w:t>.</w:t>
      </w:r>
      <w:r>
        <w:fldChar w:fldCharType="begin"/>
      </w:r>
      <w:r>
        <w:rPr>
          <w:rStyle w:val="Internetverknpfung"/>
        </w:rPr>
        <w:instrText> HYPERLINK "../../../../../../../../../wiki/Markus_15" \l "s15"</w:instrText>
      </w:r>
      <w:r>
        <w:rPr>
          <w:rStyle w:val="Internetverknpfung"/>
        </w:rPr>
        <w:fldChar w:fldCharType="separate"/>
      </w:r>
      <w:r>
        <w:rPr>
          <w:rStyle w:val="Internetverknpfung"/>
        </w:rPr>
        <w:t>15</w:t>
      </w:r>
      <w:r>
        <w:rPr>
          <w:rStyle w:val="Internetverknpfung"/>
        </w:rPr>
        <w:fldChar w:fldCharType="end"/>
      </w:r>
      <w:r>
        <w:rPr/>
        <w:t>).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718">
    <w:p>
      <w:pPr>
        <w:pStyle w:val="Funote"/>
        <w:rPr/>
      </w:pPr>
      <w:r>
        <w:rPr>
          <w:rStyle w:val="Funotenzeichen"/>
        </w:rPr>
        <w:footnoteRef/>
      </w:r>
      <w:r>
        <w:rPr/>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719">
    <w:p>
      <w:pPr>
        <w:pStyle w:val="Funote"/>
        <w:rPr/>
      </w:pPr>
      <w:r>
        <w:rPr>
          <w:rStyle w:val="Funotenzeichen"/>
        </w:rPr>
        <w:footnoteRef/>
      </w:r>
      <w:r>
        <w:rPr/>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720">
    <w:p>
      <w:pPr>
        <w:pStyle w:val="Funote"/>
        <w:rPr/>
      </w:pPr>
      <w:r>
        <w:rPr>
          <w:rStyle w:val="Funotenzeichen"/>
        </w:rPr>
        <w:footnoteRef/>
      </w:r>
      <w:r>
        <w:rPr/>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721">
    <w:p>
      <w:pPr>
        <w:pStyle w:val="Funote"/>
        <w:rPr/>
      </w:pPr>
      <w:r>
        <w:rPr>
          <w:rStyle w:val="Funotenzeichen"/>
        </w:rPr>
        <w:footnoteRef/>
      </w:r>
      <w:r>
        <w:rPr/>
        <w:tab/>
        <w:t>geht - In jüd. Schriften verbreiteter Euphemismus für »Sterben« (vgl. gut z.B. Marcus 2009, S. 951). Bes. häufig bei Joh zu finden, s. z.B. Joh 7,33; 8,21f; 13,3.</w:t>
      </w:r>
    </w:p>
  </w:footnote>
  <w:footnote w:id="4722">
    <w:p>
      <w:pPr>
        <w:pStyle w:val="Funote"/>
        <w:rPr/>
      </w:pPr>
      <w:r>
        <w:rPr>
          <w:rStyle w:val="Funotenzeichen"/>
        </w:rPr>
        <w:footnoteRef/>
      </w:r>
      <w:r>
        <w:rPr/>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723">
    <w:p>
      <w:pPr>
        <w:pStyle w:val="Funote"/>
        <w:rPr/>
      </w:pPr>
      <w:r>
        <w:rPr>
          <w:rStyle w:val="Funotenzeichen"/>
        </w:rPr>
        <w:footnoteRef/>
      </w:r>
      <w:r>
        <w:rPr>
          <w:i/>
        </w:rPr>
        <w:tab/>
        <w:t>[Gott] gedankt</w:t>
      </w:r>
      <w:r>
        <w:rPr/>
        <w:t xml:space="preserve"> - Nicht: „[das Brot] gesegnet“. Nach späteren rabbinischen Texten betete man vor dem Hauptgang über dem Brot und nach dem Hauptgang über dem Wein eine sogenannte </w:t>
      </w:r>
      <w:r>
        <w:rPr>
          <w:i/>
        </w:rPr>
        <w:t>Berakah</w:t>
      </w:r>
      <w:r>
        <w:rPr/>
        <w:t xml:space="preserve">;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w:t>
      </w:r>
      <w:hyperlink r:id="rId494">
        <w:r>
          <w:rPr>
            <w:rStyle w:val="Internetverknpfung"/>
          </w:rPr>
          <w:t>Lk 22,19</w:t>
        </w:r>
      </w:hyperlink>
      <w:r>
        <w:rPr/>
        <w:t xml:space="preserve"> und </w:t>
      </w:r>
      <w:r>
        <w:fldChar w:fldCharType="begin"/>
      </w:r>
      <w:r>
        <w:rPr>
          <w:rStyle w:val="Internetverknpfung"/>
        </w:rPr>
        <w:instrText> HYPERLINK "../../../../../../../../../wiki/1_Korinther_11" \l "s24"</w:instrText>
      </w:r>
      <w:r>
        <w:rPr>
          <w:rStyle w:val="Internetverknpfung"/>
        </w:rPr>
        <w:fldChar w:fldCharType="separate"/>
      </w:r>
      <w:r>
        <w:rPr>
          <w:rStyle w:val="Internetverknpfung"/>
        </w:rPr>
        <w:t>1 Kor 11,24</w:t>
      </w:r>
      <w:r>
        <w:rPr>
          <w:rStyle w:val="Internetverknpfung"/>
        </w:rPr>
        <w:fldChar w:fldCharType="end"/>
      </w:r>
      <w:r>
        <w:rPr/>
        <w:t xml:space="preserve"> statt hier „danken“ statt „segnen“ stehen haben, ist nicht bedeutsam; eine Berakah </w:t>
      </w:r>
      <w:r>
        <w:rPr>
          <w:i/>
        </w:rPr>
        <w:t>ist</w:t>
      </w:r>
      <w:r>
        <w:rPr/>
        <w:t xml:space="preserve"> ein Dankgebet und „Gepriesen bist du, der du / denn du...“ </w:t>
      </w:r>
      <w:r>
        <w:rPr>
          <w:i/>
        </w:rPr>
        <w:t>meint nur</w:t>
      </w:r>
      <w:r>
        <w:rPr/>
        <w:t xml:space="preserve"> „Danke dafür, dass...“.</w:t>
      </w:r>
    </w:p>
  </w:footnote>
  <w:footnote w:id="4724">
    <w:p>
      <w:pPr>
        <w:pStyle w:val="Funote"/>
        <w:rPr/>
      </w:pPr>
      <w:r>
        <w:rPr>
          <w:rStyle w:val="Funotenzeichen"/>
        </w:rPr>
        <w:footnoteRef/>
      </w:r>
      <w:r>
        <w:rPr/>
        <w:tab/>
        <w:t>nachdem er [Gott] gepriesen hatte, brach er [es] - Die üblichen jüdischen Gesten zur Eröffnung einer Hauptmahlzeit (vgl. z.B. gut Hofius 1988, S. 379). Markus scheint diese Handlung ans Ende der Hauptmahlzeit verschoben zu haben (s. dazu FN ab).</w:t>
      </w:r>
    </w:p>
  </w:footnote>
  <w:footnote w:id="4725">
    <w:p>
      <w:pPr>
        <w:pStyle w:val="Funote"/>
        <w:rPr/>
      </w:pPr>
      <w:r>
        <w:rPr>
          <w:rStyle w:val="Funotenzeichen"/>
        </w:rPr>
        <w:footnoteRef/>
      </w:r>
      <w:r>
        <w:rPr/>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726">
    <w:p>
      <w:pPr>
        <w:pStyle w:val="Funote"/>
        <w:rPr/>
      </w:pPr>
      <w:r>
        <w:rPr>
          <w:rStyle w:val="Funotenzeichen"/>
        </w:rPr>
        <w:footnoteRef/>
      </w:r>
      <w:r>
        <w:rPr/>
        <w:tab/>
        <w:t>Hierzu s. die Anmerkungen.</w:t>
      </w:r>
    </w:p>
  </w:footnote>
  <w:footnote w:id="4727">
    <w:p>
      <w:pPr>
        <w:pStyle w:val="Funote"/>
        <w:rPr/>
      </w:pPr>
      <w:r>
        <w:rPr>
          <w:rStyle w:val="Funotenzeichen"/>
        </w:rPr>
        <w:footnoteRef/>
      </w:r>
      <w:r>
        <w:rPr/>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728">
    <w:p>
      <w:pPr>
        <w:pStyle w:val="Funote"/>
        <w:rPr/>
      </w:pPr>
      <w:r>
        <w:rPr>
          <w:rStyle w:val="Funotenzeichen"/>
        </w:rPr>
        <w:footnoteRef/>
      </w:r>
      <w:r>
        <w:rPr>
          <w:i/>
        </w:rPr>
        <w:tab/>
        <w:t>[Gott] gedankt</w:t>
      </w:r>
      <w:r>
        <w:rPr/>
        <w:t xml:space="preserve"> - hierzu s. </w:t>
      </w:r>
      <w:r>
        <w:fldChar w:fldCharType="begin"/>
      </w:r>
      <w:r>
        <w:rPr>
          <w:rStyle w:val="Internetverknpfung"/>
        </w:rPr>
        <w:instrText> HYPERLINK "http://offene-bibel.de/mediawiki/index.php?title=Markus_14" \l "note_aj"</w:instrText>
      </w:r>
      <w:r>
        <w:rPr>
          <w:rStyle w:val="Internetverknpfung"/>
        </w:rPr>
        <w:fldChar w:fldCharType="separate"/>
      </w:r>
      <w:r>
        <w:rPr>
          <w:rStyle w:val="Internetverknpfung"/>
        </w:rPr>
        <w:t>FN aj</w:t>
      </w:r>
      <w:r>
        <w:rPr>
          <w:rStyle w:val="Internetverknpfung"/>
        </w:rPr>
        <w:fldChar w:fldCharType="end"/>
      </w:r>
      <w:r>
        <w:rPr/>
        <w:t>.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729">
    <w:p>
      <w:pPr>
        <w:pStyle w:val="Funote"/>
        <w:rPr/>
      </w:pPr>
      <w:r>
        <w:rPr>
          <w:rStyle w:val="Funotenzeichen"/>
        </w:rPr>
        <w:footnoteRef/>
      </w:r>
      <w:r>
        <w:rPr/>
        <w:tab/>
        <w:t>Hierzu und zum nächsten Vers s. die Anmerkungen</w:t>
      </w:r>
    </w:p>
  </w:footnote>
  <w:footnote w:id="4730">
    <w:p>
      <w:pPr>
        <w:pStyle w:val="Funote"/>
        <w:rPr/>
      </w:pPr>
      <w:r>
        <w:rPr>
          <w:rStyle w:val="Funotenzeichen"/>
        </w:rPr>
        <w:footnoteRef/>
      </w:r>
      <w:r>
        <w:rPr/>
        <w:tab/>
        <w:t>Textkritik: neuen - Nicht wenige Handschriften haben hier ein zusätzliches »neue« – zweifellos eine Angleichung an Lk 22,20; 1 Kor 11,25 und damit sekundär (so z.B. auch TCNT).</w:t>
      </w:r>
    </w:p>
  </w:footnote>
  <w:footnote w:id="4731">
    <w:p>
      <w:pPr>
        <w:pStyle w:val="Funote"/>
        <w:rPr/>
      </w:pPr>
      <w:r>
        <w:rPr>
          <w:rStyle w:val="Funotenzeichen"/>
        </w:rPr>
        <w:footnoteRef/>
      </w:r>
      <w:r>
        <w:rPr/>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732">
    <w:p>
      <w:pPr>
        <w:pStyle w:val="Funote"/>
        <w:rPr/>
      </w:pPr>
      <w:r>
        <w:rPr>
          <w:rStyle w:val="Funotenzeichen"/>
        </w:rPr>
        <w:footnoteRef/>
      </w:r>
      <w:r>
        <w:rPr/>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733">
    <w:p>
      <w:pPr>
        <w:pStyle w:val="Funote"/>
        <w:rPr/>
      </w:pPr>
      <w:r>
        <w:rPr>
          <w:rStyle w:val="Funotenzeichen"/>
        </w:rPr>
        <w:footnoteRef/>
      </w:r>
      <w:r>
        <w:rPr/>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734">
    <w:p>
      <w:pPr>
        <w:pStyle w:val="Funote"/>
        <w:rPr/>
      </w:pPr>
      <w:r>
        <w:rPr>
          <w:rStyle w:val="Funotenzeichen"/>
        </w:rPr>
        <w:footnoteRef/>
      </w:r>
      <w:r>
        <w:rPr/>
        <w:tab/>
        <w:t>[Loblieder] gesungen - W. „gelobliedet“; gemeint sind vielleicht die Psalmen 115-118, die man evt. schon zu dieser Zeit, sicher aber später üblicherweise am Ende des Pesachmahls sang (vgl. z.B. France 2002, S. 573). B/N daher: „Jesus und die Jünger sangen den Hymnus, den man nach dem Passahmahl singt...“ Ohnehin wurden aber bei jedem griechischen Symposium religiöse Lieder gesungen; u.a. z.B. ein die abschließende Becherhandlung (s. u.) begleitender „Paian“. Wenn zu Jesu Zeit die Psalmen 115-118 noch nicht der übliche Abschlussgesang des Paschamahl waren, könnte hier gut auch ein solcher gemeint sein.</w:t>
      </w:r>
    </w:p>
  </w:footnote>
  <w:footnote w:id="4735">
    <w:p>
      <w:pPr>
        <w:pStyle w:val="Funote"/>
        <w:rPr/>
      </w:pPr>
      <w:r>
        <w:rPr>
          <w:rStyle w:val="Funotenzeichen"/>
        </w:rPr>
        <w:footnoteRef/>
      </w:r>
      <w:r>
        <w:rPr>
          <w:i/>
        </w:rPr>
        <w:tab/>
        <w:t>Ölberg</w:t>
      </w:r>
      <w:r>
        <w:rPr/>
        <w:t xml:space="preserve"> - Ein Ort bei Jerusalem, zu dem Jesus nach </w:t>
      </w:r>
      <w:r>
        <w:fldChar w:fldCharType="begin"/>
      </w:r>
      <w:r>
        <w:rPr>
          <w:rStyle w:val="Internetverknpfung"/>
        </w:rPr>
        <w:instrText> HYPERLINK "../../../../../../../../../wiki/Lukas_21" \l "s37"</w:instrText>
      </w:r>
      <w:r>
        <w:rPr>
          <w:rStyle w:val="Internetverknpfung"/>
        </w:rPr>
        <w:fldChar w:fldCharType="separate"/>
      </w:r>
      <w:r>
        <w:rPr>
          <w:rStyle w:val="Internetverknpfung"/>
        </w:rPr>
        <w:t>Lk 21,37</w:t>
      </w:r>
      <w:r>
        <w:rPr>
          <w:rStyle w:val="Internetverknpfung"/>
        </w:rPr>
        <w:fldChar w:fldCharType="end"/>
      </w:r>
      <w:r>
        <w:rPr/>
        <w:t xml:space="preserve"> häufiger zum Beten ging und wo er sich schon öfter mit seinen Jüngern versammelt hatte (vgl. </w:t>
      </w:r>
      <w:r>
        <w:fldChar w:fldCharType="begin"/>
      </w:r>
      <w:r>
        <w:rPr>
          <w:rStyle w:val="Internetverknpfung"/>
        </w:rPr>
        <w:instrText> HYPERLINK "../../../../../../../../../wiki/Johannes_18" \l "s2"</w:instrText>
      </w:r>
      <w:r>
        <w:rPr>
          <w:rStyle w:val="Internetverknpfung"/>
        </w:rPr>
        <w:fldChar w:fldCharType="separate"/>
      </w:r>
      <w:r>
        <w:rPr>
          <w:rStyle w:val="Internetverknpfung"/>
        </w:rPr>
        <w:t>Joh 18,2</w:t>
      </w:r>
      <w:r>
        <w:rPr>
          <w:rStyle w:val="Internetverknpfung"/>
        </w:rPr>
        <w:fldChar w:fldCharType="end"/>
      </w:r>
      <w:r>
        <w:rPr/>
        <w:t>).</w:t>
      </w:r>
    </w:p>
  </w:footnote>
  <w:footnote w:id="4736">
    <w:p>
      <w:pPr>
        <w:pStyle w:val="Funote"/>
        <w:rPr/>
      </w:pPr>
      <w:r>
        <w:rPr>
          <w:rStyle w:val="Funotenzeichen"/>
        </w:rPr>
        <w:footnoteRef/>
      </w:r>
      <w:r>
        <w:rPr/>
        <w:tab/>
        <w:t>zu Fall kommen (ärgern) – Beide Üss. sind möglich; letztere dann i.S.v. »an mir Anstoß nehmen« (so die meisten Üss.). Wegen V. 30 ist die primäre Üs. aber die wahrscheinlichere: »die Jünger werden die Glaubensprobe, die ihnen mit dem Leiden Jesu aufgegeben ist, nicht bestehen« (Gnilka 1979, S. 252). So z.B. auch H-R, KAR, WIL, ZÜR.</w:t>
      </w:r>
    </w:p>
  </w:footnote>
  <w:footnote w:id="4737">
    <w:p>
      <w:pPr>
        <w:pStyle w:val="Funote"/>
        <w:rPr/>
      </w:pPr>
      <w:r>
        <w:rPr>
          <w:rStyle w:val="Funotenzeichen"/>
        </w:rPr>
        <w:footnoteRef/>
      </w:r>
      <w:r>
        <w:rPr>
          <w:i/>
        </w:rPr>
        <w:tab/>
        <w:t>Weil geschrieben steht</w:t>
      </w:r>
      <w:r>
        <w:rPr/>
        <w:t xml:space="preserve"> - Wie in </w:t>
      </w:r>
      <w:r>
        <w:fldChar w:fldCharType="begin"/>
      </w:r>
      <w:r>
        <w:rPr>
          <w:rStyle w:val="Internetverknpfung"/>
        </w:rPr>
        <w:instrText> HYPERLINK "../../../../../../../../../wiki/Markus_9" \l "s11"</w:instrText>
      </w:r>
      <w:r>
        <w:rPr>
          <w:rStyle w:val="Internetverknpfung"/>
        </w:rPr>
        <w:fldChar w:fldCharType="separate"/>
      </w:r>
      <w:r>
        <w:rPr>
          <w:rStyle w:val="Internetverknpfung"/>
        </w:rPr>
        <w:t>Mk 9,11</w:t>
      </w:r>
      <w:r>
        <w:rPr>
          <w:rStyle w:val="Internetverknpfung"/>
        </w:rPr>
        <w:fldChar w:fldCharType="end"/>
      </w:r>
      <w:r>
        <w:rPr/>
        <w:t xml:space="preserve">; </w:t>
      </w:r>
      <w:r>
        <w:fldChar w:fldCharType="begin"/>
      </w:r>
      <w:r>
        <w:rPr>
          <w:rStyle w:val="Internetverknpfung"/>
        </w:rPr>
        <w:instrText> HYPERLINK "../../../../../../../../../wiki/Markus_14" \l "s21"</w:instrText>
      </w:r>
      <w:r>
        <w:rPr>
          <w:rStyle w:val="Internetverknpfung"/>
        </w:rPr>
        <w:fldChar w:fldCharType="separate"/>
      </w:r>
      <w:r>
        <w:rPr>
          <w:rStyle w:val="Internetverknpfung"/>
        </w:rPr>
        <w:t>14,21</w:t>
      </w:r>
      <w:r>
        <w:rPr>
          <w:rStyle w:val="Internetverknpfung"/>
        </w:rPr>
        <w:fldChar w:fldCharType="end"/>
      </w:r>
      <w:r>
        <w:rPr/>
        <w:t xml:space="preserve"> zeigt sich hier, dass nach Markus Jesus schon längst aus dem Alten Testament die dort vorgezeichneten Geschehnisse um seine Passion weiß (vgl. auch </w:t>
      </w:r>
      <w:r>
        <w:fldChar w:fldCharType="begin"/>
      </w:r>
      <w:r>
        <w:rPr>
          <w:rStyle w:val="Internetverknpfung"/>
        </w:rPr>
        <w:instrText> HYPERLINK "../../../../../../../../../wiki/Markus_9" \l "s31"</w:instrText>
      </w:r>
      <w:r>
        <w:rPr>
          <w:rStyle w:val="Internetverknpfung"/>
        </w:rPr>
        <w:fldChar w:fldCharType="separate"/>
      </w:r>
      <w:r>
        <w:rPr>
          <w:rStyle w:val="Internetverknpfung"/>
        </w:rPr>
        <w:t>Mk 9,31</w:t>
      </w:r>
      <w:r>
        <w:rPr>
          <w:rStyle w:val="Internetverknpfung"/>
        </w:rPr>
        <w:fldChar w:fldCharType="end"/>
      </w:r>
      <w:r>
        <w:rPr/>
        <w:t xml:space="preserve">; </w:t>
      </w:r>
      <w:r>
        <w:fldChar w:fldCharType="begin"/>
      </w:r>
      <w:r>
        <w:rPr>
          <w:rStyle w:val="Internetverknpfung"/>
        </w:rPr>
        <w:instrText> HYPERLINK "../../../../../../../../../wiki/Markus_10" \l "s34"</w:instrText>
      </w:r>
      <w:r>
        <w:rPr>
          <w:rStyle w:val="Internetverknpfung"/>
        </w:rPr>
        <w:fldChar w:fldCharType="separate"/>
      </w:r>
      <w:r>
        <w:rPr>
          <w:rStyle w:val="Internetverknpfung"/>
        </w:rPr>
        <w:t>10,34</w:t>
      </w:r>
      <w:r>
        <w:rPr>
          <w:rStyle w:val="Internetverknpfung"/>
        </w:rPr>
        <w:fldChar w:fldCharType="end"/>
      </w:r>
      <w:r>
        <w:rPr/>
        <w:t>) und und um die Notwendigkeit, mit der diese ablaufen werden.</w:t>
      </w:r>
    </w:p>
  </w:footnote>
  <w:footnote w:id="4738">
    <w:p>
      <w:pPr>
        <w:pStyle w:val="Funote"/>
        <w:rPr/>
      </w:pPr>
      <w:r>
        <w:rPr>
          <w:rStyle w:val="Funotenzeichen"/>
        </w:rPr>
        <w:footnoteRef/>
      </w:r>
      <w:r>
        <w:rPr/>
        <w:tab/>
        <w:t xml:space="preserve">Deutliches, aber freies Zitat aus </w:t>
      </w:r>
      <w:hyperlink r:id="rId495">
        <w:r>
          <w:rPr>
            <w:rStyle w:val="Internetverknpfung"/>
          </w:rPr>
          <w:t>Sach 13,7</w:t>
        </w:r>
      </w:hyperlink>
      <w:r>
        <w:rPr/>
        <w:t xml:space="preserve">. Dort aber fordert Gott </w:t>
      </w:r>
      <w:r>
        <w:rPr>
          <w:i/>
        </w:rPr>
        <w:t>andere</w:t>
      </w:r>
      <w:r>
        <w:rPr/>
        <w:t xml:space="preserve"> auf, den Hirten zu schlagen – hier dagegen führt er selbst das Schwert.</w:t>
      </w:r>
    </w:p>
  </w:footnote>
  <w:footnote w:id="4739">
    <w:p>
      <w:pPr>
        <w:pStyle w:val="Funote"/>
        <w:rPr/>
      </w:pPr>
      <w:r>
        <w:rPr>
          <w:rStyle w:val="Funotenzeichen"/>
        </w:rPr>
        <w:footnoteRef/>
      </w:r>
      <w:r>
        <w:rPr/>
        <w:tab/>
        <w:t>zweimaligen Krähen des Hahns - der zweite Hahnenschrei markiert in der griechisch-römischen Literatur den Anbruch des Morgens (vgl. Brown 1994, S. 137; Gnilka 1979, S. 254; Klostermann 1950, S. 149); die dritte Zeitangabe meint also das selbe wie die Vorangegangene.</w:t>
      </w:r>
    </w:p>
  </w:footnote>
  <w:footnote w:id="4740">
    <w:p>
      <w:pPr>
        <w:pStyle w:val="Funote"/>
        <w:rPr/>
      </w:pPr>
      <w:r>
        <w:rPr>
          <w:rStyle w:val="Funotenzeichen"/>
        </w:rPr>
        <w:footnoteRef/>
      </w:r>
      <w:r>
        <w:rPr/>
        <w:tab/>
        <w:t>[überaus] vehement - Gr. ekperissos; sonst unbelegtes Wort, dass perissos („überaus“) wohl noch einmal steigert; vgl. Brown 1994, S. 138.</w:t>
      </w:r>
    </w:p>
  </w:footnote>
  <w:footnote w:id="4741">
    <w:p>
      <w:pPr>
        <w:pStyle w:val="Funote"/>
        <w:rPr/>
      </w:pPr>
      <w:r>
        <w:rPr>
          <w:rStyle w:val="Funotenzeichen"/>
        </w:rPr>
        <w:footnoteRef/>
      </w:r>
      <w:r>
        <w:rPr/>
        <w:tab/>
        <w:t>miniatur|rechts|Ölpresse in Kafarnaum. By Abraham [CC BY-SA 4.0], from Wikimedia Commons Getsemani - Der Name kommt vom Aramäischen gat schemane („Ölpresse“). Nach Joh 18,1 war das Grundstück ein „Garten“, und in der Tat dürfte eine Ölpresse mindestens in der Nähe der Olivengärten auf dem Ölberg gestanden haben. Seit dem frühen 4. Jh. wird daher als dieser Ort eine Höhle verehrt, in der eine solche Platz gehabt hätte; ob dies wirklich Jesu „Getsemani“ war und wo das Grundstück sonst gewesen sein könnte, lässt sich aber nicht mehr mit Sicherheit sagen.</w:t>
      </w:r>
    </w:p>
  </w:footnote>
  <w:footnote w:id="4742">
    <w:p>
      <w:pPr>
        <w:pStyle w:val="Funote"/>
        <w:rPr/>
      </w:pPr>
      <w:r>
        <w:rPr>
          <w:rStyle w:val="Funotenzeichen"/>
        </w:rPr>
        <w:footnoteRef/>
      </w:r>
      <w:r>
        <w:rPr/>
        <w:tab/>
        <w:t>begann, erschreckt und verängstigt zu sein - Hendiadyoin: Die Beschreibung von Jesu Empfindungen mit zwei Wörtern mit verwandter Bedeutung soll die Beschreibung noch intensivieren. Sinnvoll daher NeÜ: „Er wurde von schrecklicher Angst und von Grauen gepackt“, JJ: „Er fing an, sehr bestürzt und geängstigt zu sein“; schön auch B/N, H-R, LUT17, MEN, PAT, R-S, ZÜR: „Er begann, zu zittern und zu zagen.“</w:t>
      </w:r>
    </w:p>
  </w:footnote>
  <w:footnote w:id="4743">
    <w:p>
      <w:pPr>
        <w:pStyle w:val="Funote"/>
        <w:rPr/>
      </w:pPr>
      <w:r>
        <w:rPr>
          <w:rStyle w:val="Funotenzeichen"/>
        </w:rPr>
        <w:footnoteRef/>
      </w:r>
      <w:r>
        <w:rPr/>
        <w:tab/>
        <w:t>Meine Seele ist zu Tode betrübt – d.h. entweder »so traurig, dass es sich wie Sterben anfühlt« (Pfäfflin: »Sterbenstraurig ists mir zumute«) oder »so traurig, dass ich davon bald umkomme« (HfA: »Ich zerbreche beinahe unter der Last, die ich zu tragen habe«; NeÜ: »Die Qualen meiner Seele bringen mich fast um«). Theoretisch möglich, aber sicher falsch ist BB, die sich wohl an Jon 4,9 LXX orientieren: »Ich bin ganz verzweifelt. Am liebsten wäre ich tot.« – Jesus will ja gerade nicht sterben.</w:t>
      </w:r>
    </w:p>
  </w:footnote>
  <w:footnote w:id="4744">
    <w:p>
      <w:pPr>
        <w:pStyle w:val="Funote"/>
        <w:rPr/>
      </w:pPr>
      <w:r>
        <w:rPr>
          <w:rStyle w:val="Funotenzeichen"/>
        </w:rPr>
        <w:footnoteRef/>
      </w:r>
      <w:r>
        <w:rPr/>
        <w:tab/>
        <w:t>warf er sich (fiel er) auf die Erde - Im Judentum der Antike betete man für gewöhnlich stehend (vgl. Mk 6,41; Lk 18,11 u.ö.). Das kniende Beten mit zu Boden geneigtem Haupt (Mt 26,39: Er „fiel auf sein Gesicht“) ist daher ungewöhnlich, wenn auch nicht ohne Parallelen (vgl. Offb 5,14; TestJob 1,13; 9,14; JosAs 14,3; auch Lk 5,12), und drückt besondere Unterwürfigkeit (oder, weniger wahrscheinlich, große Panik (so Gundry 2000, S. 855)) aus.</w:t>
      </w:r>
    </w:p>
  </w:footnote>
  <w:footnote w:id="4745">
    <w:p>
      <w:pPr>
        <w:pStyle w:val="Funote"/>
        <w:rPr/>
      </w:pPr>
      <w:r>
        <w:rPr>
          <w:rStyle w:val="Funotenzeichen"/>
        </w:rPr>
        <w:footnoteRef/>
      </w:r>
      <w:r>
        <w:rPr>
          <w:i/>
        </w:rPr>
        <w:tab/>
        <w:t>die Stunde vorüberginge</w:t>
      </w:r>
      <w:r>
        <w:rPr/>
        <w:t xml:space="preserve"> - gemeint ist, wie V. 41 klar macht, die Stunde, da er verraten würde.</w:t>
      </w:r>
    </w:p>
  </w:footnote>
  <w:footnote w:id="4746">
    <w:p>
      <w:pPr>
        <w:pStyle w:val="Funote"/>
        <w:rPr/>
      </w:pPr>
      <w:r>
        <w:rPr>
          <w:rStyle w:val="Funotenzeichen"/>
        </w:rPr>
        <w:footnoteRef/>
      </w:r>
      <w:r>
        <w:rPr/>
        <w:tab/>
        <w:t>Abba, Vater - Gr. abba ho pater; wie in Röm 8,15 und Gal 4,6 folgt hier auf den aramäischen Vokativ »Oh Vater« der griechische gleichbedeutende Vokativ »Oh Vater«; daraus und aus den beiden parallelen Stellen dürfen wir wohl ableiten, dass es sich hier um eine im Urchristentum verbreitete Anrede Gottes zur Einleitung eines Gebets handelt (vgl. z.B. Brown 1994, S. 175), die vielleicht darauf zurückzuführen ist, dass Jesus selbst seinen Anhängern empfohlen hat, im Gebet Gott genau so anzusprechen: abba, »Vater!« (vgl. das in FN q zu Mt 6,9 zu »Vater« vs. »Vater unser im Himmel« Gesagte).</w:t>
      </w:r>
    </w:p>
  </w:footnote>
  <w:footnote w:id="4747">
    <w:p>
      <w:pPr>
        <w:pStyle w:val="Funote"/>
        <w:rPr/>
      </w:pPr>
      <w:r>
        <w:rPr>
          <w:rStyle w:val="Funotenzeichen"/>
        </w:rPr>
        <w:footnoteRef/>
      </w:r>
      <w:r>
        <w:rPr/>
        <w:tab/>
        <w:t>Becher (Kelch) - Metapher, die sich auch in Mk 10,38 findet. Der »Becher« an sich ist eine unspezifische Metapher für das Schicksal eines Menschen; s. Ps 11,6; 16,5; Ez 23,31-33; Hab 2,16; wohl auch Ps 23,5. Ps 16,5 und 23,5 zeigen, dass das durch dieses Bild bestimmte Schicksal auch positiv sein kann, meist wird die Metapher aber negativ gefüllt: Besonders verbreitet ist (1) das speziellere Bild vom »Zornesbecher« (JHWH gibt jmdm den Becher seines Zorns zu trinken = JHWH verdammt jmdn zu Leid und/oder Tod; s. Ps 75,9; Jes 51,17.22; Jer 25,15-18; 49,12; 51,7; Klg 4,21; Klg 4,21; Ez 23,31-34; Sach 12,2; Offb 14,10; 16,19); bes. um die Abfassungszeit des Mk verbreitet ist (2) außerdem das Bild vom Becher als dem »Schicksal des Märtyrertodes«, s. MartPol 14,2 (»Ich danke dir, dass ich zu deinen Märtyrern gehören und am Becher Christi teilhaben darf«), MartJes 5,13 (Jesaja bei seinem gewaltsamen Tod: »Nur für mich hat Gott diesen Becher gemischt«) und der Ausdruck »(bitterer) Becher des Todes« in TestAb 16,12; TgN zu Dtn 32,1 und TgN, TgJ, TgF zu Gen 40,23. Verwandt ist vielleicht auch der Ausdruck »den Tod schmecken« für »sterben« in Mk 9,1; Joh 8,52; Heb 2,9 und häufiger in der frühjüdischen Literatur. (2) ist sicher auch hier gemeint; so aber einzig GN, die in einer FN auf das »frühjüdische Bild vom Becher des Märtyrertodes« verweisen.Die meisten anderen Üss. - wenn sie nicht bloß wörtlich übersetzen - deuten den Becher als Metapher für Leid: CEB, GNB, HfA, God's Word, NCV, NeÜ, NGÜ, NIRV, NL, NLB, Weymouth u.a. ergänzen entweder »bitterer Kelch« oder häufiger »Kelch des Leidens«. Hilfreicher B/S: »Mach, daß ich diesen Leidensbecher nicht austrinken muss.«; KAM: »Erspare mir diese schwere Stunde und bewahre mich vor diesem Leiden!«; T4T: »Rescue me so that I do not have to suffer now!«. Auch BB erläutert in einer FN, der Becher stehe »für das Leiden, das Jesus bevorsteht« (ebenso die Easy-to-Read Version).</w:t>
      </w:r>
    </w:p>
  </w:footnote>
  <w:footnote w:id="4748">
    <w:p>
      <w:pPr>
        <w:pStyle w:val="Funote"/>
        <w:rPr/>
      </w:pPr>
      <w:r>
        <w:rPr>
          <w:rStyle w:val="Funotenzeichen"/>
        </w:rPr>
        <w:footnoteRef/>
      </w:r>
      <w:r>
        <w:rPr>
          <w:i/>
        </w:rPr>
        <w:tab/>
        <w:t>darum, dass (damit)</w:t>
      </w:r>
      <w:r>
        <w:rPr/>
        <w:t xml:space="preserve"> - das entsprechende gr. Wort könnte sich sowohl nur auf „betet“ als auch auf beide Verben beziehen: Entweder ist das nicht-in-Versuchung-Geraten dasjenige, worum gebeten werden soll, oder der Effekt des Wachens und Betens.</w:t>
      </w:r>
    </w:p>
  </w:footnote>
  <w:footnote w:id="4749">
    <w:p>
      <w:pPr>
        <w:pStyle w:val="Funote"/>
        <w:rPr/>
      </w:pPr>
      <w:r>
        <w:rPr>
          <w:rStyle w:val="Funotenzeichen"/>
        </w:rPr>
        <w:footnoteRef/>
      </w:r>
      <w:r>
        <w:rPr/>
        <w:tab/>
        <w:t>Geist – Fleisch - Gemeint ist nicht der Hl. Geist im Gegensatz zum Menschen, wie z.B. B/S deuten (»Der Heilige Geist macht mutig, aber als bloße Menschen sind wir feige«), sondern etwas wie in Röm 7,14-24 und Gal 5,16-25: Auch im gut gesinnten Menschen liegen stets diese seine gute Gesinnung und seine menschliche Schwäche miteinander im Streit; um mit der guten Gesinnung daher die menschliche Schwäche zu überkommen, bedarf es des Gebets. Sinngemäß daher richtig HfA (ähnlich KAM): »Ich weiß, ihr wollt das Beste, aber aus eigener Kraft könnt ihr es nicht erreichen«; auch God's Word und Names of God: »You want to do what's right, but you're weak«; T4T: »You want to do what I say, but you are not strong enough to actually do it«; Worldwide English: »A person's heart can want to do it, but his body is weak.«</w:t>
      </w:r>
    </w:p>
  </w:footnote>
  <w:footnote w:id="4750">
    <w:p>
      <w:pPr>
        <w:pStyle w:val="Funote"/>
        <w:rPr/>
      </w:pPr>
      <w:r>
        <w:rPr>
          <w:rStyle w:val="Funotenzeichen"/>
        </w:rPr>
        <w:footnoteRef/>
      </w:r>
      <w:r>
        <w:rPr/>
        <w:tab/>
        <w:t>Textkritik: Viele wichtige Handschriften auch: „Und nachdem er erneut gekommen war, fand er sie schlafend [vor]“. Schwierige Entscheidung; EÜ16 folgt z.B. der Variante im Fließtext, LUT17 dagegen der alternativen Variante. Diese ist aber eher zu erklären als eine Angleichung sowohl an V. 39 als auch an die fast gleichlautende Parallelstelle Mt 26,43, als dass man unsere Primär-variante als eine Abwandlung der Sekundär-variante zur Herstellung stilistisch besserer Varianz werten sollte (denn warum sollte dann das palin („erneut“) nur drei Wörter nach hinten verschoben worden sein, anstatt es zu streichen?).</w:t>
      </w:r>
    </w:p>
  </w:footnote>
  <w:footnote w:id="4751">
    <w:p>
      <w:pPr>
        <w:pStyle w:val="Funote"/>
        <w:rPr/>
      </w:pPr>
      <w:r>
        <w:rPr>
          <w:rStyle w:val="Funotenzeichen"/>
        </w:rPr>
        <w:footnoteRef/>
      </w:r>
      <w:r>
        <w:rPr/>
        <w:tab/>
        <w:t>Vorausgesetzt, aber nicht ausgeführt ist hier eine erneute Aufforderung Jesu an die Jünger.</w:t>
      </w:r>
    </w:p>
  </w:footnote>
  <w:footnote w:id="4752">
    <w:p>
      <w:pPr>
        <w:pStyle w:val="Funote"/>
        <w:rPr/>
      </w:pPr>
      <w:r>
        <w:rPr>
          <w:rStyle w:val="Funotenzeichen"/>
        </w:rPr>
        <w:footnoteRef/>
      </w:r>
      <w:r>
        <w:rPr/>
        <w:tab/>
        <w:t>Vorausgesetzt, aber nicht ausgeführt, ist, dass Jesus ein drittes Mal fortgeht und betet. Es ist sehr deutlich: Zunehmend gerät hier nicht in den Fokus, was Jesus tut und wie er empfindet, sondern die Schwäche der Jünger.</w:t>
      </w:r>
    </w:p>
  </w:footnote>
  <w:footnote w:id="4753">
    <w:p>
      <w:pPr>
        <w:pStyle w:val="Funote"/>
        <w:rPr/>
      </w:pPr>
      <w:r>
        <w:rPr>
          <w:rStyle w:val="Funotenzeichen"/>
        </w:rPr>
        <w:footnoteRef/>
      </w:r>
      <w:r>
        <w:rPr/>
        <w:tab/>
        <w:t>Von nun an könnt ihr schlafen und euch ausruhen, es langt. - Sehr schwieriger Vers; besondere Schwierigkeiten macht das allein stehende apechei (»es langt«), das daher von einigen Handschriften gestrichen, von anderen um to telos ergänzt worden ist: »Das Ziel ist erlangt«. Jedes der Worte macht hier Schwierigkeiten: # Von nun an (a) wird von fast allen übersetzt mit »immer noch« oder »schon wieder«; diese Bedeutung ist aber unbelegt. (b) Seine gewöhnliche Bed. ist »von jetzt an«; (c) einige haben außerdem vorgeschlagen, es stehe hier für »den Rest« (nämlich der Nacht: »Wollt ihr den Rest [der Nacht] schlafen?« (z.B. Marcus 2009, S. 980) (d) oder könne auch als bloßes Funktionswort (»dann also«) gebraucht werden: »Dann schlaft also!« (z.B. Brown 1994, S. 208). # Ihr könnt schlafen und euch ausruhen: Die beiden Verben könnten von ihrer Form her sowohl Imperativ als auch Indikativ und der Satz sowohl ein Frage- als auch ein Aussagesatz sein, möglich ist daher jede der folgenden Versionen:(a) Eine Erlaubnis (permissiver Imperativ): »Ihr dürft schlafen und euch ausruhen.«(b) Ein sarkastischer Befehl: »Dann schlaft doch! Ruht euch nur aus!«(c) Eine Feststellung, die wohl als Vorwurf verstanden werden muss: »Ihr schlaft und ruht euch aus!«(d) Eine Frage, die dann ebenfalls als Vorwurf verstanden werden müsste: »Ihr schlaft und ruht euch aus!?« # Es langt: (a) »Es langt,« ihr könnt aufhören, euch darum zu bemühen, wach zu bleiben (unsere Deutung).(b) »Es langt [mit eurem Schlafen]!« (viele Üss.; z.B. B/S, KAM, T4T, The Passion Translation, The Voice, WIL)(c) »Er (nämlich Judas) hat's erlangt«, nämlich das Geld für seinen Verrat (Brown 1994, S. 201: »The money is paid«).(d) »Sie ist erlangt«, also erreicht – nämlich die Zeit, da Jesu verraten wird (BB, MSG, NGÜ, NLT, R-S: »Es ist so weit!)«(e) »Das Ziel ist erlangt« / »Es ist erlangt« / »Das Ziel ist erlangt? [Nein:] ...« / »Es ist erlangt? [Nein:] ...« Vier Varianten der selben Deutung, die sich an der Hinzufügung von to telos (»das Ziel«) in einigen Handschriften orientieren. Einige halten to telos für ursprünglich; andere gauben, to telos sei sekundär und sei für diese Deutung auch nicht notwendig. So JJ: »Das Erwartete ist da!«; auch Evans 2001, S. 416; Marcus 2009, S. 980.(f) »Er (nämlich Judas) ist fern«; so Gundry 2000, S. 857, der davon ausgeht, das zwischen dieser Äußerung und dem direkt nachfolgenden Satz eine längere Zeitspanne vergeht und dass Jesus den Jüngern deshalb für diese Zeit das Schlafen erlaubt. Besser dann aber »Er ist fern? [Nein,] ...«</w:t>
      </w:r>
    </w:p>
  </w:footnote>
  <w:footnote w:id="4754">
    <w:p>
      <w:pPr>
        <w:pStyle w:val="Funote"/>
        <w:rPr/>
      </w:pPr>
      <w:r>
        <w:rPr>
          <w:rStyle w:val="Funotenzeichen"/>
        </w:rPr>
        <w:footnoteRef/>
      </w:r>
      <w:r>
        <w:rPr/>
        <w:tab/>
        <w:t>Menge - unspezifische Bezeichnung, die sich sowohl auf eine „Zivilistenmenge“ – einen „Mob“ (CEB) – beziehen könnte als auch auf ein großes Kommando aus Tempelwächtern und Polizeitruppen. Die Bewaffnung ist nicht aussagekräftig: Auch Zivilisten konnten Schwerter tragen, auch Soldaten Keulen. Dass sie „von den Hohepriestern usw.“ kommen, macht letzteres etwas wahrscheinlicher; letztlich lässt es sich aber nicht mit Sicherheit sagen, wie die „Menge“ zusammengesetzt war und sowohl eine Übersetzung mit „Mob“ als auch eine Übersetzung der Keulen mit „Schlagstöcken“, um die Träger eindeutig als Polizisten zu identifizieren (so schön Lohfink 2011, S. 385), wäre eine Überinterpretation.</w:t>
      </w:r>
    </w:p>
  </w:footnote>
  <w:footnote w:id="4755">
    <w:p>
      <w:pPr>
        <w:pStyle w:val="Funote"/>
        <w:rPr/>
      </w:pPr>
      <w:r>
        <w:rPr>
          <w:rStyle w:val="Funotenzeichen"/>
        </w:rPr>
        <w:footnoteRef/>
      </w:r>
      <w:r>
        <w:rPr/>
        <w:tab/>
        <w:t>Schwertern und Keulen - auffälliger, als es auf den ersten Blick scheint. Die Geschehnisse tragen sich zu in der Nacht vom 14. auf den 15. Nisan, der Pascha-Nacht. Für diese Festnacht galten aber die gleichen Vorschriften wie für den Sabbat (s. Ex 12,16; Lev 23,7; Num 28,18) und zu diesen gehörte auch das Verbot, Lasten – und also auch Waffen – zu tragen (vgl. Dalman 1922, S. 89). Außer Kraft gesetzt war dieses Gebot nur in Fällen der Todesgefahr (s. t.Sab 15,11; b.Yom 84b), in denen man also z.B. Waffen benötigte, um sein Leben zu retten. Übertrat man wissentlich dieses Verbot, war die angemessene Strafe der Tod (s. Num 15,30-36). Aus der Perspektive des Lesers, der weiß, dass von Jesus natürlich keine Todesgefahr ausgeht, wird also klar: Die Bewaffneten versündigen sich hier sehr schwer.</w:t>
      </w:r>
    </w:p>
  </w:footnote>
  <w:footnote w:id="4756">
    <w:p>
      <w:pPr>
        <w:pStyle w:val="Funote"/>
        <w:rPr/>
      </w:pPr>
      <w:r>
        <w:rPr>
          <w:rStyle w:val="Funotenzeichen"/>
        </w:rPr>
        <w:footnoteRef/>
      </w:r>
      <w:r>
        <w:rPr>
          <w:i/>
        </w:rPr>
        <w:tab/>
        <w:t>Hohepriestern und Schriftgelehrten und Ältesten</w:t>
      </w:r>
      <w:r>
        <w:rPr/>
        <w:t xml:space="preserve"> - Wie in </w:t>
      </w:r>
      <w:r>
        <w:fldChar w:fldCharType="begin"/>
      </w:r>
      <w:r>
        <w:rPr>
          <w:rStyle w:val="Internetverknpfung"/>
        </w:rPr>
        <w:instrText> HYPERLINK "../../../../../../../../../wiki/Markus_8" \l "s31"</w:instrText>
      </w:r>
      <w:r>
        <w:rPr>
          <w:rStyle w:val="Internetverknpfung"/>
        </w:rPr>
        <w:fldChar w:fldCharType="separate"/>
      </w:r>
      <w:r>
        <w:rPr>
          <w:rStyle w:val="Internetverknpfung"/>
        </w:rPr>
        <w:t>Mk 8,31</w:t>
      </w:r>
      <w:r>
        <w:rPr>
          <w:rStyle w:val="Internetverknpfung"/>
        </w:rPr>
        <w:fldChar w:fldCharType="end"/>
      </w:r>
      <w:r>
        <w:rPr/>
        <w:t xml:space="preserve"> die drei Gruppen, die an der Spitze der jüd. Religion standen.</w:t>
      </w:r>
    </w:p>
  </w:footnote>
  <w:footnote w:id="4757">
    <w:p>
      <w:pPr>
        <w:pStyle w:val="Funote"/>
        <w:rPr/>
      </w:pPr>
      <w:r>
        <w:rPr>
          <w:rStyle w:val="Funotenzeichen"/>
        </w:rPr>
        <w:footnoteRef/>
      </w:r>
      <w:r>
        <w:rPr/>
        <w:tab/>
        <w:t>küssen (V. 44), küsste (V. 45) - Die Handlung an sich ist nicht bedeutsam; der Kuss (meist auf die Stirn, die Wange oder die Hand) war eine gewöhnliche Form der Begrüßung (s. Ex 4,27; Apg 20,37; Röm 16,16; 1 Kor 16,20; 1 Thess 5,26; 1 Pet 5,14), besonders zwischen Lehrern und ihren Schülern (s. 1 Esra 4,47; t.Hag 2,1; b.Hag 14b; b.Sot 13a). Wie hier aber der Kuss zu bewerten ist, ist klar gesagt: Er ist ein Signal zur Verhaftung Jesu. Mk 14,44 greift damit das verbreitete Motiv des heuchlerischen Kusses auf; s. noch in Gen 27,26f.; 2 Sam 15,5; 20,9; Spr 7,13; 27,6; Sir 29,5. Unterstrichen wird dies noch damit, dass der Kuss als Signal ja gar nicht nötig wäre; schon durch das »Rabbi!« in V. 45 wird ja Jesus identifizierbar.In V. 45 wird ein leicht anderes Wort für »küssen« verwendet als in V. 44: kataphileo (vs. phileo). Das Präfix kata- kann theoretisch das Verb intensivieren (daher z.B. Ernst 1981, S. 433: »küsste ihn innig«), ist aber hier wohl eher wie auch sonst oft im ntl. Griechisch bedeutungslos (auch in Gen 31,28.55 LXX, Ex 4,27 LXX wird kataphileo statt phileo für den normalen Begrüßungskuss verwendet; Marcus 2009, S. 991.). Ganz unwahrscheinlich ist daher auch, dass das Präfix hier ausdrücken soll, dass Judas Jesus wie in Lk 7,45 auf einen tiefer liegenden Körperteil wie die Füße küsst, wie das z.B. Gundry 2000, S. 859 will.</w:t>
      </w:r>
    </w:p>
  </w:footnote>
  <w:footnote w:id="4758">
    <w:p>
      <w:pPr>
        <w:pStyle w:val="Funote"/>
        <w:rPr/>
      </w:pPr>
      <w:r>
        <w:rPr>
          <w:rStyle w:val="Funotenzeichen"/>
        </w:rPr>
        <w:footnoteRef/>
      </w:r>
      <w:r>
        <w:rPr/>
        <w:tab/>
        <w:t>Textkritik: Rabbi, Rabbi! - In wenigen Handschriften findet sich auch ein doppeltes „Rabbi“; so daher auch z.B. bei JJ, SLT, TAF. Welche Version die ursprüngliche ist, ist schwer entscheidbar, die Bezeugung des doppelten „Rabbi“ ist aber so schlecht, dass man sich deshalb guten Gewissens mit den meisten Üss. für unsere Primärvariante entscheiden kann.</w:t>
      </w:r>
    </w:p>
  </w:footnote>
  <w:footnote w:id="4759">
    <w:p>
      <w:pPr>
        <w:pStyle w:val="Funote"/>
        <w:rPr/>
      </w:pPr>
      <w:r>
        <w:rPr>
          <w:rStyle w:val="Funotenzeichen"/>
        </w:rPr>
        <w:footnoteRef/>
      </w:r>
      <w:r>
        <w:rPr/>
        <w:tab/>
        <w:t>Ein Gewisser von den Dabeistehenden - Doppelt unspezifischer Ausdruck. Nach Mt und Lk war es einer der Jünger, nach Joh Petrus. Gundry 2000, S. 860 glaubt dagegen, die Rede sei hier von einem der Soldaten, da nur von diesen gesagt sei, dass sie Schwerter hätten. Beides sagt Mk aber gerade nicht; hier ist der Handelnde (wie in Mk 14,69f.; 15,35.39 „einer der Dabeistehenden“; Inhaber einer so unbedeutenden Nebenrolle, dass es nicht nötig ist, ihn näher zu charakterisieren. Richtig daher wohl Brown 1994, S. 266; Evans 2001, S. 424: Die Rede ist von einem, der zu keiner der beiden Parteiungen gehört, sondern zufällig zugegen ist. Gerade nicht also: „One of the disciples“ (T4T), „Einer von den Männern, die bei Jesus standen“ (HfA, NeÜ, NGÜ, NLT) oder gar „Einer von den Männern, die bei Jesus waren, wollte das verhindern. Er zog sein Schwert...“ (KAM).</w:t>
      </w:r>
    </w:p>
  </w:footnote>
  <w:footnote w:id="4760">
    <w:p>
      <w:pPr>
        <w:pStyle w:val="Funote"/>
        <w:rPr/>
      </w:pPr>
      <w:r>
        <w:rPr>
          <w:rStyle w:val="Funotenzeichen"/>
        </w:rPr>
        <w:footnoteRef/>
      </w:r>
      <w:r>
        <w:rPr/>
        <w:tab/>
        <w:t>In JosAnt XIV,366 und t.Par 3,8 findet sich jeweils eine Erzählung, in der einem Hohepriester das Ohr abgeschnitten wird, wodurch dieser aufgrund dieses körperlichen Makels fortan nicht mehr dazu geeignet ist, Hohepriester zu sein (s. Lev 21,16-23; in V. 18 fügt LXX gar noch explizit hinzu: „Keiner, dessen Ohr abgeschnitten ist [darf den Dienst am Allerheiligsten versehen]“). So verstehen auch unsere Stelle Daube 1960; Lampe 1984; Lohmeyer 1951, S. 322; Rostovtzeff 1934 und Viviano 1989: Der Angriff auf den Diener des Hohepriesters ist als symbolische Handlung zu verstehen, mit der dem Hohepriester über diese Handlung an seinem Repräsentanten die Eignung zum Hohepriestertum abgesprochen wird.</w:t>
      </w:r>
    </w:p>
  </w:footnote>
  <w:footnote w:id="4761">
    <w:p>
      <w:pPr>
        <w:pStyle w:val="Funote"/>
        <w:rPr/>
      </w:pPr>
      <w:r>
        <w:rPr>
          <w:rStyle w:val="Funotenzeichen"/>
        </w:rPr>
        <w:footnoteRef/>
      </w:r>
      <w:r>
        <w:rPr/>
        <w:tab/>
        <w:t>antwortete - markinisches apokrinomai (dazu vgl. Kleist 1937, S. 162f.): „Antworten“ hier nicht als Reaktion auf eine Anrede oder Frage, sondern auf einen Sachverhalt oder Tatbestand: Jesus ergreift das Wort und nimmt Bezug auf die Tatsache, dass seine Häscher mit Schwertern und Keulen gegen ihn ausgezogen sind.</w:t>
      </w:r>
    </w:p>
  </w:footnote>
  <w:footnote w:id="4762">
    <w:p>
      <w:pPr>
        <w:pStyle w:val="Funote"/>
        <w:rPr/>
      </w:pPr>
      <w:r>
        <w:rPr>
          <w:rStyle w:val="Funotenzeichen"/>
        </w:rPr>
        <w:footnoteRef/>
      </w:r>
      <w:r>
        <w:rPr/>
        <w:tab/>
        <w:t>Räuber (Rebellen, Aufwiegler) - Gr. lästäs. Etwa zeitgleich zur Abfassung des Mk ist dieser Begriff bei Josephus beinahe terminus technicus für Aufwiegler, für »präpolitische Rebellen«, die auf der Seite der jüdischen Landbevölkerung gegen die römische Macht im Land kämpften (vgl. z.B. Horsley/Hanson 1985, S. 48). So wollen das Wort auch hier einige Exegeten verstehen, weil Jesus doch nie wie ein »Räuber« eines Gewaltverbrechens bezichtigt worden sei (z.B. Evans 2001, S. 424; auch CJB, PAT). Gemeint sind hier aber wohl doch Räuber: Der Gebrauch von Waffen in dieser Festnacht wäre nur in Lebensgefahr zulässig gewesen (s.o.); Jesu Häscher sind also ausgezogen wie gegen einen, von dem Lebensgefahr ausgeht. Die häufige allgemeine Üs. »Verbrecher« verfehlt dies.</w:t>
      </w:r>
    </w:p>
  </w:footnote>
  <w:footnote w:id="4763">
    <w:p>
      <w:pPr>
        <w:pStyle w:val="Funote"/>
        <w:rPr/>
      </w:pPr>
      <w:r>
        <w:rPr>
          <w:rStyle w:val="Funotenzeichen"/>
        </w:rPr>
        <w:footnoteRef/>
      </w:r>
      <w:r>
        <w:rPr/>
        <w:tab/>
        <w:t>Tag für Tag (Tagsüber) - Beide Üss. sind möglich, die primäre Üs. findet sich in fast allen Üss. und ist auch sonst stets die Bed. des Ausdrucks im Mk. Die Schwierigkeit bei dieser Üs. ist aber, dass Jesus nach der Logik des Mk durchaus nicht »Tag für Tag« im Tempel war; von seinem Wirken dort wird ausschließlich in Mk 11,17; Mk 11,27-12,44 berichtet, wo er sich zwei Tage lang im Tempel aufhielt. Einige wollen daher sattdessen mit »Tagsüber« übersetzen (z.B. Marcus 2009, S. 993): »Tagsüber war ich doch im Tempel, ihr aber wollt mich nachts ergreifen!« Doch für diesen Aufenthalt tagsüber wird von keiner Lehrtätigkeit Jesu berichtet, so dass dies eher unwahrscheinlich ist.</w:t>
      </w:r>
    </w:p>
  </w:footnote>
  <w:footnote w:id="4764">
    <w:p>
      <w:pPr>
        <w:pStyle w:val="Funote"/>
        <w:rPr/>
      </w:pPr>
      <w:r>
        <w:rPr>
          <w:rStyle w:val="Funotenzeichen"/>
        </w:rPr>
        <w:footnoteRef/>
      </w:r>
      <w:r>
        <w:rPr>
          <w:i/>
        </w:rPr>
        <w:tab/>
        <w:t>im Tempel</w:t>
      </w:r>
      <w:r>
        <w:rPr/>
        <w:t xml:space="preserve"> - gemeint ist der öffentlich zugängliche Vorhof des Tempels.</w:t>
      </w:r>
    </w:p>
  </w:footnote>
  <w:footnote w:id="4765">
    <w:p>
      <w:pPr>
        <w:pStyle w:val="Funote"/>
        <w:rPr/>
      </w:pPr>
      <w:r>
        <w:rPr>
          <w:rStyle w:val="Funotenzeichen"/>
        </w:rPr>
        <w:footnoteRef/>
      </w:r>
      <w:r>
        <w:rPr>
          <w:i/>
        </w:rPr>
        <w:tab/>
        <w:t>[Es sei], dass die Schriften erfüllt werden!</w:t>
      </w:r>
      <w:r>
        <w:rPr/>
        <w:t xml:space="preserve"> - D.h.: „Nun wohl, die Schriften müssen erfüllt werden!“, imperativisches </w:t>
      </w:r>
      <w:r>
        <w:rPr>
          <w:i/>
        </w:rPr>
        <w:t>hina</w:t>
      </w:r>
      <w:r>
        <w:rPr/>
        <w:t xml:space="preserve">: Das „dass“/„damit“ markiert hier, dass das Folgende erfüllt werden </w:t>
      </w:r>
      <w:r>
        <w:rPr>
          <w:i/>
        </w:rPr>
        <w:t>muss</w:t>
      </w:r>
      <w:r>
        <w:rPr/>
        <w:t xml:space="preserve">. An konkrete Schriftstellen ist hier wohl nicht gedacht; die „Schriften“ sind hier eher ein Ausdruck für „Gottes Wille, der sich (auch) aus den heiligen Schriften herauslesen lässt“: Gottes </w:t>
      </w:r>
      <w:r>
        <w:rPr>
          <w:i/>
        </w:rPr>
        <w:t>Heilsplan</w:t>
      </w:r>
      <w:r>
        <w:rPr/>
        <w:t xml:space="preserve"> muss erfüllt werden, nämlich der, dass Jesus unter die Verbrecher gerechnet und hingerichtet wird. Jesus fügt sich mit diesem Ausruf in sein Schicksal, was dann Anlass für die Flucht seiner Anhänger im nächsten Vers ist.</w:t>
      </w:r>
    </w:p>
  </w:footnote>
  <w:footnote w:id="4766">
    <w:p>
      <w:pPr>
        <w:pStyle w:val="Funote"/>
        <w:rPr/>
      </w:pPr>
      <w:r>
        <w:rPr>
          <w:rStyle w:val="Funotenzeichen"/>
        </w:rPr>
        <w:footnoteRef/>
      </w:r>
      <w:r>
        <w:rPr/>
        <w:tab/>
        <w:t>folgte ihm - wohl nicht: „folgte ihm [im Gegensatz zu den anderen, die flohen]“: Imperfekt (statt Aorist wie „fliehen“); gesagt wird, dass auch der junge Mann „ein Nachfolger Jesu war“. Daher nicht „Ein junger Mann allerdings folgte Jesus“ (HfA, NeÜ, NGÜ) o.Ä. Auch er flieht, aber auf bes. schmachvolle Weise; s. die Anmerkungen.</w:t>
      </w:r>
    </w:p>
  </w:footnote>
  <w:footnote w:id="4767">
    <w:p>
      <w:pPr>
        <w:pStyle w:val="Funote"/>
        <w:rPr/>
      </w:pPr>
      <w:r>
        <w:rPr>
          <w:rStyle w:val="Funotenzeichen"/>
        </w:rPr>
        <w:footnoteRef/>
      </w:r>
      <w:r>
        <w:rPr>
          <w:i/>
        </w:rPr>
        <w:tab/>
        <w:t>Leinentuch</w:t>
      </w:r>
      <w:r>
        <w:rPr/>
        <w:t xml:space="preserve"> - hierzu s. die Anmerkungen.</w:t>
      </w:r>
    </w:p>
  </w:footnote>
  <w:footnote w:id="4768">
    <w:p>
      <w:pPr>
        <w:pStyle w:val="Funote"/>
        <w:rPr/>
      </w:pPr>
      <w:r>
        <w:rPr>
          <w:rStyle w:val="Funotenzeichen"/>
        </w:rPr>
        <w:footnoteRef/>
      </w:r>
      <w:r>
        <w:rPr/>
        <w:tab/>
        <w:t>V. 53 gehört entgegen der üblichen Aufteilung wohl noch zur vorigen Perikope: Das Mk ist häufig strukturiert nach dem Strukturprinzip des sog. „markinischen Sandwich“: Eine Perikope wird in zwei Perikopen aufgeteilt und eine dritte Perikope zwischen die beiden Teile geschoben. Hier gehört V. 54 deutlich Vv. 66-72, aufzuteilen ist also wohl: Vv. 43-53 - V. 54 - Vv. 55-65 - Vv. 66-72.</w:t>
      </w:r>
    </w:p>
  </w:footnote>
  <w:footnote w:id="4769">
    <w:p>
      <w:pPr>
        <w:pStyle w:val="Funote"/>
        <w:rPr/>
      </w:pPr>
      <w:r>
        <w:rPr>
          <w:rStyle w:val="Funotenzeichen"/>
        </w:rPr>
        <w:footnoteRef/>
      </w:r>
      <w:r>
        <w:rPr>
          <w:i/>
        </w:rPr>
        <w:tab/>
        <w:t>oberste Priester</w:t>
      </w:r>
      <w:r>
        <w:rPr/>
        <w:t xml:space="preserve"> Auf Griechisch ebenfalls „Hohepriester“. </w:t>
      </w:r>
    </w:p>
  </w:footnote>
  <w:footnote w:id="4770">
    <w:p>
      <w:pPr>
        <w:pStyle w:val="Funote"/>
        <w:rPr/>
      </w:pPr>
      <w:r>
        <w:rPr>
          <w:rStyle w:val="Funotenzeichen"/>
        </w:rPr>
        <w:footnoteRef/>
      </w:r>
      <w:r>
        <w:rPr>
          <w:i/>
        </w:rPr>
        <w:tab/>
        <w:t>saß er (setzte er sich)</w:t>
      </w:r>
      <w:r>
        <w:rPr/>
        <w:t xml:space="preserve"> - Aufgelöstes „war“+attr. Ptz., das wohl so verstanden werden muss, dass Petrus schon saß – und sich nicht eben erst setzte. Es scheint ein Zeitsprung stattgefunden zu haben. Darum wird der Aor. im ersten Satzteil gelegentlich als Plqpf. übersetzt. </w:t>
      </w:r>
    </w:p>
  </w:footnote>
  <w:footnote w:id="4771">
    <w:p>
      <w:pPr>
        <w:pStyle w:val="Funote"/>
        <w:rPr/>
      </w:pPr>
      <w:r>
        <w:rPr>
          <w:rStyle w:val="Funotenzeichen"/>
        </w:rPr>
        <w:footnoteRef/>
      </w:r>
      <w:r>
        <w:rPr/>
        <w:tab/>
        <w:t>Dienern (Wächtern) - Das griechische Wort kann sowohl auf Diener meinen (so Gnilka 1979 2 1989; Collins 2007) als auch hochgestellte Untergebene oder Wächter (so NET Fußnote 78 zu Mk 14,54)</w:t>
      </w:r>
    </w:p>
  </w:footnote>
  <w:footnote w:id="4772">
    <w:p>
      <w:pPr>
        <w:pStyle w:val="Funote"/>
        <w:rPr/>
      </w:pPr>
      <w:r>
        <w:rPr>
          <w:rStyle w:val="Funotenzeichen"/>
        </w:rPr>
        <w:footnoteRef/>
      </w:r>
      <w:r>
        <w:rPr>
          <w:i/>
        </w:rPr>
        <w:tab/>
        <w:t>Licht (Feuer)</w:t>
      </w:r>
      <w:r>
        <w:rPr/>
        <w:t xml:space="preserve"> - Da man sich an Licht nicht wärmen kann, steht es hier metonymisch für Feuer (vgl. Louw/Nida 2,5; a.dt.Ü.).</w:t>
      </w:r>
    </w:p>
  </w:footnote>
  <w:footnote w:id="4773">
    <w:p>
      <w:pPr>
        <w:pStyle w:val="Funote"/>
        <w:rPr/>
      </w:pPr>
      <w:r>
        <w:rPr>
          <w:rStyle w:val="Funotenzeichen"/>
        </w:rPr>
        <w:footnoteRef/>
      </w:r>
      <w:r>
        <w:rPr>
          <w:i/>
        </w:rPr>
        <w:tab/>
        <w:t>von Hand erbauten</w:t>
      </w:r>
      <w:r>
        <w:rPr/>
        <w:t xml:space="preserve"> - D.h. „von Menschen/menschlichen Händen“.</w:t>
      </w:r>
    </w:p>
  </w:footnote>
  <w:footnote w:id="4774">
    <w:p>
      <w:pPr>
        <w:pStyle w:val="Funote"/>
        <w:rPr/>
      </w:pPr>
      <w:r>
        <w:rPr>
          <w:rStyle w:val="Funotenzeichen"/>
        </w:rPr>
        <w:footnoteRef/>
      </w:r>
      <w:r>
        <w:rPr/>
        <w:tab/>
        <w:t xml:space="preserve">Zumindest in der uns überlieferten fraglichen Situation in </w:t>
      </w:r>
      <w:r>
        <w:fldChar w:fldCharType="begin"/>
      </w:r>
      <w:r>
        <w:rPr>
          <w:rStyle w:val="Internetverknpfung"/>
        </w:rPr>
        <w:instrText> HYPERLINK "../../../../../../../../../wiki/Johannes_2" \l "s19"</w:instrText>
      </w:r>
      <w:r>
        <w:rPr>
          <w:rStyle w:val="Internetverknpfung"/>
        </w:rPr>
        <w:fldChar w:fldCharType="separate"/>
      </w:r>
      <w:r>
        <w:rPr>
          <w:rStyle w:val="Internetverknpfung"/>
        </w:rPr>
        <w:t>Joh 2,19</w:t>
      </w:r>
      <w:r>
        <w:rPr>
          <w:rStyle w:val="Internetverknpfung"/>
        </w:rPr>
        <w:fldChar w:fldCharType="end"/>
      </w:r>
      <w:r>
        <w:rPr/>
        <w:t xml:space="preserve"> sagt Jesus aber nicht, dass er den Tempel abreißen würde, sondern er fordert die jüdischen Führer dazu auf, spielt aber in Wirklichkeit auf seinen eigenen Körper an (</w:t>
      </w:r>
      <w:r>
        <w:fldChar w:fldCharType="begin"/>
      </w:r>
      <w:r>
        <w:rPr>
          <w:rStyle w:val="Internetverknpfung"/>
        </w:rPr>
        <w:instrText> HYPERLINK "../../../../../../../../../wiki/Johannes_2" \l "s21"</w:instrText>
      </w:r>
      <w:r>
        <w:rPr>
          <w:rStyle w:val="Internetverknpfung"/>
        </w:rPr>
        <w:fldChar w:fldCharType="separate"/>
      </w:r>
      <w:r>
        <w:rPr>
          <w:rStyle w:val="Internetverknpfung"/>
        </w:rPr>
        <w:t>2,21-22</w:t>
      </w:r>
      <w:r>
        <w:rPr>
          <w:rStyle w:val="Internetverknpfung"/>
        </w:rPr>
        <w:fldChar w:fldCharType="end"/>
      </w:r>
      <w:r>
        <w:rPr/>
        <w:t xml:space="preserve">). Vielleicht stellt diese Verdrehung die gemachte Falschaussage dar. </w:t>
      </w:r>
    </w:p>
  </w:footnote>
  <w:footnote w:id="4775">
    <w:p>
      <w:pPr>
        <w:pStyle w:val="Funote"/>
        <w:rPr/>
      </w:pPr>
      <w:r>
        <w:rPr>
          <w:rStyle w:val="Funotenzeichen"/>
        </w:rPr>
        <w:footnoteRef/>
      </w:r>
      <w:r>
        <w:rPr/>
        <w:tab/>
        <w:t>[trat] - So NSS nach BA. Vgl. a.dt.Ü.</w:t>
      </w:r>
    </w:p>
  </w:footnote>
  <w:footnote w:id="4776">
    <w:p>
      <w:pPr>
        <w:pStyle w:val="Funote"/>
        <w:rPr/>
      </w:pPr>
      <w:r>
        <w:rPr>
          <w:rStyle w:val="Funotenzeichen"/>
        </w:rPr>
        <w:footnoteRef/>
      </w:r>
      <w:r>
        <w:rPr>
          <w:i/>
        </w:rPr>
        <w:tab/>
        <w:t>trat in die Mitte und</w:t>
      </w:r>
      <w:r>
        <w:rPr/>
        <w:t xml:space="preserve"> - Attr. Ptz. mit Und-Kombination aufgelöst.</w:t>
      </w:r>
    </w:p>
  </w:footnote>
  <w:footnote w:id="4777">
    <w:p>
      <w:pPr>
        <w:pStyle w:val="Funote"/>
        <w:rPr/>
      </w:pPr>
      <w:r>
        <w:rPr>
          <w:rStyle w:val="Funotenzeichen"/>
        </w:rPr>
        <w:footnoteRef/>
      </w:r>
      <w:r>
        <w:rPr>
          <w:i/>
        </w:rPr>
        <w:tab/>
        <w:t>schwieg [weiter]</w:t>
      </w:r>
      <w:r>
        <w:rPr/>
        <w:t xml:space="preserve"> - Das hier verwendete </w:t>
      </w:r>
      <w:hyperlink r:id="rId496">
        <w:r>
          <w:rPr>
            <w:rStyle w:val="Internetverknpfung"/>
          </w:rPr>
          <w:t>Imperfekt</w:t>
        </w:r>
      </w:hyperlink>
      <w:r>
        <w:rPr/>
        <w:t xml:space="preserve"> drückt eine wiederholte oder fortgesetzte Handlung aus. </w:t>
      </w:r>
    </w:p>
  </w:footnote>
  <w:footnote w:id="4778">
    <w:p>
      <w:pPr>
        <w:pStyle w:val="Funote"/>
        <w:rPr/>
      </w:pPr>
      <w:r>
        <w:rPr>
          <w:rStyle w:val="Funotenzeichen"/>
        </w:rPr>
        <w:footnoteRef/>
      </w:r>
      <w:r>
        <w:rPr>
          <w:i/>
        </w:rPr>
        <w:tab/>
        <w:t>Allmächtiger</w:t>
      </w:r>
      <w:r>
        <w:rPr/>
        <w:t xml:space="preserve"> - Eine jüdische Bezeichnung Gottes, um das Aussprechen eines Gottesnamens oder -titels zu vermeiden (TWNT </w:t>
      </w:r>
      <w:r>
        <w:rPr>
          <w:lang w:val="el-GR"/>
        </w:rPr>
        <w:t>δύναμις</w:t>
      </w:r>
      <w:r>
        <w:rPr/>
        <w:t xml:space="preserve"> C.I.c). Der Platz an der rechten Seite des Gastgebers gilt im Orient als Ehrenplatz. </w:t>
      </w:r>
    </w:p>
  </w:footnote>
  <w:footnote w:id="4779">
    <w:p>
      <w:pPr>
        <w:pStyle w:val="Funote"/>
        <w:rPr/>
      </w:pPr>
      <w:r>
        <w:rPr>
          <w:rStyle w:val="Funotenzeichen"/>
        </w:rPr>
        <w:footnoteRef/>
      </w:r>
      <w:r>
        <w:rPr>
          <w:i/>
        </w:rPr>
        <w:tab/>
        <w:t>wie er an der rechten [Seite] des Allmächtigen sitzt</w:t>
      </w:r>
      <w:r>
        <w:rPr/>
        <w:t xml:space="preserve"> - ein Zitat von </w:t>
      </w:r>
      <w:r>
        <w:fldChar w:fldCharType="begin"/>
      </w:r>
      <w:r>
        <w:rPr>
          <w:rStyle w:val="Internetverknpfung"/>
        </w:rPr>
        <w:instrText> HYPERLINK "../../../../../../../../../wiki/Psalm_110" \l "s1"</w:instrText>
      </w:r>
      <w:r>
        <w:rPr>
          <w:rStyle w:val="Internetverknpfung"/>
        </w:rPr>
        <w:fldChar w:fldCharType="separate"/>
      </w:r>
      <w:r>
        <w:rPr>
          <w:rStyle w:val="Internetverknpfung"/>
        </w:rPr>
        <w:t>Ps 110,1</w:t>
      </w:r>
      <w:r>
        <w:rPr>
          <w:rStyle w:val="Internetverknpfung"/>
        </w:rPr>
        <w:fldChar w:fldCharType="end"/>
      </w:r>
    </w:p>
  </w:footnote>
  <w:footnote w:id="4780">
    <w:p>
      <w:pPr>
        <w:pStyle w:val="Funote"/>
        <w:rPr/>
      </w:pPr>
      <w:r>
        <w:rPr>
          <w:rStyle w:val="Funotenzeichen"/>
        </w:rPr>
        <w:footnoteRef/>
      </w:r>
      <w:r>
        <w:rPr/>
        <w:tab/>
        <w:t xml:space="preserve">Das Reiten auf Wolken war eine Handlung, die im vorderen Orient nur Göttern zugeschrieben wurde. </w:t>
      </w:r>
    </w:p>
  </w:footnote>
  <w:footnote w:id="4781">
    <w:p>
      <w:pPr>
        <w:pStyle w:val="Funote"/>
        <w:rPr/>
      </w:pPr>
      <w:r>
        <w:rPr>
          <w:rStyle w:val="Funotenzeichen"/>
        </w:rPr>
        <w:footnoteRef/>
      </w:r>
      <w:r>
        <w:rPr/>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4782">
    <w:p>
      <w:pPr>
        <w:pStyle w:val="Funote"/>
        <w:rPr/>
      </w:pPr>
      <w:r>
        <w:rPr>
          <w:rStyle w:val="Funotenzeichen"/>
        </w:rPr>
        <w:footnoteRef/>
      </w:r>
      <w:r>
        <w:rPr/>
        <w:tab/>
        <w:t>zerriss seine Kleider - Als Zeichen des Entsetzens riss man bei Gotteslästerung seine Kleider mit einem Ruck am Kragen ein (s. m.San vii 5; vgl. NSS). In Levitikus 21#s10 Lev 21,10 wird aber dem Hohepriester explizit unteragt, seine hohepriesterliche Kleidung zu zerreißen; einmal mehr erweist sich der Hohepriester so als seines Amtes nicht würdig.</w:t>
      </w:r>
    </w:p>
  </w:footnote>
  <w:footnote w:id="4783">
    <w:p>
      <w:pPr>
        <w:pStyle w:val="Funote"/>
        <w:rPr/>
      </w:pPr>
      <w:r>
        <w:rPr>
          <w:rStyle w:val="Funotenzeichen"/>
        </w:rPr>
        <w:footnoteRef/>
      </w:r>
      <w:r>
        <w:rPr/>
        <w:tab/>
        <w:t>Gotteslästerung - Als »gotteslästerlich« erachtet wird wohl hier Jesu Anspruch, dereinst an der rechten Seite Gottes zu sitzen (was sonst nur von besonderen legendarischen Figuren wie Abraham, Moses und David gesagt werden konnte) und auf den Wolken des Himmels wiederzukommen (was sonst nur von Göttern gesagt wird, z.B. in Ps 104,3): Jesus stellt sich hier auf eine Ebene mit Gott. Nach R. Abbahu etwa wird es daher ein Mensch bereuen, wenn er behauptet, Gott zu sein, der Menschensohn zu sein oder in den Himmel aufzufahren (j.Ta'an 2,1). Vgl. zur Gotteslästerung v.a. Bock 2007.</w:t>
      </w:r>
    </w:p>
  </w:footnote>
  <w:footnote w:id="4784">
    <w:p>
      <w:pPr>
        <w:pStyle w:val="Funote"/>
        <w:rPr/>
      </w:pPr>
      <w:r>
        <w:rPr>
          <w:rStyle w:val="Funotenzeichen"/>
        </w:rPr>
        <w:footnoteRef/>
      </w:r>
      <w:r>
        <w:rPr/>
        <w:tab/>
        <w:t>D.h. „schuldig zu sein und den Tod zu verdienen“ (LN 88.313). Anders aufgelöst: „Und sie alle urteilten, dass er des Todes schuldig war.“</w:t>
      </w:r>
    </w:p>
  </w:footnote>
  <w:footnote w:id="4785">
    <w:p>
      <w:pPr>
        <w:pStyle w:val="Funote"/>
        <w:rPr/>
      </w:pPr>
      <w:r>
        <w:rPr>
          <w:rStyle w:val="Funotenzeichen"/>
        </w:rPr>
        <w:footnoteRef/>
      </w:r>
      <w:r>
        <w:rPr/>
        <w:tab/>
        <w:t>spuckten ... verhüllten ... prügelten ... sagten - W. „begannen zu spucken und ...“; ein sog. „markinisches archomai“ („beginnen“, vgl. dazu Kleist 1937, S. 154f.), das nicht ins Dt. zu übersetzen ist (so auch Kleist 1937, S. 229). Viele Üss. (z.B. GN, LUT17, NeÜ, NGÜ) übersetzen es doch.</w:t>
      </w:r>
    </w:p>
  </w:footnote>
  <w:footnote w:id="4786">
    <w:p>
      <w:pPr>
        <w:pStyle w:val="Funote"/>
        <w:rPr/>
      </w:pPr>
      <w:r>
        <w:rPr>
          <w:rStyle w:val="Funotenzeichen"/>
        </w:rPr>
        <w:footnoteRef/>
      </w:r>
      <w:r>
        <w:rPr/>
        <w:tab/>
        <w:t>Textkritik - Nicht wenige Handschriften haben mit Mt 26,68 „Prophezeie uns, Christus: Wer ists, der dich schlägt?“; fast ebenso Lk 22,64: „Prophezeie: Wer ists, der dich schlägt?“. Gleichzeitig findet es sich in so vielen Handschriften nicht, dass es klar sekundär ist und wohl aus Mt in diese Handschriften eingetragen wurde. Textkritisch ist dies für unsere Stelle nicht sehr problematisch, an sich aber höchst interessant, da Mt und Lk ihre Evv. von Mk abgeschrieben haben, ohne einander zu kennen – und sich dieser Zusatz dennoch in beiden Evv. findet, nicht aber im Mk (ein sog. „Minor Agreement“). Vermutlich ist es zu erklären als eine Schöpfung des Lukas, die von Schreibern dann ins Mt eingetragen und von dort dann auch in einige Handschriften des Mk übernommen wurde (vgl. bes. Neirynck 1991; Streeter 1930, S. 325-8).</w:t>
      </w:r>
    </w:p>
  </w:footnote>
  <w:footnote w:id="4787">
    <w:p>
      <w:pPr>
        <w:pStyle w:val="Funote"/>
        <w:rPr/>
      </w:pPr>
      <w:r>
        <w:rPr>
          <w:rStyle w:val="Funotenzeichen"/>
        </w:rPr>
        <w:footnoteRef/>
      </w:r>
      <w:r>
        <w:rPr/>
        <w:tab/>
        <w:t>nahmen sich seiner mit Ohrfeigen an - W. „sie nahmen ihn mit Ohrfeigen“, wohl dir. Übersetzung einer lat. Redewendung (verberibus eum acceperunt, BDR §5,4) mit der obigen Bed. Einige Üs. geben dagegen „nehmen“ die Bed. „in Empfang nehmen“, was evt. auch möglich ist: „sie nahmen ihn mit Schlägen in Empfang“ (z.B. MEN, MNT, PAT, ZÜR; wohl auch Grosvenor/Zerwick).</w:t>
      </w:r>
    </w:p>
  </w:footnote>
  <w:footnote w:id="4788">
    <w:p>
      <w:pPr>
        <w:pStyle w:val="Funote"/>
        <w:rPr/>
      </w:pPr>
      <w:r>
        <w:rPr>
          <w:rStyle w:val="Funotenzeichen"/>
        </w:rPr>
        <w:footnoteRef/>
      </w:r>
      <w:r>
        <w:rPr>
          <w:i/>
        </w:rPr>
        <w:tab/>
        <w:t>unten im Hof</w:t>
      </w:r>
      <w:r>
        <w:rPr/>
        <w:t xml:space="preserve"> (V. 66), </w:t>
      </w:r>
      <w:r>
        <w:rPr>
          <w:i/>
        </w:rPr>
        <w:t>in den Vorhof</w:t>
      </w:r>
      <w:r>
        <w:rPr/>
        <w:t xml:space="preserve"> (V. 68) - Das Haus des Hohepriesters müssen wir uns also wohl vorstellen als ein zweistöckiges Gebäude, zu dem auch erstens ein nach außen hin offener, aber wohl von einem Tor abgetrennter (s. </w:t>
      </w:r>
      <w:hyperlink r:id="rId497">
        <w:r>
          <w:rPr>
            <w:rStyle w:val="Internetverknpfung"/>
          </w:rPr>
          <w:t>Mt 26,71</w:t>
        </w:r>
      </w:hyperlink>
      <w:r>
        <w:rPr/>
        <w:t>) Innenhof und zweitens ein davor gelegener Außen- oder Vorhof gehörte. Jesus wird im Obergeschoss vernommen, Petrus hält sich mit Tempelwächtern und einigen Hausbediensteten im Innenhof auf. Um 1970 wurde in Jerusalem das sogenannte „</w:t>
      </w:r>
      <w:hyperlink r:id="rId498">
        <w:r>
          <w:rPr>
            <w:rStyle w:val="Internetverknpfung"/>
          </w:rPr>
          <w:t>Burnt House</w:t>
        </w:r>
      </w:hyperlink>
      <w:r>
        <w:rPr/>
        <w:t>“ gefunden, ein (nur!) etwa 13x15m großes (und damit!) vergleichsweise luxuriöses Gebäude der Familie Qathros aus der Priesteraristokratie. Auch dieses war zweistöckig und hatte einen entsprechenden Innenhof; die Beschreibung ist also realistisch. Der Innenhof dieses Hauses hat die Maße von nur etwa 2,5x2m, säße man in einem solchen Innenhof also um ein Feuer, säße man sehr dicht gedrängt.</w:t>
      </w:r>
    </w:p>
  </w:footnote>
  <w:footnote w:id="4789">
    <w:p>
      <w:pPr>
        <w:pStyle w:val="Funote"/>
        <w:rPr/>
      </w:pPr>
      <w:r>
        <w:rPr>
          <w:rStyle w:val="Funotenzeichen"/>
        </w:rPr>
        <w:footnoteRef/>
      </w:r>
      <w:r>
        <w:rPr/>
        <w:tab/>
        <w:t>mit - Vgl. Mk 3|14: »Er bestimmt zwölf, damit sie mit ihm seien«; ausgesagt wird also hier wohl, dass Petrus einer der Anhänger Jesus sei (HfA: »Du gehörst doch auch zu diesem Jesus aus Nazareth!«).</w:t>
      </w:r>
    </w:p>
  </w:footnote>
  <w:footnote w:id="4790">
    <w:p>
      <w:pPr>
        <w:pStyle w:val="Funote"/>
        <w:rPr/>
      </w:pPr>
      <w:r>
        <w:rPr>
          <w:rStyle w:val="Funotenzeichen"/>
        </w:rPr>
        <w:footnoteRef/>
      </w:r>
      <w:r>
        <w:rPr/>
        <w:tab/>
        <w:t>leugnete - Nicht: „leugnete es“. Zur Abfassungszeit des Mk war arneomai („leugnen“) ein beladener Begriff, mit dem Christen, mit dem man auch bezeichnete, wenn Christen, die ob ihres Christseins verfolgt und verhört wurden, sich von Jesus lossagten. Petrus wird hier schon anfanghaft zum Apostat (vgl. Lampe 1973, S. 353; Marcus 2009, S. 1023). S. die Anmerkungen.In V. 70 steht „leugnen“ anders als in V. 68 nicht im Aorist, sondern im Imperfekt; ebenso wie das palin („erneut“) unterstreicht hier also die Wortform, dass Petrus hier schon zum zweiten Mal leugnet.</w:t>
      </w:r>
    </w:p>
  </w:footnote>
  <w:footnote w:id="4791">
    <w:p>
      <w:pPr>
        <w:pStyle w:val="Funote"/>
        <w:rPr/>
      </w:pPr>
      <w:r>
        <w:rPr>
          <w:rStyle w:val="Funotenzeichen"/>
        </w:rPr>
        <w:footnoteRef/>
      </w:r>
      <w:r>
        <w:rPr/>
        <w:tab/>
        <w:t>Oder: „Weder weiß ich noch verstehe ich. Was sagst du?“, aber vgl. m.Sheb viii 3.6, wo ein Befragter sich „dumm stellt“: „Ich weiß nicht, was du sagst“. So deutet Mk klar auch Mt 26,70. Vielleicht auch: „Weder kenne ich [ihn] noch verstehe ich, was du sagst“; so könnte Lk 22,57 Mk verstanden haben: „Ich kenne ihn nicht, Weib!“Das „weder ... noch“ ist beim Hendyadioin „wissen und verstehen“ eigentlich ungrammatisch und unterstreicht so die Entschiedenheit, mit der Petrus die Unterstellung der Magd von sich weist (vgl. Brown 1994, S. 600; Gundry 2000, S. 888).</w:t>
      </w:r>
    </w:p>
  </w:footnote>
  <w:footnote w:id="4792">
    <w:p>
      <w:pPr>
        <w:pStyle w:val="Funote"/>
        <w:rPr/>
      </w:pPr>
      <w:r>
        <w:rPr>
          <w:rStyle w:val="Funotenzeichen"/>
        </w:rPr>
        <w:footnoteRef/>
      </w:r>
      <w:r>
        <w:rPr>
          <w:i/>
        </w:rPr>
        <w:tab/>
        <w:t>er ging hinaus nach draußen in den Vorhof</w:t>
      </w:r>
      <w:r>
        <w:rPr/>
        <w:t xml:space="preserve"> - im Gr. drei Ausdrücke, deren jedes bedeutet, dass Petrus sich vom Hof und damit auch von Jesus entfernt: </w:t>
      </w:r>
      <w:r>
        <w:rPr>
          <w:i/>
        </w:rPr>
        <w:t>exälthen</w:t>
      </w:r>
      <w:r>
        <w:rPr/>
        <w:t xml:space="preserve"> („erging hinaus“) </w:t>
      </w:r>
      <w:r>
        <w:rPr>
          <w:i/>
        </w:rPr>
        <w:t>exo</w:t>
      </w:r>
      <w:r>
        <w:rPr/>
        <w:t xml:space="preserve"> („nach draußen“) </w:t>
      </w:r>
      <w:r>
        <w:rPr>
          <w:i/>
        </w:rPr>
        <w:t>eis to proaulion</w:t>
      </w:r>
      <w:r>
        <w:rPr/>
        <w:t xml:space="preserve"> („in den Vorhof“); im Gr. '</w:t>
      </w:r>
      <w:r>
        <w:rPr>
          <w:i/>
        </w:rPr>
        <w:t>proaulion</w:t>
      </w:r>
      <w:r>
        <w:rPr/>
        <w:t xml:space="preserve"> („Vorhof“) kommt ebenso wie im Dt. schon sprachlich zum Ausdruck, dass es nicht mehr der „Hof“ (</w:t>
      </w:r>
      <w:r>
        <w:rPr>
          <w:i/>
        </w:rPr>
        <w:t>aulä</w:t>
      </w:r>
      <w:r>
        <w:rPr/>
        <w:t>) ist. Petrus distanziert sich.</w:t>
      </w:r>
    </w:p>
  </w:footnote>
  <w:footnote w:id="4793">
    <w:p>
      <w:pPr>
        <w:pStyle w:val="Funote"/>
        <w:rPr/>
      </w:pPr>
      <w:r>
        <w:rPr>
          <w:rStyle w:val="Funotenzeichen"/>
        </w:rPr>
        <w:footnoteRef/>
      </w:r>
      <w:r>
        <w:rPr/>
        <w:tab/>
        <w:t>Textkritik: {und ein Hahn krähte} (V. 68), zum zweiten Mal ({zum zweiten Mal}) (V. 72) - Schwierige textkritische Frage; in vielen wichtigen Handschriften finden sich diese Worte, in vielen wichtigen Handschriften fehlen sie. Entweder wurden die in V. 68 gestrichen, um Mk an Mt und Lk anzugleichen, oder sie wurden hinzugefügt, um Jesu Prophezeiung in V. 30 sich deutlicher erfüllen zu lassen (vgl. TCGNT, S. 115f.), und entweder wurden die in V. 72 gestrichen, weil nur von einem Hahnenschrei die Rede ist, oder auch sie wurden aus dem selben Grund hinzugefügt. In einigen Handschriften finden sich die Worte aus V. 72, nicht aber die aus V. 68. Wären beide ursprünglich, gäbe es keinen guten Grund, die in V. 68 zu streichen, wenn doch in V. 72 von einem zweiten Hahnenschrei die Rede wäre; dass V. 68 sekundär und V. 72 ursprünglich ist, ist daher etwas wahrscheinlicher. Das würde dann auch erklären, warum in Mt und Lk nur von einem Hahnenschrei die Rede ist: Auch bei Mk würde dann nur von einem Hahnenschrei berichtet, obwohl dieser als der „zweite Hahnenschrei“ bezeichnet wird (so richtig Willker). So z.B. auch EÜ; anders z.B LUT.</w:t>
      </w:r>
    </w:p>
  </w:footnote>
  <w:footnote w:id="4794">
    <w:p>
      <w:pPr>
        <w:pStyle w:val="Funote"/>
        <w:rPr/>
      </w:pPr>
      <w:r>
        <w:rPr>
          <w:rStyle w:val="Funotenzeichen"/>
        </w:rPr>
        <w:footnoteRef/>
      </w:r>
      <w:r>
        <w:rPr/>
        <w:tab/>
        <w:t>sagte - W. „begann sie zu sagen“; ein sog. „markinisches archomai“ („beginnen“, vgl. dazu Kleist 1937, S. 154f.), das nicht ins Dt. zu übersetzen ist (so auch Kleist 1937, S. 229). Einige Üss. übersetzen es aber doch (z.B. LUT17).</w:t>
      </w:r>
    </w:p>
  </w:footnote>
  <w:footnote w:id="4795">
    <w:p>
      <w:pPr>
        <w:pStyle w:val="Funote"/>
        <w:rPr/>
      </w:pPr>
      <w:r>
        <w:rPr>
          <w:rStyle w:val="Funotenzeichen"/>
        </w:rPr>
        <w:footnoteRef/>
      </w:r>
      <w:r>
        <w:rPr>
          <w:i/>
        </w:rPr>
        <w:tab/>
        <w:t>gehör(s)t zu</w:t>
      </w:r>
      <w:r>
        <w:rPr/>
        <w:t xml:space="preserve"> - W. „ist von“.</w:t>
      </w:r>
    </w:p>
  </w:footnote>
  <w:footnote w:id="4796">
    <w:p>
      <w:pPr>
        <w:pStyle w:val="Funote"/>
        <w:rPr/>
      </w:pPr>
      <w:r>
        <w:rPr>
          <w:rStyle w:val="Funotenzeichen"/>
        </w:rPr>
        <w:footnoteRef/>
      </w:r>
      <w:r>
        <w:rPr/>
        <w:tab/>
        <w:t>Textkritik: Einige Handschriften fügen hinzu: „... und deine Sprache ist ähnlich“ (nämlich der von Jesus); so auch JJ, SLT, TAF. Dies könnte gut auch ursprünglich sein (so z.B. Cranfield 1959, S. 447; die Version von Mt („deine Sprache verrät dich“) wäre dann eine kontextgemäßere Paraphrase), wird aber von fast allen Üss. als sekundär angesehen. Einzig deshalb auch hier; letztlich ist diese Frage aber nicht entscheidbar.Dass Galiläer eine leicht andere Aussprache hatten als der Rest Israels, ist recht gut bezeugt; s. b.Ber 32a; b.Meg 24b; b.Erub 53b.</w:t>
      </w:r>
    </w:p>
  </w:footnote>
  <w:footnote w:id="4797">
    <w:p>
      <w:pPr>
        <w:pStyle w:val="Funote"/>
        <w:rPr/>
      </w:pPr>
      <w:r>
        <w:rPr>
          <w:rStyle w:val="Funotenzeichen"/>
        </w:rPr>
        <w:footnoteRef/>
      </w:r>
      <w:r>
        <w:rPr/>
        <w:tab/>
        <w:t>verfluchte - W. „begann zu verfluchen“; ein sog. „markinisches archomai“ („beginnen“, vgl. dazu Kleist 1937, S. 154f.), das nicht ins Dt. zu übersetzen ist (so auch Kleist 1937, S. 229). Viele Üss. übersetzen es aber doch.Die Üs. „verfluchen“ ist treffender als das intransitive „fluchen“, das sich in den meisten Üss. findet, da auch das Gr. anathematizo stets ein Objekt hat (s. z.B. Num 21,2f. LXX; Dtn 13,5; 20,17 LXX; Ri 1,17; 21,11 LXX u.ö.). Petrus „stößt“ also keine „Flüche aus“, sondern er „verflucht jemanden“. Dieser „Jemand“ könnte Petrus selbst sein – im Alten Israel konnte man etwas durch eine Selbstverfluchung schwören, nach dem Muster „Ich schwöre X, und wenn es unwahr ist, soll mir Y wiederfahren“; s. z.B. 1 Sam 20,12f.; 2 Sam 3,9; Ijob 31; Ps 7,4-6; so z.B. schön B/N („Petrus aber schwor heilige Eide und sagte: ‚Ich will verflucht sein, wenn ich den Mann kenne...‘“), JJ, MEN („Er aber fing an, sich zu verfluchen...“), SLT, Stier, TAF –, viele Exegeten denken aber, dass Petrus wahrscheinlicher hier Jesus verflucht (z.B. Brown 1994, S. 605; Gundry 2000, S. 890; Lampe 1973, S. 354; Marcus 2009, S. 1019f.), was Leser zur Zeit der Christenverfolgung sicher mindestens mitgelesen hätten (s. die Anmerkungen). So übersetzt leider nur WIL: „Er aber begann nun, ihn zu verfluchen und zu schwören: ‚Ich kenne diesen Menschen nicht...!‘“</w:t>
      </w:r>
    </w:p>
  </w:footnote>
  <w:footnote w:id="4798">
    <w:p>
      <w:pPr>
        <w:pStyle w:val="Funote"/>
        <w:rPr/>
      </w:pPr>
      <w:r>
        <w:rPr>
          <w:rStyle w:val="Funotenzeichen"/>
        </w:rPr>
        <w:footnoteRef/>
      </w:r>
      <w:r>
        <w:rPr>
          <w:i/>
        </w:rPr>
        <w:tab/>
        <w:t>das Wort, wie</w:t>
      </w:r>
      <w:r>
        <w:rPr/>
        <w:t xml:space="preserve"> - redundanter Ausdruck (gewöhnlicher: „erinnerte sich an das Wort, </w:t>
      </w:r>
      <w:r>
        <w:rPr>
          <w:i/>
        </w:rPr>
        <w:t>das</w:t>
      </w:r>
      <w:r>
        <w:rPr/>
        <w:t xml:space="preserve"> Jesus gesagt hatte“ oder „erinnerte sich </w:t>
      </w:r>
      <w:r>
        <w:rPr>
          <w:strike/>
        </w:rPr>
        <w:t>an das Wort</w:t>
      </w:r>
      <w:r>
        <w:rPr/>
        <w:t>, wie Jesus gesagt hatte“); sowohl „das Wort“ als auch „wie“ verweist den Leser zurück auf den Ausspruch Jesu in V. 30.</w:t>
      </w:r>
    </w:p>
  </w:footnote>
  <w:footnote w:id="4799">
    <w:p>
      <w:pPr>
        <w:pStyle w:val="Funote"/>
        <w:rPr/>
      </w:pPr>
      <w:r>
        <w:rPr>
          <w:rStyle w:val="Funotenzeichen"/>
        </w:rPr>
        <w:footnoteRef/>
      </w:r>
      <w:r>
        <w:rPr/>
        <w:tab/>
        <w:t>brach in Tränen aus - sehr schwieriger Ausdruck im Gr.; Bed. unsicher. W. „Und überworfen/draufgeworfen habend, weinte er“. Vorgeschlagen wurde: # „[Sich] hineingeworfen habend [nämlich ins Weinen], weinte er“, also „Er fing an zu weinen/brach in Tränen aus“ (so wird das Wort mit Infinitiv (nicht aber als Partizip mit finitem Verb!) auch verwendet von Diogenes Laertius, Vit 6.27 und Plutarch, De Phyt Orac 402B (wohl nicht PTebt 50,12); so auch VUL, Syr, Theophylakt; einige Handschriften haben stattdessen auch „fing an zu weinen“; so daher z.B. auch BDR §308, EWNT, LN; Cranfield 1959, Ernst 1981; auch die meisten dt. Üss. # „[Seinen Geist darauf] geworfen habend, weinte er“, also „Als er daran dachte, ...“. So z.B. LSJ; auch Dschulnigg 2007; auch viele engl. Üss. Dann wäre der Satz aber merkwürdig redundant mit dem „Da erinnerte sich Petrus...“ (so richtig Gundry 2000, S. 891). # „[Sich hinaus]geworfen habend, weinte er“, also „Hinausgestürmt seiend, ...“; so z.B. Brown 1994; Marcus 2009. Doch für diese Verwendung fehlen die Parallelen. # „[Sich etwas] übergeworfen habend, weinte er“, nämlich ein Kleidungsstück über den Kopf, wie häufiger ein Ausdrck der Trauer. So schon Theophylakt, Field 1899, S. 41-43; auch ZÜR1931. Doch hier fehlte ein Objekt des Verbs. # „[Sich] auf [den Boden] geworfen habend, weinte er“; so z.B. B/N, MNT, viele engl. Üss. Aber auch hier fehlen die Parallelen.</w:t>
      </w:r>
    </w:p>
  </w:footnote>
  <w:footnote w:id="4800">
    <w:p>
      <w:pPr>
        <w:pStyle w:val="Funote"/>
        <w:rPr/>
      </w:pPr>
      <w:r>
        <w:rPr>
          <w:rStyle w:val="Funotenzeichen"/>
        </w:rPr>
        <w:footnoteRef/>
      </w:r>
      <w:r>
        <w:rPr/>
        <w:tab/>
        <w:t>[Status: Zuverlässig]</w:t>
      </w:r>
    </w:p>
  </w:footnote>
  <w:footnote w:id="4801">
    <w:p>
      <w:pPr>
        <w:pStyle w:val="Funote"/>
        <w:rPr/>
      </w:pPr>
      <w:r>
        <w:rPr>
          <w:rStyle w:val="Funotenzeichen"/>
        </w:rPr>
        <w:footnoteRef/>
      </w:r>
      <w:r>
        <w:rPr/>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802">
    <w:p>
      <w:pPr>
        <w:pStyle w:val="Funote"/>
        <w:rPr/>
      </w:pPr>
      <w:r>
        <w:rPr>
          <w:rStyle w:val="Funotenzeichen"/>
        </w:rPr>
        <w:footnoteRef/>
      </w:r>
      <w:r>
        <w:rPr/>
        <w:tab/>
        <w:t>Historisches Präsens</w:t>
      </w:r>
    </w:p>
  </w:footnote>
  <w:footnote w:id="4803">
    <w:p>
      <w:pPr>
        <w:pStyle w:val="Funote"/>
        <w:rPr/>
      </w:pPr>
      <w:r>
        <w:rPr>
          <w:rStyle w:val="Funotenzeichen"/>
        </w:rPr>
        <w:footnoteRef/>
      </w:r>
      <w:r>
        <w:rPr>
          <w:b/>
          <w:lang w:val="el-GR"/>
        </w:rPr>
        <w:tab/>
        <w:t>προσκυνεο</w:t>
      </w:r>
      <w:r>
        <w:rPr/>
        <w:t xml:space="preserve"> wird im Kontext des NT immer nur in Hinblick auf die Verehrung eines Gottes verwendet.</w:t>
      </w:r>
    </w:p>
  </w:footnote>
  <w:footnote w:id="4804">
    <w:p>
      <w:pPr>
        <w:pStyle w:val="Funote"/>
        <w:rPr/>
      </w:pPr>
      <w:r>
        <w:rPr>
          <w:rStyle w:val="Funotenzeichen"/>
        </w:rPr>
        <w:footnoteRef/>
      </w:r>
      <w:r>
        <w:rPr/>
        <w:tab/>
        <w:t>Historisches Präsens</w:t>
      </w:r>
    </w:p>
  </w:footnote>
  <w:footnote w:id="4805">
    <w:p>
      <w:pPr>
        <w:pStyle w:val="Funote"/>
        <w:rPr/>
      </w:pPr>
      <w:r>
        <w:rPr>
          <w:rStyle w:val="Funotenzeichen"/>
        </w:rPr>
        <w:footnoteRef/>
      </w:r>
      <w:r>
        <w:rPr/>
        <w:tab/>
        <w:t>Historisches Präsens</w:t>
      </w:r>
    </w:p>
  </w:footnote>
  <w:footnote w:id="4806">
    <w:p>
      <w:pPr>
        <w:pStyle w:val="Funote"/>
        <w:rPr/>
      </w:pPr>
      <w:r>
        <w:rPr>
          <w:rStyle w:val="Funotenzeichen"/>
        </w:rPr>
        <w:footnoteRef/>
      </w:r>
      <w:r>
        <w:rPr/>
        <w:tab/>
        <w:t>Sollte in Lesefassug entfallen. Vers 28 fehlt in den wichtigsten und frühsten Zeugen. Eine nachträgliches Hinzufügen aufgrund von Lk 22,37 scheint wahrscheinlicher als eine nachträgliche Streichung (TCNT, S.99).</w:t>
      </w:r>
    </w:p>
  </w:footnote>
  <w:footnote w:id="4807">
    <w:p>
      <w:pPr>
        <w:pStyle w:val="Funote"/>
        <w:rPr/>
      </w:pPr>
      <w:r>
        <w:rPr>
          <w:rStyle w:val="Funotenzeichen"/>
        </w:rPr>
        <w:footnoteRef/>
      </w:r>
      <w:r>
        <w:rPr/>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808">
    <w:p>
      <w:pPr>
        <w:pStyle w:val="Funote"/>
        <w:rPr/>
      </w:pPr>
      <w:r>
        <w:rPr>
          <w:rStyle w:val="Funotenzeichen"/>
        </w:rPr>
        <w:footnoteRef/>
      </w:r>
      <w:r>
        <w:rPr/>
        <w:tab/>
        <w:t>Imperfekt consecutivum</w:t>
      </w:r>
    </w:p>
  </w:footnote>
  <w:footnote w:id="4809">
    <w:p>
      <w:pPr>
        <w:pStyle w:val="Funote"/>
        <w:rPr/>
      </w:pPr>
      <w:r>
        <w:rPr>
          <w:rStyle w:val="Funotenzeichen"/>
        </w:rPr>
        <w:footnoteRef/>
      </w:r>
      <w:r>
        <w:rPr/>
        <w:tab/>
        <w:t>Ptz. fem. - Daher Frauen ergänzt.</w:t>
      </w:r>
    </w:p>
  </w:footnote>
  <w:footnote w:id="4810">
    <w:p>
      <w:pPr>
        <w:pStyle w:val="Funote"/>
        <w:rPr/>
      </w:pPr>
      <w:r>
        <w:rPr>
          <w:rStyle w:val="Funotenzeichen"/>
        </w:rPr>
        <w:footnoteRef/>
      </w:r>
      <w:r>
        <w:rPr/>
        <w:tab/>
        <w:t>[Status: Zuverlässig]</w:t>
      </w:r>
    </w:p>
  </w:footnote>
  <w:footnote w:id="4811">
    <w:p>
      <w:pPr>
        <w:pStyle w:val="Funote"/>
        <w:rPr/>
      </w:pPr>
      <w:r>
        <w:rPr>
          <w:rStyle w:val="Funotenzeichen"/>
        </w:rPr>
        <w:footnoteRef/>
      </w:r>
      <w:hyperlink r:id="rId499">
        <w:r>
          <w:rPr>
            <w:rStyle w:val="Internetverknpfung"/>
          </w:rPr>
          <w:tab/>
          <w:t>Gen. abs.</w:t>
        </w:r>
      </w:hyperlink>
      <w:r>
        <w:rPr/>
        <w:t xml:space="preserve">, temporal aufgelöst </w:t>
      </w:r>
    </w:p>
  </w:footnote>
  <w:footnote w:id="4812">
    <w:p>
      <w:pPr>
        <w:pStyle w:val="Funote"/>
        <w:rPr/>
      </w:pPr>
      <w:r>
        <w:rPr>
          <w:rStyle w:val="Funotenzeichen"/>
        </w:rPr>
        <w:footnoteRef/>
      </w:r>
      <w:r>
        <w:rPr/>
        <w:tab/>
        <w:t>Bezeichnung der Mutter nach dem Sohn: BDR § 162,3</w:t>
      </w:r>
    </w:p>
  </w:footnote>
  <w:footnote w:id="4813">
    <w:p>
      <w:pPr>
        <w:pStyle w:val="Funote"/>
        <w:rPr/>
      </w:pPr>
      <w:r>
        <w:rPr>
          <w:rStyle w:val="Funotenzeichen"/>
        </w:rPr>
        <w:footnoteRef/>
      </w:r>
      <w:r>
        <w:rPr/>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814">
    <w:p>
      <w:pPr>
        <w:pStyle w:val="Funote"/>
        <w:rPr/>
      </w:pPr>
      <w:r>
        <w:rPr>
          <w:rStyle w:val="Funotenzeichen"/>
        </w:rPr>
        <w:footnoteRef/>
      </w:r>
      <w:r>
        <w:rPr>
          <w:lang w:val="el-GR"/>
        </w:rPr>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815">
    <w:p>
      <w:pPr>
        <w:pStyle w:val="Funote"/>
        <w:rPr/>
      </w:pPr>
      <w:r>
        <w:rPr>
          <w:rStyle w:val="Funotenzeichen"/>
        </w:rPr>
        <w:footnoteRef/>
      </w:r>
      <w:hyperlink r:id="rId500">
        <w:r>
          <w:rPr>
            <w:rStyle w:val="Internetverknpfung"/>
          </w:rPr>
          <w:tab/>
          <w:t>Gen. abs.</w:t>
        </w:r>
      </w:hyperlink>
      <w:r>
        <w:rPr/>
        <w:t xml:space="preserve">, temporal aufgelöst </w:t>
      </w:r>
    </w:p>
  </w:footnote>
  <w:footnote w:id="4816">
    <w:p>
      <w:pPr>
        <w:pStyle w:val="Funote"/>
        <w:rPr/>
      </w:pPr>
      <w:r>
        <w:rPr>
          <w:rStyle w:val="Funotenzeichen"/>
        </w:rPr>
        <w:footnoteRef/>
      </w:r>
      <w:hyperlink r:id="rId501">
        <w:r>
          <w:rPr>
            <w:rStyle w:val="Internetverknpfung"/>
          </w:rPr>
          <w:tab/>
          <w:t>Ptz. coni.</w:t>
        </w:r>
      </w:hyperlink>
      <w:r>
        <w:rPr/>
        <w:t>, temporal aufgelöst</w:t>
      </w:r>
    </w:p>
  </w:footnote>
  <w:footnote w:id="4817">
    <w:p>
      <w:pPr>
        <w:pStyle w:val="Funote"/>
        <w:rPr/>
      </w:pPr>
      <w:r>
        <w:rPr>
          <w:rStyle w:val="Funotenzeichen"/>
        </w:rPr>
        <w:footnoteRef/>
      </w:r>
      <w:hyperlink r:id="rId502">
        <w:r>
          <w:rPr>
            <w:rStyle w:val="Internetverknpfung"/>
          </w:rPr>
          <w:tab/>
          <w:t>Ptz. coni.</w:t>
        </w:r>
      </w:hyperlink>
      <w:r>
        <w:rPr/>
        <w:t>, temporal aufgelöst</w:t>
      </w:r>
    </w:p>
  </w:footnote>
  <w:footnote w:id="4818">
    <w:p>
      <w:pPr>
        <w:pStyle w:val="Funote"/>
        <w:rPr/>
      </w:pPr>
      <w:r>
        <w:rPr>
          <w:rStyle w:val="Funotenzeichen"/>
        </w:rPr>
        <w:footnoteRef/>
      </w:r>
      <w:hyperlink r:id="rId503">
        <w:r>
          <w:rPr>
            <w:rStyle w:val="Internetverknpfung"/>
          </w:rPr>
          <w:tab/>
          <w:t>Historisches Präsens</w:t>
        </w:r>
      </w:hyperlink>
      <w:r>
        <w:rPr/>
        <w:t>.</w:t>
      </w:r>
    </w:p>
  </w:footnote>
  <w:footnote w:id="4819">
    <w:p>
      <w:pPr>
        <w:pStyle w:val="Funote"/>
        <w:rPr/>
      </w:pPr>
      <w:r>
        <w:rPr>
          <w:rStyle w:val="Funotenzeichen"/>
        </w:rPr>
        <w:footnoteRef/>
      </w:r>
      <w:r>
        <w:rPr/>
        <w:tab/>
        <w:t>Die rechte Seite war die glückverheißende Seite (Gnilka 1979, 341).</w:t>
      </w:r>
    </w:p>
  </w:footnote>
  <w:footnote w:id="4820">
    <w:p>
      <w:pPr>
        <w:pStyle w:val="Funote"/>
        <w:rPr/>
      </w:pPr>
      <w:r>
        <w:rPr>
          <w:rStyle w:val="Funotenzeichen"/>
        </w:rPr>
        <w:footnoteRef/>
      </w:r>
      <w:r>
        <w:rPr/>
        <w:tab/>
        <w:t>Die Stola, eine lange Stoffbahn, wurde nicht angezogen, sondern umgeworfen. Aber im dt. Sprachgebrauch werfen wir keine Kleidung um, sd. eine Jacke oder ein Tuch; das ist hier aber nicht gemeint: die Stola ist die normale Bekleidung</w:t>
      </w:r>
    </w:p>
  </w:footnote>
  <w:footnote w:id="4821">
    <w:p>
      <w:pPr>
        <w:pStyle w:val="Funote"/>
        <w:rPr/>
      </w:pPr>
      <w:r>
        <w:rPr>
          <w:rStyle w:val="Funotenzeichen"/>
        </w:rPr>
        <w:footnoteRef/>
      </w:r>
      <w:r>
        <w:rPr/>
        <w:tab/>
        <w:t>Die Botschaft des Engels wird präsentisch eingeführt, um darauf hinzuweisen, dass sie das Zentrum dieser Perikope ist(Gnilka 1979, 340).</w:t>
      </w:r>
    </w:p>
  </w:footnote>
  <w:footnote w:id="4822">
    <w:p>
      <w:pPr>
        <w:pStyle w:val="Funote"/>
        <w:rPr/>
      </w:pPr>
      <w:r>
        <w:rPr>
          <w:rStyle w:val="Funotenzeichen"/>
        </w:rPr>
        <w:footnoteRef/>
      </w:r>
      <w:r>
        <w:rPr/>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823">
    <w:p>
      <w:pPr>
        <w:pStyle w:val="Funote"/>
        <w:rPr/>
      </w:pPr>
      <w:r>
        <w:rPr>
          <w:rStyle w:val="Funotenzeichen"/>
        </w:rPr>
        <w:footnoteRef/>
      </w:r>
      <w:r>
        <w:rPr/>
        <w:tab/>
        <w:t>Also Jesus.</w:t>
      </w:r>
    </w:p>
  </w:footnote>
  <w:footnote w:id="4824">
    <w:p>
      <w:pPr>
        <w:pStyle w:val="Funote"/>
        <w:rPr/>
      </w:pPr>
      <w:r>
        <w:rPr>
          <w:rStyle w:val="Funotenzeichen"/>
        </w:rPr>
        <w:footnoteRef/>
      </w:r>
      <w:r>
        <w:rPr/>
        <w:tab/>
        <w:t xml:space="preserve">Man kann das </w:t>
      </w:r>
      <w:r>
        <w:rPr>
          <w:lang w:val="el-GR"/>
        </w:rPr>
        <w:t>ὅτι</w:t>
      </w:r>
      <w:r>
        <w:rPr/>
        <w:t xml:space="preserve"> auch als </w:t>
      </w:r>
      <w:hyperlink r:id="rId504">
        <w:r>
          <w:rPr>
            <w:rStyle w:val="Internetverknpfung"/>
          </w:rPr>
          <w:t>Ὅτι recitativum"&gt;</w:t>
        </w:r>
        <w:r>
          <w:rPr>
            <w:rStyle w:val="Internetverknpfung"/>
            <w:lang w:val="el-GR"/>
          </w:rPr>
          <w:t>Ὅτι</w:t>
        </w:r>
        <w:r>
          <w:rPr>
            <w:rStyle w:val="Internetverknpfung"/>
          </w:rPr>
          <w:t xml:space="preserve"> recitativum</w:t>
        </w:r>
      </w:hyperlink>
      <w:r>
        <w:rPr/>
        <w:t xml:space="preserve"> auffassen, das eine wörtliche Rede einleitet und dann nicht übersetzt wird: Er geht euch voran nach Galiläa</w:t>
      </w:r>
    </w:p>
  </w:footnote>
  <w:footnote w:id="4825">
    <w:p>
      <w:pPr>
        <w:pStyle w:val="Funote"/>
        <w:rPr/>
      </w:pPr>
      <w:r>
        <w:rPr>
          <w:rStyle w:val="Funotenzeichen"/>
        </w:rPr>
        <w:footnoteRef/>
      </w:r>
      <w:hyperlink r:id="rId505">
        <w:r>
          <w:rPr>
            <w:rStyle w:val="Internetverknpfung"/>
          </w:rPr>
          <w:tab/>
          <w:t>Ptz. coni.</w:t>
        </w:r>
      </w:hyperlink>
      <w:r>
        <w:rPr/>
        <w:t>, beiordnend aufgelöst</w:t>
      </w:r>
    </w:p>
  </w:footnote>
  <w:footnote w:id="4826">
    <w:p>
      <w:pPr>
        <w:pStyle w:val="Funote"/>
        <w:rPr/>
      </w:pPr>
      <w:r>
        <w:rPr>
          <w:rStyle w:val="Funotenzeichen"/>
        </w:rPr>
        <w:footnoteRef/>
      </w:r>
      <w:r>
        <w:rPr/>
        <w:tab/>
        <w:t>Vgl. auch Markus 4,41; 5,15.33.42</w:t>
      </w:r>
    </w:p>
  </w:footnote>
  <w:footnote w:id="4827">
    <w:p>
      <w:pPr>
        <w:pStyle w:val="Funote"/>
        <w:rPr/>
      </w:pPr>
      <w:r>
        <w:rPr>
          <w:rStyle w:val="Funotenzeichen"/>
        </w:rPr>
        <w:footnoteRef/>
      </w:r>
      <w:r>
        <w:rPr/>
        <w:tab/>
        <w:t>oder: nämlich (dann am Schluss des Satzes: sie fürchteten sich nämlich)</w:t>
      </w:r>
    </w:p>
  </w:footnote>
  <w:footnote w:id="4828">
    <w:p>
      <w:pPr>
        <w:pStyle w:val="Funote"/>
        <w:rPr/>
      </w:pPr>
      <w:r>
        <w:rPr>
          <w:rStyle w:val="Funotenzeichen"/>
        </w:rPr>
        <w:footnoteRef/>
      </w:r>
      <w:r>
        <w:rPr/>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829">
    <w:p>
      <w:pPr>
        <w:pStyle w:val="Funote"/>
        <w:rPr/>
      </w:pPr>
      <w:r>
        <w:rPr>
          <w:rStyle w:val="Funotenzeichen"/>
        </w:rPr>
        <w:footnoteRef/>
      </w:r>
      <w:r>
        <w:rPr/>
        <w:tab/>
        <w:t>Partizip aufgelöst</w:t>
      </w:r>
    </w:p>
  </w:footnote>
  <w:footnote w:id="4830">
    <w:p>
      <w:pPr>
        <w:pStyle w:val="Funote"/>
        <w:rPr/>
      </w:pPr>
      <w:r>
        <w:rPr>
          <w:rStyle w:val="Funotenzeichen"/>
        </w:rPr>
        <w:footnoteRef/>
      </w:r>
      <w:r>
        <w:rPr/>
        <w:tab/>
        <w:t>Nach griechischer Tischsitte war es üblich, beim Essen zu liegen.</w:t>
      </w:r>
    </w:p>
  </w:footnote>
  <w:footnote w:id="4831">
    <w:p>
      <w:pPr>
        <w:pStyle w:val="Funote"/>
        <w:rPr/>
      </w:pPr>
      <w:r>
        <w:rPr>
          <w:rStyle w:val="Funotenzeichen"/>
        </w:rPr>
        <w:footnoteRef/>
      </w:r>
      <w:hyperlink r:id="rId506">
        <w:r>
          <w:rPr>
            <w:rStyle w:val="Internetverknpfung"/>
          </w:rPr>
          <w:tab/>
          <w:t>Generisches Maskulinum</w:t>
        </w:r>
      </w:hyperlink>
    </w:p>
  </w:footnote>
  <w:footnote w:id="4832">
    <w:p>
      <w:pPr>
        <w:pStyle w:val="Funote"/>
        <w:rPr/>
      </w:pPr>
      <w:r>
        <w:rPr>
          <w:rStyle w:val="Funotenzeichen"/>
        </w:rPr>
        <w:footnoteRef/>
      </w:r>
      <w:r>
        <w:rPr/>
        <w:tab/>
        <w:t>Viele Handschriften haben zusätzlich die Worte „Und mit ihren Händen …“.</w:t>
      </w:r>
    </w:p>
  </w:footnote>
  <w:footnote w:id="4833">
    <w:p>
      <w:pPr>
        <w:pStyle w:val="Funote"/>
        <w:rPr/>
      </w:pPr>
      <w:r>
        <w:rPr>
          <w:rStyle w:val="Funotenzeichen"/>
        </w:rPr>
        <w:footnoteRef/>
      </w:r>
      <w:r>
        <w:rPr/>
        <w:tab/>
        <w:t>Absoluter Genitiv</w:t>
      </w:r>
    </w:p>
  </w:footnote>
  <w:footnote w:id="4834">
    <w:p>
      <w:pPr>
        <w:pStyle w:val="Funote"/>
        <w:rPr/>
      </w:pPr>
      <w:r>
        <w:rPr>
          <w:rStyle w:val="Funotenzeichen"/>
        </w:rPr>
        <w:footnoteRef/>
      </w:r>
      <w:r>
        <w:rPr/>
        <w:tab/>
        <w:t>[Status: Ungeprüft]</w:t>
      </w:r>
    </w:p>
  </w:footnote>
  <w:footnote w:id="4835">
    <w:p>
      <w:pPr>
        <w:pStyle w:val="Funote"/>
        <w:rPr/>
      </w:pPr>
      <w:r>
        <w:rPr>
          <w:rStyle w:val="Funotenzeichen"/>
        </w:rPr>
        <w:footnoteRef/>
      </w:r>
      <w:r>
        <w:rPr/>
        <w:tab/>
        <w:t>[Status: Ungeprüft]</w:t>
      </w:r>
    </w:p>
  </w:footnote>
  <w:footnote w:id="4836">
    <w:p>
      <w:pPr>
        <w:pStyle w:val="Funote"/>
        <w:rPr/>
      </w:pPr>
      <w:r>
        <w:rPr>
          <w:rStyle w:val="Funotenzeichen"/>
        </w:rPr>
        <w:footnoteRef/>
      </w:r>
      <w:r>
        <w:rPr/>
        <w:tab/>
        <w:t>[Status: Zuverlässig]</w:t>
      </w:r>
    </w:p>
  </w:footnote>
  <w:footnote w:id="4837">
    <w:p>
      <w:pPr>
        <w:pStyle w:val="Funote"/>
        <w:rPr/>
      </w:pPr>
      <w:r>
        <w:rPr>
          <w:rStyle w:val="Funotenzeichen"/>
        </w:rPr>
        <w:footnoteRef/>
      </w:r>
      <w:r>
        <w:rPr/>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838">
    <w:p>
      <w:pPr>
        <w:pStyle w:val="Funote"/>
        <w:rPr/>
      </w:pPr>
      <w:r>
        <w:rPr>
          <w:rStyle w:val="Funotenzeichen"/>
        </w:rPr>
        <w:footnoteRef/>
      </w:r>
      <w:r>
        <w:rPr/>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839">
    <w:p>
      <w:pPr>
        <w:pStyle w:val="Funote"/>
        <w:rPr/>
      </w:pPr>
      <w:r>
        <w:rPr>
          <w:rStyle w:val="Funotenzeichen"/>
        </w:rPr>
        <w:footnoteRef/>
      </w:r>
      <w:r>
        <w:rPr/>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840">
    <w:p>
      <w:pPr>
        <w:pStyle w:val="Funote"/>
        <w:rPr/>
      </w:pPr>
      <w:r>
        <w:rPr>
          <w:rStyle w:val="Funotenzeichen"/>
        </w:rPr>
        <w:footnoteRef/>
      </w:r>
      <w:r>
        <w:rPr/>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841">
    <w:p>
      <w:pPr>
        <w:pStyle w:val="Funote"/>
        <w:rPr/>
      </w:pPr>
      <w:r>
        <w:rPr>
          <w:rStyle w:val="Funotenzeichen"/>
        </w:rPr>
        <w:footnoteRef/>
      </w:r>
      <w:r>
        <w:rPr>
          <w:lang w:val="el-GR"/>
        </w:rPr>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842">
    <w:p>
      <w:pPr>
        <w:pStyle w:val="Funote"/>
        <w:rPr/>
      </w:pPr>
      <w:r>
        <w:rPr>
          <w:rStyle w:val="Funotenzeichen"/>
        </w:rPr>
        <w:footnoteRef/>
      </w:r>
      <w:r>
        <w:rPr/>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843">
    <w:p>
      <w:pPr>
        <w:pStyle w:val="Funote"/>
        <w:rPr/>
      </w:pPr>
      <w:r>
        <w:rPr>
          <w:rStyle w:val="Funotenzeichen"/>
        </w:rPr>
        <w:footnoteRef/>
      </w:r>
      <w:r>
        <w:rPr/>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844">
    <w:p>
      <w:pPr>
        <w:pStyle w:val="Funote"/>
        <w:rPr/>
      </w:pPr>
      <w:r>
        <w:rPr>
          <w:rStyle w:val="Funotenzeichen"/>
        </w:rPr>
        <w:footnoteRef/>
      </w:r>
      <w:r>
        <w:rPr/>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845">
    <w:p>
      <w:pPr>
        <w:pStyle w:val="Funote"/>
        <w:rPr/>
      </w:pPr>
      <w:r>
        <w:rPr>
          <w:rStyle w:val="Funotenzeichen"/>
        </w:rPr>
        <w:footnoteRef/>
      </w:r>
      <w:r>
        <w:rPr>
          <w:lang w:val="el-GR"/>
        </w:rPr>
        <w:tab/>
        <w:t>ἰδοὺ</w:t>
      </w:r>
      <w:r>
        <w:rPr/>
        <w:t xml:space="preserve"> i.d.R. (wie auch hier) nicht mehr als bloße Fokuspartikel.</w:t>
      </w:r>
    </w:p>
  </w:footnote>
  <w:footnote w:id="4846">
    <w:p>
      <w:pPr>
        <w:pStyle w:val="Funote"/>
        <w:rPr/>
      </w:pPr>
      <w:r>
        <w:rPr>
          <w:rStyle w:val="Funotenzeichen"/>
        </w:rPr>
        <w:footnoteRef/>
      </w:r>
      <w:r>
        <w:rPr/>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847">
    <w:p>
      <w:pPr>
        <w:pStyle w:val="Funote"/>
        <w:rPr/>
      </w:pPr>
      <w:r>
        <w:rPr>
          <w:rStyle w:val="Funotenzeichen"/>
        </w:rPr>
        <w:footnoteRef/>
      </w:r>
      <w:r>
        <w:rPr/>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848">
    <w:p>
      <w:pPr>
        <w:pStyle w:val="Funote"/>
        <w:rPr/>
      </w:pPr>
      <w:r>
        <w:rPr>
          <w:rStyle w:val="Funotenzeichen"/>
        </w:rPr>
        <w:footnoteRef/>
      </w:r>
      <w:r>
        <w:rPr/>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849">
    <w:p>
      <w:pPr>
        <w:pStyle w:val="Funote"/>
        <w:rPr/>
      </w:pPr>
      <w:r>
        <w:rPr>
          <w:rStyle w:val="Funotenzeichen"/>
        </w:rPr>
        <w:footnoteRef/>
      </w:r>
      <w:r>
        <w:rPr/>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850">
    <w:p>
      <w:pPr>
        <w:pStyle w:val="Funote"/>
        <w:rPr/>
      </w:pPr>
      <w:r>
        <w:rPr>
          <w:rStyle w:val="Funotenzeichen"/>
        </w:rPr>
        <w:footnoteRef/>
      </w:r>
      <w:r>
        <w:rPr/>
        <w:tab/>
        <w:t xml:space="preserve">S. zu </w:t>
      </w:r>
      <w:r>
        <w:rPr>
          <w:i/>
        </w:rPr>
        <w:t>{und}</w:t>
      </w:r>
      <w:r>
        <w:rPr/>
        <w:t xml:space="preserve"> in V. 49.</w:t>
      </w:r>
    </w:p>
  </w:footnote>
  <w:footnote w:id="4851">
    <w:p>
      <w:pPr>
        <w:pStyle w:val="Funote"/>
        <w:rPr/>
      </w:pPr>
      <w:r>
        <w:rPr>
          <w:rStyle w:val="Funotenzeichen"/>
        </w:rPr>
        <w:footnoteRef/>
      </w:r>
      <w:r>
        <w:rPr/>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852">
    <w:p>
      <w:pPr>
        <w:pStyle w:val="Funote"/>
        <w:rPr/>
      </w:pPr>
      <w:r>
        <w:rPr>
          <w:rStyle w:val="Funotenzeichen"/>
        </w:rPr>
        <w:footnoteRef/>
      </w:r>
      <w:r>
        <w:rPr/>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853">
    <w:p>
      <w:pPr>
        <w:pStyle w:val="Funote"/>
        <w:rPr/>
      </w:pPr>
      <w:r>
        <w:rPr>
          <w:rStyle w:val="Funotenzeichen"/>
        </w:rPr>
        <w:footnoteRef/>
      </w:r>
      <w:r>
        <w:rPr/>
        <w:tab/>
        <w:t>W.: »den ihn Fürchtenden«; Ptz. mit der Funktion des dativus commodi (daher: »für«) (vgl. Culy et al. 2010, S. 44; NSS).</w:t>
      </w:r>
    </w:p>
  </w:footnote>
  <w:footnote w:id="4854">
    <w:p>
      <w:pPr>
        <w:pStyle w:val="Funote"/>
        <w:rPr/>
      </w:pPr>
      <w:r>
        <w:rPr>
          <w:rStyle w:val="Funotenzeichen"/>
        </w:rPr>
        <w:footnoteRef/>
      </w:r>
      <w:r>
        <w:rPr/>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855">
    <w:p>
      <w:pPr>
        <w:pStyle w:val="Funote"/>
        <w:rPr/>
      </w:pPr>
      <w:r>
        <w:rPr>
          <w:rStyle w:val="Funotenzeichen"/>
        </w:rPr>
        <w:footnoteRef/>
      </w:r>
      <w:r>
        <w:rPr/>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856">
    <w:p>
      <w:pPr>
        <w:pStyle w:val="Funote"/>
        <w:rPr/>
      </w:pPr>
      <w:r>
        <w:rPr>
          <w:rStyle w:val="Funotenzeichen"/>
        </w:rPr>
        <w:footnoteRef/>
      </w:r>
      <w:r>
        <w:rPr/>
        <w:tab/>
        <w:t>Doppelpunkt sehr gut mit EÜ, Schneider 1977, S. 54 und dem unrevidierten NTL (leider nicht mehr im revidierten): Was folgt, sind einzelne Ausfaltungen des Sammelbegriffs „Machttaten“ in V. 51a.</w:t>
      </w:r>
    </w:p>
  </w:footnote>
  <w:footnote w:id="4857">
    <w:p>
      <w:pPr>
        <w:pStyle w:val="Funote"/>
        <w:rPr/>
      </w:pPr>
      <w:r>
        <w:rPr>
          <w:rStyle w:val="Funotenzeichen"/>
        </w:rPr>
        <w:footnoteRef/>
      </w:r>
      <w:r>
        <w:rPr/>
        <w:tab/>
        <w:t>„</w:t>
      </w:r>
      <w:r>
        <w:rPr/>
        <w:t>zerstreuen“ ist im AT ein Ausdruck, der vor Allem verwendet wird, wenn davon die Rede ist, dass eine Armee vernichtend geschlagen wird (vgl. die Parallelstellen).</w:t>
      </w:r>
    </w:p>
  </w:footnote>
  <w:footnote w:id="4858">
    <w:p>
      <w:pPr>
        <w:pStyle w:val="Funote"/>
        <w:rPr/>
      </w:pPr>
      <w:r>
        <w:rPr>
          <w:rStyle w:val="Funotenzeichen"/>
        </w:rPr>
        <w:footnoteRef/>
      </w:r>
      <w:r>
        <w:rPr/>
        <w:tab/>
        <w:t xml:space="preserve">zur „Hochmut“ im alten Judentum vgl. das in </w:t>
      </w:r>
      <w:r>
        <w:fldChar w:fldCharType="begin"/>
      </w:r>
      <w:r>
        <w:rPr>
          <w:rStyle w:val="Internetverknpfung"/>
        </w:rPr>
        <w:instrText> HYPERLINK "http://archive.org/stream/KommentarZumNeuenTestamentAusTalmudUndMidraschVol.2/Kommentar.Strack.Billerbeck.v.2" \l "page/n115/mode/1up"</w:instrText>
      </w:r>
      <w:r>
        <w:rPr>
          <w:rStyle w:val="Internetverknpfung"/>
        </w:rPr>
        <w:fldChar w:fldCharType="separate"/>
      </w:r>
      <w:r>
        <w:rPr>
          <w:rStyle w:val="Internetverknpfung"/>
        </w:rPr>
        <w:t>B/S 1924, S. 101ff.</w:t>
      </w:r>
      <w:r>
        <w:rPr>
          <w:rStyle w:val="Internetverknpfung"/>
        </w:rPr>
        <w:fldChar w:fldCharType="end"/>
      </w:r>
      <w:r>
        <w:rPr/>
        <w:t xml:space="preserve"> zusammengetragene Material</w:t>
      </w:r>
    </w:p>
  </w:footnote>
  <w:footnote w:id="4859">
    <w:p>
      <w:pPr>
        <w:pStyle w:val="Funote"/>
        <w:rPr/>
      </w:pPr>
      <w:r>
        <w:rPr>
          <w:rStyle w:val="Funotenzeichen"/>
        </w:rPr>
        <w:footnoteRef/>
      </w:r>
      <w:r>
        <w:rPr/>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860">
    <w:p>
      <w:pPr>
        <w:pStyle w:val="Funote"/>
        <w:rPr/>
      </w:pPr>
      <w:r>
        <w:rPr>
          <w:rStyle w:val="Funotenzeichen"/>
        </w:rPr>
        <w:footnoteRef/>
      </w:r>
      <w:r>
        <w:rPr/>
        <w:tab/>
        <w:t xml:space="preserve">Da Gott die </w:t>
      </w:r>
      <w:r>
        <w:rPr>
          <w:lang w:val="el-GR"/>
        </w:rPr>
        <w:t>δυνάστας</w:t>
      </w:r>
      <w:r>
        <w:rPr/>
        <w:t xml:space="preserve"> von ihren </w:t>
      </w:r>
      <w:r>
        <w:rPr>
          <w:i/>
        </w:rPr>
        <w:t>Thronen</w:t>
      </w:r>
      <w:r>
        <w:rPr/>
        <w:t xml:space="preserve"> stürzt, ist „Machthaber“ hier die kontextuell wesentlich passendere Übertragung.</w:t>
      </w:r>
    </w:p>
  </w:footnote>
  <w:footnote w:id="4861">
    <w:p>
      <w:pPr>
        <w:pStyle w:val="Funote"/>
        <w:rPr/>
      </w:pPr>
      <w:r>
        <w:rPr>
          <w:rStyle w:val="Funotenzeichen"/>
        </w:rPr>
        <w:footnoteRef/>
      </w:r>
      <w:r>
        <w:rPr/>
        <w:tab/>
        <w:t>V. 52b kontrastiert eine Aufwärtsbewegung mit der hieriegen Abwärtsbewegung des „Stürzens“; im Deutschen besser ausdrücklich zu machen, etwa als „herabstürzen“.</w:t>
      </w:r>
    </w:p>
  </w:footnote>
  <w:footnote w:id="4862">
    <w:p>
      <w:pPr>
        <w:pStyle w:val="Funote"/>
        <w:rPr/>
      </w:pPr>
      <w:r>
        <w:rPr>
          <w:rStyle w:val="Funotenzeichen"/>
        </w:rPr>
        <w:footnoteRef/>
      </w:r>
      <w:r>
        <w:rPr/>
        <w:tab/>
        <w:t>die Wortstellung VV 52-53 sollte beibehalten werden, da sie eine chiastische Doppelstruktur hat: V 52: V - S / V - S; V 53: S - V / S - V</w:t>
      </w:r>
    </w:p>
  </w:footnote>
  <w:footnote w:id="4863">
    <w:p>
      <w:pPr>
        <w:pStyle w:val="Funote"/>
        <w:rPr/>
      </w:pPr>
      <w:r>
        <w:rPr>
          <w:rStyle w:val="Funotenzeichen"/>
        </w:rPr>
        <w:footnoteRef/>
      </w:r>
      <w:r>
        <w:rPr/>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864">
    <w:p>
      <w:pPr>
        <w:pStyle w:val="Funote"/>
        <w:rPr/>
      </w:pPr>
      <w:r>
        <w:rPr>
          <w:rStyle w:val="Funotenzeichen"/>
        </w:rPr>
        <w:footnoteRef/>
      </w:r>
      <w:r>
        <w:rPr/>
        <w:tab/>
        <w:t>»Mit leeren Händen« nach BA 870</w:t>
      </w:r>
    </w:p>
  </w:footnote>
  <w:footnote w:id="4865">
    <w:p>
      <w:pPr>
        <w:pStyle w:val="Funote"/>
        <w:rPr/>
      </w:pPr>
      <w:r>
        <w:rPr>
          <w:rStyle w:val="Funotenzeichen"/>
        </w:rPr>
        <w:footnoteRef/>
      </w:r>
      <w:r>
        <w:rPr/>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866">
    <w:p>
      <w:pPr>
        <w:pStyle w:val="Funote"/>
        <w:spacing w:before="0" w:after="283"/>
        <w:rPr/>
      </w:pPr>
      <w:r>
        <w:rPr>
          <w:rStyle w:val="Funotenzeichen"/>
        </w:rPr>
        <w:footnoteRef/>
      </w:r>
      <w:r>
        <w:rPr/>
        <w:tab/>
        <w:t xml:space="preserve">Ein weiterer grammatischer Zweifelsfall: Es ist fraglich, wie V 54b, 55a und 55b sich zueinander verhalten. Vorgeschlagen wurde, </w:t>
      </w:r>
    </w:p>
    <w:p>
      <w:pPr>
        <w:pStyle w:val="Textkrper"/>
        <w:numPr>
          <w:ilvl w:val="0"/>
          <w:numId w:val="4"/>
        </w:numPr>
        <w:tabs>
          <w:tab w:val="left" w:pos="0" w:leader="none"/>
        </w:tabs>
        <w:spacing w:before="0" w:after="0"/>
        <w:ind w:left="707" w:hanging="283"/>
        <w:rPr/>
      </w:pPr>
      <w:r>
        <w:rPr/>
        <w:tab/>
        <w:t xml:space="preserve">dass V 55a Parenthese ist und V 55b nicht mehr, sondern dativus commodi zu 54b („Gott hat sich erbarmt - wie er ja auch schon unseren Vätern verheißen hat - zugunsten von Abraham und seinen Nachkommen.“) - dies ist heute die Mehrheitsmeinung, </w:t>
      </w:r>
    </w:p>
    <w:p>
      <w:pPr>
        <w:pStyle w:val="Textkrper"/>
        <w:numPr>
          <w:ilvl w:val="0"/>
          <w:numId w:val="4"/>
        </w:numPr>
        <w:tabs>
          <w:tab w:val="left" w:pos="0" w:leader="none"/>
        </w:tabs>
        <w:spacing w:before="0" w:after="0"/>
        <w:ind w:left="707" w:hanging="283"/>
        <w:rPr/>
      </w:pPr>
      <w:r>
        <w:rPr/>
        <w:tab/>
        <w:t xml:space="preserve">dass V 55a eine Art „Nachsatz“ ist, V 55b zu diesem Nachsatz gehört und „verheißen hat“ näher bestimmt („Gott hat sich erbarmt - wie er ja auch schon unseren Väter zugunsten von Abraham und seinen Nachfahren auf ewig verheißen hat“), oder </w:t>
      </w:r>
    </w:p>
    <w:p>
      <w:pPr>
        <w:pStyle w:val="Textkrper"/>
        <w:numPr>
          <w:ilvl w:val="0"/>
          <w:numId w:val="4"/>
        </w:numPr>
        <w:tabs>
          <w:tab w:val="left" w:pos="0" w:leader="none"/>
        </w:tabs>
        <w:ind w:left="707" w:hanging="283"/>
        <w:rPr/>
      </w:pPr>
      <w:r>
        <w:rPr/>
        <w:tab/>
        <w:t>dass V 55b inkongruente Apposition zu V 55a ist („Gott hat sich erbarmt - wie er unseren Vätern (d.h. Abraham und seinen Nachkommen auf ewig) verheißen hat“).</w:t>
      </w:r>
    </w:p>
    <w:p>
      <w:pPr>
        <w:pStyle w:val="Textkrper"/>
        <w:rPr/>
      </w:pPr>
      <w:r>
        <w:rPr/>
        <w:tab/>
        <w:t>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w:t>
      </w:r>
    </w:p>
    <w:p>
      <w:pPr>
        <w:pStyle w:val="Textkrper"/>
        <w:spacing w:before="0" w:after="283"/>
        <w:rPr/>
      </w:pPr>
      <w:r>
        <w:rPr/>
        <w:tab/>
        <w:t>Der Sinn ist dann, dass mit Mariens Empfängnis des Messias die Verheißung Gottes an Abraham in Erfüllung geht, dass er sich ihm und seinen Nachfahren gegenüber gemäß seiner Bundestreue verhalten würde.</w:t>
      </w:r>
    </w:p>
  </w:footnote>
  <w:footnote w:id="4867">
    <w:p>
      <w:pPr>
        <w:pStyle w:val="Funote"/>
        <w:rPr/>
      </w:pPr>
      <w:r>
        <w:rPr>
          <w:rStyle w:val="Funotenzeichen"/>
        </w:rPr>
        <w:footnoteRef/>
      </w:r>
      <w:r>
        <w:rPr/>
        <w:tab/>
        <w:t>wörtl.: „gesagt hat“. Semitismus; im Hebräischen steht auch für „verheißen“ das gewöhnliche „sagen“ (vgl. Grosvenor/Zerwick 1993, S. 174).</w:t>
      </w:r>
    </w:p>
  </w:footnote>
  <w:footnote w:id="4868">
    <w:p>
      <w:pPr>
        <w:pStyle w:val="Funote"/>
        <w:rPr/>
      </w:pPr>
      <w:r>
        <w:rPr>
          <w:rStyle w:val="Funotenzeichen"/>
        </w:rPr>
        <w:footnoteRef/>
      </w:r>
      <w:r>
        <w:rPr/>
        <w:tab/>
        <w:t>[Status: Ungeprüft]</w:t>
      </w:r>
    </w:p>
  </w:footnote>
  <w:footnote w:id="4869">
    <w:p>
      <w:pPr>
        <w:pStyle w:val="Funote"/>
        <w:rPr/>
      </w:pPr>
      <w:r>
        <w:rPr>
          <w:rStyle w:val="Funotenzeichen"/>
        </w:rPr>
        <w:footnoteRef/>
      </w:r>
      <w:r>
        <w:rPr/>
        <w:tab/>
        <w:t>Im Griechischen steht „Ökumene“, d.h. „die ganze belebte Welt“ oder „alle Bewohner des Römischen Reichs“.</w:t>
      </w:r>
    </w:p>
  </w:footnote>
  <w:footnote w:id="4870">
    <w:p>
      <w:pPr>
        <w:pStyle w:val="Funote"/>
        <w:rPr/>
      </w:pPr>
      <w:r>
        <w:rPr>
          <w:rStyle w:val="Funotenzeichen"/>
        </w:rPr>
        <w:footnoteRef/>
      </w:r>
      <w:r>
        <w:rPr/>
        <w:tab/>
        <w:t>Das Verb kann entweder medial oder passiv (so in der Klammer) übersetzt werden.</w:t>
      </w:r>
    </w:p>
  </w:footnote>
  <w:footnote w:id="4871">
    <w:p>
      <w:pPr>
        <w:pStyle w:val="Funote"/>
        <w:rPr/>
      </w:pPr>
      <w:r>
        <w:rPr>
          <w:rStyle w:val="Funotenzeichen"/>
        </w:rPr>
        <w:footnoteRef/>
      </w:r>
      <w:r>
        <w:rPr/>
        <w:tab/>
        <w:t>AcI mit „dass“ aufgelöst.</w:t>
      </w:r>
    </w:p>
  </w:footnote>
  <w:footnote w:id="4872">
    <w:p>
      <w:pPr>
        <w:pStyle w:val="Funote"/>
        <w:rPr/>
      </w:pPr>
      <w:r>
        <w:rPr>
          <w:rStyle w:val="Funotenzeichen"/>
        </w:rPr>
        <w:footnoteRef/>
      </w:r>
      <w:r>
        <w:rPr/>
        <w:tab/>
        <w:t xml:space="preserve">Dass die ersten drei Wörter im Vers nicht als „Dieser erste Zensus“ zu verstehen und die Einfügungen für ein korrektes Verständnis darum notwendig sind, vgl. </w:t>
      </w:r>
      <w:r>
        <w:fldChar w:fldCharType="begin"/>
      </w:r>
      <w:r>
        <w:rPr>
          <w:rStyle w:val="Internetverknpfung"/>
        </w:rPr>
        <w:instrText> HYPERLINK "http://bible.org/article/problem-luke-22-ithis-was-first-census-taken-when-quirinius-was-governor-syriai" \l "P17_3611"</w:instrText>
      </w:r>
      <w:r>
        <w:rPr>
          <w:rStyle w:val="Internetverknpfung"/>
        </w:rPr>
        <w:fldChar w:fldCharType="separate"/>
      </w:r>
      <w:r>
        <w:rPr>
          <w:rStyle w:val="Internetverknpfung"/>
        </w:rPr>
        <w:t>Wallace, The Problem of Luke 2:2</w:t>
      </w:r>
      <w:r>
        <w:rPr>
          <w:rStyle w:val="Internetverknpfung"/>
        </w:rPr>
        <w:fldChar w:fldCharType="end"/>
      </w:r>
      <w:r>
        <w:rPr/>
        <w:t>.</w:t>
      </w:r>
    </w:p>
  </w:footnote>
  <w:footnote w:id="4873">
    <w:p>
      <w:pPr>
        <w:pStyle w:val="Funote"/>
        <w:rPr/>
      </w:pPr>
      <w:r>
        <w:rPr>
          <w:rStyle w:val="Funotenzeichen"/>
        </w:rPr>
        <w:footnoteRef/>
      </w:r>
      <w:r>
        <w:rPr/>
        <w:tab/>
        <w:t>Gen. abs. Hier temporal aufgelöst.</w:t>
      </w:r>
    </w:p>
  </w:footnote>
  <w:footnote w:id="4874">
    <w:p>
      <w:pPr>
        <w:pStyle w:val="Funote"/>
        <w:rPr/>
      </w:pPr>
      <w:r>
        <w:rPr>
          <w:rStyle w:val="Funotenzeichen"/>
        </w:rPr>
        <w:footnoteRef/>
      </w:r>
      <w:r>
        <w:rPr/>
        <w:tab/>
        <w:t>Gr.: kausaler AcI. M.E. spricht nichts gegen eine gleichzeitige Übersetzung.</w:t>
      </w:r>
    </w:p>
  </w:footnote>
  <w:footnote w:id="4875">
    <w:p>
      <w:pPr>
        <w:pStyle w:val="Funote"/>
        <w:rPr/>
      </w:pPr>
      <w:r>
        <w:rPr>
          <w:rStyle w:val="Funotenzeichen"/>
        </w:rPr>
        <w:footnoteRef/>
      </w:r>
      <w:r>
        <w:rPr/>
        <w:tab/>
        <w:t>Kann auch parataktisch übersetzt werden: „die mit ihm verlobt war“ (Pt. pass. Pf.).</w:t>
      </w:r>
    </w:p>
  </w:footnote>
  <w:footnote w:id="4876">
    <w:p>
      <w:pPr>
        <w:pStyle w:val="Funote"/>
        <w:rPr/>
      </w:pPr>
      <w:r>
        <w:rPr>
          <w:rStyle w:val="Funotenzeichen"/>
        </w:rPr>
        <w:footnoteRef/>
      </w:r>
      <w:r>
        <w:rPr/>
        <w:tab/>
        <w:t>Quelle: NSS</w:t>
      </w:r>
    </w:p>
  </w:footnote>
  <w:footnote w:id="4877">
    <w:p>
      <w:pPr>
        <w:pStyle w:val="Funote"/>
        <w:rPr/>
      </w:pPr>
      <w:r>
        <w:rPr>
          <w:rStyle w:val="Funotenzeichen"/>
        </w:rPr>
        <w:footnoteRef/>
      </w:r>
      <w:r>
        <w:rPr/>
        <w:tab/>
        <w:t>Temp. aufgelöster AcI.</w:t>
      </w:r>
    </w:p>
  </w:footnote>
  <w:footnote w:id="4878">
    <w:p>
      <w:pPr>
        <w:pStyle w:val="Funote"/>
        <w:rPr/>
      </w:pPr>
      <w:r>
        <w:rPr>
          <w:rStyle w:val="Funotenzeichen"/>
        </w:rPr>
        <w:footnoteRef/>
      </w:r>
      <w:r>
        <w:rPr/>
        <w:tab/>
        <w:t>Gr.: AcI; fin. od. kons.</w:t>
      </w:r>
    </w:p>
  </w:footnote>
  <w:footnote w:id="4879">
    <w:p>
      <w:pPr>
        <w:pStyle w:val="Funote"/>
        <w:rPr/>
      </w:pPr>
      <w:r>
        <w:rPr>
          <w:rStyle w:val="Funotenzeichen"/>
        </w:rPr>
        <w:footnoteRef/>
      </w:r>
      <w:r>
        <w:rPr/>
        <w:tab/>
        <w:t>i.e. „kam die Zeit der Entbindung“</w:t>
      </w:r>
    </w:p>
  </w:footnote>
  <w:footnote w:id="4880">
    <w:p>
      <w:pPr>
        <w:pStyle w:val="Funote"/>
        <w:rPr/>
      </w:pPr>
      <w:r>
        <w:rPr>
          <w:rStyle w:val="Funotenzeichen"/>
        </w:rPr>
        <w:footnoteRef/>
      </w:r>
      <w:r>
        <w:rPr/>
        <w:tab/>
        <w:t>So B/A, NSS.</w:t>
      </w:r>
    </w:p>
  </w:footnote>
  <w:footnote w:id="4881">
    <w:p>
      <w:pPr>
        <w:pStyle w:val="Funote"/>
        <w:rPr/>
      </w:pPr>
      <w:r>
        <w:rPr>
          <w:rStyle w:val="Funotenzeichen"/>
        </w:rPr>
        <w:footnoteRef/>
      </w:r>
      <w:r>
        <w:rPr/>
        <w:tab/>
        <w:t>Die letzten beiden Verben sind aufgelöste Partizipien.</w:t>
      </w:r>
    </w:p>
  </w:footnote>
  <w:footnote w:id="4882">
    <w:p>
      <w:pPr>
        <w:pStyle w:val="Funote"/>
        <w:rPr/>
      </w:pPr>
      <w:r>
        <w:rPr>
          <w:rStyle w:val="Funotenzeichen"/>
        </w:rPr>
        <w:footnoteRef/>
      </w:r>
      <w:r>
        <w:rPr/>
        <w:tab/>
        <w:t>Dieses Verb steht im Urtext im Aorist Passiv. Der Passiv hat in diesem Fall allerdings keine Passiv-Bedeutung.</w:t>
      </w:r>
    </w:p>
  </w:footnote>
  <w:footnote w:id="4883">
    <w:p>
      <w:pPr>
        <w:pStyle w:val="Funote"/>
        <w:rPr/>
      </w:pPr>
      <w:r>
        <w:rPr>
          <w:rStyle w:val="Funotenzeichen"/>
        </w:rPr>
        <w:footnoteRef/>
      </w:r>
      <w:r>
        <w:rPr>
          <w:i/>
        </w:rPr>
        <w:tab/>
        <w:t>fürchteten große Furcht</w:t>
      </w:r>
      <w:r>
        <w:rPr/>
        <w:t xml:space="preserve"> ist eine aus dem Hebräischen entlehnte figura etymologica, ein Wortspiel mit Wörtern derselben Wurzel, das die Formulierung intensiviert. Deutsch am ehesten „und sie fürchteten sich sehr“</w:t>
      </w:r>
    </w:p>
  </w:footnote>
  <w:footnote w:id="4884">
    <w:p>
      <w:pPr>
        <w:pStyle w:val="Funote"/>
        <w:rPr/>
      </w:pPr>
      <w:r>
        <w:rPr>
          <w:rStyle w:val="Funotenzeichen"/>
        </w:rPr>
        <w:footnoteRef/>
      </w:r>
      <w:r>
        <w:rPr/>
        <w:tab/>
        <w:t>Wörtlich: eine gute Nachricht bringen. Diese Bedeutung ist allerdings in der dt. Übersetzung implizit.</w:t>
      </w:r>
    </w:p>
  </w:footnote>
  <w:footnote w:id="4885">
    <w:p>
      <w:pPr>
        <w:pStyle w:val="Funote"/>
        <w:rPr/>
      </w:pPr>
      <w:r>
        <w:rPr>
          <w:rStyle w:val="Funotenzeichen"/>
        </w:rPr>
        <w:footnoteRef/>
      </w:r>
      <w:r>
        <w:rPr/>
        <w:tab/>
        <w:t>Im Griechischen steht hier ein verallgemeinerndes Relativpronomen („jede, die“).</w:t>
      </w:r>
    </w:p>
  </w:footnote>
  <w:footnote w:id="4886">
    <w:p>
      <w:pPr>
        <w:pStyle w:val="Funote"/>
        <w:rPr/>
      </w:pPr>
      <w:r>
        <w:rPr>
          <w:rStyle w:val="Funotenzeichen"/>
        </w:rPr>
        <w:footnoteRef/>
      </w:r>
      <w:r>
        <w:rPr/>
        <w:tab/>
        <w:t>Lokalangabe zu „geboren“.</w:t>
      </w:r>
    </w:p>
  </w:footnote>
  <w:footnote w:id="4887">
    <w:p>
      <w:pPr>
        <w:pStyle w:val="Funote"/>
        <w:rPr/>
      </w:pPr>
      <w:r>
        <w:rPr>
          <w:rStyle w:val="Funotenzeichen"/>
        </w:rPr>
        <w:footnoteRef/>
      </w:r>
      <w:r>
        <w:rPr>
          <w:i/>
        </w:rPr>
        <w:tab/>
        <w:t>der ... gewickelt ist und ... liegt</w:t>
      </w:r>
      <w:r>
        <w:rPr/>
        <w:t xml:space="preserve"> Zwei attributive </w:t>
      </w:r>
      <w:hyperlink r:id="rId507">
        <w:r>
          <w:rPr>
            <w:rStyle w:val="Internetverknpfung"/>
          </w:rPr>
          <w:t>Partizipien</w:t>
        </w:r>
      </w:hyperlink>
      <w:r>
        <w:rPr/>
        <w:t xml:space="preserve">, hier als Relativsatz aufgelöst. </w:t>
      </w:r>
    </w:p>
  </w:footnote>
  <w:footnote w:id="4888">
    <w:p>
      <w:pPr>
        <w:pStyle w:val="Funote"/>
        <w:rPr/>
      </w:pPr>
      <w:r>
        <w:rPr>
          <w:rStyle w:val="Funotenzeichen"/>
        </w:rPr>
        <w:footnoteRef/>
      </w:r>
      <w:r>
        <w:rPr/>
        <w:tab/>
        <w:t xml:space="preserve">Beide lt. NSS für </w:t>
      </w:r>
      <w:r>
        <w:rPr>
          <w:lang w:val="el-GR"/>
        </w:rPr>
        <w:t>γίνομαι σύν τινι</w:t>
      </w:r>
      <w:r>
        <w:rPr/>
        <w:t>.</w:t>
      </w:r>
    </w:p>
  </w:footnote>
  <w:footnote w:id="4889">
    <w:p>
      <w:pPr>
        <w:pStyle w:val="Funote"/>
        <w:rPr/>
      </w:pPr>
      <w:r>
        <w:rPr>
          <w:rStyle w:val="Funotenzeichen"/>
        </w:rPr>
        <w:footnoteRef/>
      </w:r>
      <w:r>
        <w:rPr/>
        <w:tab/>
        <w:t>Gott steht im Dativ.</w:t>
      </w:r>
    </w:p>
  </w:footnote>
  <w:footnote w:id="4890">
    <w:p>
      <w:pPr>
        <w:pStyle w:val="Funote"/>
        <w:rPr/>
      </w:pPr>
      <w:r>
        <w:rPr>
          <w:rStyle w:val="Funotenzeichen"/>
        </w:rPr>
        <w:footnoteRef/>
      </w:r>
      <w:r>
        <w:rPr/>
        <w:tab/>
        <w:t>Wörtl.: „die geschehene Sache/Aussage“. Das verwendete Nomen bezeichnet hier den Redeinhalt der Vorhersage des Engels und lässt sich nicht direkt übersetzen. Das Ptz. Pf. wurde hier aufgelöst.</w:t>
      </w:r>
    </w:p>
  </w:footnote>
  <w:footnote w:id="4891">
    <w:p>
      <w:pPr>
        <w:pStyle w:val="Funote"/>
        <w:rPr/>
      </w:pPr>
      <w:r>
        <w:rPr>
          <w:rStyle w:val="Funotenzeichen"/>
        </w:rPr>
        <w:footnoteRef/>
      </w:r>
      <w:r>
        <w:rPr/>
        <w:tab/>
        <w:t xml:space="preserve">Als Relativsatz aufgelöstes, attributives </w:t>
      </w:r>
      <w:hyperlink r:id="rId508">
        <w:r>
          <w:rPr>
            <w:rStyle w:val="Internetverknpfung"/>
          </w:rPr>
          <w:t>Ptz</w:t>
        </w:r>
      </w:hyperlink>
      <w:r>
        <w:rPr/>
        <w:t>.</w:t>
      </w:r>
    </w:p>
  </w:footnote>
  <w:footnote w:id="4892">
    <w:p>
      <w:pPr>
        <w:pStyle w:val="Funote"/>
        <w:rPr/>
      </w:pPr>
      <w:r>
        <w:rPr>
          <w:rStyle w:val="Funotenzeichen"/>
        </w:rPr>
        <w:footnoteRef/>
      </w:r>
      <w:r>
        <w:rPr/>
        <w:tab/>
        <w:t>Temp. Auflösung des Ptz. Aor. Akt.</w:t>
      </w:r>
    </w:p>
  </w:footnote>
  <w:footnote w:id="4893">
    <w:p>
      <w:pPr>
        <w:pStyle w:val="Funote"/>
        <w:rPr/>
      </w:pPr>
      <w:r>
        <w:rPr>
          <w:rStyle w:val="Funotenzeichen"/>
        </w:rPr>
        <w:footnoteRef/>
      </w:r>
      <w:r>
        <w:rPr/>
        <w:tab/>
        <w:t>wörtlich: „über die Aussage/das Wort“</w:t>
      </w:r>
    </w:p>
  </w:footnote>
  <w:footnote w:id="4894">
    <w:p>
      <w:pPr>
        <w:pStyle w:val="Funote"/>
        <w:rPr/>
      </w:pPr>
      <w:r>
        <w:rPr>
          <w:rStyle w:val="Funotenzeichen"/>
        </w:rPr>
        <w:footnoteRef/>
      </w:r>
      <w:r>
        <w:rPr/>
        <w:tab/>
        <w:t>So B/A.</w:t>
      </w:r>
    </w:p>
  </w:footnote>
  <w:footnote w:id="4895">
    <w:p>
      <w:pPr>
        <w:pStyle w:val="Funote"/>
        <w:rPr/>
      </w:pPr>
      <w:r>
        <w:rPr>
          <w:rStyle w:val="Funotenzeichen"/>
        </w:rPr>
        <w:footnoteRef/>
      </w:r>
      <w:r>
        <w:rPr/>
        <w:tab/>
        <w:t>Auflösung des Ptz. Aor. Pass. Ntr.</w:t>
      </w:r>
    </w:p>
  </w:footnote>
  <w:footnote w:id="4896">
    <w:p>
      <w:pPr>
        <w:pStyle w:val="Funote"/>
        <w:rPr/>
      </w:pPr>
      <w:r>
        <w:rPr>
          <w:rStyle w:val="Funotenzeichen"/>
        </w:rPr>
        <w:footnoteRef/>
      </w:r>
      <w:r>
        <w:rPr/>
        <w:tab/>
        <w:t>Auflösung des Ptz. Aor. Pass. Gen. Pl. Ntr. Wörtl.: „die gesagten [Dinge]“ -&gt; „das Gesagte“</w:t>
      </w:r>
    </w:p>
  </w:footnote>
  <w:footnote w:id="4897">
    <w:p>
      <w:pPr>
        <w:pStyle w:val="Funote"/>
        <w:rPr/>
      </w:pPr>
      <w:r>
        <w:rPr>
          <w:rStyle w:val="Funotenzeichen"/>
        </w:rPr>
        <w:footnoteRef/>
      </w:r>
      <w:r>
        <w:rPr/>
        <w:tab/>
        <w:t>Aufgelöstes Ptz. Präs. Bedeutung nach B/A.</w:t>
      </w:r>
    </w:p>
  </w:footnote>
  <w:footnote w:id="4898">
    <w:p>
      <w:pPr>
        <w:pStyle w:val="Funote"/>
        <w:rPr/>
      </w:pPr>
      <w:r>
        <w:rPr>
          <w:rStyle w:val="Funotenzeichen"/>
        </w:rPr>
        <w:footnoteRef/>
      </w:r>
      <w:r>
        <w:rPr/>
        <w:tab/>
        <w:t>beide Verben temporal aufgelöste Ptz. Alternativ modal.</w:t>
      </w:r>
    </w:p>
  </w:footnote>
  <w:footnote w:id="4899">
    <w:p>
      <w:pPr>
        <w:pStyle w:val="Funote"/>
        <w:rPr/>
      </w:pPr>
      <w:r>
        <w:rPr>
          <w:rStyle w:val="Funotenzeichen"/>
        </w:rPr>
        <w:footnoteRef/>
      </w:r>
      <w:r>
        <w:rPr/>
        <w:tab/>
        <w:t>AcI, final aufgelöst.</w:t>
      </w:r>
    </w:p>
  </w:footnote>
  <w:footnote w:id="4900">
    <w:p>
      <w:pPr>
        <w:pStyle w:val="Funote"/>
        <w:rPr/>
      </w:pPr>
      <w:r>
        <w:rPr>
          <w:rStyle w:val="Funotenzeichen"/>
        </w:rPr>
        <w:footnoteRef/>
      </w:r>
      <w:r>
        <w:rPr/>
        <w:tab/>
        <w:t>Wörtl.: und</w:t>
      </w:r>
    </w:p>
  </w:footnote>
  <w:footnote w:id="4901">
    <w:p>
      <w:pPr>
        <w:pStyle w:val="Funote"/>
        <w:rPr/>
      </w:pPr>
      <w:r>
        <w:rPr>
          <w:rStyle w:val="Funotenzeichen"/>
        </w:rPr>
        <w:footnoteRef/>
      </w:r>
      <w:r>
        <w:rPr/>
        <w:tab/>
        <w:t>Wörtl.: genannt/gerufen</w:t>
      </w:r>
    </w:p>
  </w:footnote>
  <w:footnote w:id="4902">
    <w:p>
      <w:pPr>
        <w:pStyle w:val="Funote"/>
        <w:rPr/>
      </w:pPr>
      <w:r>
        <w:rPr>
          <w:rStyle w:val="Funotenzeichen"/>
        </w:rPr>
        <w:footnoteRef/>
      </w:r>
      <w:r>
        <w:rPr/>
        <w:tab/>
        <w:t>Aufgelöstes Ptz. Aor. Pass. Ntr.</w:t>
      </w:r>
    </w:p>
  </w:footnote>
  <w:footnote w:id="4903">
    <w:p>
      <w:pPr>
        <w:pStyle w:val="Funote"/>
        <w:rPr/>
      </w:pPr>
      <w:r>
        <w:rPr>
          <w:rStyle w:val="Funotenzeichen"/>
        </w:rPr>
        <w:footnoteRef/>
      </w:r>
      <w:r>
        <w:rPr/>
        <w:tab/>
        <w:t>oder: „ihre Tage der Reinigung“. „ihre“ steht im Gen. Pl., bezieht sich also auf mehrere Personen.</w:t>
      </w:r>
    </w:p>
  </w:footnote>
  <w:footnote w:id="4904">
    <w:p>
      <w:pPr>
        <w:pStyle w:val="Funote"/>
        <w:rPr/>
      </w:pPr>
      <w:r>
        <w:rPr>
          <w:rStyle w:val="Funotenzeichen"/>
        </w:rPr>
        <w:footnoteRef/>
      </w:r>
      <w:r>
        <w:rPr/>
        <w:tab/>
        <w:t>Lt. NSS hier womöglich ohne das Bedeutungselement „hinauf“. Der Begriff könnte sich auf eine übliche Wallfahrt beziehen.</w:t>
      </w:r>
    </w:p>
  </w:footnote>
  <w:footnote w:id="4905">
    <w:p>
      <w:pPr>
        <w:pStyle w:val="Funote"/>
        <w:rPr/>
      </w:pPr>
      <w:r>
        <w:rPr>
          <w:rStyle w:val="Funotenzeichen"/>
        </w:rPr>
        <w:footnoteRef/>
      </w:r>
      <w:r>
        <w:rPr/>
        <w:tab/>
        <w:t>wörtl.: darzustellen</w:t>
      </w:r>
    </w:p>
  </w:footnote>
  <w:footnote w:id="4906">
    <w:p>
      <w:pPr>
        <w:pStyle w:val="Funote"/>
        <w:rPr/>
      </w:pPr>
      <w:r>
        <w:rPr>
          <w:rStyle w:val="Funotenzeichen"/>
        </w:rPr>
        <w:footnoteRef/>
      </w:r>
      <w:r>
        <w:rPr/>
        <w:tab/>
        <w:t>AcI aufgelöst.</w:t>
      </w:r>
    </w:p>
  </w:footnote>
  <w:footnote w:id="4907">
    <w:p>
      <w:pPr>
        <w:pStyle w:val="Funote"/>
        <w:rPr/>
      </w:pPr>
      <w:r>
        <w:rPr>
          <w:rStyle w:val="Funotenzeichen"/>
        </w:rPr>
        <w:footnoteRef/>
      </w:r>
      <w:r>
        <w:rPr/>
        <w:tab/>
        <w:t>Wörtlich: „geschrieben ist“. Formel zur Einführung von Schriftzitaten (NSS).</w:t>
      </w:r>
    </w:p>
  </w:footnote>
  <w:footnote w:id="4908">
    <w:p>
      <w:pPr>
        <w:pStyle w:val="Funote"/>
        <w:rPr/>
      </w:pPr>
      <w:r>
        <w:rPr>
          <w:rStyle w:val="Funotenzeichen"/>
        </w:rPr>
        <w:footnoteRef/>
      </w:r>
      <w:r>
        <w:rPr/>
        <w:tab/>
        <w:t xml:space="preserve">Hier steht im Griechischen ein </w:t>
      </w:r>
      <w:hyperlink r:id="rId509">
        <w:r>
          <w:rPr>
            <w:rStyle w:val="Internetverknpfung"/>
          </w:rPr>
          <w:t>Ὅτι recitativum"&gt;</w:t>
        </w:r>
        <w:r>
          <w:rPr>
            <w:rStyle w:val="Internetverknpfung"/>
            <w:lang w:val="el-GR"/>
          </w:rPr>
          <w:t>Ὅτι</w:t>
        </w:r>
        <w:r>
          <w:rPr>
            <w:rStyle w:val="Internetverknpfung"/>
          </w:rPr>
          <w:t xml:space="preserve"> recitativum</w:t>
        </w:r>
      </w:hyperlink>
      <w:r>
        <w:rPr/>
        <w:t>, das man im Deutschen am einfachsten als Doppelpunkt wiedergibt.</w:t>
      </w:r>
    </w:p>
  </w:footnote>
  <w:footnote w:id="4909">
    <w:p>
      <w:pPr>
        <w:pStyle w:val="Funote"/>
        <w:rPr/>
      </w:pPr>
      <w:r>
        <w:rPr>
          <w:rStyle w:val="Funotenzeichen"/>
        </w:rPr>
        <w:footnoteRef/>
      </w:r>
      <w:r>
        <w:rPr/>
        <w:tab/>
        <w:t>Komplizierte Wendung. Die gewählte Übersetzung kommt dem Urtext am nächsten (s.a. NSS).</w:t>
      </w:r>
    </w:p>
  </w:footnote>
  <w:footnote w:id="4910">
    <w:p>
      <w:pPr>
        <w:pStyle w:val="Funote"/>
        <w:rPr/>
      </w:pPr>
      <w:r>
        <w:rPr>
          <w:rStyle w:val="Funotenzeichen"/>
        </w:rPr>
        <w:footnoteRef/>
      </w:r>
      <w:r>
        <w:rPr/>
        <w:tab/>
        <w:t xml:space="preserve">Futur als bindendes Gebot. </w:t>
      </w:r>
    </w:p>
  </w:footnote>
  <w:footnote w:id="4911">
    <w:p>
      <w:pPr>
        <w:pStyle w:val="Funote"/>
        <w:rPr/>
      </w:pPr>
      <w:r>
        <w:rPr>
          <w:rStyle w:val="Funotenzeichen"/>
        </w:rPr>
        <w:footnoteRef/>
      </w:r>
      <w:r>
        <w:rPr/>
        <w:tab/>
        <w:t xml:space="preserve">eigtl. Ptz. Perf. Pass. von </w:t>
      </w:r>
      <w:r>
        <w:rPr>
          <w:lang w:val="el-GR"/>
        </w:rPr>
        <w:t>λέγω</w:t>
      </w:r>
      <w:r>
        <w:rPr/>
        <w:t>. Dieser Vorschlag stammt von NSS.</w:t>
      </w:r>
    </w:p>
  </w:footnote>
  <w:footnote w:id="4912">
    <w:p>
      <w:pPr>
        <w:pStyle w:val="Funote"/>
        <w:rPr/>
      </w:pPr>
      <w:r>
        <w:rPr>
          <w:rStyle w:val="Funotenzeichen"/>
        </w:rPr>
        <w:footnoteRef/>
      </w:r>
      <w:r>
        <w:rPr/>
        <w:tab/>
        <w:t>wörtl. Joch. Anspielung auf die paarweise Anspannung von Tieren im Joch.</w:t>
      </w:r>
    </w:p>
  </w:footnote>
  <w:footnote w:id="4913">
    <w:p>
      <w:pPr>
        <w:pStyle w:val="Funote"/>
        <w:rPr/>
      </w:pPr>
      <w:r>
        <w:rPr>
          <w:rStyle w:val="Funotenzeichen"/>
        </w:rPr>
        <w:footnoteRef/>
      </w:r>
      <w:r>
        <w:rPr/>
        <w:tab/>
        <w:t>wörtl.: „(Tier-)Junge der Tauben“</w:t>
      </w:r>
    </w:p>
  </w:footnote>
  <w:footnote w:id="4914">
    <w:p>
      <w:pPr>
        <w:pStyle w:val="Funote"/>
        <w:rPr/>
      </w:pPr>
      <w:r>
        <w:rPr>
          <w:rStyle w:val="Funotenzeichen"/>
        </w:rPr>
        <w:footnoteRef/>
      </w:r>
      <w:r>
        <w:rPr/>
        <w:tab/>
        <w:t>[Status: Zuverlässig]</w:t>
      </w:r>
    </w:p>
  </w:footnote>
  <w:footnote w:id="4915">
    <w:p>
      <w:pPr>
        <w:pStyle w:val="Funote"/>
        <w:rPr/>
      </w:pPr>
      <w:r>
        <w:rPr>
          <w:rStyle w:val="Funotenzeichen"/>
        </w:rPr>
        <w:footnoteRef/>
      </w:r>
      <w:r>
        <w:rPr/>
        <w:tab/>
        <w:t>Partizip Präsens Aktiv zu Nebensatz aufgelöst</w:t>
      </w:r>
    </w:p>
  </w:footnote>
  <w:footnote w:id="4916">
    <w:p>
      <w:pPr>
        <w:pStyle w:val="Funote"/>
        <w:rPr/>
      </w:pPr>
      <w:r>
        <w:rPr>
          <w:rStyle w:val="Funotenzeichen"/>
        </w:rPr>
        <w:footnoteRef/>
      </w:r>
      <w:r>
        <w:rPr/>
        <w:tab/>
        <w:t>Nach dem Tod von Herodes dem Großen (4 v. Chr.) wurde sein Herrschaftgebiet in mehrere Fürstentümer aufgeteilt, deren Herrscher Tetrarchen (Vierfürsten) genannt wurden.</w:t>
      </w:r>
    </w:p>
  </w:footnote>
  <w:footnote w:id="4917">
    <w:p>
      <w:pPr>
        <w:pStyle w:val="Funote"/>
        <w:rPr/>
      </w:pPr>
      <w:r>
        <w:rPr>
          <w:rStyle w:val="Funotenzeichen"/>
        </w:rPr>
        <w:footnoteRef/>
      </w:r>
      <w:r>
        <w:rPr/>
        <w:tab/>
        <w:t>Partizip Präsens Aktiv gleichgeordnet aufgelöst</w:t>
      </w:r>
    </w:p>
  </w:footnote>
  <w:footnote w:id="4918">
    <w:p>
      <w:pPr>
        <w:pStyle w:val="Funote"/>
        <w:rPr/>
      </w:pPr>
      <w:r>
        <w:rPr>
          <w:rStyle w:val="Funotenzeichen"/>
        </w:rPr>
        <w:footnoteRef/>
      </w:r>
      <w:r>
        <w:rPr/>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919">
    <w:p>
      <w:pPr>
        <w:pStyle w:val="Funote"/>
        <w:rPr/>
      </w:pPr>
      <w:r>
        <w:rPr>
          <w:rStyle w:val="Funotenzeichen"/>
        </w:rPr>
        <w:footnoteRef/>
      </w:r>
      <w:r>
        <w:rPr/>
        <w:tab/>
        <w:t>Partizip Präsens Medium/Passiv zu einem Nebensatz aufgelöst</w:t>
      </w:r>
    </w:p>
  </w:footnote>
  <w:footnote w:id="4920">
    <w:p>
      <w:pPr>
        <w:pStyle w:val="Funote"/>
        <w:rPr/>
      </w:pPr>
      <w:r>
        <w:rPr>
          <w:rStyle w:val="Funotenzeichen"/>
        </w:rPr>
        <w:footnoteRef/>
      </w:r>
      <w:r>
        <w:rPr/>
        <w:tab/>
        <w:t>Oder: Wer hat euch angewiesen, vor dem kommenden Zorn die Flucht zu ergreifen?</w:t>
      </w:r>
    </w:p>
  </w:footnote>
  <w:footnote w:id="4921">
    <w:p>
      <w:pPr>
        <w:pStyle w:val="Funote"/>
        <w:rPr/>
      </w:pPr>
      <w:r>
        <w:rPr>
          <w:rStyle w:val="Funotenzeichen"/>
        </w:rPr>
        <w:footnoteRef/>
      </w:r>
      <w:r>
        <w:rPr/>
        <w:tab/>
        <w:t>Oder: Tut also Werke, die der Reue angemessen sind / Bringt also Früchte, wie es der Umkehr entspricht</w:t>
      </w:r>
    </w:p>
  </w:footnote>
  <w:footnote w:id="4922">
    <w:p>
      <w:pPr>
        <w:pStyle w:val="Funote"/>
        <w:rPr/>
      </w:pPr>
      <w:r>
        <w:rPr>
          <w:rStyle w:val="Funotenzeichen"/>
        </w:rPr>
        <w:footnoteRef/>
      </w:r>
      <w:r>
        <w:rPr/>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923">
    <w:p>
      <w:pPr>
        <w:pStyle w:val="Funote"/>
        <w:rPr/>
      </w:pPr>
      <w:r>
        <w:rPr>
          <w:rStyle w:val="Funotenzeichen"/>
        </w:rPr>
        <w:footnoteRef/>
      </w:r>
      <w:r>
        <w:rPr/>
        <w:tab/>
        <w:t>Substantiviertes Adjektiv als Satzsubjekt zu einem Nebensatz aufgelöst.</w:t>
      </w:r>
    </w:p>
  </w:footnote>
  <w:footnote w:id="4924">
    <w:p>
      <w:pPr>
        <w:pStyle w:val="Funote"/>
        <w:rPr/>
      </w:pPr>
      <w:r>
        <w:rPr>
          <w:rStyle w:val="Funotenzeichen"/>
        </w:rPr>
        <w:footnoteRef/>
      </w:r>
      <w:r>
        <w:rPr/>
        <w:tab/>
        <w:t>Relativischer Anschluss</w:t>
      </w:r>
    </w:p>
  </w:footnote>
  <w:footnote w:id="4925">
    <w:p>
      <w:pPr>
        <w:pStyle w:val="Funote"/>
        <w:rPr/>
      </w:pPr>
      <w:r>
        <w:rPr>
          <w:rStyle w:val="Funotenzeichen"/>
        </w:rPr>
        <w:footnoteRef/>
      </w:r>
      <w:r>
        <w:rPr/>
        <w:tab/>
        <w:t>Das Lösen von Schuhriemen galt als Sklavenarbeit</w:t>
      </w:r>
    </w:p>
  </w:footnote>
  <w:footnote w:id="4926">
    <w:p>
      <w:pPr>
        <w:pStyle w:val="Funote"/>
        <w:rPr/>
      </w:pPr>
      <w:r>
        <w:rPr>
          <w:rStyle w:val="Funotenzeichen"/>
        </w:rPr>
        <w:footnoteRef/>
      </w:r>
      <w:r>
        <w:rPr/>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927">
    <w:p>
      <w:pPr>
        <w:pStyle w:val="Funote"/>
        <w:rPr/>
      </w:pPr>
      <w:r>
        <w:rPr>
          <w:rStyle w:val="Funotenzeichen"/>
        </w:rPr>
        <w:footnoteRef/>
      </w:r>
      <w:r>
        <w:rPr/>
        <w:tab/>
        <w:t>Genitivus absolutus mit Partizip Aorist Passiv und Partizip Präsens Medium/Passiv zu einem gemeinsamen Nebensatz aufgelöst</w:t>
      </w:r>
    </w:p>
  </w:footnote>
  <w:footnote w:id="4928">
    <w:p>
      <w:pPr>
        <w:pStyle w:val="Funote"/>
        <w:rPr/>
      </w:pPr>
      <w:r>
        <w:rPr>
          <w:rStyle w:val="Funotenzeichen"/>
        </w:rPr>
        <w:footnoteRef/>
      </w:r>
      <w:r>
        <w:rPr/>
        <w:tab/>
        <w:t>Partizip Präsens gleichgeordnet aufgelöst</w:t>
      </w:r>
    </w:p>
  </w:footnote>
  <w:footnote w:id="4929">
    <w:p>
      <w:pPr>
        <w:pStyle w:val="Funote"/>
        <w:rPr/>
      </w:pPr>
      <w:r>
        <w:rPr>
          <w:rStyle w:val="Funotenzeichen"/>
        </w:rPr>
        <w:footnoteRef/>
      </w:r>
      <w:r>
        <w:rPr/>
        <w:tab/>
        <w:t>Wörtlich aus Dtn 8,3 in der Fassung der Septuaginta.</w:t>
      </w:r>
    </w:p>
  </w:footnote>
  <w:footnote w:id="4930">
    <w:p>
      <w:pPr>
        <w:pStyle w:val="Funote"/>
        <w:rPr/>
      </w:pPr>
      <w:r>
        <w:rPr>
          <w:rStyle w:val="Funotenzeichen"/>
        </w:rPr>
        <w:footnoteRef/>
      </w:r>
      <w:r>
        <w:rPr/>
        <w:tab/>
        <w:t>Bezieht sich auf die in Vers 5 erwähnten Reiche.</w:t>
      </w:r>
    </w:p>
  </w:footnote>
  <w:footnote w:id="4931">
    <w:p>
      <w:pPr>
        <w:pStyle w:val="Funote"/>
        <w:rPr/>
      </w:pPr>
      <w:r>
        <w:rPr>
          <w:rStyle w:val="Funotenzeichen"/>
        </w:rPr>
        <w:footnoteRef/>
      </w:r>
      <w:r>
        <w:rPr/>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932">
    <w:p>
      <w:pPr>
        <w:pStyle w:val="Funote"/>
        <w:rPr/>
      </w:pPr>
      <w:r>
        <w:rPr>
          <w:rStyle w:val="Funotenzeichen"/>
        </w:rPr>
        <w:footnoteRef/>
      </w:r>
      <w:r>
        <w:rPr/>
        <w:tab/>
        <w:t>Exakte Wiedergabe eines Teils von Septuagina Ps 90 (91), 11.</w:t>
      </w:r>
    </w:p>
  </w:footnote>
  <w:footnote w:id="4933">
    <w:p>
      <w:pPr>
        <w:pStyle w:val="Funote"/>
        <w:rPr/>
      </w:pPr>
      <w:r>
        <w:rPr>
          <w:rStyle w:val="Funotenzeichen"/>
        </w:rPr>
        <w:footnoteRef/>
      </w:r>
      <w:r>
        <w:rPr/>
        <w:tab/>
        <w:t>Exakte Wiedergabe Septuaginta Ps 90 (91),12.</w:t>
      </w:r>
    </w:p>
  </w:footnote>
  <w:footnote w:id="4934">
    <w:p>
      <w:pPr>
        <w:pStyle w:val="Funote"/>
        <w:rPr/>
      </w:pPr>
      <w:r>
        <w:rPr>
          <w:rStyle w:val="Funotenzeichen"/>
        </w:rPr>
        <w:footnoteRef/>
      </w:r>
      <w:r>
        <w:rPr/>
        <w:tab/>
        <w:t>Exakte Wiedergabe von Septuaginta Dtn 6,16a.</w:t>
      </w:r>
    </w:p>
  </w:footnote>
  <w:footnote w:id="4935">
    <w:p>
      <w:pPr>
        <w:pStyle w:val="Funote"/>
        <w:rPr/>
      </w:pPr>
      <w:r>
        <w:rPr>
          <w:rStyle w:val="Funotenzeichen"/>
        </w:rPr>
        <w:footnoteRef/>
      </w:r>
      <w:r>
        <w:rPr/>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936">
    <w:p>
      <w:pPr>
        <w:pStyle w:val="Funote"/>
        <w:rPr/>
      </w:pPr>
      <w:r>
        <w:rPr>
          <w:rStyle w:val="Funotenzeichen"/>
        </w:rPr>
        <w:footnoteRef/>
      </w:r>
      <w:r>
        <w:rPr/>
        <w:tab/>
        <w:t>Partizip Aorist, temporal aufgelöst</w:t>
      </w:r>
    </w:p>
  </w:footnote>
  <w:footnote w:id="4937">
    <w:p>
      <w:pPr>
        <w:pStyle w:val="Funote"/>
        <w:rPr/>
      </w:pPr>
      <w:r>
        <w:rPr>
          <w:rStyle w:val="Funotenzeichen"/>
        </w:rPr>
        <w:footnoteRef/>
      </w:r>
      <w:r>
        <w:rPr/>
        <w:tab/>
        <w:t>Luther übersetzt "Gnadenjahr"</w:t>
      </w:r>
    </w:p>
  </w:footnote>
  <w:footnote w:id="4938">
    <w:p>
      <w:pPr>
        <w:pStyle w:val="Funote"/>
        <w:rPr/>
      </w:pPr>
      <w:r>
        <w:rPr>
          <w:rStyle w:val="Funotenzeichen"/>
        </w:rPr>
        <w:footnoteRef/>
      </w:r>
      <w:r>
        <w:rPr/>
        <w:tab/>
        <w:t>Partizip Aorist, temporal übersetzt</w:t>
      </w:r>
    </w:p>
  </w:footnote>
  <w:footnote w:id="4939">
    <w:p>
      <w:pPr>
        <w:pStyle w:val="Funote"/>
        <w:rPr/>
      </w:pPr>
      <w:r>
        <w:rPr>
          <w:rStyle w:val="Funotenzeichen"/>
        </w:rPr>
        <w:footnoteRef/>
      </w:r>
      <w:r>
        <w:rPr/>
        <w:tab/>
        <w:t>Partizip Präsens, beiordnend übersetzt</w:t>
      </w:r>
    </w:p>
  </w:footnote>
  <w:footnote w:id="4940">
    <w:p>
      <w:pPr>
        <w:pStyle w:val="Funote"/>
        <w:rPr/>
      </w:pPr>
      <w:r>
        <w:rPr>
          <w:rStyle w:val="Funotenzeichen"/>
        </w:rPr>
        <w:footnoteRef/>
      </w:r>
      <w:r>
        <w:rPr>
          <w:lang w:val="el-GR"/>
        </w:rPr>
        <w:tab/>
        <w:t>ὅτι</w:t>
      </w:r>
      <w:r>
        <w:rPr/>
        <w:t xml:space="preserve"> zitativum entfällt, im Dt. durch den Doppelpunkt wiedergegeben</w:t>
      </w:r>
    </w:p>
  </w:footnote>
  <w:footnote w:id="4941">
    <w:p>
      <w:pPr>
        <w:pStyle w:val="Funote"/>
        <w:rPr/>
      </w:pPr>
      <w:r>
        <w:rPr>
          <w:rStyle w:val="Funotenzeichen"/>
        </w:rPr>
        <w:footnoteRef/>
      </w:r>
      <w:r>
        <w:rPr>
          <w:lang w:val="el-GR"/>
        </w:rPr>
        <w:tab/>
        <w:t>γραφἠ</w:t>
      </w:r>
      <w:r>
        <w:rPr/>
        <w:t xml:space="preserve"> bezeichnet nicht nur die Bibel als (Heilige) Schrift, sondern auch die einzelne Schriftstelle (Periskope), s. Bauer WB s.v.</w:t>
      </w:r>
    </w:p>
  </w:footnote>
  <w:footnote w:id="4942">
    <w:p>
      <w:pPr>
        <w:pStyle w:val="Funote"/>
        <w:rPr/>
      </w:pPr>
      <w:r>
        <w:rPr>
          <w:rStyle w:val="Funotenzeichen"/>
        </w:rPr>
        <w:footnoteRef/>
      </w:r>
      <w:r>
        <w:rPr>
          <w:lang w:val="el-GR"/>
        </w:rPr>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943">
    <w:p>
      <w:pPr>
        <w:pStyle w:val="Funote"/>
        <w:rPr/>
      </w:pPr>
      <w:r>
        <w:rPr>
          <w:rStyle w:val="Funotenzeichen"/>
        </w:rPr>
        <w:footnoteRef/>
      </w:r>
      <w:r>
        <w:rPr/>
        <w:tab/>
        <w:t>w. ein Mann, ein Sünder (Pleonasmus)</w:t>
      </w:r>
    </w:p>
  </w:footnote>
  <w:footnote w:id="4944">
    <w:p>
      <w:pPr>
        <w:pStyle w:val="Funote"/>
        <w:rPr/>
      </w:pPr>
      <w:r>
        <w:rPr>
          <w:rStyle w:val="Funotenzeichen"/>
        </w:rPr>
        <w:footnoteRef/>
      </w:r>
      <w:r>
        <w:rPr/>
        <w:tab/>
        <w:t>w. wegen dem Fang der Fische, die sie gemeinsam gefangen haben</w:t>
      </w:r>
    </w:p>
  </w:footnote>
  <w:footnote w:id="4945">
    <w:p>
      <w:pPr>
        <w:pStyle w:val="Funote"/>
        <w:rPr/>
      </w:pPr>
      <w:r>
        <w:rPr>
          <w:rStyle w:val="Funotenzeichen"/>
        </w:rPr>
        <w:footnoteRef/>
      </w:r>
      <w:r>
        <w:rPr/>
        <w:tab/>
        <w:t xml:space="preserve">Einige bedeutende Handschriften lassen das </w:t>
      </w:r>
      <w:r>
        <w:rPr>
          <w:lang w:val="el-GR"/>
        </w:rPr>
        <w:t>καί</w:t>
      </w:r>
      <w:r>
        <w:rPr/>
        <w:t xml:space="preserve"> hier aus</w:t>
      </w:r>
    </w:p>
  </w:footnote>
  <w:footnote w:id="4946">
    <w:p>
      <w:pPr>
        <w:pStyle w:val="Funote"/>
        <w:rPr/>
      </w:pPr>
      <w:r>
        <w:rPr>
          <w:rStyle w:val="Funotenzeichen"/>
        </w:rPr>
        <w:footnoteRef/>
      </w:r>
      <w:r>
        <w:rPr>
          <w:lang w:val="el-GR"/>
        </w:rPr>
        <w:tab/>
        <w:t>οὐ μή</w:t>
      </w:r>
      <w:r>
        <w:rPr/>
        <w:t xml:space="preserve"> + Konj. Aor. (so hier, oder Ind. Fut.) ist die Form der verneinenden Aussage über Zukünftiges, BDR § 365</w:t>
      </w:r>
    </w:p>
  </w:footnote>
  <w:footnote w:id="4947">
    <w:p>
      <w:pPr>
        <w:pStyle w:val="Funote"/>
        <w:rPr/>
      </w:pPr>
      <w:r>
        <w:rPr>
          <w:rStyle w:val="Funotenzeichen"/>
        </w:rPr>
        <w:footnoteRef/>
      </w:r>
      <w:r>
        <w:rPr/>
        <w:tab/>
        <w:t>Ptz. pass.: wenn er ganz vollendet ist</w:t>
      </w:r>
    </w:p>
  </w:footnote>
  <w:footnote w:id="4948">
    <w:p>
      <w:pPr>
        <w:pStyle w:val="Funote"/>
        <w:rPr/>
      </w:pPr>
      <w:r>
        <w:rPr>
          <w:rStyle w:val="Funotenzeichen"/>
        </w:rPr>
        <w:footnoteRef/>
      </w:r>
      <w:hyperlink r:id="rId510">
        <w:r>
          <w:rPr>
            <w:rStyle w:val="Internetverknpfung"/>
          </w:rPr>
          <w:tab/>
          <w:t>Ptz. coni.</w:t>
        </w:r>
      </w:hyperlink>
      <w:r>
        <w:rPr/>
        <w:t>, konzessiv übersetzt</w:t>
      </w:r>
    </w:p>
  </w:footnote>
  <w:footnote w:id="4949">
    <w:p>
      <w:pPr>
        <w:pStyle w:val="Funote"/>
        <w:rPr/>
      </w:pPr>
      <w:r>
        <w:rPr>
          <w:rStyle w:val="Funotenzeichen"/>
        </w:rPr>
        <w:footnoteRef/>
      </w:r>
      <w:r>
        <w:rPr/>
        <w:tab/>
        <w:t>iterativer Aspekt vom Ipf. - vgl. V. 45</w:t>
      </w:r>
    </w:p>
  </w:footnote>
  <w:footnote w:id="4950">
    <w:p>
      <w:pPr>
        <w:pStyle w:val="Funote"/>
        <w:rPr/>
      </w:pPr>
      <w:r>
        <w:rPr>
          <w:rStyle w:val="Funotenzeichen"/>
        </w:rPr>
        <w:footnoteRef/>
      </w:r>
      <w:r>
        <w:rPr/>
        <w:tab/>
        <w:t>D.h. Moses und Elias.</w:t>
      </w:r>
    </w:p>
  </w:footnote>
  <w:footnote w:id="4951">
    <w:p>
      <w:pPr>
        <w:pStyle w:val="Funote"/>
        <w:rPr/>
      </w:pPr>
      <w:r>
        <w:rPr>
          <w:rStyle w:val="Funotenzeichen"/>
        </w:rPr>
        <w:footnoteRef/>
      </w:r>
      <w:hyperlink r:id="rId511">
        <w:r>
          <w:rPr>
            <w:rStyle w:val="Internetverknpfung"/>
          </w:rPr>
          <w:tab/>
          <w:t>Ptz. coni.</w:t>
        </w:r>
      </w:hyperlink>
      <w:r>
        <w:rPr/>
        <w:t>, beiordnend aufgelöst</w:t>
      </w:r>
    </w:p>
  </w:footnote>
  <w:footnote w:id="4952">
    <w:p>
      <w:pPr>
        <w:pStyle w:val="Funote"/>
        <w:rPr/>
      </w:pPr>
      <w:r>
        <w:rPr>
          <w:rStyle w:val="Funotenzeichen"/>
        </w:rPr>
        <w:footnoteRef/>
      </w:r>
      <w:r>
        <w:rPr/>
        <w:tab/>
        <w:t>Eine große Zahl von Handschriften hat das "zwei" hier nicht; die Bezeugung des Zahlwortes durch zwei Papyri und den Codex Vatikanus legt aber nahe, darin die ursprüngliche Lesart zu sehen.</w:t>
      </w:r>
    </w:p>
  </w:footnote>
  <w:footnote w:id="4953">
    <w:p>
      <w:pPr>
        <w:pStyle w:val="Funote"/>
        <w:rPr/>
      </w:pPr>
      <w:r>
        <w:rPr>
          <w:rStyle w:val="Funotenzeichen"/>
        </w:rPr>
        <w:footnoteRef/>
      </w:r>
      <w:r>
        <w:rPr/>
        <w:tab/>
        <w:t>Damit gemeint sind selbständige Zwischenwesen und Geister, die nach dem Volksglauben der Zeit Jesu in den Menschen eingehen und Krankheiten besonders des Seelenlebens verursachen. Vgl. BW z.St.</w:t>
      </w:r>
    </w:p>
  </w:footnote>
  <w:footnote w:id="4954">
    <w:p>
      <w:pPr>
        <w:pStyle w:val="Funote"/>
        <w:rPr/>
      </w:pPr>
      <w:r>
        <w:rPr>
          <w:rStyle w:val="Funotenzeichen"/>
        </w:rPr>
        <w:footnoteRef/>
      </w:r>
      <w:r>
        <w:rPr/>
        <w:tab/>
        <w:t>Das Verb steht im Griech. im Sg., weil das Nomen ein Neutr. Pl. ist.</w:t>
      </w:r>
    </w:p>
  </w:footnote>
  <w:footnote w:id="4955">
    <w:p>
      <w:pPr>
        <w:pStyle w:val="Funote"/>
        <w:rPr/>
      </w:pPr>
      <w:r>
        <w:rPr>
          <w:rStyle w:val="Funotenzeichen"/>
        </w:rPr>
        <w:footnoteRef/>
      </w:r>
      <w:r>
        <w:rPr/>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956">
    <w:p>
      <w:pPr>
        <w:pStyle w:val="Funote"/>
        <w:rPr/>
      </w:pPr>
      <w:r>
        <w:rPr>
          <w:rStyle w:val="Funotenzeichen"/>
        </w:rPr>
        <w:footnoteRef/>
      </w:r>
      <w:r>
        <w:rPr/>
        <w:tab/>
        <w:t>Hier als Bild höchster Schnelligkeit, vgl. BW z.St.</w:t>
      </w:r>
    </w:p>
  </w:footnote>
  <w:footnote w:id="4957">
    <w:p>
      <w:pPr>
        <w:pStyle w:val="Funote"/>
        <w:rPr/>
      </w:pPr>
      <w:r>
        <w:rPr>
          <w:rStyle w:val="Funotenzeichen"/>
        </w:rPr>
        <w:footnoteRef/>
      </w:r>
      <w:r>
        <w:rPr/>
        <w:tab/>
        <w:t>Hier: Plural = der Sitz Gottes, im Ggs. zu Vers 18; dort Singular = der eigentliche Himmel.</w:t>
      </w:r>
    </w:p>
  </w:footnote>
  <w:footnote w:id="4958">
    <w:p>
      <w:pPr>
        <w:pStyle w:val="Funote"/>
        <w:rPr/>
      </w:pPr>
      <w:r>
        <w:rPr>
          <w:rStyle w:val="Funotenzeichen"/>
        </w:rPr>
        <w:footnoteRef/>
      </w:r>
      <w:r>
        <w:rPr/>
        <w:tab/>
        <w:t>Einige Übersetzungen von Wortkombinationen entnommen aus Bauer/Aland: V.29: Sp.397 V. 30: Sp.1309; Sp. 613; Sp. 253 V. 31: Sp.150 V. 34: Sp. 833 V. 35: Sp. 245; Sp. 573 V. 37: Sp. 1367.</w:t>
      </w:r>
    </w:p>
  </w:footnote>
  <w:footnote w:id="4959">
    <w:p>
      <w:pPr>
        <w:pStyle w:val="Funote"/>
        <w:rPr/>
      </w:pPr>
      <w:r>
        <w:rPr>
          <w:rStyle w:val="Funotenzeichen"/>
        </w:rPr>
        <w:footnoteRef/>
      </w:r>
      <w:r>
        <w:rPr/>
        <w:tab/>
        <w:t>vl. einen Geist, und dieser war taubstumm</w:t>
      </w:r>
    </w:p>
  </w:footnote>
  <w:footnote w:id="4960">
    <w:p>
      <w:pPr>
        <w:pStyle w:val="Funote"/>
        <w:rPr/>
      </w:pPr>
      <w:r>
        <w:rPr>
          <w:rStyle w:val="Funotenzeichen"/>
        </w:rPr>
        <w:footnoteRef/>
      </w:r>
      <w:r>
        <w:rPr/>
        <w:tab/>
        <w:t>wörtl. Söhne</w:t>
      </w:r>
    </w:p>
  </w:footnote>
  <w:footnote w:id="4961">
    <w:p>
      <w:pPr>
        <w:pStyle w:val="Funote"/>
        <w:rPr/>
      </w:pPr>
      <w:r>
        <w:rPr>
          <w:rStyle w:val="Funotenzeichen"/>
        </w:rPr>
        <w:footnoteRef/>
      </w:r>
      <w:r>
        <w:rPr/>
        <w:tab/>
        <w:t>im Griech. Plural</w:t>
      </w:r>
    </w:p>
  </w:footnote>
  <w:footnote w:id="4962">
    <w:p>
      <w:pPr>
        <w:pStyle w:val="Funote"/>
        <w:rPr/>
      </w:pPr>
      <w:r>
        <w:rPr>
          <w:rStyle w:val="Funotenzeichen"/>
        </w:rPr>
        <w:footnoteRef/>
      </w:r>
      <w:r>
        <w:rPr/>
        <w:tab/>
        <w:t xml:space="preserve">Partizip Perfekt passiv. Wer sich bereit macht für eine Wanderung, bindet sein Gewand mit einem Gürtel hoch. Vgl. </w:t>
      </w:r>
      <w:hyperlink r:id="rId512">
        <w:r>
          <w:rPr>
            <w:rStyle w:val="Internetverknpfung"/>
          </w:rPr>
          <w:t>Exodus 12,11</w:t>
        </w:r>
      </w:hyperlink>
    </w:p>
  </w:footnote>
  <w:footnote w:id="4963">
    <w:p>
      <w:pPr>
        <w:pStyle w:val="Funote"/>
        <w:rPr/>
      </w:pPr>
      <w:r>
        <w:rPr>
          <w:rStyle w:val="Funotenzeichen"/>
        </w:rPr>
        <w:footnoteRef/>
      </w:r>
      <w:r>
        <w:rPr/>
        <w:tab/>
        <w:t>Partizip Perfekt passiv</w:t>
      </w:r>
    </w:p>
  </w:footnote>
  <w:footnote w:id="4964">
    <w:p>
      <w:pPr>
        <w:pStyle w:val="Funote"/>
        <w:rPr/>
      </w:pPr>
      <w:r>
        <w:rPr>
          <w:rStyle w:val="Funotenzeichen"/>
        </w:rPr>
        <w:footnoteRef/>
      </w:r>
      <w:r>
        <w:rPr>
          <w:i/>
        </w:rPr>
        <w:tab/>
        <w:t>wie</w:t>
      </w:r>
      <w:r>
        <w:rPr/>
        <w:t>: w. "Gleicht ..." – Hier wird deutlich, dass Jesus ein Gleichnis erzählt.</w:t>
      </w:r>
    </w:p>
  </w:footnote>
  <w:footnote w:id="4965">
    <w:p>
      <w:pPr>
        <w:pStyle w:val="Funote"/>
        <w:rPr/>
      </w:pPr>
      <w:r>
        <w:rPr>
          <w:rStyle w:val="Funotenzeichen"/>
        </w:rPr>
        <w:footnoteRef/>
      </w:r>
      <w:r>
        <w:rPr/>
        <w:tab/>
        <w:t>Gen. abs., konditional übersetzt</w:t>
      </w:r>
    </w:p>
  </w:footnote>
  <w:footnote w:id="4966">
    <w:p>
      <w:pPr>
        <w:pStyle w:val="Funote"/>
        <w:rPr/>
      </w:pPr>
      <w:r>
        <w:rPr>
          <w:rStyle w:val="Funotenzeichen"/>
        </w:rPr>
        <w:footnoteRef/>
      </w:r>
      <w:r>
        <w:rPr/>
        <w:tab/>
        <w:t>Partizip Präs. – durativ, es ist also ein Zustand</w:t>
      </w:r>
    </w:p>
  </w:footnote>
  <w:footnote w:id="4967">
    <w:p>
      <w:pPr>
        <w:pStyle w:val="Funote"/>
        <w:rPr/>
      </w:pPr>
      <w:r>
        <w:rPr>
          <w:rStyle w:val="Funotenzeichen"/>
        </w:rPr>
        <w:footnoteRef/>
      </w:r>
      <w:r>
        <w:rPr/>
        <w:tab/>
        <w:t>wörtl. Futur: finden wird</w:t>
      </w:r>
    </w:p>
  </w:footnote>
  <w:footnote w:id="4968">
    <w:p>
      <w:pPr>
        <w:pStyle w:val="Funote"/>
        <w:rPr/>
      </w:pPr>
      <w:r>
        <w:rPr>
          <w:rStyle w:val="Funotenzeichen"/>
        </w:rPr>
        <w:footnoteRef/>
      </w:r>
      <w:r>
        <w:rPr/>
        <w:tab/>
        <w:t>Partizip Aorist (Ereignis), konditional aufgelöst</w:t>
      </w:r>
    </w:p>
  </w:footnote>
  <w:footnote w:id="4969">
    <w:p>
      <w:pPr>
        <w:pStyle w:val="Funote"/>
        <w:rPr/>
      </w:pPr>
      <w:r>
        <w:rPr>
          <w:rStyle w:val="Funotenzeichen"/>
        </w:rPr>
        <w:footnoteRef/>
      </w:r>
      <w:r>
        <w:rPr>
          <w:i/>
        </w:rPr>
        <w:tab/>
        <w:t>Amen</w:t>
      </w:r>
      <w:r>
        <w:rPr/>
        <w:t>: ...</w:t>
      </w:r>
    </w:p>
  </w:footnote>
  <w:footnote w:id="4970">
    <w:p>
      <w:pPr>
        <w:pStyle w:val="Funote"/>
        <w:rPr/>
      </w:pPr>
      <w:r>
        <w:rPr>
          <w:rStyle w:val="Funotenzeichen"/>
        </w:rPr>
        <w:footnoteRef/>
      </w:r>
      <w:r>
        <w:rPr>
          <w:lang w:val="el-GR"/>
        </w:rPr>
        <w:tab/>
        <w:t>ὃτι</w:t>
      </w:r>
      <w:r>
        <w:rPr/>
        <w:t xml:space="preserve"> citativum</w:t>
      </w:r>
    </w:p>
  </w:footnote>
  <w:footnote w:id="4971">
    <w:p>
      <w:pPr>
        <w:pStyle w:val="Funote"/>
        <w:rPr/>
      </w:pPr>
      <w:r>
        <w:rPr>
          <w:rStyle w:val="Funotenzeichen"/>
        </w:rPr>
        <w:footnoteRef/>
      </w:r>
      <w:r>
        <w:rPr>
          <w:i/>
        </w:rPr>
        <w:tab/>
        <w:t>umgürten</w:t>
      </w:r>
      <w:r>
        <w:rPr/>
        <w:t xml:space="preserve">: Also, sich bereit machen zur Arbeit. Vgl. </w:t>
      </w:r>
      <w:hyperlink w:anchor="s35">
        <w:r>
          <w:rPr>
            <w:rStyle w:val="Internetverknpfung"/>
          </w:rPr>
          <w:t>V. 35</w:t>
        </w:r>
      </w:hyperlink>
    </w:p>
  </w:footnote>
  <w:footnote w:id="4972">
    <w:p>
      <w:pPr>
        <w:pStyle w:val="Funote"/>
        <w:rPr/>
      </w:pPr>
      <w:r>
        <w:rPr>
          <w:rStyle w:val="Funotenzeichen"/>
        </w:rPr>
        <w:footnoteRef/>
      </w:r>
      <w:r>
        <w:rPr/>
        <w:tab/>
        <w:t>Lesefassung: zu Tisch setzen lassen? sie zum Tisch führen?</w:t>
      </w:r>
    </w:p>
  </w:footnote>
  <w:footnote w:id="4973">
    <w:p>
      <w:pPr>
        <w:pStyle w:val="Funote"/>
        <w:rPr/>
      </w:pPr>
      <w:r>
        <w:rPr>
          <w:rStyle w:val="Funotenzeichen"/>
        </w:rPr>
        <w:footnoteRef/>
      </w:r>
      <w:r>
        <w:rPr/>
        <w:tab/>
        <w:t>3 Verben, die sehr ausführlich beschreiben, dass der Herr die Sklaven zum Essen einlädt.</w:t>
      </w:r>
    </w:p>
  </w:footnote>
  <w:footnote w:id="4974">
    <w:p>
      <w:pPr>
        <w:pStyle w:val="Funote"/>
        <w:rPr/>
      </w:pPr>
      <w:r>
        <w:rPr>
          <w:rStyle w:val="Funotenzeichen"/>
        </w:rPr>
        <w:footnoteRef/>
      </w:r>
      <w:r>
        <w:rPr/>
        <w:tab/>
        <w:t>Futuralis</w:t>
      </w:r>
    </w:p>
  </w:footnote>
  <w:footnote w:id="4975">
    <w:p>
      <w:pPr>
        <w:pStyle w:val="Funote"/>
        <w:rPr/>
      </w:pPr>
      <w:r>
        <w:rPr>
          <w:rStyle w:val="Funotenzeichen"/>
        </w:rPr>
        <w:footnoteRef/>
      </w:r>
      <w:r>
        <w:rPr/>
        <w:tab/>
        <w:t xml:space="preserve">wörtl.: und, aber </w:t>
      </w:r>
      <w:r>
        <w:rPr>
          <w:lang w:val="el-GR"/>
        </w:rPr>
        <w:t>κάι - κάι</w:t>
      </w:r>
      <w:r>
        <w:rPr/>
        <w:t xml:space="preserve"> = entweder - oder</w:t>
      </w:r>
    </w:p>
  </w:footnote>
  <w:footnote w:id="4976">
    <w:p>
      <w:pPr>
        <w:pStyle w:val="Funote"/>
        <w:rPr/>
      </w:pPr>
      <w:r>
        <w:rPr>
          <w:rStyle w:val="Funotenzeichen"/>
        </w:rPr>
        <w:footnoteRef/>
      </w:r>
      <w:r>
        <w:rPr/>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977">
    <w:p>
      <w:pPr>
        <w:pStyle w:val="Funote"/>
        <w:rPr/>
      </w:pPr>
      <w:r>
        <w:rPr>
          <w:rStyle w:val="Funotenzeichen"/>
        </w:rPr>
        <w:footnoteRef/>
      </w:r>
      <w:r>
        <w:rPr/>
        <w:tab/>
        <w:t>nämlich: wachend</w:t>
      </w:r>
    </w:p>
  </w:footnote>
  <w:footnote w:id="4978">
    <w:p>
      <w:pPr>
        <w:pStyle w:val="Funote"/>
        <w:rPr/>
      </w:pPr>
      <w:r>
        <w:rPr>
          <w:rStyle w:val="Funotenzeichen"/>
        </w:rPr>
        <w:footnoteRef/>
      </w:r>
      <w:r>
        <w:rPr>
          <w:lang w:val="el-GR"/>
        </w:rPr>
        <w:tab/>
        <w:t>ὃτι</w:t>
      </w:r>
      <w:r>
        <w:rPr/>
        <w:t xml:space="preserve"> citativum</w:t>
      </w:r>
    </w:p>
  </w:footnote>
  <w:footnote w:id="4979">
    <w:p>
      <w:pPr>
        <w:pStyle w:val="Funote"/>
        <w:rPr/>
      </w:pPr>
      <w:r>
        <w:rPr>
          <w:rStyle w:val="Funotenzeichen"/>
        </w:rPr>
        <w:footnoteRef/>
      </w:r>
      <w:r>
        <w:rPr/>
        <w:tab/>
        <w:t>Irrealis der Vergangenheit</w:t>
      </w:r>
    </w:p>
  </w:footnote>
  <w:footnote w:id="4980">
    <w:p>
      <w:pPr>
        <w:pStyle w:val="Funote"/>
        <w:rPr/>
      </w:pPr>
      <w:r>
        <w:rPr>
          <w:rStyle w:val="Funotenzeichen"/>
        </w:rPr>
        <w:footnoteRef/>
      </w:r>
      <w:r>
        <w:rPr/>
        <w:tab/>
        <w:t>wörtl.: Infintiv - einzubrechen</w:t>
      </w:r>
    </w:p>
  </w:footnote>
  <w:footnote w:id="4981">
    <w:p>
      <w:pPr>
        <w:pStyle w:val="Funote"/>
        <w:rPr/>
      </w:pPr>
      <w:r>
        <w:rPr>
          <w:rStyle w:val="Funotenzeichen"/>
        </w:rPr>
        <w:footnoteRef/>
      </w:r>
      <w:r>
        <w:rPr/>
        <w:tab/>
        <w:t>wörtl.: nicht zugelassen, aber die Negation und das zu negierende Verb verschmelzen zu einem Begriff, BDR § 423, Anm. 2</w:t>
      </w:r>
    </w:p>
  </w:footnote>
  <w:footnote w:id="4982">
    <w:p>
      <w:pPr>
        <w:pStyle w:val="Funote"/>
        <w:rPr/>
      </w:pPr>
      <w:r>
        <w:rPr>
          <w:rStyle w:val="Funotenzeichen"/>
        </w:rPr>
        <w:footnoteRef/>
      </w:r>
      <w:r>
        <w:rPr/>
        <w:tab/>
        <w:t>wörtl.: werdet</w:t>
      </w:r>
    </w:p>
  </w:footnote>
  <w:footnote w:id="4983">
    <w:p>
      <w:pPr>
        <w:pStyle w:val="Funote"/>
        <w:rPr/>
      </w:pPr>
      <w:r>
        <w:rPr>
          <w:rStyle w:val="Funotenzeichen"/>
        </w:rPr>
        <w:footnoteRef/>
      </w:r>
      <w:r>
        <w:rPr/>
        <w:tab/>
        <w:t>Partizip Präs.</w:t>
      </w:r>
    </w:p>
  </w:footnote>
  <w:footnote w:id="4984">
    <w:p>
      <w:pPr>
        <w:pStyle w:val="Funote"/>
        <w:rPr/>
      </w:pPr>
      <w:r>
        <w:rPr>
          <w:rStyle w:val="Funotenzeichen"/>
        </w:rPr>
        <w:footnoteRef/>
      </w:r>
      <w:r>
        <w:rPr>
          <w:lang w:val="el-GR"/>
        </w:rPr>
        <w:tab/>
        <w:t>δοκέω</w:t>
      </w:r>
      <w:r>
        <w:rPr/>
        <w:t>, meinen, glauben, hier elliptisch verwendet, BW Sp. 400</w:t>
      </w:r>
    </w:p>
  </w:footnote>
  <w:footnote w:id="4985">
    <w:p>
      <w:pPr>
        <w:pStyle w:val="Funote"/>
        <w:rPr/>
      </w:pPr>
      <w:r>
        <w:rPr>
          <w:rStyle w:val="Funotenzeichen"/>
        </w:rPr>
        <w:footnoteRef/>
      </w:r>
      <w:r>
        <w:rPr/>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986">
    <w:p>
      <w:pPr>
        <w:pStyle w:val="Funote"/>
        <w:rPr/>
      </w:pPr>
      <w:r>
        <w:rPr>
          <w:rStyle w:val="Funotenzeichen"/>
        </w:rPr>
        <w:footnoteRef/>
      </w:r>
      <w:r>
        <w:rPr/>
        <w:tab/>
        <w:t>Joche, Doppelgespanne</w:t>
      </w:r>
    </w:p>
  </w:footnote>
  <w:footnote w:id="4987">
    <w:p>
      <w:pPr>
        <w:pStyle w:val="Funote"/>
        <w:rPr/>
      </w:pPr>
      <w:r>
        <w:rPr>
          <w:rStyle w:val="Funotenzeichen"/>
        </w:rPr>
        <w:footnoteRef/>
      </w:r>
      <w:r>
        <w:rPr/>
        <w:tab/>
        <w:t>3.Sg, Fut.Med.</w:t>
      </w:r>
    </w:p>
  </w:footnote>
  <w:footnote w:id="4988">
    <w:p>
      <w:pPr>
        <w:pStyle w:val="Funote"/>
        <w:rPr/>
      </w:pPr>
      <w:r>
        <w:rPr>
          <w:rStyle w:val="Funotenzeichen"/>
        </w:rPr>
        <w:footnoteRef/>
      </w:r>
      <w:r>
        <w:rPr>
          <w:lang w:val="el-GR"/>
        </w:rPr>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989">
    <w:p>
      <w:pPr>
        <w:pStyle w:val="Funote"/>
        <w:rPr/>
      </w:pPr>
      <w:r>
        <w:rPr>
          <w:rStyle w:val="Funotenzeichen"/>
        </w:rPr>
        <w:footnoteRef/>
      </w:r>
      <w:r>
        <w:rPr/>
        <w:tab/>
        <w:t xml:space="preserve">Das Verb </w:t>
      </w:r>
      <w:r>
        <w:rPr>
          <w:lang w:val="el-GR"/>
        </w:rPr>
        <w:t>διασκορπιζω</w:t>
      </w:r>
      <w:r>
        <w:rPr/>
        <w:t xml:space="preserve"> bedeutet auch: eine Herde zerstreuen (Mt 26,31; Mk 14,27) und Samen ausstreuen (Mt 25,24.26).</w:t>
      </w:r>
    </w:p>
  </w:footnote>
  <w:footnote w:id="4990">
    <w:p>
      <w:pPr>
        <w:pStyle w:val="Funote"/>
        <w:rPr/>
      </w:pPr>
      <w:r>
        <w:rPr>
          <w:rStyle w:val="Funotenzeichen"/>
        </w:rPr>
        <w:footnoteRef/>
      </w:r>
      <w:hyperlink r:id="rId513">
        <w:r>
          <w:rPr>
            <w:rStyle w:val="Internetverknpfung"/>
          </w:rPr>
          <w:tab/>
          <w:t>Ptz.coni.</w:t>
        </w:r>
      </w:hyperlink>
      <w:r>
        <w:rPr/>
        <w:t>, beiordnend übersetzt</w:t>
      </w:r>
    </w:p>
  </w:footnote>
  <w:footnote w:id="4991">
    <w:p>
      <w:pPr>
        <w:pStyle w:val="Funote"/>
        <w:rPr/>
      </w:pPr>
      <w:r>
        <w:rPr>
          <w:rStyle w:val="Funotenzeichen"/>
        </w:rPr>
        <w:footnoteRef/>
      </w:r>
      <w:r>
        <w:rPr/>
        <w:tab/>
        <w:t>Das Bat ist ein hebräisches Hohlmaß. 100 Bat sind ca. 36 Hektoliter (G. Schneider, ÖTK 3/2, S. 333).</w:t>
      </w:r>
    </w:p>
  </w:footnote>
  <w:footnote w:id="4992">
    <w:p>
      <w:pPr>
        <w:pStyle w:val="Funote"/>
        <w:rPr/>
      </w:pPr>
      <w:r>
        <w:rPr>
          <w:rStyle w:val="Funotenzeichen"/>
        </w:rPr>
        <w:footnoteRef/>
      </w:r>
      <w:r>
        <w:rPr/>
        <w:tab/>
        <w:t>Wörtl.: dein Geschriebenes</w:t>
      </w:r>
    </w:p>
  </w:footnote>
  <w:footnote w:id="4993">
    <w:p>
      <w:pPr>
        <w:pStyle w:val="Funote"/>
        <w:rPr/>
      </w:pPr>
      <w:r>
        <w:rPr>
          <w:rStyle w:val="Funotenzeichen"/>
        </w:rPr>
        <w:footnoteRef/>
      </w:r>
      <w:r>
        <w:rPr/>
        <w:tab/>
        <w:t>Das Kor ist ein hebräisches Hohlmaß. 100 Kor sind ca. 364 Hektoliter, das entspricht 27.500 kg (G. Schneider, ÖTK 3/2, S. 333).</w:t>
      </w:r>
    </w:p>
  </w:footnote>
  <w:footnote w:id="4994">
    <w:p>
      <w:pPr>
        <w:pStyle w:val="Funote"/>
        <w:rPr/>
      </w:pPr>
      <w:r>
        <w:rPr>
          <w:rStyle w:val="Funotenzeichen"/>
        </w:rPr>
        <w:footnoteRef/>
      </w:r>
      <w:r>
        <w:rPr/>
        <w:tab/>
        <w:t>Wörtl.: dein Geschriebenes</w:t>
      </w:r>
    </w:p>
  </w:footnote>
  <w:footnote w:id="4995">
    <w:p>
      <w:pPr>
        <w:pStyle w:val="Funote"/>
        <w:rPr/>
      </w:pPr>
      <w:r>
        <w:rPr>
          <w:rStyle w:val="Funotenzeichen"/>
        </w:rPr>
        <w:footnoteRef/>
      </w:r>
      <w:r>
        <w:rPr/>
        <w:tab/>
        <w:t>Gemeint ist hier nicht der Chef des Verwalters, sondern, wie in anderen Fällen des lukanischen Sonderguts, Jesus (vgl. Lukas 7,13; 10,39.41; 13,15; 18,6; 19,8) (G. Schneider, ÖTK 3/2, S. 333).</w:t>
      </w:r>
    </w:p>
  </w:footnote>
  <w:footnote w:id="4996">
    <w:p>
      <w:pPr>
        <w:pStyle w:val="Funote"/>
        <w:rPr/>
      </w:pPr>
      <w:r>
        <w:rPr>
          <w:rStyle w:val="Funotenzeichen"/>
        </w:rPr>
        <w:footnoteRef/>
      </w:r>
      <w:r>
        <w:rPr/>
        <w:tab/>
        <w:t xml:space="preserve">Wird hier ein wörtliches Zitat eingeführt? Dann würde es sich beim </w:t>
      </w:r>
      <w:r>
        <w:rPr>
          <w:lang w:val="el-GR"/>
        </w:rPr>
        <w:t>οτι</w:t>
      </w:r>
      <w:r>
        <w:rPr/>
        <w:t xml:space="preserve"> am Satzanfang um ein „</w:t>
      </w:r>
      <w:r>
        <w:rPr>
          <w:lang w:val="el-GR"/>
        </w:rPr>
        <w:t>οτι</w:t>
      </w:r>
      <w:r>
        <w:rPr/>
        <w:t xml:space="preserve"> citativum“ (im Deutschen = Doppelpunkt) handeln, der folgende Satz müsste in Anführungszeichen gesetzt werden.</w:t>
      </w:r>
    </w:p>
  </w:footnote>
  <w:footnote w:id="4997">
    <w:p>
      <w:pPr>
        <w:pStyle w:val="Funote"/>
        <w:rPr/>
      </w:pPr>
      <w:r>
        <w:rPr>
          <w:rStyle w:val="Funotenzeichen"/>
        </w:rPr>
        <w:footnoteRef/>
      </w:r>
      <w:r>
        <w:rPr>
          <w:lang w:val="el-GR"/>
        </w:rPr>
        <w:tab/>
        <w:t>σκηνη</w:t>
      </w:r>
      <w:r>
        <w:rPr/>
        <w:t xml:space="preserve"> ist das Zelt, auch die Stiftshütte.</w:t>
      </w:r>
    </w:p>
  </w:footnote>
  <w:footnote w:id="4998">
    <w:p>
      <w:pPr>
        <w:pStyle w:val="Funote"/>
        <w:rPr/>
      </w:pPr>
      <w:r>
        <w:rPr>
          <w:rStyle w:val="Funotenzeichen"/>
        </w:rPr>
        <w:footnoteRef/>
      </w:r>
      <w:r>
        <w:rPr/>
        <w:tab/>
        <w:t>Hier wird der Mammon personifiziert als ein Gegenüber Gottes.</w:t>
      </w:r>
    </w:p>
  </w:footnote>
  <w:footnote w:id="4999">
    <w:p>
      <w:pPr>
        <w:pStyle w:val="Funote"/>
        <w:rPr/>
      </w:pPr>
      <w:r>
        <w:rPr>
          <w:rStyle w:val="Funotenzeichen"/>
        </w:rPr>
        <w:footnoteRef/>
      </w:r>
      <w:r>
        <w:rPr>
          <w:lang w:val="el-GR"/>
        </w:rPr>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5000">
    <w:p>
      <w:pPr>
        <w:pStyle w:val="Funote"/>
        <w:rPr/>
      </w:pPr>
      <w:r>
        <w:rPr>
          <w:rStyle w:val="Funotenzeichen"/>
        </w:rPr>
        <w:footnoteRef/>
      </w:r>
      <w:r>
        <w:rPr/>
        <w:tab/>
        <w:t xml:space="preserve">Substantivierter Infinitiv im Dativ hat temporalen Sinn; Inf. Präs.: durativ, entspricht dem Hebr. </w:t>
      </w:r>
      <w:r>
        <w:rPr>
          <w:rtl w:val="true"/>
          <w:lang w:bidi="he-IL"/>
        </w:rPr>
        <w:t>בְּ</w:t>
      </w:r>
      <w:r>
        <w:rPr/>
        <w:t>, BDR § 404,1</w:t>
      </w:r>
    </w:p>
  </w:footnote>
  <w:footnote w:id="5001">
    <w:p>
      <w:pPr>
        <w:pStyle w:val="Funote"/>
        <w:rPr/>
      </w:pPr>
      <w:r>
        <w:rPr>
          <w:rStyle w:val="Funotenzeichen"/>
        </w:rPr>
        <w:footnoteRef/>
      </w:r>
      <w:r>
        <w:rPr/>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5002">
    <w:p>
      <w:pPr>
        <w:pStyle w:val="Funote"/>
        <w:rPr/>
      </w:pPr>
      <w:r>
        <w:rPr>
          <w:rStyle w:val="Funotenzeichen"/>
        </w:rPr>
        <w:footnoteRef/>
      </w:r>
      <w:r>
        <w:rPr/>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5003">
    <w:p>
      <w:pPr>
        <w:pStyle w:val="Funote"/>
        <w:rPr/>
      </w:pPr>
      <w:r>
        <w:rPr>
          <w:rStyle w:val="Funotenzeichen"/>
        </w:rPr>
        <w:footnoteRef/>
      </w:r>
      <w:hyperlink r:id="rId514">
        <w:r>
          <w:rPr>
            <w:rStyle w:val="Internetverknpfung"/>
          </w:rPr>
          <w:tab/>
          <w:t>Gen. abs.</w:t>
        </w:r>
      </w:hyperlink>
      <w:r>
        <w:rPr/>
        <w:t>, temporal aufgelöst.</w:t>
      </w:r>
    </w:p>
  </w:footnote>
  <w:footnote w:id="5004">
    <w:p>
      <w:pPr>
        <w:pStyle w:val="Funote"/>
        <w:rPr/>
      </w:pPr>
      <w:r>
        <w:rPr>
          <w:rStyle w:val="Funotenzeichen"/>
        </w:rPr>
        <w:footnoteRef/>
      </w:r>
      <w:r>
        <w:rPr/>
        <w:tab/>
        <w:t>Weil Leprakranke sich Gesunden nicht nähern durften.</w:t>
      </w:r>
    </w:p>
  </w:footnote>
  <w:footnote w:id="5005">
    <w:p>
      <w:pPr>
        <w:pStyle w:val="Funote"/>
        <w:rPr/>
      </w:pPr>
      <w:r>
        <w:rPr>
          <w:rStyle w:val="Funotenzeichen"/>
        </w:rPr>
        <w:footnoteRef/>
      </w:r>
      <w:r>
        <w:rPr/>
        <w:tab/>
        <w:t>Vgl. Anm. zu Vers 11</w:t>
      </w:r>
    </w:p>
  </w:footnote>
  <w:footnote w:id="5006">
    <w:p>
      <w:pPr>
        <w:pStyle w:val="Funote"/>
        <w:rPr/>
      </w:pPr>
      <w:r>
        <w:rPr>
          <w:rStyle w:val="Funotenzeichen"/>
        </w:rPr>
        <w:footnoteRef/>
      </w:r>
      <w:hyperlink r:id="rId515">
        <w:r>
          <w:rPr>
            <w:rStyle w:val="Internetverknpfung"/>
          </w:rPr>
          <w:tab/>
          <w:t>Ptz. coni.</w:t>
        </w:r>
      </w:hyperlink>
      <w:r>
        <w:rPr/>
        <w:t>, temporal aufgelöst</w:t>
      </w:r>
    </w:p>
  </w:footnote>
  <w:footnote w:id="5007">
    <w:p>
      <w:pPr>
        <w:pStyle w:val="Funote"/>
        <w:rPr/>
      </w:pPr>
      <w:r>
        <w:rPr>
          <w:rStyle w:val="Funotenzeichen"/>
        </w:rPr>
        <w:footnoteRef/>
      </w:r>
      <w:hyperlink r:id="rId516">
        <w:r>
          <w:rPr>
            <w:rStyle w:val="Internetverknpfung"/>
          </w:rPr>
          <w:tab/>
          <w:t>Ptz. coni.</w:t>
        </w:r>
      </w:hyperlink>
      <w:r>
        <w:rPr/>
        <w:t>, temporal aufgelöst</w:t>
      </w:r>
    </w:p>
  </w:footnote>
  <w:footnote w:id="5008">
    <w:p>
      <w:pPr>
        <w:pStyle w:val="Funote"/>
        <w:rPr/>
      </w:pPr>
      <w:r>
        <w:rPr>
          <w:rStyle w:val="Funotenzeichen"/>
        </w:rPr>
        <w:footnoteRef/>
      </w:r>
      <w:hyperlink r:id="rId517">
        <w:r>
          <w:rPr>
            <w:rStyle w:val="Internetverknpfung"/>
          </w:rPr>
          <w:tab/>
          <w:t>Ptz. coni.</w:t>
        </w:r>
      </w:hyperlink>
      <w:r>
        <w:rPr/>
        <w:t>, temporal aufgelöst</w:t>
      </w:r>
    </w:p>
  </w:footnote>
  <w:footnote w:id="5009">
    <w:p>
      <w:pPr>
        <w:pStyle w:val="Funote"/>
        <w:rPr/>
      </w:pPr>
      <w:r>
        <w:rPr>
          <w:rStyle w:val="Funotenzeichen"/>
        </w:rPr>
        <w:footnoteRef/>
      </w:r>
      <w:r>
        <w:rPr>
          <w:lang w:val="el-GR"/>
        </w:rPr>
        <w:tab/>
        <w:t>καί</w:t>
      </w:r>
      <w:r>
        <w:rPr/>
        <w:t xml:space="preserve"> verstärkt das Pronomen, BDR § 442, Anm. 24</w:t>
      </w:r>
    </w:p>
  </w:footnote>
  <w:footnote w:id="5010">
    <w:p>
      <w:pPr>
        <w:pStyle w:val="Funote"/>
        <w:rPr/>
      </w:pPr>
      <w:r>
        <w:rPr>
          <w:rStyle w:val="Funotenzeichen"/>
        </w:rPr>
        <w:footnoteRef/>
      </w:r>
      <w:r>
        <w:rPr>
          <w:lang w:val="el-GR"/>
        </w:rPr>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5011">
    <w:p>
      <w:pPr>
        <w:pStyle w:val="Funote"/>
        <w:rPr/>
      </w:pPr>
      <w:r>
        <w:rPr>
          <w:rStyle w:val="Funotenzeichen"/>
        </w:rPr>
        <w:footnoteRef/>
      </w:r>
      <w:r>
        <w:rPr/>
        <w:tab/>
        <w:t>Bei Zahlen drückt der Artikel aus, dass von einer angegebenen Zahl jetzt ein Teil eingeführt wird. Bezogen auf die Zehn Geheilten: die Neun davon. BDR § 265.</w:t>
      </w:r>
    </w:p>
  </w:footnote>
  <w:footnote w:id="5012">
    <w:p>
      <w:pPr>
        <w:pStyle w:val="Funote"/>
        <w:rPr/>
      </w:pPr>
      <w:r>
        <w:rPr>
          <w:rStyle w:val="Funotenzeichen"/>
        </w:rPr>
        <w:footnoteRef/>
      </w:r>
      <w:r>
        <w:rPr/>
        <w:tab/>
        <w:t>Betonte Teile des Nebensatzes stehen vor dem Fragepronomen, BDR § 475, Anm. 2.</w:t>
      </w:r>
    </w:p>
  </w:footnote>
  <w:footnote w:id="5013">
    <w:p>
      <w:pPr>
        <w:pStyle w:val="Funote"/>
        <w:rPr/>
      </w:pPr>
      <w:r>
        <w:rPr>
          <w:rStyle w:val="Funotenzeichen"/>
        </w:rPr>
        <w:footnoteRef/>
      </w:r>
      <w:r>
        <w:rPr/>
        <w:tab/>
        <w:t xml:space="preserve">"Erwiesen sie sich nicht" ist ein Hebraismus, wie hebr. </w:t>
      </w:r>
      <w:r>
        <w:rPr>
          <w:rtl w:val="true"/>
          <w:lang w:bidi="he-IL"/>
        </w:rPr>
        <w:t>נִמְצָא</w:t>
      </w:r>
      <w:r>
        <w:rPr/>
        <w:t xml:space="preserve"> </w:t>
      </w:r>
      <w:r>
        <w:rPr/>
        <w:t>sich erweisen, erfunden werden, BW Sp. 644</w:t>
      </w:r>
    </w:p>
  </w:footnote>
  <w:footnote w:id="5014">
    <w:p>
      <w:pPr>
        <w:pStyle w:val="Funote"/>
        <w:rPr/>
      </w:pPr>
      <w:r>
        <w:rPr>
          <w:rStyle w:val="Funotenzeichen"/>
        </w:rPr>
        <w:footnoteRef/>
      </w:r>
      <w:r>
        <w:rPr/>
        <w:tab/>
        <w:t>Ptz., beiordnend aufgelöst.</w:t>
      </w:r>
    </w:p>
  </w:footnote>
  <w:footnote w:id="5015">
    <w:p>
      <w:pPr>
        <w:pStyle w:val="Funote"/>
        <w:rPr/>
      </w:pPr>
      <w:r>
        <w:rPr>
          <w:rStyle w:val="Funotenzeichen"/>
        </w:rPr>
        <w:footnoteRef/>
      </w:r>
      <w:r>
        <w:rPr>
          <w:lang w:val="el-GR"/>
        </w:rPr>
        <w:tab/>
        <w:t>ἡ βασιλεία τοῦ θεοῦ</w:t>
      </w:r>
      <w:r>
        <w:rPr/>
        <w:t xml:space="preserve">: mögliche Übersetzungen: Gottesreich, </w:t>
      </w:r>
      <w:hyperlink r:id="rId518">
        <w:r>
          <w:rPr>
            <w:rStyle w:val="Internetverknpfung"/>
          </w:rPr>
          <w:t>Reich Gottes</w:t>
        </w:r>
      </w:hyperlink>
      <w:r>
        <w:rPr/>
        <w:t>, Gottesherrschaft, die Herrschaft Gottes</w:t>
      </w:r>
    </w:p>
  </w:footnote>
  <w:footnote w:id="5016">
    <w:p>
      <w:pPr>
        <w:pStyle w:val="Funote"/>
        <w:rPr/>
      </w:pPr>
      <w:r>
        <w:rPr>
          <w:rStyle w:val="Funotenzeichen"/>
        </w:rPr>
        <w:footnoteRef/>
      </w:r>
      <w:r>
        <w:rPr/>
        <w:tab/>
        <w:t xml:space="preserve">Der Vers 36 taucht erst in späteren </w:t>
      </w:r>
      <w:hyperlink r:id="rId519">
        <w:r>
          <w:rPr>
            <w:rStyle w:val="Internetverknpfung"/>
          </w:rPr>
          <w:t>Handschriften</w:t>
        </w:r>
      </w:hyperlink>
      <w:r>
        <w:rPr/>
        <w:t xml:space="preserve"> auf.</w:t>
      </w:r>
    </w:p>
  </w:footnote>
  <w:footnote w:id="5017">
    <w:p>
      <w:pPr>
        <w:pStyle w:val="Funote"/>
        <w:rPr/>
      </w:pPr>
      <w:r>
        <w:rPr>
          <w:rStyle w:val="Funotenzeichen"/>
        </w:rPr>
        <w:footnoteRef/>
      </w:r>
      <w:r>
        <w:rPr/>
        <w:tab/>
        <w:t>Gr. „</w:t>
      </w:r>
      <w:r>
        <w:rPr>
          <w:lang w:val="el-GR"/>
        </w:rPr>
        <w:t>πρὸς τὸ δεῖν</w:t>
      </w:r>
      <w:r>
        <w:rPr/>
        <w:t xml:space="preserve">“: will die Wichtigkeit des als kommenden Satzteiles hervorheben. </w:t>
      </w:r>
    </w:p>
  </w:footnote>
  <w:footnote w:id="5018">
    <w:p>
      <w:pPr>
        <w:pStyle w:val="Funote"/>
        <w:rPr/>
      </w:pPr>
      <w:r>
        <w:rPr>
          <w:rStyle w:val="Funotenzeichen"/>
        </w:rPr>
        <w:footnoteRef/>
      </w:r>
      <w:r>
        <w:rPr/>
        <w:tab/>
        <w:t>Präd. Ptz.</w:t>
      </w:r>
    </w:p>
  </w:footnote>
  <w:footnote w:id="5019">
    <w:p>
      <w:pPr>
        <w:pStyle w:val="Funote"/>
        <w:rPr/>
      </w:pPr>
      <w:r>
        <w:rPr>
          <w:rStyle w:val="Funotenzeichen"/>
        </w:rPr>
        <w:footnoteRef/>
      </w:r>
      <w:r>
        <w:rPr/>
        <w:tab/>
        <w:t xml:space="preserve">Attr. Ptz., als Relativsatz aufgelöst. </w:t>
      </w:r>
    </w:p>
  </w:footnote>
  <w:footnote w:id="5020">
    <w:p>
      <w:pPr>
        <w:pStyle w:val="Funote"/>
        <w:rPr/>
      </w:pPr>
      <w:r>
        <w:rPr>
          <w:rStyle w:val="Funotenzeichen"/>
        </w:rPr>
        <w:footnoteRef/>
      </w:r>
      <w:r>
        <w:rPr/>
        <w:tab/>
        <w:t>besser: Danach aber überlegte er sich kurz:</w:t>
      </w:r>
    </w:p>
  </w:footnote>
  <w:footnote w:id="5021">
    <w:p>
      <w:pPr>
        <w:pStyle w:val="Funote"/>
        <w:rPr/>
      </w:pPr>
      <w:r>
        <w:rPr>
          <w:rStyle w:val="Funotenzeichen"/>
        </w:rPr>
        <w:footnoteRef/>
      </w:r>
      <w:r>
        <w:rPr/>
        <w:tab/>
        <w:t xml:space="preserve">Gr. </w:t>
      </w:r>
      <w:r>
        <w:rPr>
          <w:lang w:val="el-GR"/>
        </w:rPr>
        <w:t>δια + το</w:t>
      </w:r>
      <w:r>
        <w:rPr/>
        <w:t xml:space="preserve"> + Inf.: weil; vgl. Bauer/Aland,S.362f.1265</w:t>
      </w:r>
    </w:p>
  </w:footnote>
  <w:footnote w:id="5022">
    <w:p>
      <w:pPr>
        <w:pStyle w:val="Funote"/>
        <w:rPr/>
      </w:pPr>
      <w:r>
        <w:rPr>
          <w:rStyle w:val="Funotenzeichen"/>
        </w:rPr>
        <w:footnoteRef/>
      </w:r>
      <w:r>
        <w:rPr/>
        <w:tab/>
        <w:t>Fut.1.Sg; mit nachdrücklichem Sinn.</w:t>
      </w:r>
    </w:p>
  </w:footnote>
  <w:footnote w:id="5023">
    <w:p>
      <w:pPr>
        <w:pStyle w:val="Funote"/>
        <w:rPr/>
      </w:pPr>
      <w:r>
        <w:rPr>
          <w:rStyle w:val="Funotenzeichen"/>
        </w:rPr>
        <w:footnoteRef/>
      </w:r>
      <w:r>
        <w:rPr/>
        <w:tab/>
        <w:t>Aor. Imp.</w:t>
      </w:r>
    </w:p>
  </w:footnote>
  <w:footnote w:id="5024">
    <w:p>
      <w:pPr>
        <w:pStyle w:val="Funote"/>
        <w:rPr/>
      </w:pPr>
      <w:r>
        <w:rPr>
          <w:rStyle w:val="Funotenzeichen"/>
        </w:rPr>
        <w:footnoteRef/>
      </w:r>
      <w:r>
        <w:rPr/>
        <w:tab/>
        <w:t>vgl. Gute Nachricht Ü.</w:t>
      </w:r>
    </w:p>
  </w:footnote>
  <w:footnote w:id="5025">
    <w:p>
      <w:pPr>
        <w:pStyle w:val="Funote"/>
        <w:rPr/>
      </w:pPr>
      <w:r>
        <w:rPr>
          <w:rStyle w:val="Funotenzeichen"/>
        </w:rPr>
        <w:footnoteRef/>
      </w:r>
      <w:r>
        <w:rPr/>
        <w:tab/>
        <w:t>vllt. besser: Wird Gott nicht erst recht seinen Erwählten [nun] zu Recht verhelfen?</w:t>
      </w:r>
    </w:p>
  </w:footnote>
  <w:footnote w:id="5026">
    <w:p>
      <w:pPr>
        <w:pStyle w:val="Funote"/>
        <w:rPr/>
      </w:pPr>
      <w:r>
        <w:rPr>
          <w:rStyle w:val="Funotenzeichen"/>
        </w:rPr>
        <w:footnoteRef/>
      </w:r>
      <w:r>
        <w:rPr/>
        <w:tab/>
        <w:t>Part.Perf.Akt.</w:t>
      </w:r>
    </w:p>
  </w:footnote>
  <w:footnote w:id="5027">
    <w:p>
      <w:pPr>
        <w:pStyle w:val="Funote"/>
        <w:rPr/>
      </w:pPr>
      <w:r>
        <w:rPr>
          <w:rStyle w:val="Funotenzeichen"/>
        </w:rPr>
        <w:footnoteRef/>
      </w:r>
      <w:r>
        <w:rPr/>
        <w:tab/>
        <w:t>wörtl.: die auf sich selbst vertrauten (Part.Perf.!), weil sie gerecht sind</w:t>
      </w:r>
    </w:p>
  </w:footnote>
  <w:footnote w:id="5028">
    <w:p>
      <w:pPr>
        <w:pStyle w:val="Funote"/>
        <w:rPr/>
      </w:pPr>
      <w:r>
        <w:rPr>
          <w:rStyle w:val="Funotenzeichen"/>
        </w:rPr>
        <w:footnoteRef/>
      </w:r>
      <w:r>
        <w:rPr/>
        <w:tab/>
        <w:t>Vorschlag Bauer/Aland,Sp.762: Lass dich mit mir Sünder versöhnen!</w:t>
      </w:r>
    </w:p>
  </w:footnote>
  <w:footnote w:id="5029">
    <w:p>
      <w:pPr>
        <w:pStyle w:val="Funote"/>
        <w:rPr/>
      </w:pPr>
      <w:r>
        <w:rPr>
          <w:rStyle w:val="Funotenzeichen"/>
        </w:rPr>
        <w:footnoteRef/>
      </w:r>
      <w:r>
        <w:rPr/>
        <w:tab/>
        <w:t>Part.Ps.</w:t>
      </w:r>
    </w:p>
  </w:footnote>
  <w:footnote w:id="5030">
    <w:p>
      <w:pPr>
        <w:pStyle w:val="Funote"/>
        <w:rPr/>
      </w:pPr>
      <w:r>
        <w:rPr>
          <w:rStyle w:val="Funotenzeichen"/>
        </w:rPr>
        <w:footnoteRef/>
      </w:r>
      <w:r>
        <w:rPr/>
        <w:tab/>
        <w:t>Aor.3.Sg.Med.Konj.; eine Segenswirkung soll hier erzeugt werden; vgl. NGÜ</w:t>
      </w:r>
    </w:p>
  </w:footnote>
  <w:footnote w:id="5031">
    <w:p>
      <w:pPr>
        <w:pStyle w:val="Funote"/>
        <w:rPr/>
      </w:pPr>
      <w:r>
        <w:rPr>
          <w:rStyle w:val="Funotenzeichen"/>
        </w:rPr>
        <w:footnoteRef/>
      </w:r>
      <w:r>
        <w:rPr/>
        <w:tab/>
        <w:t>Aor.3.Sg.Akt.Konj.</w:t>
      </w:r>
    </w:p>
  </w:footnote>
  <w:footnote w:id="5032">
    <w:p>
      <w:pPr>
        <w:pStyle w:val="Funote"/>
        <w:rPr/>
      </w:pPr>
      <w:r>
        <w:rPr>
          <w:rStyle w:val="Funotenzeichen"/>
        </w:rPr>
        <w:footnoteRef/>
      </w:r>
      <w:r>
        <w:rPr/>
        <w:tab/>
        <w:t>Fut. mit finalem Sinn; ausgelöst durch den in V.16 benutzten Imperativ</w:t>
      </w:r>
    </w:p>
  </w:footnote>
  <w:footnote w:id="5033">
    <w:p>
      <w:pPr>
        <w:pStyle w:val="Funote"/>
        <w:rPr/>
      </w:pPr>
      <w:r>
        <w:rPr>
          <w:rStyle w:val="Funotenzeichen"/>
        </w:rPr>
        <w:footnoteRef/>
      </w:r>
      <w:r>
        <w:rPr/>
        <w:tab/>
        <w:t>wörtl.: [irgend]ein Oberster; vermutlich ein in der Gegend bekannter Mann.</w:t>
      </w:r>
    </w:p>
  </w:footnote>
  <w:footnote w:id="5034">
    <w:p>
      <w:pPr>
        <w:pStyle w:val="Funote"/>
        <w:rPr/>
      </w:pPr>
      <w:r>
        <w:rPr>
          <w:rStyle w:val="Funotenzeichen"/>
        </w:rPr>
        <w:footnoteRef/>
      </w:r>
      <w:r>
        <w:rPr/>
        <w:tab/>
        <w:t>LuthÜ.: „Guter Meister“; würde ich auch hier nehmen, klingt in meinen Ohren schöner.</w:t>
      </w:r>
    </w:p>
  </w:footnote>
  <w:footnote w:id="5035">
    <w:p>
      <w:pPr>
        <w:pStyle w:val="Funote"/>
        <w:rPr/>
      </w:pPr>
      <w:r>
        <w:rPr>
          <w:rStyle w:val="Funotenzeichen"/>
        </w:rPr>
        <w:footnoteRef/>
      </w:r>
      <w:r>
        <w:rPr/>
        <w:tab/>
        <w:t>Part.Aor.Akt.Nom.Sg.</w:t>
      </w:r>
    </w:p>
  </w:footnote>
  <w:footnote w:id="5036">
    <w:p>
      <w:pPr>
        <w:pStyle w:val="Funote"/>
        <w:rPr/>
      </w:pPr>
      <w:r>
        <w:rPr>
          <w:rStyle w:val="Funotenzeichen"/>
        </w:rPr>
        <w:footnoteRef/>
      </w:r>
      <w:r>
        <w:rPr/>
        <w:tab/>
        <w:t>Fut.1.Sg.Akt.; wörtl.: zu erben</w:t>
      </w:r>
    </w:p>
  </w:footnote>
  <w:footnote w:id="5037">
    <w:p>
      <w:pPr>
        <w:pStyle w:val="Funote"/>
        <w:rPr/>
      </w:pPr>
      <w:r>
        <w:rPr>
          <w:rStyle w:val="Funotenzeichen"/>
        </w:rPr>
        <w:footnoteRef/>
      </w:r>
      <w:r>
        <w:rPr/>
        <w:tab/>
        <w:t>wörtlich: „wenn Gott einer ist“ ; vgl. Dtr 6,4</w:t>
      </w:r>
    </w:p>
  </w:footnote>
  <w:footnote w:id="5038">
    <w:p>
      <w:pPr>
        <w:pStyle w:val="Funote"/>
        <w:rPr/>
      </w:pPr>
      <w:r>
        <w:rPr>
          <w:rStyle w:val="Funotenzeichen"/>
        </w:rPr>
        <w:footnoteRef/>
      </w:r>
      <w:r>
        <w:rPr/>
        <w:tab/>
        <w:t>wörtl.:„[Von] den Geboten weißt du:“</w:t>
      </w:r>
    </w:p>
  </w:footnote>
  <w:footnote w:id="5039">
    <w:p>
      <w:pPr>
        <w:pStyle w:val="Funote"/>
        <w:rPr/>
      </w:pPr>
      <w:r>
        <w:rPr>
          <w:rStyle w:val="Funotenzeichen"/>
        </w:rPr>
        <w:footnoteRef/>
      </w:r>
      <w:r>
        <w:rPr/>
        <w:tab/>
        <w:t>wörtl.: „Wie schwer gehen (kommen) die Besitzhabenden in Königreich Gottes hinein!“</w:t>
      </w:r>
    </w:p>
  </w:footnote>
  <w:footnote w:id="5040">
    <w:p>
      <w:pPr>
        <w:pStyle w:val="Funote"/>
        <w:rPr/>
      </w:pPr>
      <w:r>
        <w:rPr>
          <w:rStyle w:val="Funotenzeichen"/>
        </w:rPr>
        <w:footnoteRef/>
      </w:r>
      <w:r>
        <w:rPr/>
        <w:tab/>
        <w:t>viele andere Übersetzungen: „ein Kamel durch ein Nadelöhr geht“; aber mir ist das Wort „Nadelöhr“ ein wenig zu fremd.</w:t>
      </w:r>
    </w:p>
  </w:footnote>
  <w:footnote w:id="5041">
    <w:p>
      <w:pPr>
        <w:pStyle w:val="Funote"/>
        <w:rPr/>
      </w:pPr>
      <w:r>
        <w:rPr>
          <w:rStyle w:val="Funotenzeichen"/>
        </w:rPr>
        <w:footnoteRef/>
      </w:r>
      <w:r>
        <w:rPr/>
        <w:tab/>
        <w:t>wörtl.: „verlassend die eigenen Dinge“</w:t>
      </w:r>
    </w:p>
  </w:footnote>
  <w:footnote w:id="5042">
    <w:p>
      <w:pPr>
        <w:pStyle w:val="Funote"/>
        <w:rPr/>
      </w:pPr>
      <w:r>
        <w:rPr>
          <w:rStyle w:val="Funotenzeichen"/>
        </w:rPr>
        <w:footnoteRef/>
      </w:r>
      <w:r>
        <w:rPr/>
        <w:tab/>
        <w:t>Wörtl.: „Bruder“; aber der Gendergerechtigkeit halber :)</w:t>
      </w:r>
    </w:p>
  </w:footnote>
  <w:footnote w:id="5043">
    <w:p>
      <w:pPr>
        <w:pStyle w:val="Funote"/>
        <w:rPr/>
      </w:pPr>
      <w:r>
        <w:rPr>
          <w:rStyle w:val="Funotenzeichen"/>
        </w:rPr>
        <w:footnoteRef/>
      </w:r>
      <w:r>
        <w:rPr/>
        <w:tab/>
        <w:t>Die doppelte Negation ist mir hier noch nicht ganz klar im Griechischen.</w:t>
      </w:r>
    </w:p>
  </w:footnote>
  <w:footnote w:id="5044">
    <w:p>
      <w:pPr>
        <w:pStyle w:val="Funote"/>
        <w:rPr/>
      </w:pPr>
      <w:r>
        <w:rPr>
          <w:rStyle w:val="Funotenzeichen"/>
        </w:rPr>
        <w:footnoteRef/>
      </w:r>
      <w:r>
        <w:rPr/>
        <w:tab/>
        <w:t>Aor.3.Sg.Akt.Kopnj.; die Aussage des Konj. ist mir noch unklar.</w:t>
      </w:r>
    </w:p>
  </w:footnote>
  <w:footnote w:id="5045">
    <w:p>
      <w:pPr>
        <w:pStyle w:val="Funote"/>
        <w:rPr/>
      </w:pPr>
      <w:r>
        <w:rPr>
          <w:rStyle w:val="Funotenzeichen"/>
        </w:rPr>
        <w:footnoteRef/>
      </w:r>
      <w:hyperlink r:id="rId520">
        <w:r>
          <w:rPr>
            <w:rStyle w:val="Internetverknpfung"/>
          </w:rPr>
          <w:tab/>
          <w:t>Ptz. coni.</w:t>
        </w:r>
      </w:hyperlink>
      <w:r>
        <w:rPr/>
        <w:t>, beiordnend aufgelöst</w:t>
      </w:r>
    </w:p>
  </w:footnote>
  <w:footnote w:id="5046">
    <w:p>
      <w:pPr>
        <w:pStyle w:val="Funote"/>
        <w:rPr/>
      </w:pPr>
      <w:r>
        <w:rPr>
          <w:rStyle w:val="Funotenzeichen"/>
        </w:rPr>
        <w:footnoteRef/>
      </w:r>
      <w:hyperlink r:id="rId521">
        <w:r>
          <w:rPr>
            <w:rStyle w:val="Internetverknpfung"/>
          </w:rPr>
          <w:tab/>
          <w:t>Ptz. coni.</w:t>
        </w:r>
      </w:hyperlink>
      <w:r>
        <w:rPr/>
        <w:t>, beiordnend aufgelöst</w:t>
      </w:r>
    </w:p>
  </w:footnote>
  <w:footnote w:id="5047">
    <w:p>
      <w:pPr>
        <w:pStyle w:val="Funote"/>
        <w:rPr/>
      </w:pPr>
      <w:r>
        <w:rPr>
          <w:rStyle w:val="Funotenzeichen"/>
        </w:rPr>
        <w:footnoteRef/>
      </w:r>
      <w:hyperlink r:id="rId522">
        <w:r>
          <w:rPr>
            <w:rStyle w:val="Internetverknpfung"/>
          </w:rPr>
          <w:tab/>
          <w:t>Ὁτι rezitativum (Seite nicht vorhanden)"&gt;</w:t>
        </w:r>
        <w:r>
          <w:rPr>
            <w:rStyle w:val="Internetverknpfung"/>
            <w:lang w:val="el-GR"/>
          </w:rPr>
          <w:t>ὁτι</w:t>
        </w:r>
        <w:r>
          <w:rPr>
            <w:rStyle w:val="Internetverknpfung"/>
          </w:rPr>
          <w:t xml:space="preserve"> rezitativum</w:t>
        </w:r>
      </w:hyperlink>
    </w:p>
  </w:footnote>
  <w:footnote w:id="5048">
    <w:p>
      <w:pPr>
        <w:pStyle w:val="Funote"/>
        <w:rPr/>
      </w:pPr>
      <w:r>
        <w:rPr>
          <w:rStyle w:val="Funotenzeichen"/>
        </w:rPr>
        <w:footnoteRef/>
      </w:r>
      <w:r>
        <w:rPr/>
        <w:tab/>
        <w:t>Aposiopese: Der Nachsatz ist ausgelassen. Der Vordersatz ist ein Irrealis der Vergangenheit</w:t>
      </w:r>
    </w:p>
  </w:footnote>
  <w:footnote w:id="5049">
    <w:p>
      <w:pPr>
        <w:pStyle w:val="Funote"/>
        <w:rPr/>
      </w:pPr>
      <w:r>
        <w:rPr>
          <w:rStyle w:val="Funotenzeichen"/>
        </w:rPr>
        <w:footnoteRef/>
      </w:r>
      <w:r>
        <w:rPr/>
        <w:tab/>
        <w:t>"vor deinen Augen" ist hebraisierende Umschreibung der Präposition "vor", vgl. BDR § 259, Anm. 6</w:t>
      </w:r>
    </w:p>
  </w:footnote>
  <w:footnote w:id="5050">
    <w:p>
      <w:pPr>
        <w:pStyle w:val="Funote"/>
        <w:rPr/>
      </w:pPr>
      <w:r>
        <w:rPr>
          <w:rStyle w:val="Funotenzeichen"/>
        </w:rPr>
        <w:footnoteRef/>
      </w:r>
      <w:r>
        <w:rPr>
          <w:lang w:val="el-GR"/>
        </w:rPr>
        <w:tab/>
        <w:t>καί</w:t>
      </w:r>
      <w:r>
        <w:rPr/>
        <w:t xml:space="preserve"> steht bei Zeitbestimmungen für dt. "als" oder "dass"; hier ist es unklassisch verwendet i.S. von "dann" oder "dass", BDR § 442, Anm. 10</w:t>
      </w:r>
    </w:p>
  </w:footnote>
  <w:footnote w:id="5051">
    <w:p>
      <w:pPr>
        <w:pStyle w:val="Funote"/>
        <w:rPr/>
      </w:pPr>
      <w:r>
        <w:rPr>
          <w:rStyle w:val="Funotenzeichen"/>
        </w:rPr>
        <w:footnoteRef/>
      </w:r>
      <w:r>
        <w:rPr/>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5052">
    <w:p>
      <w:pPr>
        <w:pStyle w:val="Funote"/>
        <w:rPr/>
      </w:pPr>
      <w:r>
        <w:rPr>
          <w:rStyle w:val="Funotenzeichen"/>
        </w:rPr>
        <w:footnoteRef/>
      </w:r>
      <w:r>
        <w:rPr/>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5053">
    <w:p>
      <w:pPr>
        <w:pStyle w:val="Funote"/>
        <w:rPr/>
      </w:pPr>
      <w:r>
        <w:rPr>
          <w:rStyle w:val="Funotenzeichen"/>
        </w:rPr>
        <w:footnoteRef/>
      </w:r>
      <w:hyperlink r:id="rId523">
        <w:r>
          <w:rPr>
            <w:rStyle w:val="Internetverknpfung"/>
          </w:rPr>
          <w:tab/>
          <w:t>Ptz. coni.</w:t>
        </w:r>
      </w:hyperlink>
      <w:r>
        <w:rPr/>
        <w:t>, temporal aufgelöst</w:t>
      </w:r>
    </w:p>
  </w:footnote>
  <w:footnote w:id="5054">
    <w:p>
      <w:pPr>
        <w:pStyle w:val="Funote"/>
        <w:rPr/>
      </w:pPr>
      <w:r>
        <w:rPr>
          <w:rStyle w:val="Funotenzeichen"/>
        </w:rPr>
        <w:footnoteRef/>
      </w:r>
      <w:hyperlink r:id="rId524">
        <w:r>
          <w:rPr>
            <w:rStyle w:val="Internetverknpfung"/>
          </w:rPr>
          <w:tab/>
          <w:t>Ptz. coni.</w:t>
        </w:r>
      </w:hyperlink>
      <w:r>
        <w:rPr/>
        <w:t>, beiordnend aufgelöst</w:t>
      </w:r>
    </w:p>
  </w:footnote>
  <w:footnote w:id="5055">
    <w:p>
      <w:pPr>
        <w:pStyle w:val="Funote"/>
        <w:rPr/>
      </w:pPr>
      <w:r>
        <w:rPr>
          <w:rStyle w:val="Funotenzeichen"/>
        </w:rPr>
        <w:footnoteRef/>
      </w:r>
      <w:r>
        <w:rPr/>
        <w:tab/>
        <w:t>Wörtl.: war lehrend, Partizip Präs. + Hilfsverb im Imperfekt</w:t>
      </w:r>
    </w:p>
  </w:footnote>
  <w:footnote w:id="5056">
    <w:p>
      <w:pPr>
        <w:pStyle w:val="Funote"/>
        <w:rPr/>
      </w:pPr>
      <w:r>
        <w:rPr>
          <w:rStyle w:val="Funotenzeichen"/>
        </w:rPr>
        <w:footnoteRef/>
      </w:r>
      <w:r>
        <w:rPr/>
        <w:tab/>
        <w:t xml:space="preserve">So BW Sp. 479; wörtl.: hing an ihm hörend </w:t>
      </w:r>
      <w:hyperlink r:id="rId525">
        <w:r>
          <w:rPr>
            <w:rStyle w:val="Internetverknpfung"/>
          </w:rPr>
          <w:t>Ptz. coni.</w:t>
        </w:r>
      </w:hyperlink>
    </w:p>
  </w:footnote>
  <w:footnote w:id="5057">
    <w:p>
      <w:pPr>
        <w:pStyle w:val="Funote"/>
        <w:rPr/>
      </w:pPr>
      <w:r>
        <w:rPr>
          <w:rStyle w:val="Funotenzeichen"/>
        </w:rPr>
        <w:footnoteRef/>
      </w:r>
      <w:r>
        <w:rPr/>
        <w:tab/>
        <w:t>2xGen.abs.</w:t>
      </w:r>
    </w:p>
  </w:footnote>
  <w:footnote w:id="5058">
    <w:p>
      <w:pPr>
        <w:pStyle w:val="Funote"/>
        <w:rPr/>
      </w:pPr>
      <w:r>
        <w:rPr>
          <w:rStyle w:val="Funotenzeichen"/>
        </w:rPr>
        <w:footnoteRef/>
      </w:r>
      <w:r>
        <w:rPr/>
        <w:tab/>
        <w:t>Part.; 2x sagen, drückt aus, dass der Sprechakt sofort losgeht.</w:t>
      </w:r>
    </w:p>
  </w:footnote>
  <w:footnote w:id="5059">
    <w:p>
      <w:pPr>
        <w:pStyle w:val="Funote"/>
        <w:rPr/>
      </w:pPr>
      <w:r>
        <w:rPr>
          <w:rStyle w:val="Funotenzeichen"/>
        </w:rPr>
        <w:footnoteRef/>
      </w:r>
      <w:r>
        <w:rPr/>
        <w:tab/>
        <w:t>eig. „Geber“: Subst. Part. Aor.</w:t>
      </w:r>
    </w:p>
  </w:footnote>
  <w:footnote w:id="5060">
    <w:p>
      <w:pPr>
        <w:pStyle w:val="Funote"/>
        <w:rPr/>
      </w:pPr>
      <w:r>
        <w:rPr>
          <w:rStyle w:val="Funotenzeichen"/>
        </w:rPr>
        <w:footnoteRef/>
      </w:r>
      <w:r>
        <w:rPr/>
        <w:tab/>
        <w:t>Fut. mit finalen Sinn.</w:t>
      </w:r>
    </w:p>
  </w:footnote>
  <w:footnote w:id="5061">
    <w:p>
      <w:pPr>
        <w:pStyle w:val="Funote"/>
        <w:rPr/>
      </w:pPr>
      <w:r>
        <w:rPr>
          <w:rStyle w:val="Funotenzeichen"/>
        </w:rPr>
        <w:footnoteRef/>
      </w:r>
      <w:r>
        <w:rPr/>
        <w:tab/>
        <w:t>Wörtlich: Wort</w:t>
      </w:r>
    </w:p>
  </w:footnote>
  <w:footnote w:id="5062">
    <w:p>
      <w:pPr>
        <w:pStyle w:val="Funote"/>
        <w:rPr/>
      </w:pPr>
      <w:r>
        <w:rPr>
          <w:rStyle w:val="Funotenzeichen"/>
        </w:rPr>
        <w:footnoteRef/>
      </w:r>
      <w:r>
        <w:rPr/>
        <w:tab/>
        <w:t>Dieses Wort kommt nur hier vor.</w:t>
      </w:r>
    </w:p>
  </w:footnote>
  <w:footnote w:id="5063">
    <w:p>
      <w:pPr>
        <w:pStyle w:val="Funote"/>
        <w:rPr/>
      </w:pPr>
      <w:r>
        <w:rPr>
          <w:rStyle w:val="Funotenzeichen"/>
        </w:rPr>
        <w:footnoteRef/>
      </w:r>
      <w:r>
        <w:rPr/>
        <w:tab/>
        <w:t>Modales Ptz.</w:t>
      </w:r>
    </w:p>
  </w:footnote>
  <w:footnote w:id="5064">
    <w:p>
      <w:pPr>
        <w:pStyle w:val="Funote"/>
        <w:rPr/>
      </w:pPr>
      <w:r>
        <w:rPr>
          <w:rStyle w:val="Funotenzeichen"/>
        </w:rPr>
        <w:footnoteRef/>
      </w:r>
      <w:r>
        <w:rPr/>
        <w:tab/>
        <w:t xml:space="preserve">Hier wurde ein </w:t>
      </w:r>
      <w:hyperlink r:id="rId526">
        <w:r>
          <w:rPr>
            <w:rStyle w:val="Internetverknpfung"/>
            <w:lang w:val="el-GR"/>
          </w:rPr>
          <w:t>ὁτι</w:t>
        </w:r>
        <w:r>
          <w:rPr>
            <w:rStyle w:val="Internetverknpfung"/>
          </w:rPr>
          <w:t xml:space="preserve"> recitativum</w:t>
        </w:r>
      </w:hyperlink>
      <w:r>
        <w:rPr/>
        <w:t xml:space="preserve"> unübersetzt gelassen.</w:t>
      </w:r>
    </w:p>
  </w:footnote>
  <w:footnote w:id="5065">
    <w:p>
      <w:pPr>
        <w:pStyle w:val="Funote"/>
        <w:rPr/>
      </w:pPr>
      <w:r>
        <w:rPr>
          <w:rStyle w:val="Funotenzeichen"/>
        </w:rPr>
        <w:footnoteRef/>
      </w:r>
      <w:r>
        <w:rPr/>
        <w:tab/>
        <w:t>Gewöhnlicher, prospektiver Konditionalsatz; entsprechend in V. 6.</w:t>
      </w:r>
    </w:p>
  </w:footnote>
  <w:footnote w:id="5066">
    <w:p>
      <w:pPr>
        <w:pStyle w:val="Funote"/>
        <w:rPr/>
      </w:pPr>
      <w:r>
        <w:rPr>
          <w:rStyle w:val="Funotenzeichen"/>
        </w:rPr>
        <w:footnoteRef/>
      </w:r>
      <w:r>
        <w:rPr/>
        <w:tab/>
        <w:t>Wörtlich: „es ist“</w:t>
      </w:r>
    </w:p>
  </w:footnote>
  <w:footnote w:id="5067">
    <w:p>
      <w:pPr>
        <w:pStyle w:val="Funote"/>
        <w:rPr/>
      </w:pPr>
      <w:r>
        <w:rPr>
          <w:rStyle w:val="Funotenzeichen"/>
        </w:rPr>
        <w:footnoteRef/>
      </w:r>
      <w:r>
        <w:rPr>
          <w:i/>
        </w:rPr>
        <w:tab/>
        <w:t>die in der Stadt [sind]</w:t>
      </w:r>
      <w:r>
        <w:rPr/>
        <w:t xml:space="preserve"> W. „die in ihrer Mitte“. </w:t>
      </w:r>
    </w:p>
  </w:footnote>
  <w:footnote w:id="5068">
    <w:p>
      <w:pPr>
        <w:pStyle w:val="Funote"/>
        <w:rPr/>
      </w:pPr>
      <w:r>
        <w:rPr>
          <w:rStyle w:val="Funotenzeichen"/>
        </w:rPr>
        <w:footnoteRef/>
      </w:r>
      <w:r>
        <w:rPr/>
        <w:tab/>
        <w:t>in die Stadt gehen W. „in sie hineingehen“.</w:t>
      </w:r>
    </w:p>
  </w:footnote>
  <w:footnote w:id="5069">
    <w:p>
      <w:pPr>
        <w:pStyle w:val="Funote"/>
        <w:rPr/>
      </w:pPr>
      <w:r>
        <w:rPr>
          <w:rStyle w:val="Funotenzeichen"/>
        </w:rPr>
        <w:footnoteRef/>
      </w:r>
      <w:r>
        <w:rPr/>
        <w:tab/>
        <w:t>Fehlt in wichtigen Handschriften</w:t>
      </w:r>
    </w:p>
  </w:footnote>
  <w:footnote w:id="5070">
    <w:p>
      <w:pPr>
        <w:pStyle w:val="Funote"/>
        <w:rPr/>
      </w:pPr>
      <w:r>
        <w:rPr>
          <w:rStyle w:val="Funotenzeichen"/>
        </w:rPr>
        <w:footnoteRef/>
      </w:r>
      <w:r>
        <w:rPr/>
        <w:tab/>
        <w:t>Part. präs.</w:t>
      </w:r>
    </w:p>
  </w:footnote>
  <w:footnote w:id="5071">
    <w:p>
      <w:pPr>
        <w:pStyle w:val="Funote"/>
        <w:rPr/>
      </w:pPr>
      <w:r>
        <w:rPr>
          <w:rStyle w:val="Funotenzeichen"/>
        </w:rPr>
        <w:footnoteRef/>
      </w:r>
      <w:r>
        <w:rPr/>
        <w:tab/>
        <w:t>wörtl. dieser</w:t>
      </w:r>
    </w:p>
  </w:footnote>
  <w:footnote w:id="5072">
    <w:p>
      <w:pPr>
        <w:pStyle w:val="Funote"/>
        <w:rPr/>
      </w:pPr>
      <w:r>
        <w:rPr>
          <w:rStyle w:val="Funotenzeichen"/>
        </w:rPr>
        <w:footnoteRef/>
      </w:r>
      <w:r>
        <w:rPr/>
        <w:tab/>
        <w:t>Part. präs.</w:t>
      </w:r>
    </w:p>
  </w:footnote>
  <w:footnote w:id="5073">
    <w:p>
      <w:pPr>
        <w:pStyle w:val="Funote"/>
        <w:rPr/>
      </w:pPr>
      <w:r>
        <w:rPr>
          <w:rStyle w:val="Funotenzeichen"/>
        </w:rPr>
        <w:footnoteRef/>
      </w:r>
      <w:r>
        <w:rPr/>
        <w:tab/>
        <w:t>Part. präs.</w:t>
      </w:r>
    </w:p>
  </w:footnote>
  <w:footnote w:id="5074">
    <w:p>
      <w:pPr>
        <w:pStyle w:val="Funote"/>
        <w:rPr/>
      </w:pPr>
      <w:r>
        <w:rPr>
          <w:rStyle w:val="Funotenzeichen"/>
        </w:rPr>
        <w:footnoteRef/>
      </w:r>
      <w:r>
        <w:rPr/>
        <w:tab/>
        <w:t>wörtl. Gerechtes</w:t>
      </w:r>
    </w:p>
  </w:footnote>
  <w:footnote w:id="5075">
    <w:p>
      <w:pPr>
        <w:pStyle w:val="Funote"/>
        <w:rPr/>
      </w:pPr>
      <w:r>
        <w:rPr>
          <w:rStyle w:val="Funotenzeichen"/>
        </w:rPr>
        <w:footnoteRef/>
      </w:r>
      <w:r>
        <w:rPr/>
        <w:tab/>
        <w:t>wörtl. „eine Finsternis“</w:t>
      </w:r>
    </w:p>
  </w:footnote>
  <w:footnote w:id="5076">
    <w:p>
      <w:pPr>
        <w:pStyle w:val="Funote"/>
        <w:rPr/>
      </w:pPr>
      <w:r>
        <w:rPr>
          <w:rStyle w:val="Funotenzeichen"/>
        </w:rPr>
        <w:footnoteRef/>
      </w:r>
      <w:r>
        <w:rPr/>
        <w:tab/>
        <w:t>wörtl. „Brüste“</w:t>
      </w:r>
    </w:p>
  </w:footnote>
  <w:footnote w:id="5077">
    <w:p>
      <w:pPr>
        <w:pStyle w:val="Funote"/>
        <w:rPr/>
      </w:pPr>
      <w:r>
        <w:rPr>
          <w:rStyle w:val="Funotenzeichen"/>
        </w:rPr>
        <w:footnoteRef/>
      </w:r>
      <w:r>
        <w:rPr/>
        <w:tab/>
        <w:t xml:space="preserve">Part. Perf. Plur. </w:t>
      </w:r>
    </w:p>
  </w:footnote>
  <w:footnote w:id="5078">
    <w:p>
      <w:pPr>
        <w:pStyle w:val="Funote"/>
        <w:rPr/>
      </w:pPr>
      <w:r>
        <w:rPr>
          <w:rStyle w:val="Funotenzeichen"/>
        </w:rPr>
        <w:footnoteRef/>
      </w:r>
      <w:r>
        <w:rPr/>
        <w:tab/>
        <w:t>andere Lesart: in euren Herzen</w:t>
      </w:r>
    </w:p>
  </w:footnote>
  <w:footnote w:id="5079">
    <w:p>
      <w:pPr>
        <w:pStyle w:val="Funote"/>
        <w:rPr/>
      </w:pPr>
      <w:r>
        <w:rPr>
          <w:rStyle w:val="Funotenzeichen"/>
        </w:rPr>
        <w:footnoteRef/>
      </w:r>
      <w:r>
        <w:rPr/>
        <w:tab/>
        <w:t xml:space="preserve">griech </w:t>
      </w:r>
      <w:r>
        <w:rPr>
          <w:lang w:val="el-GR"/>
        </w:rPr>
        <w:t>ὅτι</w:t>
      </w:r>
      <w:r>
        <w:rPr/>
        <w:t xml:space="preserve"> bleibt unübersetzt</w:t>
      </w:r>
    </w:p>
  </w:footnote>
  <w:footnote w:id="5080">
    <w:p>
      <w:pPr>
        <w:pStyle w:val="Funote"/>
        <w:rPr/>
      </w:pPr>
      <w:r>
        <w:rPr>
          <w:rStyle w:val="Funotenzeichen"/>
        </w:rPr>
        <w:footnoteRef/>
      </w:r>
      <w:r>
        <w:rPr/>
        <w:tab/>
        <w:t>[Status: Ungeprüft]</w:t>
      </w:r>
    </w:p>
  </w:footnote>
  <w:footnote w:id="5081">
    <w:p>
      <w:pPr>
        <w:pStyle w:val="Funote"/>
        <w:rPr/>
      </w:pPr>
      <w:r>
        <w:rPr>
          <w:rStyle w:val="Funotenzeichen"/>
        </w:rPr>
        <w:footnoteRef/>
      </w:r>
      <w:r>
        <w:rPr/>
        <w:tab/>
        <w:t xml:space="preserve">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w:t>
      </w:r>
      <w:r>
        <w:rPr>
          <w:position w:val="7"/>
          <w:sz w:val="16"/>
        </w:rPr>
        <w:t>²</w:t>
      </w:r>
      <w:r>
        <w:rPr/>
        <w:t xml:space="preserve">1987, 6f.). </w:t>
      </w:r>
    </w:p>
  </w:footnote>
  <w:footnote w:id="5082">
    <w:p>
      <w:pPr>
        <w:pStyle w:val="Funote"/>
        <w:rPr/>
      </w:pPr>
      <w:r>
        <w:rPr>
          <w:rStyle w:val="Funotenzeichen"/>
        </w:rPr>
        <w:footnoteRef/>
      </w:r>
      <w:r>
        <w:rPr>
          <w:i/>
        </w:rPr>
        <w:tab/>
        <w:t>kann es nicht überwinden</w:t>
      </w:r>
      <w:r>
        <w:rPr/>
        <w:t xml:space="preserve"> So bei Interpretation als gnomischer Aorist. </w:t>
      </w:r>
    </w:p>
  </w:footnote>
  <w:footnote w:id="5083">
    <w:p>
      <w:pPr>
        <w:pStyle w:val="Funote"/>
        <w:rPr/>
      </w:pPr>
      <w:r>
        <w:rPr>
          <w:rStyle w:val="Funotenzeichen"/>
        </w:rPr>
        <w:footnoteRef/>
      </w:r>
      <w:r>
        <w:rPr>
          <w:i/>
        </w:rPr>
        <w:tab/>
        <w:t>namens Johannes</w:t>
      </w:r>
      <w:r>
        <w:rPr/>
        <w:t xml:space="preserve"> W. „Ihm [war der] Name Johannes.“</w:t>
      </w:r>
    </w:p>
  </w:footnote>
  <w:footnote w:id="5084">
    <w:p>
      <w:pPr>
        <w:pStyle w:val="Funote"/>
        <w:rPr/>
      </w:pPr>
      <w:r>
        <w:rPr>
          <w:rStyle w:val="Funotenzeichen"/>
        </w:rPr>
        <w:footnoteRef/>
      </w:r>
      <w:r>
        <w:rPr>
          <w:i/>
        </w:rPr>
        <w:tab/>
        <w:t>Er</w:t>
      </w:r>
      <w:r>
        <w:rPr/>
        <w:t xml:space="preserve">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 </w:t>
      </w:r>
    </w:p>
  </w:footnote>
  <w:footnote w:id="5085">
    <w:p>
      <w:pPr>
        <w:pStyle w:val="Funote"/>
        <w:rPr/>
      </w:pPr>
      <w:r>
        <w:rPr>
          <w:rStyle w:val="Funotenzeichen"/>
        </w:rPr>
        <w:footnoteRef/>
      </w:r>
      <w:r>
        <w:rPr>
          <w:i/>
        </w:rPr>
        <w:tab/>
        <w:t>denen, die an seinen Namen glauben (glaubten)</w:t>
      </w:r>
      <w:r>
        <w:rPr/>
        <w:t xml:space="preserve"> Subst. Ptz., als Relativsatz aufgelöst. </w:t>
      </w:r>
    </w:p>
  </w:footnote>
  <w:footnote w:id="5086">
    <w:p>
      <w:pPr>
        <w:pStyle w:val="Funote"/>
        <w:rPr/>
      </w:pPr>
      <w:r>
        <w:rPr>
          <w:rStyle w:val="Funotenzeichen"/>
        </w:rPr>
        <w:footnoteRef/>
      </w:r>
      <w:r>
        <w:rPr>
          <w:i/>
        </w:rPr>
        <w:tab/>
        <w:t>fleischlichem Willen</w:t>
      </w:r>
      <w:r>
        <w:rPr/>
        <w:t xml:space="preserve"> (W. „Willen [des] Fleisches“) und </w:t>
      </w:r>
      <w:r>
        <w:rPr>
          <w:i/>
        </w:rPr>
        <w:t>menschlichem Willen</w:t>
      </w:r>
      <w:r>
        <w:rPr/>
        <w:t xml:space="preserve"> (W. „Willen eines Mannes/Menschen“): epexegetischer bzw. subjektiver Genitiv. </w:t>
      </w:r>
    </w:p>
  </w:footnote>
  <w:footnote w:id="5087">
    <w:p>
      <w:pPr>
        <w:pStyle w:val="Funote"/>
        <w:rPr/>
      </w:pPr>
      <w:r>
        <w:rPr>
          <w:rStyle w:val="Funotenzeichen"/>
        </w:rPr>
        <w:footnoteRef/>
      </w:r>
      <w:r>
        <w:rPr>
          <w:i/>
        </w:rPr>
        <w:tab/>
        <w:t>die Worte (sagend)</w:t>
      </w:r>
      <w:r>
        <w:rPr/>
        <w:t xml:space="preserve"> Sinngemäße Wiedergabe des modalen adv. Ptz. </w:t>
      </w:r>
      <w:r>
        <w:rPr>
          <w:lang w:val="el-GR"/>
        </w:rPr>
        <w:t>λέγων</w:t>
      </w:r>
      <w:r>
        <w:rPr/>
        <w:t xml:space="preserve">, dessen Zweck die Markierung des Inhalts wörtlicher Rede ist. Nach „rief“ ist im Deutschen kein zweites solches Wort nötig. </w:t>
      </w:r>
    </w:p>
  </w:footnote>
  <w:footnote w:id="5088">
    <w:p>
      <w:pPr>
        <w:pStyle w:val="Funote"/>
        <w:rPr/>
      </w:pPr>
      <w:r>
        <w:rPr>
          <w:rStyle w:val="Funotenzeichen"/>
        </w:rPr>
        <w:footnoteRef/>
      </w:r>
      <w:r>
        <w:rPr/>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5089">
    <w:p>
      <w:pPr>
        <w:pStyle w:val="Funote"/>
        <w:rPr/>
      </w:pPr>
      <w:r>
        <w:rPr>
          <w:rStyle w:val="Funotenzeichen"/>
        </w:rPr>
        <w:footnoteRef/>
      </w:r>
      <w:r>
        <w:rPr>
          <w:i/>
        </w:rPr>
        <w:tab/>
        <w:t>[Der] einzige (einzigartige) Gott (Sohn)</w:t>
      </w:r>
      <w:r>
        <w:rPr/>
        <w:t xml:space="preserve"> Die Syntax ist hier kompliziert. Zur textkritischen Entscheidung zwischen </w:t>
      </w:r>
      <w:r>
        <w:rPr>
          <w:i/>
        </w:rPr>
        <w:t>Gott</w:t>
      </w:r>
      <w:r>
        <w:rPr/>
        <w:t xml:space="preserve"> und </w:t>
      </w:r>
      <w:r>
        <w:rPr>
          <w:i/>
        </w:rPr>
        <w:t>Sohn</w:t>
      </w:r>
      <w:r>
        <w:rPr/>
        <w:t xml:space="preserve"> s. die vorherige Fußnote. Die gegenwärtige Übersetzung geht </w:t>
      </w:r>
    </w:p>
  </w:footnote>
  <w:footnote w:id="5090">
    <w:p>
      <w:pPr>
        <w:pStyle w:val="Funote"/>
        <w:rPr/>
      </w:pPr>
      <w:r>
        <w:rPr>
          <w:rStyle w:val="Funotenzeichen"/>
        </w:rPr>
        <w:footnoteRef/>
      </w:r>
      <w:r>
        <w:rPr/>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5091">
    <w:p>
      <w:pPr>
        <w:pStyle w:val="Funote"/>
        <w:rPr/>
      </w:pPr>
      <w:r>
        <w:rPr>
          <w:rStyle w:val="Funotenzeichen"/>
        </w:rPr>
        <w:footnoteRef/>
      </w:r>
      <w:r>
        <w:rPr/>
        <w:tab/>
        <w:t>Cf. Vers 15.</w:t>
      </w:r>
    </w:p>
  </w:footnote>
  <w:footnote w:id="5092">
    <w:p>
      <w:pPr>
        <w:pStyle w:val="Funote"/>
        <w:rPr/>
      </w:pPr>
      <w:r>
        <w:rPr>
          <w:rStyle w:val="Funotenzeichen"/>
        </w:rPr>
        <w:footnoteRef/>
      </w:r>
      <w:r>
        <w:rPr/>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5093">
    <w:p>
      <w:pPr>
        <w:pStyle w:val="Funote"/>
        <w:rPr/>
      </w:pPr>
      <w:r>
        <w:rPr>
          <w:rStyle w:val="Funotenzeichen"/>
        </w:rPr>
        <w:footnoteRef/>
      </w:r>
      <w:r>
        <w:rPr/>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5094">
    <w:p>
      <w:pPr>
        <w:pStyle w:val="Funote"/>
        <w:rPr/>
      </w:pPr>
      <w:r>
        <w:rPr>
          <w:rStyle w:val="Funotenzeichen"/>
        </w:rPr>
        <w:footnoteRef/>
      </w:r>
      <w:r>
        <w:rPr/>
        <w:tab/>
        <w:t>Die Antwort Nathanaëls ist nicht notwendigerweise skeptisch zu verstehen. Cf. John F. McHugh, John 1-4: A Critical and Exegetical Commentary, S. 160 f.</w:t>
      </w:r>
    </w:p>
  </w:footnote>
  <w:footnote w:id="5095">
    <w:p>
      <w:pPr>
        <w:pStyle w:val="Funote"/>
        <w:rPr/>
      </w:pPr>
      <w:r>
        <w:rPr>
          <w:rStyle w:val="Funotenzeichen"/>
        </w:rPr>
        <w:footnoteRef/>
      </w:r>
      <w:r>
        <w:rPr/>
        <w:tab/>
        <w:t>Kann auch als Aussagesatz übersetzt werden. Cf. John F. McHugh, John 1-4: A Critical and Exegetical Commentary, S. 164.</w:t>
      </w:r>
    </w:p>
  </w:footnote>
  <w:footnote w:id="5096">
    <w:p>
      <w:pPr>
        <w:pStyle w:val="Funote"/>
        <w:rPr/>
      </w:pPr>
      <w:r>
        <w:rPr>
          <w:rStyle w:val="Funotenzeichen"/>
        </w:rPr>
        <w:footnoteRef/>
      </w:r>
      <w:r>
        <w:rPr/>
        <w:tab/>
        <w:t>[Status: Ungeprüft]</w:t>
      </w:r>
    </w:p>
  </w:footnote>
  <w:footnote w:id="5097">
    <w:p>
      <w:pPr>
        <w:pStyle w:val="Funote"/>
        <w:rPr/>
      </w:pPr>
      <w:r>
        <w:rPr>
          <w:rStyle w:val="Funotenzeichen"/>
        </w:rPr>
        <w:footnoteRef/>
      </w:r>
      <w:r>
        <w:rPr/>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5098">
    <w:p>
      <w:pPr>
        <w:pStyle w:val="Funote"/>
        <w:rPr/>
      </w:pPr>
      <w:r>
        <w:rPr>
          <w:rStyle w:val="Funotenzeichen"/>
        </w:rPr>
        <w:footnoteRef/>
      </w:r>
      <w:r>
        <w:rPr/>
        <w:tab/>
        <w:t>Da das attische Maß fast 40 Litern entspricht, fasste jeder der Krüge also zwischen (knapp) 80 und 120 Liter.</w:t>
      </w:r>
    </w:p>
  </w:footnote>
  <w:footnote w:id="5099">
    <w:p>
      <w:pPr>
        <w:pStyle w:val="Funote"/>
        <w:rPr/>
      </w:pPr>
      <w:r>
        <w:rPr>
          <w:rStyle w:val="Funotenzeichen"/>
        </w:rPr>
        <w:footnoteRef/>
      </w:r>
      <w:r>
        <w:rPr/>
        <w:tab/>
        <w:t>D.h. alle Händler.</w:t>
      </w:r>
    </w:p>
  </w:footnote>
  <w:footnote w:id="5100">
    <w:p>
      <w:pPr>
        <w:pStyle w:val="Funote"/>
        <w:rPr/>
      </w:pPr>
      <w:r>
        <w:rPr>
          <w:rStyle w:val="Funotenzeichen"/>
        </w:rPr>
        <w:footnoteRef/>
      </w:r>
      <w:r>
        <w:rPr/>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5101">
    <w:p>
      <w:pPr>
        <w:pStyle w:val="Funote"/>
        <w:rPr/>
      </w:pPr>
      <w:r>
        <w:rPr>
          <w:rStyle w:val="Funotenzeichen"/>
        </w:rPr>
        <w:footnoteRef/>
      </w:r>
      <w:r>
        <w:rPr/>
        <w:tab/>
        <w:t>[Status: Ungeprüft]</w:t>
      </w:r>
    </w:p>
  </w:footnote>
  <w:footnote w:id="5102">
    <w:p>
      <w:pPr>
        <w:pStyle w:val="Funote"/>
        <w:rPr/>
      </w:pPr>
      <w:r>
        <w:rPr>
          <w:rStyle w:val="Funotenzeichen"/>
        </w:rPr>
        <w:footnoteRef/>
      </w:r>
      <w:r>
        <w:rPr/>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5103">
    <w:p>
      <w:pPr>
        <w:pStyle w:val="Funote"/>
        <w:rPr/>
      </w:pPr>
      <w:r>
        <w:rPr>
          <w:rStyle w:val="Funotenzeichen"/>
        </w:rPr>
        <w:footnoteRef/>
      </w:r>
      <w:r>
        <w:rPr/>
        <w:tab/>
        <w:t>D.h. Gott.</w:t>
      </w:r>
    </w:p>
  </w:footnote>
  <w:footnote w:id="5104">
    <w:p>
      <w:pPr>
        <w:pStyle w:val="Funote"/>
        <w:rPr/>
      </w:pPr>
      <w:r>
        <w:rPr>
          <w:rStyle w:val="Funotenzeichen"/>
        </w:rPr>
        <w:footnoteRef/>
      </w:r>
      <w:r>
        <w:rPr/>
        <w:tab/>
        <w:t>[Status: Ungeprüft]</w:t>
      </w:r>
    </w:p>
  </w:footnote>
  <w:footnote w:id="5105">
    <w:p>
      <w:pPr>
        <w:pStyle w:val="Funote"/>
        <w:rPr/>
      </w:pPr>
      <w:r>
        <w:rPr>
          <w:rStyle w:val="Funotenzeichen"/>
        </w:rPr>
        <w:footnoteRef/>
      </w:r>
      <w:r>
        <w:rPr/>
        <w:tab/>
        <w:t>Partizip zu Nebensatz aufgelöst</w:t>
      </w:r>
    </w:p>
  </w:footnote>
  <w:footnote w:id="5106">
    <w:p>
      <w:pPr>
        <w:pStyle w:val="Funote"/>
        <w:rPr/>
      </w:pPr>
      <w:r>
        <w:rPr>
          <w:rStyle w:val="Funotenzeichen"/>
        </w:rPr>
        <w:footnoteRef/>
      </w:r>
      <w:r>
        <w:rPr/>
        <w:tab/>
        <w:t>[Status: Ungeprüft]</w:t>
      </w:r>
    </w:p>
  </w:footnote>
  <w:footnote w:id="5107">
    <w:p>
      <w:pPr>
        <w:pStyle w:val="Funote"/>
        <w:rPr/>
      </w:pPr>
      <w:r>
        <w:rPr>
          <w:rStyle w:val="Funotenzeichen"/>
        </w:rPr>
        <w:footnoteRef/>
      </w:r>
      <w:r>
        <w:rPr/>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5108">
    <w:p>
      <w:pPr>
        <w:pStyle w:val="Funote"/>
        <w:rPr/>
      </w:pPr>
      <w:r>
        <w:rPr>
          <w:rStyle w:val="Funotenzeichen"/>
        </w:rPr>
        <w:footnoteRef/>
      </w:r>
      <w:r>
        <w:rPr/>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5109">
    <w:p>
      <w:pPr>
        <w:pStyle w:val="Funote"/>
        <w:rPr/>
      </w:pPr>
      <w:r>
        <w:rPr>
          <w:rStyle w:val="Funotenzeichen"/>
        </w:rPr>
        <w:footnoteRef/>
      </w:r>
      <w:r>
        <w:rPr/>
        <w:tab/>
        <w:t>Bei diesem Vers, wie bei einem hier ebenfalls nicht übersetzten zweiten Teil von Vers 3, handelt es sich wohl um spätere erläuternde Zusätze zum ursprünglichen Text.</w:t>
      </w:r>
    </w:p>
  </w:footnote>
  <w:footnote w:id="5110">
    <w:p>
      <w:pPr>
        <w:pStyle w:val="Funote"/>
        <w:rPr/>
      </w:pPr>
      <w:r>
        <w:rPr>
          <w:rStyle w:val="Funotenzeichen"/>
        </w:rPr>
        <w:footnoteRef/>
      </w:r>
      <w:r>
        <w:rPr/>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5111">
    <w:p>
      <w:pPr>
        <w:pStyle w:val="Funote"/>
        <w:rPr/>
      </w:pPr>
      <w:r>
        <w:rPr>
          <w:rStyle w:val="Funotenzeichen"/>
        </w:rPr>
        <w:footnoteRef/>
      </w:r>
      <w:r>
        <w:rPr/>
        <w:tab/>
        <w:t>[Status: Ungeprüft]</w:t>
      </w:r>
    </w:p>
  </w:footnote>
  <w:footnote w:id="5112">
    <w:p>
      <w:pPr>
        <w:pStyle w:val="Funote"/>
        <w:rPr/>
      </w:pPr>
      <w:r>
        <w:rPr>
          <w:rStyle w:val="Funotenzeichen"/>
        </w:rPr>
        <w:footnoteRef/>
      </w:r>
      <w:r>
        <w:rPr/>
        <w:tab/>
        <w:t>Partizip</w:t>
      </w:r>
    </w:p>
  </w:footnote>
  <w:footnote w:id="5113">
    <w:p>
      <w:pPr>
        <w:pStyle w:val="Funote"/>
        <w:rPr/>
      </w:pPr>
      <w:r>
        <w:rPr>
          <w:rStyle w:val="Funotenzeichen"/>
        </w:rPr>
        <w:footnoteRef/>
      </w:r>
      <w:r>
        <w:rPr/>
        <w:tab/>
        <w:t>Partizip Aorist</w:t>
      </w:r>
    </w:p>
  </w:footnote>
  <w:footnote w:id="5114">
    <w:p>
      <w:pPr>
        <w:pStyle w:val="Funote"/>
        <w:rPr/>
      </w:pPr>
      <w:r>
        <w:rPr>
          <w:rStyle w:val="Funotenzeichen"/>
        </w:rPr>
        <w:footnoteRef/>
      </w:r>
      <w:r>
        <w:rPr/>
        <w:tab/>
        <w:t>Partizip Aorist</w:t>
      </w:r>
    </w:p>
  </w:footnote>
  <w:footnote w:id="5115">
    <w:p>
      <w:pPr>
        <w:pStyle w:val="Funote"/>
        <w:rPr/>
      </w:pPr>
      <w:r>
        <w:rPr>
          <w:rStyle w:val="Funotenzeichen"/>
        </w:rPr>
        <w:footnoteRef/>
      </w:r>
      <w:r>
        <w:rPr/>
        <w:tab/>
        <w:t>Partizip Präs.</w:t>
      </w:r>
    </w:p>
  </w:footnote>
  <w:footnote w:id="5116">
    <w:p>
      <w:pPr>
        <w:pStyle w:val="Funote"/>
        <w:rPr/>
      </w:pPr>
      <w:r>
        <w:rPr>
          <w:rStyle w:val="Funotenzeichen"/>
        </w:rPr>
        <w:footnoteRef/>
      </w:r>
      <w:r>
        <w:rPr/>
        <w:tab/>
        <w:t>Genitivus pretii</w:t>
      </w:r>
    </w:p>
  </w:footnote>
  <w:footnote w:id="5117">
    <w:p>
      <w:pPr>
        <w:pStyle w:val="Funote"/>
        <w:rPr/>
      </w:pPr>
      <w:r>
        <w:rPr>
          <w:rStyle w:val="Funotenzeichen"/>
        </w:rPr>
        <w:footnoteRef/>
      </w:r>
      <w:r>
        <w:rPr/>
        <w:tab/>
        <w:t>Neutr. Pl.</w:t>
      </w:r>
    </w:p>
  </w:footnote>
  <w:footnote w:id="5118">
    <w:p>
      <w:pPr>
        <w:pStyle w:val="Funote"/>
        <w:rPr/>
      </w:pPr>
      <w:r>
        <w:rPr>
          <w:rStyle w:val="Funotenzeichen"/>
        </w:rPr>
        <w:footnoteRef/>
      </w:r>
      <w:r>
        <w:rPr/>
        <w:tab/>
        <w:t>Partizip Aor., temporal aufgelöst</w:t>
      </w:r>
    </w:p>
  </w:footnote>
  <w:footnote w:id="5119">
    <w:p>
      <w:pPr>
        <w:pStyle w:val="Funote"/>
        <w:rPr/>
      </w:pPr>
      <w:r>
        <w:rPr>
          <w:rStyle w:val="Funotenzeichen"/>
        </w:rPr>
        <w:footnoteRef/>
      </w:r>
      <w:r>
        <w:rPr/>
        <w:tab/>
        <w:t>wörtl.: übrig seiend, Partizip Aorist</w:t>
      </w:r>
    </w:p>
  </w:footnote>
  <w:footnote w:id="5120">
    <w:p>
      <w:pPr>
        <w:pStyle w:val="Funote"/>
        <w:rPr/>
      </w:pPr>
      <w:r>
        <w:rPr>
          <w:rStyle w:val="Funotenzeichen"/>
        </w:rPr>
        <w:footnoteRef/>
      </w:r>
      <w:r>
        <w:rPr/>
        <w:tab/>
        <w:t>wörtl.: nicht etwas</w:t>
      </w:r>
    </w:p>
  </w:footnote>
  <w:footnote w:id="5121">
    <w:p>
      <w:pPr>
        <w:pStyle w:val="Funote"/>
        <w:rPr/>
      </w:pPr>
      <w:r>
        <w:rPr>
          <w:rStyle w:val="Funotenzeichen"/>
        </w:rPr>
        <w:footnoteRef/>
      </w:r>
      <w:r>
        <w:rPr/>
        <w:tab/>
        <w:t>Partizip Perf.</w:t>
      </w:r>
    </w:p>
  </w:footnote>
  <w:footnote w:id="5122">
    <w:p>
      <w:pPr>
        <w:pStyle w:val="Funote"/>
        <w:rPr/>
      </w:pPr>
      <w:r>
        <w:rPr>
          <w:rStyle w:val="Funotenzeichen"/>
        </w:rPr>
        <w:footnoteRef/>
      </w:r>
      <w:r>
        <w:rPr/>
        <w:tab/>
        <w:t>Partizip Aor.</w:t>
      </w:r>
    </w:p>
  </w:footnote>
  <w:footnote w:id="5123">
    <w:p>
      <w:pPr>
        <w:pStyle w:val="Funote"/>
        <w:rPr/>
      </w:pPr>
      <w:r>
        <w:rPr>
          <w:rStyle w:val="Funotenzeichen"/>
        </w:rPr>
        <w:footnoteRef/>
      </w:r>
      <w:r>
        <w:rPr/>
        <w:tab/>
        <w:t>oti zitativum</w:t>
      </w:r>
    </w:p>
  </w:footnote>
  <w:footnote w:id="5124">
    <w:p>
      <w:pPr>
        <w:pStyle w:val="Funote"/>
        <w:rPr/>
      </w:pPr>
      <w:r>
        <w:rPr>
          <w:rStyle w:val="Funotenzeichen"/>
        </w:rPr>
        <w:footnoteRef/>
      </w:r>
      <w:r>
        <w:rPr/>
        <w:tab/>
        <w:t>Partizip Aor.</w:t>
      </w:r>
    </w:p>
  </w:footnote>
  <w:footnote w:id="5125">
    <w:p>
      <w:pPr>
        <w:pStyle w:val="Funote"/>
        <w:rPr/>
      </w:pPr>
      <w:r>
        <w:rPr>
          <w:rStyle w:val="Funotenzeichen"/>
        </w:rPr>
        <w:footnoteRef/>
      </w:r>
      <w:r>
        <w:rPr/>
        <w:tab/>
        <w:t>Partizip Aor.</w:t>
      </w:r>
    </w:p>
  </w:footnote>
  <w:footnote w:id="5126">
    <w:p>
      <w:pPr>
        <w:pStyle w:val="Funote"/>
        <w:rPr/>
      </w:pPr>
      <w:r>
        <w:rPr>
          <w:rStyle w:val="Funotenzeichen"/>
        </w:rPr>
        <w:footnoteRef/>
      </w:r>
      <w:r>
        <w:rPr/>
        <w:tab/>
        <w:t>ein kleineres Fahrzeug, im klass. Griechentum mit Segel, hier offenbar ein Ruderboot, vgl. V. 19</w:t>
      </w:r>
    </w:p>
  </w:footnote>
  <w:footnote w:id="5127">
    <w:p>
      <w:pPr>
        <w:pStyle w:val="Funote"/>
        <w:rPr/>
      </w:pPr>
      <w:r>
        <w:rPr>
          <w:rStyle w:val="Funotenzeichen"/>
        </w:rPr>
        <w:footnoteRef/>
      </w:r>
      <w:r>
        <w:rPr/>
        <w:tab/>
        <w:t>wörtl.: geworden</w:t>
      </w:r>
    </w:p>
  </w:footnote>
  <w:footnote w:id="5128">
    <w:p>
      <w:pPr>
        <w:pStyle w:val="Funote"/>
        <w:rPr/>
      </w:pPr>
      <w:r>
        <w:rPr>
          <w:rStyle w:val="Funotenzeichen"/>
        </w:rPr>
        <w:footnoteRef/>
      </w:r>
      <w:r>
        <w:rPr/>
        <w:tab/>
        <w:t>Partizip Präs.</w:t>
      </w:r>
    </w:p>
  </w:footnote>
  <w:footnote w:id="5129">
    <w:p>
      <w:pPr>
        <w:pStyle w:val="Funote"/>
        <w:rPr/>
      </w:pPr>
      <w:r>
        <w:rPr>
          <w:rStyle w:val="Funotenzeichen"/>
        </w:rPr>
        <w:footnoteRef/>
      </w:r>
      <w:r>
        <w:rPr/>
        <w:tab/>
        <w:t>Partizip Perf., temporal aufgel.</w:t>
      </w:r>
    </w:p>
  </w:footnote>
  <w:footnote w:id="5130">
    <w:p>
      <w:pPr>
        <w:pStyle w:val="Funote"/>
        <w:rPr/>
      </w:pPr>
      <w:r>
        <w:rPr>
          <w:rStyle w:val="Funotenzeichen"/>
        </w:rPr>
        <w:footnoteRef/>
      </w:r>
      <w:r>
        <w:rPr/>
        <w:tab/>
        <w:t>Längenmaß = 192m, also 4,8 - 5,8 km</w:t>
      </w:r>
    </w:p>
  </w:footnote>
  <w:footnote w:id="5131">
    <w:p>
      <w:pPr>
        <w:pStyle w:val="Funote"/>
        <w:rPr/>
      </w:pPr>
      <w:r>
        <w:rPr>
          <w:rStyle w:val="Funotenzeichen"/>
        </w:rPr>
        <w:footnoteRef/>
      </w:r>
      <w:r>
        <w:rPr/>
        <w:tab/>
        <w:t>Partizip</w:t>
      </w:r>
    </w:p>
  </w:footnote>
  <w:footnote w:id="5132">
    <w:p>
      <w:pPr>
        <w:pStyle w:val="Funote"/>
        <w:rPr/>
      </w:pPr>
      <w:r>
        <w:rPr>
          <w:rStyle w:val="Funotenzeichen"/>
        </w:rPr>
        <w:footnoteRef/>
      </w:r>
      <w:r>
        <w:rPr/>
        <w:tab/>
        <w:t>Partizip</w:t>
      </w:r>
    </w:p>
  </w:footnote>
  <w:footnote w:id="5133">
    <w:p>
      <w:pPr>
        <w:pStyle w:val="Funote"/>
        <w:rPr/>
      </w:pPr>
      <w:r>
        <w:rPr>
          <w:rStyle w:val="Funotenzeichen"/>
        </w:rPr>
        <w:footnoteRef/>
      </w:r>
      <w:r>
        <w:rPr/>
        <w:tab/>
        <w:t>Im Griechischen Plural.</w:t>
      </w:r>
    </w:p>
  </w:footnote>
  <w:footnote w:id="5134">
    <w:p>
      <w:pPr>
        <w:pStyle w:val="Funote"/>
        <w:rPr/>
      </w:pPr>
      <w:r>
        <w:rPr>
          <w:rStyle w:val="Funotenzeichen"/>
        </w:rPr>
        <w:footnoteRef/>
      </w:r>
      <w:r>
        <w:rPr/>
        <w:tab/>
        <w:t>Wie Vers 17 spricht Vers 22 von der anderen Seite des Sees (</w:t>
      </w:r>
      <w:r>
        <w:rPr>
          <w:lang w:val="el-GR"/>
        </w:rPr>
        <w:t>πέραν τῆς θαλάσσης</w:t>
      </w:r>
      <w:r>
        <w:rPr/>
        <w:t xml:space="preserve">). Die folgenden Verse verdeutlichen, daß zwischen den Versen der Bezugspunkt gewechselt wurde und in Vers 22 von der Stelle die Rede ist, wo das Brotwunder stattfand. </w:t>
      </w:r>
    </w:p>
  </w:footnote>
  <w:footnote w:id="5135">
    <w:p>
      <w:pPr>
        <w:pStyle w:val="Funote"/>
        <w:rPr/>
      </w:pPr>
      <w:r>
        <w:rPr>
          <w:rStyle w:val="Funotenzeichen"/>
        </w:rPr>
        <w:footnoteRef/>
      </w:r>
      <w:r>
        <w:rPr/>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5136">
    <w:p>
      <w:pPr>
        <w:pStyle w:val="Funote"/>
        <w:rPr/>
      </w:pPr>
      <w:r>
        <w:rPr>
          <w:rStyle w:val="Funotenzeichen"/>
        </w:rPr>
        <w:footnoteRef/>
      </w:r>
      <w:r>
        <w:rPr/>
        <w:tab/>
        <w:t>Werk Gottes: Es fällt auf, dass hier die "Werke Gottes" (V. 27) im Singular aufgegriffen werden: das ist die eine Sache, die ihr tun sollt.</w:t>
      </w:r>
    </w:p>
  </w:footnote>
  <w:footnote w:id="5137">
    <w:p>
      <w:pPr>
        <w:pStyle w:val="Funote"/>
        <w:rPr/>
      </w:pPr>
      <w:r>
        <w:rPr>
          <w:rStyle w:val="Funotenzeichen"/>
        </w:rPr>
        <w:footnoteRef/>
      </w:r>
      <w:r>
        <w:rPr/>
        <w:tab/>
        <w:t>Partizip, relativisch aufgelöst</w:t>
      </w:r>
    </w:p>
  </w:footnote>
  <w:footnote w:id="5138">
    <w:p>
      <w:pPr>
        <w:pStyle w:val="Funote"/>
        <w:rPr/>
      </w:pPr>
      <w:r>
        <w:rPr>
          <w:rStyle w:val="Funotenzeichen"/>
        </w:rPr>
        <w:footnoteRef/>
      </w:r>
      <w:r>
        <w:rPr/>
        <w:tab/>
        <w:t>Partizip, relativisch aufgelöst</w:t>
      </w:r>
    </w:p>
  </w:footnote>
  <w:footnote w:id="5139">
    <w:p>
      <w:pPr>
        <w:pStyle w:val="Funote"/>
        <w:rPr/>
      </w:pPr>
      <w:r>
        <w:rPr>
          <w:rStyle w:val="Funotenzeichen"/>
        </w:rPr>
        <w:footnoteRef/>
      </w:r>
      <w:r>
        <w:rPr/>
        <w:tab/>
        <w:t>Partizip</w:t>
      </w:r>
    </w:p>
  </w:footnote>
  <w:footnote w:id="5140">
    <w:p>
      <w:pPr>
        <w:pStyle w:val="Funote"/>
        <w:rPr/>
      </w:pPr>
      <w:r>
        <w:rPr>
          <w:rStyle w:val="Funotenzeichen"/>
        </w:rPr>
        <w:footnoteRef/>
      </w:r>
      <w:r>
        <w:rPr/>
        <w:tab/>
        <w:t>Part. präs.</w:t>
      </w:r>
    </w:p>
  </w:footnote>
  <w:footnote w:id="5141">
    <w:p>
      <w:pPr>
        <w:pStyle w:val="Funote"/>
        <w:rPr/>
      </w:pPr>
      <w:r>
        <w:rPr>
          <w:rStyle w:val="Funotenzeichen"/>
        </w:rPr>
        <w:footnoteRef/>
      </w:r>
      <w:r>
        <w:rPr/>
        <w:tab/>
        <w:t>Part. präs.</w:t>
      </w:r>
    </w:p>
  </w:footnote>
  <w:footnote w:id="5142">
    <w:p>
      <w:pPr>
        <w:pStyle w:val="Funote"/>
        <w:rPr/>
      </w:pPr>
      <w:r>
        <w:rPr>
          <w:rStyle w:val="Funotenzeichen"/>
        </w:rPr>
        <w:footnoteRef/>
      </w:r>
      <w:r>
        <w:rPr/>
        <w:tab/>
        <w:t>Part. präs.</w:t>
      </w:r>
    </w:p>
  </w:footnote>
  <w:footnote w:id="5143">
    <w:p>
      <w:pPr>
        <w:pStyle w:val="Funote"/>
        <w:rPr/>
      </w:pPr>
      <w:r>
        <w:rPr>
          <w:rStyle w:val="Funotenzeichen"/>
        </w:rPr>
        <w:footnoteRef/>
      </w:r>
      <w:r>
        <w:rPr/>
        <w:tab/>
        <w:t>Griech. Singular mit Rückbezug auf „Worte“ neutr. plur.</w:t>
      </w:r>
    </w:p>
  </w:footnote>
  <w:footnote w:id="5144">
    <w:p>
      <w:pPr>
        <w:pStyle w:val="Funote"/>
        <w:rPr/>
      </w:pPr>
      <w:r>
        <w:rPr>
          <w:rStyle w:val="Funotenzeichen"/>
        </w:rPr>
        <w:footnoteRef/>
      </w:r>
      <w:r>
        <w:rPr/>
        <w:tab/>
        <w:t>Part. präs.</w:t>
      </w:r>
    </w:p>
  </w:footnote>
  <w:footnote w:id="5145">
    <w:p>
      <w:pPr>
        <w:pStyle w:val="Funote"/>
        <w:rPr/>
      </w:pPr>
      <w:r>
        <w:rPr>
          <w:rStyle w:val="Funotenzeichen"/>
        </w:rPr>
        <w:footnoteRef/>
      </w:r>
      <w:r>
        <w:rPr/>
        <w:tab/>
        <w:t>Part. präs.</w:t>
      </w:r>
    </w:p>
  </w:footnote>
  <w:footnote w:id="5146">
    <w:p>
      <w:pPr>
        <w:pStyle w:val="Funote"/>
        <w:rPr/>
      </w:pPr>
      <w:r>
        <w:rPr>
          <w:rStyle w:val="Funotenzeichen"/>
        </w:rPr>
        <w:footnoteRef/>
      </w:r>
      <w:r>
        <w:rPr/>
        <w:tab/>
        <w:t>[Status: Ungeprüft]</w:t>
      </w:r>
    </w:p>
  </w:footnote>
  <w:footnote w:id="5147">
    <w:p>
      <w:pPr>
        <w:pStyle w:val="Funote"/>
        <w:rPr/>
      </w:pPr>
      <w:r>
        <w:rPr>
          <w:rStyle w:val="Funotenzeichen"/>
        </w:rPr>
        <w:footnoteRef/>
      </w:r>
      <w:r>
        <w:rPr>
          <w:lang w:val="el-GR"/>
        </w:rPr>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5148">
    <w:p>
      <w:pPr>
        <w:pStyle w:val="Funote"/>
        <w:rPr/>
      </w:pPr>
      <w:r>
        <w:rPr>
          <w:rStyle w:val="Funotenzeichen"/>
        </w:rPr>
        <w:footnoteRef/>
      </w:r>
      <w:r>
        <w:rPr/>
        <w:tab/>
        <w:t>D.h. den Willen dessen, der Jesus gesandt hat.</w:t>
      </w:r>
    </w:p>
  </w:footnote>
  <w:footnote w:id="5149">
    <w:p>
      <w:pPr>
        <w:pStyle w:val="Funote"/>
        <w:rPr/>
      </w:pPr>
      <w:r>
        <w:rPr>
          <w:rStyle w:val="Funotenzeichen"/>
        </w:rPr>
        <w:footnoteRef/>
      </w:r>
      <w:r>
        <w:rPr/>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5150">
    <w:p>
      <w:pPr>
        <w:pStyle w:val="Funote"/>
        <w:rPr/>
      </w:pPr>
      <w:r>
        <w:rPr>
          <w:rStyle w:val="Funotenzeichen"/>
        </w:rPr>
        <w:footnoteRef/>
      </w:r>
      <w:r>
        <w:rPr/>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5151">
    <w:p>
      <w:pPr>
        <w:pStyle w:val="Funote"/>
        <w:rPr/>
      </w:pPr>
      <w:r>
        <w:rPr>
          <w:rStyle w:val="Funotenzeichen"/>
        </w:rPr>
        <w:footnoteRef/>
      </w:r>
      <w:r>
        <w:rPr/>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5152">
    <w:p>
      <w:pPr>
        <w:pStyle w:val="Funote"/>
        <w:rPr/>
      </w:pPr>
      <w:r>
        <w:rPr>
          <w:rStyle w:val="Funotenzeichen"/>
        </w:rPr>
        <w:footnoteRef/>
      </w:r>
      <w:r>
        <w:rPr/>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5153">
    <w:p>
      <w:pPr>
        <w:pStyle w:val="Funote"/>
        <w:rPr/>
      </w:pPr>
      <w:r>
        <w:rPr>
          <w:rStyle w:val="Funotenzeichen"/>
        </w:rPr>
        <w:footnoteRef/>
      </w:r>
      <w:r>
        <w:rPr/>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5154">
    <w:p>
      <w:pPr>
        <w:pStyle w:val="Funote"/>
        <w:rPr/>
      </w:pPr>
      <w:r>
        <w:rPr>
          <w:rStyle w:val="Funotenzeichen"/>
        </w:rPr>
        <w:footnoteRef/>
      </w:r>
      <w:r>
        <w:rPr/>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5155">
    <w:p>
      <w:pPr>
        <w:pStyle w:val="Funote"/>
        <w:rPr/>
      </w:pPr>
      <w:r>
        <w:rPr>
          <w:rStyle w:val="Funotenzeichen"/>
        </w:rPr>
        <w:footnoteRef/>
      </w:r>
      <w:r>
        <w:rPr/>
        <w:tab/>
        <w:t>Andere Übersetzungsmöglichkeit: „Er (d.h. Jesus) war noch nicht Geist“.</w:t>
      </w:r>
    </w:p>
  </w:footnote>
  <w:footnote w:id="5156">
    <w:p>
      <w:pPr>
        <w:pStyle w:val="Funote"/>
        <w:rPr/>
      </w:pPr>
      <w:r>
        <w:rPr>
          <w:rStyle w:val="Funotenzeichen"/>
        </w:rPr>
        <w:footnoteRef/>
      </w:r>
      <w:r>
        <w:rPr/>
        <w:tab/>
        <w:t xml:space="preserve">Der Vers Joh 7,53 ist auf der Seite </w:t>
      </w:r>
      <w:hyperlink r:id="rId527">
        <w:r>
          <w:rPr>
            <w:rStyle w:val="Internetverknpfung"/>
          </w:rPr>
          <w:t>Johannes 7,53-8,11</w:t>
        </w:r>
      </w:hyperlink>
      <w:r>
        <w:rPr/>
        <w:t xml:space="preserve"> zu finden. Zu Details siehe die Einleitung dort. </w:t>
      </w:r>
    </w:p>
  </w:footnote>
  <w:footnote w:id="5157">
    <w:p>
      <w:pPr>
        <w:pStyle w:val="Funote"/>
        <w:rPr/>
      </w:pPr>
      <w:r>
        <w:rPr>
          <w:rStyle w:val="Funotenzeichen"/>
        </w:rPr>
        <w:footnoteRef/>
      </w:r>
      <w:r>
        <w:rPr/>
        <w:tab/>
        <w:t>[Status: Ungeprüft]</w:t>
      </w:r>
    </w:p>
  </w:footnote>
  <w:footnote w:id="5158">
    <w:p>
      <w:pPr>
        <w:pStyle w:val="Funote"/>
        <w:rPr/>
      </w:pPr>
      <w:r>
        <w:rPr>
          <w:rStyle w:val="Funotenzeichen"/>
        </w:rPr>
        <w:footnoteRef/>
      </w:r>
      <w:r>
        <w:rPr/>
        <w:tab/>
        <w:t xml:space="preserve">Die Verse Joh 8,1-11 sind auf der Seite </w:t>
      </w:r>
      <w:hyperlink r:id="rId528">
        <w:r>
          <w:rPr>
            <w:rStyle w:val="Internetverknpfung"/>
          </w:rPr>
          <w:t>Johannes 7,53-8,11</w:t>
        </w:r>
      </w:hyperlink>
      <w:r>
        <w:rPr/>
        <w:t xml:space="preserve"> zu finden. Zu Details siehe die Einleitung dort. </w:t>
      </w:r>
    </w:p>
  </w:footnote>
  <w:footnote w:id="5159">
    <w:p>
      <w:pPr>
        <w:pStyle w:val="Funote"/>
        <w:rPr/>
      </w:pPr>
      <w:r>
        <w:rPr>
          <w:rStyle w:val="Funotenzeichen"/>
        </w:rPr>
        <w:footnoteRef/>
      </w:r>
      <w:r>
        <w:rPr/>
        <w:tab/>
        <w:t>Gemeint ist wohl „die Halle im Frauenhof, in der dreizehn Geldbehälter waren“ und die für Frauen und Männer zugänglich war. Cf. Benedikt Schwank, Evangelium nach Johannes, St. Ottilien 1998, S. 254.</w:t>
      </w:r>
    </w:p>
  </w:footnote>
  <w:footnote w:id="5160">
    <w:p>
      <w:pPr>
        <w:pStyle w:val="Funote"/>
        <w:rPr/>
      </w:pPr>
      <w:r>
        <w:rPr>
          <w:rStyle w:val="Funotenzeichen"/>
        </w:rPr>
        <w:footnoteRef/>
      </w:r>
      <w:r>
        <w:rPr/>
        <w:tab/>
        <w:t>Eine große Zahl von Handschriften ergänzt hier „Jesus“; die ältesten haben den Namen nicht, er wurde also später zugefügt</w:t>
      </w:r>
    </w:p>
  </w:footnote>
  <w:footnote w:id="5161">
    <w:p>
      <w:pPr>
        <w:pStyle w:val="Funote"/>
        <w:rPr/>
      </w:pPr>
      <w:r>
        <w:rPr>
          <w:rStyle w:val="Funotenzeichen"/>
        </w:rPr>
        <w:footnoteRef/>
      </w:r>
      <w:r>
        <w:rPr/>
        <w:tab/>
        <w:t xml:space="preserve">Die Präposition </w:t>
      </w:r>
      <w:r>
        <w:rPr>
          <w:lang w:val="el-GR"/>
        </w:rPr>
        <w:t>εν</w:t>
      </w:r>
      <w:r>
        <w:rPr/>
        <w:t xml:space="preserve"> kann hier sowohl mit „in“ übersetzt werden als auch instrumental (wodurch) „an“, Blass-Debrunner-Rehkopf § 219.2</w:t>
      </w:r>
    </w:p>
  </w:footnote>
  <w:footnote w:id="5162">
    <w:p>
      <w:pPr>
        <w:pStyle w:val="Funote"/>
        <w:rPr/>
      </w:pPr>
      <w:r>
        <w:rPr>
          <w:rStyle w:val="Funotenzeichen"/>
        </w:rPr>
        <w:footnoteRef/>
      </w:r>
      <w:r>
        <w:rPr/>
        <w:tab/>
        <w:t>Hier steht sog. „</w:t>
      </w:r>
      <w:r>
        <w:rPr>
          <w:lang w:val="el-GR"/>
        </w:rPr>
        <w:t>ὅτι</w:t>
      </w:r>
      <w:r>
        <w:rPr/>
        <w:t xml:space="preserve"> zitativum“, das eine wörtliche Rede einführt; dafür steht in der Übersetzung der Doppelpunkt</w:t>
      </w:r>
    </w:p>
  </w:footnote>
  <w:footnote w:id="5163">
    <w:p>
      <w:pPr>
        <w:pStyle w:val="Funote"/>
        <w:rPr/>
      </w:pPr>
      <w:r>
        <w:rPr>
          <w:rStyle w:val="Funotenzeichen"/>
        </w:rPr>
        <w:footnoteRef/>
      </w:r>
      <w:r>
        <w:rPr/>
        <w:tab/>
        <w:t xml:space="preserve">Einige alte Handschriften ergänzen </w:t>
      </w:r>
      <w:r>
        <w:rPr>
          <w:lang w:val="el-GR"/>
        </w:rPr>
        <w:t>μοι</w:t>
      </w:r>
      <w:r>
        <w:rPr/>
        <w:t>, mir</w:t>
      </w:r>
    </w:p>
  </w:footnote>
  <w:footnote w:id="5164">
    <w:p>
      <w:pPr>
        <w:pStyle w:val="Funote"/>
        <w:spacing w:before="0" w:after="283"/>
        <w:rPr/>
      </w:pPr>
      <w:r>
        <w:rPr>
          <w:rStyle w:val="Funotenzeichen"/>
        </w:rPr>
        <w:footnoteRef/>
      </w:r>
      <w:r>
        <w:rPr/>
        <w:tab/>
        <w:t>Die folgenden Verse sind ein „Trümmerfeld“ (Rudolf Bultmann, KEK, S. 266); die Verse 26 und 27 scheinen nicht hierher zu passen. Besondere Schwierigkeit bereitet Vers 25b: „(</w:t>
      </w:r>
      <w:r>
        <w:rPr>
          <w:lang w:val="el-GR"/>
        </w:rPr>
        <w:t>Τὴν</w:t>
      </w:r>
      <w:r>
        <w:rPr/>
        <w:t xml:space="preserve">) </w:t>
      </w:r>
      <w:r>
        <w:rPr>
          <w:lang w:val="el-GR"/>
        </w:rPr>
        <w:t>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w:t>
      </w:r>
      <w:r>
        <w:rPr/>
        <w:t xml:space="preserve">.) </w:t>
      </w:r>
      <w:r>
        <w:rPr>
          <w:lang w:val="el-GR"/>
        </w:rPr>
        <w:t>άρχήν</w:t>
      </w:r>
      <w:r>
        <w:rPr/>
        <w:t xml:space="preserve"> nicht im zeitlichen, sondern im logischen Sinne: »zuerst« = »erstlich«, »von vornherein«, und zwar ist das besonders in negierten Sätzen bzw. in Sätzen mit negativem Sinn der Fall. </w:t>
      </w:r>
    </w:p>
    <w:p>
      <w:pPr>
        <w:pStyle w:val="Textkrper"/>
        <w:rPr/>
      </w:pPr>
      <w:r>
        <w:rPr/>
        <w:tab/>
        <w:t xml:space="preserve">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w:t>
      </w:r>
      <w:r>
        <w:rPr/>
        <w:t xml:space="preserve">) </w:t>
      </w:r>
      <w:r>
        <w:rPr>
          <w:lang w:val="el-GR"/>
        </w:rPr>
        <w:t>νῦν</w:t>
      </w:r>
      <w:r>
        <w:rPr/>
        <w:t xml:space="preserve"> bestimmt sein. (...) </w:t>
      </w:r>
    </w:p>
    <w:p>
      <w:pPr>
        <w:pStyle w:val="Textkrper"/>
        <w:spacing w:before="0" w:after="283"/>
        <w:rPr/>
      </w:pPr>
      <w:r>
        <w:rPr/>
        <w:tab/>
        <w:t xml:space="preserve">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5165">
    <w:p>
      <w:pPr>
        <w:pStyle w:val="Funote"/>
        <w:rPr/>
      </w:pPr>
      <w:r>
        <w:rPr>
          <w:rStyle w:val="Funotenzeichen"/>
        </w:rPr>
        <w:footnoteRef/>
      </w:r>
      <w:r>
        <w:rPr/>
        <w:tab/>
        <w:t xml:space="preserve">man könnte </w:t>
      </w:r>
      <w:r>
        <w:rPr>
          <w:lang w:val="el-GR"/>
        </w:rPr>
        <w:t>ὅ τι</w:t>
      </w:r>
      <w:r>
        <w:rPr/>
        <w:t xml:space="preserve"> auch zusammenziehen zu </w:t>
      </w:r>
      <w:r>
        <w:rPr>
          <w:lang w:val="el-GR"/>
        </w:rPr>
        <w:t>ὅτι</w:t>
      </w:r>
      <w:r>
        <w:rPr/>
        <w:t>, weil, wie es einige wenige Handschriften tun.</w:t>
      </w:r>
    </w:p>
  </w:footnote>
  <w:footnote w:id="5166">
    <w:p>
      <w:pPr>
        <w:pStyle w:val="Funote"/>
        <w:rPr/>
      </w:pPr>
      <w:r>
        <w:rPr>
          <w:rStyle w:val="Funotenzeichen"/>
        </w:rPr>
        <w:footnoteRef/>
      </w:r>
      <w:r>
        <w:rPr/>
        <w:tab/>
        <w:t>Nestle-Aland hat im Text ein Fragezeichen; es könnte aber auch ein Kolon stehen</w:t>
      </w:r>
    </w:p>
  </w:footnote>
  <w:footnote w:id="5167">
    <w:p>
      <w:pPr>
        <w:pStyle w:val="Funote"/>
        <w:rPr/>
      </w:pPr>
      <w:r>
        <w:rPr>
          <w:rStyle w:val="Funotenzeichen"/>
        </w:rPr>
        <w:footnoteRef/>
      </w:r>
      <w:r>
        <w:rPr/>
        <w:tab/>
        <w:t>Partizip Aorist</w:t>
      </w:r>
    </w:p>
  </w:footnote>
  <w:footnote w:id="5168">
    <w:p>
      <w:pPr>
        <w:pStyle w:val="Funote"/>
        <w:rPr/>
      </w:pPr>
      <w:r>
        <w:rPr>
          <w:rStyle w:val="Funotenzeichen"/>
        </w:rPr>
        <w:footnoteRef/>
      </w:r>
      <w:r>
        <w:rPr/>
        <w:tab/>
        <w:t>einige Handschriften ergänzen „Gott“</w:t>
      </w:r>
    </w:p>
  </w:footnote>
  <w:footnote w:id="5169">
    <w:p>
      <w:pPr>
        <w:pStyle w:val="Funote"/>
        <w:rPr/>
      </w:pPr>
      <w:r>
        <w:rPr>
          <w:rStyle w:val="Funotenzeichen"/>
        </w:rPr>
        <w:footnoteRef/>
      </w:r>
      <w:r>
        <w:rPr/>
        <w:tab/>
        <w:t>einige Handschriften lassen „zu ihnen“ weg; einige Handschriften fügen ein „</w:t>
      </w:r>
      <w:r>
        <w:rPr>
          <w:lang w:val="el-GR"/>
        </w:rPr>
        <w:t>ὅτι</w:t>
      </w:r>
      <w:r>
        <w:rPr/>
        <w:t xml:space="preserve"> zitativum“ ein</w:t>
      </w:r>
    </w:p>
  </w:footnote>
  <w:footnote w:id="5170">
    <w:p>
      <w:pPr>
        <w:pStyle w:val="Funote"/>
        <w:rPr/>
      </w:pPr>
      <w:r>
        <w:rPr>
          <w:rStyle w:val="Funotenzeichen"/>
        </w:rPr>
        <w:footnoteRef/>
      </w:r>
      <w:r>
        <w:rPr/>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5171">
    <w:p>
      <w:pPr>
        <w:pStyle w:val="Funote"/>
        <w:rPr/>
      </w:pPr>
      <w:r>
        <w:rPr>
          <w:rStyle w:val="Funotenzeichen"/>
        </w:rPr>
        <w:footnoteRef/>
      </w:r>
      <w:r>
        <w:rPr/>
        <w:tab/>
        <w:t>Partizip Aorist</w:t>
      </w:r>
    </w:p>
  </w:footnote>
  <w:footnote w:id="5172">
    <w:p>
      <w:pPr>
        <w:pStyle w:val="Funote"/>
        <w:rPr/>
      </w:pPr>
      <w:r>
        <w:rPr>
          <w:rStyle w:val="Funotenzeichen"/>
        </w:rPr>
        <w:footnoteRef/>
      </w:r>
      <w:r>
        <w:rPr/>
        <w:tab/>
        <w:t>Partizip Präs.</w:t>
      </w:r>
    </w:p>
  </w:footnote>
  <w:footnote w:id="5173">
    <w:p>
      <w:pPr>
        <w:pStyle w:val="Funote"/>
        <w:rPr/>
      </w:pPr>
      <w:r>
        <w:rPr>
          <w:rStyle w:val="Funotenzeichen"/>
        </w:rPr>
        <w:footnoteRef/>
      </w:r>
      <w:r>
        <w:rPr/>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5174">
    <w:p>
      <w:pPr>
        <w:pStyle w:val="Funote"/>
        <w:rPr/>
      </w:pPr>
      <w:r>
        <w:rPr>
          <w:rStyle w:val="Funotenzeichen"/>
        </w:rPr>
        <w:footnoteRef/>
      </w:r>
      <w:r>
        <w:rPr/>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5175">
    <w:p>
      <w:pPr>
        <w:pStyle w:val="Funote"/>
        <w:rPr/>
      </w:pPr>
      <w:r>
        <w:rPr>
          <w:rStyle w:val="Funotenzeichen"/>
        </w:rPr>
        <w:footnoteRef/>
      </w:r>
      <w:r>
        <w:rPr/>
        <w:tab/>
        <w:t xml:space="preserve">SBL streicht </w:t>
      </w:r>
      <w:r>
        <w:rPr>
          <w:lang w:val="el-GR"/>
        </w:rPr>
        <w:t>οὖν</w:t>
      </w:r>
      <w:r>
        <w:rPr/>
        <w:t xml:space="preserve"> (also).</w:t>
      </w:r>
    </w:p>
  </w:footnote>
  <w:footnote w:id="5176">
    <w:p>
      <w:pPr>
        <w:pStyle w:val="Funote"/>
        <w:rPr/>
      </w:pPr>
      <w:r>
        <w:rPr>
          <w:rStyle w:val="Funotenzeichen"/>
        </w:rPr>
        <w:footnoteRef/>
      </w:r>
      <w:r>
        <w:rPr>
          <w:lang w:val="el-GR"/>
        </w:rPr>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5177">
    <w:p>
      <w:pPr>
        <w:pStyle w:val="Funote"/>
        <w:rPr/>
      </w:pPr>
      <w:r>
        <w:rPr>
          <w:rStyle w:val="Funotenzeichen"/>
        </w:rPr>
        <w:footnoteRef/>
      </w:r>
      <w:r>
        <w:rPr/>
        <w:tab/>
        <w:t xml:space="preserve">SBL streicht </w:t>
      </w:r>
      <w:r>
        <w:rPr>
          <w:lang w:val="el-GR"/>
        </w:rPr>
        <w:t>οὖν</w:t>
      </w:r>
      <w:r>
        <w:rPr/>
        <w:t xml:space="preserve"> (also).</w:t>
      </w:r>
    </w:p>
  </w:footnote>
  <w:footnote w:id="5178">
    <w:p>
      <w:pPr>
        <w:pStyle w:val="Funote"/>
        <w:rPr/>
      </w:pPr>
      <w:r>
        <w:rPr>
          <w:rStyle w:val="Funotenzeichen"/>
        </w:rPr>
        <w:footnoteRef/>
      </w:r>
      <w:r>
        <w:rPr/>
        <w:tab/>
        <w:t>[Status: Ungeprüft]</w:t>
      </w:r>
    </w:p>
  </w:footnote>
  <w:footnote w:id="5179">
    <w:p>
      <w:pPr>
        <w:pStyle w:val="Funote"/>
        <w:rPr/>
      </w:pPr>
      <w:r>
        <w:rPr>
          <w:rStyle w:val="Funotenzeichen"/>
        </w:rPr>
        <w:footnoteRef/>
      </w:r>
      <w:r>
        <w:rPr>
          <w:i/>
        </w:rPr>
        <w:tab/>
        <w:t>im Vorbeigehen</w:t>
      </w:r>
      <w:r>
        <w:rPr/>
        <w:t xml:space="preserve"> Als modale Präpositionalangabe aufgelöstes adv. Ptz. </w:t>
      </w:r>
    </w:p>
  </w:footnote>
  <w:footnote w:id="5180">
    <w:p>
      <w:pPr>
        <w:pStyle w:val="Funote"/>
        <w:rPr/>
      </w:pPr>
      <w:r>
        <w:rPr>
          <w:rStyle w:val="Funotenzeichen"/>
        </w:rPr>
        <w:footnoteRef/>
      </w:r>
      <w:r>
        <w:rPr>
          <w:i/>
        </w:rPr>
        <w:tab/>
        <w:t>{sagend}</w:t>
      </w:r>
      <w:r>
        <w:rPr/>
        <w:t xml:space="preserve"> Das zusätzliche adverbiale Partizip dient im Griechischen dazu, den Beginn wörtlicher Rede zu markieren. Im Deutschen tun das Doppelpunkt und Anführungszeichen. </w:t>
      </w:r>
    </w:p>
  </w:footnote>
  <w:footnote w:id="5181">
    <w:p>
      <w:pPr>
        <w:pStyle w:val="Funote"/>
        <w:rPr/>
      </w:pPr>
      <w:r>
        <w:rPr>
          <w:rStyle w:val="Funotenzeichen"/>
        </w:rPr>
        <w:footnoteRef/>
      </w:r>
      <w:r>
        <w:rPr>
          <w:i/>
        </w:rPr>
        <w:tab/>
        <w:t>Handeln</w:t>
      </w:r>
      <w:r>
        <w:rPr/>
        <w:t xml:space="preserve"> Das gr. Wort steht im Pl. wie „Taten“. </w:t>
      </w:r>
    </w:p>
  </w:footnote>
  <w:footnote w:id="5182">
    <w:p>
      <w:pPr>
        <w:pStyle w:val="Funote"/>
        <w:rPr/>
      </w:pPr>
      <w:r>
        <w:rPr>
          <w:rStyle w:val="Funotenzeichen"/>
        </w:rPr>
        <w:footnoteRef/>
      </w:r>
      <w:r>
        <w:rPr>
          <w:i/>
        </w:rPr>
        <w:tab/>
        <w:t>Sobald er das gesagt hatte</w:t>
      </w:r>
      <w:r>
        <w:rPr/>
        <w:t xml:space="preserve"> Temporales Ptc. coni. (Ptz. Aor.), als Nebensatz aufgelöst. </w:t>
      </w:r>
    </w:p>
  </w:footnote>
  <w:footnote w:id="5183">
    <w:p>
      <w:pPr>
        <w:pStyle w:val="Funote"/>
        <w:rPr/>
      </w:pPr>
      <w:r>
        <w:rPr>
          <w:rStyle w:val="Funotenzeichen"/>
        </w:rPr>
        <w:footnoteRef/>
      </w:r>
      <w:r>
        <w:rPr>
          <w:i/>
        </w:rPr>
        <w:tab/>
        <w:t>Gesandter</w:t>
      </w:r>
      <w:r>
        <w:rPr/>
        <w:t xml:space="preserve"> Hier als Übersetzung des Ptz. Pf. Pass. </w:t>
      </w:r>
      <w:r>
        <w:rPr>
          <w:lang w:val="el-GR"/>
        </w:rPr>
        <w:t>ἀπεσταλμένος</w:t>
      </w:r>
      <w:r>
        <w:rPr/>
        <w:t xml:space="preserve">. </w:t>
      </w:r>
    </w:p>
  </w:footnote>
  <w:footnote w:id="5184">
    <w:p>
      <w:pPr>
        <w:pStyle w:val="Funote"/>
        <w:rPr/>
      </w:pPr>
      <w:r>
        <w:rPr>
          <w:rStyle w:val="Funotenzeichen"/>
        </w:rPr>
        <w:footnoteRef/>
      </w:r>
      <w:r>
        <w:rPr/>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5185">
    <w:p>
      <w:pPr>
        <w:pStyle w:val="Funote"/>
        <w:rPr/>
      </w:pPr>
      <w:r>
        <w:rPr>
          <w:rStyle w:val="Funotenzeichen"/>
        </w:rPr>
        <w:footnoteRef/>
      </w:r>
      <w:r>
        <w:rPr>
          <w:i/>
        </w:rPr>
        <w:tab/>
        <w:t>die ihn vorher als Bettler gesehen hatten</w:t>
      </w:r>
      <w:r>
        <w:rPr/>
        <w:t xml:space="preserve"> W. „ die ihn vorher gesehen hatten, dass er ein Bettler war“, dabei wurde das Ptz. Präs. </w:t>
      </w:r>
      <w:r>
        <w:rPr>
          <w:lang w:val="el-GR"/>
        </w:rPr>
        <w:t>θεωροῦντες</w:t>
      </w:r>
      <w:r>
        <w:rPr/>
        <w:t xml:space="preserve"> als Relativsatz aufgelöst. </w:t>
      </w:r>
    </w:p>
  </w:footnote>
  <w:footnote w:id="5186">
    <w:p>
      <w:pPr>
        <w:pStyle w:val="Funote"/>
        <w:rPr/>
      </w:pPr>
      <w:r>
        <w:rPr>
          <w:rStyle w:val="Funotenzeichen"/>
        </w:rPr>
        <w:footnoteRef/>
      </w:r>
      <w:r>
        <w:rPr>
          <w:i/>
        </w:rPr>
        <w:tab/>
        <w:t>derjenige, der [hier] saß und bettelte</w:t>
      </w:r>
      <w:r>
        <w:rPr/>
        <w:t xml:space="preserve"> Zwei subst. Ptz., als Relativsatz aufgelöst. </w:t>
      </w:r>
    </w:p>
  </w:footnote>
  <w:footnote w:id="5187">
    <w:p>
      <w:pPr>
        <w:pStyle w:val="Funote"/>
        <w:rPr/>
      </w:pPr>
      <w:r>
        <w:rPr>
          <w:rStyle w:val="Funotenzeichen"/>
        </w:rPr>
        <w:footnoteRef/>
      </w:r>
      <w:hyperlink r:id="rId529">
        <w:r>
          <w:rPr>
            <w:rStyle w:val="Internetverknpfung"/>
          </w:rPr>
          <w:tab/>
          <w:t>Ὅτι recitativum"&gt;</w:t>
        </w:r>
        <w:r>
          <w:rPr>
            <w:rStyle w:val="Internetverknpfung"/>
            <w:lang w:val="el-GR"/>
          </w:rPr>
          <w:t>ὅτι</w:t>
        </w:r>
        <w:r>
          <w:rPr>
            <w:rStyle w:val="Internetverknpfung"/>
          </w:rPr>
          <w:t xml:space="preserve"> recitativum</w:t>
        </w:r>
      </w:hyperlink>
      <w:r>
        <w:rPr/>
        <w:t xml:space="preserve">. </w:t>
      </w:r>
    </w:p>
  </w:footnote>
  <w:footnote w:id="5188">
    <w:p>
      <w:pPr>
        <w:pStyle w:val="Funote"/>
        <w:rPr/>
      </w:pPr>
      <w:r>
        <w:rPr>
          <w:rStyle w:val="Funotenzeichen"/>
        </w:rPr>
        <w:footnoteRef/>
      </w:r>
      <w:r>
        <w:rPr>
          <w:i/>
        </w:rPr>
        <w:tab/>
        <w:t>Er selbst</w:t>
      </w:r>
      <w:r>
        <w:rPr/>
        <w:t xml:space="preserve"> W. „jener“ (vgl. </w:t>
      </w:r>
      <w:r>
        <w:fldChar w:fldCharType="begin"/>
      </w:r>
      <w:r>
        <w:rPr>
          <w:rStyle w:val="Internetverknpfung"/>
        </w:rPr>
        <w:instrText> HYPERLINK "../../../../../../../../../wiki/Johannes_9" \l "note_l"</w:instrText>
      </w:r>
      <w:r>
        <w:rPr>
          <w:rStyle w:val="Internetverknpfung"/>
        </w:rPr>
        <w:fldChar w:fldCharType="separate"/>
      </w:r>
      <w:r>
        <w:rPr>
          <w:rStyle w:val="Internetverknpfung"/>
        </w:rPr>
        <w:t>Fn in V. 12</w:t>
      </w:r>
      <w:r>
        <w:rPr>
          <w:rStyle w:val="Internetverknpfung"/>
        </w:rPr>
        <w:fldChar w:fldCharType="end"/>
      </w:r>
      <w:r>
        <w:rPr/>
        <w:t>)</w:t>
      </w:r>
    </w:p>
  </w:footnote>
  <w:footnote w:id="5189">
    <w:p>
      <w:pPr>
        <w:pStyle w:val="Funote"/>
        <w:rPr/>
      </w:pPr>
      <w:r>
        <w:rPr>
          <w:rStyle w:val="Funotenzeichen"/>
        </w:rPr>
        <w:footnoteRef/>
      </w:r>
      <w:r>
        <w:rPr/>
        <w:tab/>
        <w:t>D.h. „Wie kommt es denn, dass du wieder sehen kannst?“ (vgl. NGÜ)</w:t>
      </w:r>
    </w:p>
  </w:footnote>
  <w:footnote w:id="5190">
    <w:p>
      <w:pPr>
        <w:pStyle w:val="Funote"/>
        <w:rPr/>
      </w:pPr>
      <w:r>
        <w:rPr>
          <w:rStyle w:val="Funotenzeichen"/>
        </w:rPr>
        <w:footnoteRef/>
      </w:r>
      <w:r>
        <w:rPr>
          <w:i/>
        </w:rPr>
        <w:tab/>
        <w:t>Nachdem ich hingegangen war und mich abgewaschen hatte</w:t>
      </w:r>
      <w:r>
        <w:rPr/>
        <w:t xml:space="preserve"> Zwei adverbiale Ptz. Aor., die temporal als Nebensatz mit „nachdem“ aufgelöst wurden. </w:t>
      </w:r>
    </w:p>
  </w:footnote>
  <w:footnote w:id="5191">
    <w:p>
      <w:pPr>
        <w:pStyle w:val="Funote"/>
        <w:rPr/>
      </w:pPr>
      <w:r>
        <w:rPr>
          <w:rStyle w:val="Funotenzeichen"/>
        </w:rPr>
        <w:footnoteRef/>
      </w:r>
      <w:r>
        <w:rPr>
          <w:i/>
        </w:rPr>
        <w:tab/>
        <w:t>der Mann, [von dem du sprichst]</w:t>
      </w:r>
      <w:r>
        <w:rPr/>
        <w:t xml:space="preserve"> Deutsche Wiedergabe des Adjektivs </w:t>
      </w:r>
      <w:r>
        <w:rPr>
          <w:lang w:val="el-GR"/>
        </w:rPr>
        <w:t>ἐκεῖνος</w:t>
      </w:r>
      <w:r>
        <w:rPr/>
        <w:t xml:space="preserve">, das häufig veraltet mit „jener“ übersetzt wird. Hier steht es als Bezeichnung desjenigen, von dem der Mann gesprochen hatte. Mit demselben Wort bezieht sich Johannes schon in V. 9 auf „den Genannten“, dort den Blinden selbst (dabei übersetzt als „Er selbst“). </w:t>
      </w:r>
    </w:p>
  </w:footnote>
  <w:footnote w:id="5192">
    <w:p>
      <w:pPr>
        <w:pStyle w:val="Funote"/>
        <w:rPr/>
      </w:pPr>
      <w:r>
        <w:rPr>
          <w:rStyle w:val="Funotenzeichen"/>
        </w:rPr>
        <w:footnoteRef/>
      </w:r>
      <w:hyperlink r:id="rId530">
        <w:r>
          <w:rPr>
            <w:rStyle w:val="Internetverknpfung"/>
          </w:rPr>
          <w:tab/>
          <w:t>Historisches Präsens</w:t>
        </w:r>
      </w:hyperlink>
      <w:r>
        <w:rPr/>
        <w:t>.</w:t>
      </w:r>
    </w:p>
  </w:footnote>
  <w:footnote w:id="5193">
    <w:p>
      <w:pPr>
        <w:pStyle w:val="Funote"/>
        <w:rPr/>
      </w:pPr>
      <w:r>
        <w:rPr>
          <w:rStyle w:val="Funotenzeichen"/>
        </w:rPr>
        <w:footnoteRef/>
      </w:r>
      <w:r>
        <w:rPr/>
        <w:tab/>
        <w:t xml:space="preserve">Die Konjunktion </w:t>
      </w:r>
      <w:r>
        <w:rPr>
          <w:lang w:val="el-GR"/>
        </w:rPr>
        <w:t>δὲ</w:t>
      </w:r>
      <w:r>
        <w:rPr/>
        <w:t xml:space="preserve"> leitet hier eine Umstandsangabe ein und ist nicht direkt übersetzbar. </w:t>
      </w:r>
    </w:p>
  </w:footnote>
  <w:footnote w:id="5194">
    <w:p>
      <w:pPr>
        <w:pStyle w:val="Funote"/>
        <w:rPr/>
      </w:pPr>
      <w:r>
        <w:rPr>
          <w:rStyle w:val="Funotenzeichen"/>
        </w:rPr>
        <w:footnoteRef/>
      </w:r>
      <w:r>
        <w:rPr>
          <w:i/>
        </w:rPr>
        <w:tab/>
        <w:t>befragten ihn weiter</w:t>
      </w:r>
      <w:r>
        <w:rPr/>
        <w:t xml:space="preserve"> Das Verb steht im Imperfekt und drückt einen anhaltenden Vorgang aus. </w:t>
      </w:r>
    </w:p>
  </w:footnote>
  <w:footnote w:id="5195">
    <w:p>
      <w:pPr>
        <w:pStyle w:val="Funote"/>
        <w:rPr/>
      </w:pPr>
      <w:r>
        <w:rPr>
          <w:rStyle w:val="Funotenzeichen"/>
        </w:rPr>
        <w:footnoteRef/>
      </w:r>
      <w:r>
        <w:rPr/>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196">
    <w:p>
      <w:pPr>
        <w:pStyle w:val="Funote"/>
        <w:rPr/>
      </w:pPr>
      <w:r>
        <w:rPr>
          <w:rStyle w:val="Funotenzeichen"/>
        </w:rPr>
        <w:footnoteRef/>
      </w:r>
      <w:r>
        <w:rPr>
          <w:i/>
        </w:rPr>
        <w:tab/>
        <w:t>[nun] sehen konnte</w:t>
      </w:r>
      <w:r>
        <w:rPr/>
        <w:t xml:space="preserve"> Zur Übersetzung vgl. die </w:t>
      </w:r>
      <w:r>
        <w:fldChar w:fldCharType="begin"/>
      </w:r>
      <w:r>
        <w:rPr>
          <w:rStyle w:val="Internetverknpfung"/>
        </w:rPr>
        <w:instrText> HYPERLINK "../../../../../../../../../wiki/Johannes_9" \l "note_p"</w:instrText>
      </w:r>
      <w:r>
        <w:rPr>
          <w:rStyle w:val="Internetverknpfung"/>
        </w:rPr>
        <w:fldChar w:fldCharType="separate"/>
      </w:r>
      <w:r>
        <w:rPr>
          <w:rStyle w:val="Internetverknpfung"/>
        </w:rPr>
        <w:t>Fn in V. 15</w:t>
      </w:r>
      <w:r>
        <w:rPr>
          <w:rStyle w:val="Internetverknpfung"/>
        </w:rPr>
        <w:fldChar w:fldCharType="end"/>
      </w:r>
      <w:r>
        <w:rPr/>
        <w:t xml:space="preserve">. </w:t>
      </w:r>
    </w:p>
  </w:footnote>
  <w:footnote w:id="5197">
    <w:p>
      <w:pPr>
        <w:pStyle w:val="Funote"/>
        <w:rPr/>
      </w:pPr>
      <w:r>
        <w:rPr>
          <w:rStyle w:val="Funotenzeichen"/>
        </w:rPr>
        <w:footnoteRef/>
      </w:r>
      <w:r>
        <w:rPr>
          <w:i/>
        </w:rPr>
        <w:tab/>
        <w:t>des Geheilten</w:t>
      </w:r>
      <w:r>
        <w:rPr/>
        <w:t xml:space="preserve"> Aus praktischen Gründen sinngemäß übersetzt. Löst man das so wiedergegebene substantivierte Partizip stattdessen als Relativsatz auf, wäre die wörtliche Übersetzung: „dessen, der [nun] Sehen konnte“. </w:t>
      </w:r>
    </w:p>
  </w:footnote>
  <w:footnote w:id="5198">
    <w:p>
      <w:pPr>
        <w:pStyle w:val="Funote"/>
        <w:rPr/>
      </w:pPr>
      <w:r>
        <w:rPr>
          <w:rStyle w:val="Funotenzeichen"/>
        </w:rPr>
        <w:footnoteRef/>
      </w:r>
      <w:r>
        <w:rPr>
          <w:i/>
        </w:rPr>
        <w:tab/>
        <w:t>{wobei sie sagten}</w:t>
      </w:r>
      <w:r>
        <w:rPr/>
        <w:t xml:space="preserve"> Modal aufgelöstes Ptc. coni. Zur Auslassung s. die </w:t>
      </w:r>
      <w:r>
        <w:fldChar w:fldCharType="begin"/>
      </w:r>
      <w:r>
        <w:rPr>
          <w:rStyle w:val="Internetverknpfung"/>
        </w:rPr>
        <w:instrText> HYPERLINK "../../../../../../../../../wiki/Johannes_9" \l "note_b"</w:instrText>
      </w:r>
      <w:r>
        <w:rPr>
          <w:rStyle w:val="Internetverknpfung"/>
        </w:rPr>
        <w:fldChar w:fldCharType="separate"/>
      </w:r>
      <w:r>
        <w:rPr>
          <w:rStyle w:val="Internetverknpfung"/>
        </w:rPr>
        <w:t>Fußnote in V. 2</w:t>
      </w:r>
      <w:r>
        <w:rPr>
          <w:rStyle w:val="Internetverknpfung"/>
        </w:rPr>
        <w:fldChar w:fldCharType="end"/>
      </w:r>
      <w:r>
        <w:rPr/>
        <w:t xml:space="preserve">. </w:t>
      </w:r>
    </w:p>
  </w:footnote>
  <w:footnote w:id="5199">
    <w:p>
      <w:pPr>
        <w:pStyle w:val="Funote"/>
        <w:rPr/>
      </w:pPr>
      <w:r>
        <w:rPr>
          <w:rStyle w:val="Funotenzeichen"/>
        </w:rPr>
        <w:footnoteRef/>
      </w:r>
      <w:r>
        <w:rPr>
          <w:i/>
        </w:rPr>
        <w:tab/>
        <w:t>{und sagten}</w:t>
      </w:r>
      <w:r>
        <w:rPr/>
        <w:t xml:space="preserve"> Zur Auslassung s. die </w:t>
      </w:r>
      <w:r>
        <w:fldChar w:fldCharType="begin"/>
      </w:r>
      <w:r>
        <w:rPr>
          <w:rStyle w:val="Internetverknpfung"/>
        </w:rPr>
        <w:instrText> HYPERLINK "../../../../../../../../../wiki/Johannes_9" \l "note_b"</w:instrText>
      </w:r>
      <w:r>
        <w:rPr>
          <w:rStyle w:val="Internetverknpfung"/>
        </w:rPr>
        <w:fldChar w:fldCharType="separate"/>
      </w:r>
      <w:r>
        <w:rPr>
          <w:rStyle w:val="Internetverknpfung"/>
        </w:rPr>
        <w:t>Fußnote in V. 2</w:t>
      </w:r>
      <w:r>
        <w:rPr>
          <w:rStyle w:val="Internetverknpfung"/>
        </w:rPr>
        <w:fldChar w:fldCharType="end"/>
      </w:r>
      <w:r>
        <w:rPr/>
        <w:t xml:space="preserve">. </w:t>
      </w:r>
    </w:p>
  </w:footnote>
  <w:footnote w:id="5200">
    <w:p>
      <w:pPr>
        <w:pStyle w:val="Funote"/>
        <w:rPr/>
      </w:pPr>
      <w:r>
        <w:rPr>
          <w:rStyle w:val="Funotenzeichen"/>
        </w:rPr>
        <w:footnoteRef/>
      </w:r>
      <w:r>
        <w:rPr/>
        <w:tab/>
        <w:t>er ist erwachsen (V. 21 und 23) Sinngemäße Übersetzung eines Idioms, w. etwa »er hat Reife«, d.h. »er ist volljährig« (vgl. LN 67.156).</w:t>
      </w:r>
    </w:p>
  </w:footnote>
  <w:footnote w:id="5201">
    <w:p>
      <w:pPr>
        <w:pStyle w:val="Funote"/>
        <w:rPr/>
      </w:pPr>
      <w:r>
        <w:rPr>
          <w:rStyle w:val="Funotenzeichen"/>
        </w:rPr>
        <w:footnoteRef/>
      </w:r>
      <w:r>
        <w:rPr>
          <w:i/>
        </w:rPr>
        <w:tab/>
        <w:t>aus der Synagoge ausgeschlossen</w:t>
      </w:r>
      <w:r>
        <w:rPr/>
        <w:t xml:space="preserve"> übersetzt das Prädikatsadjektiv </w:t>
      </w:r>
      <w:r>
        <w:rPr>
          <w:lang w:val="el-GR"/>
        </w:rPr>
        <w:t>ἀποσυνάγωγος</w:t>
      </w:r>
      <w:r>
        <w:rPr/>
        <w:t xml:space="preserve">, das eine solche Exkommunikation beschreibt. </w:t>
      </w:r>
    </w:p>
  </w:footnote>
  <w:footnote w:id="5202">
    <w:p>
      <w:pPr>
        <w:pStyle w:val="Funote"/>
        <w:rPr/>
      </w:pPr>
      <w:r>
        <w:rPr>
          <w:rStyle w:val="Funotenzeichen"/>
        </w:rPr>
        <w:footnoteRef/>
      </w:r>
      <w:r>
        <w:rPr>
          <w:i/>
        </w:rPr>
        <w:tab/>
        <w:t>der Mann (jener)</w:t>
      </w:r>
      <w:r>
        <w:rPr/>
        <w:t xml:space="preserve"> Zur Übersetzung von </w:t>
      </w:r>
      <w:r>
        <w:rPr>
          <w:lang w:val="el-GR"/>
        </w:rPr>
        <w:t>ἐκεῖνος</w:t>
      </w:r>
      <w:r>
        <w:rPr/>
        <w:t xml:space="preserve"> vgl. die </w:t>
      </w:r>
      <w:r>
        <w:fldChar w:fldCharType="begin"/>
      </w:r>
      <w:r>
        <w:rPr>
          <w:rStyle w:val="Internetverknpfung"/>
        </w:rPr>
        <w:instrText> HYPERLINK "../../../../../../../../../wiki/Johannes_9" \l "note_l"</w:instrText>
      </w:r>
      <w:r>
        <w:rPr>
          <w:rStyle w:val="Internetverknpfung"/>
        </w:rPr>
        <w:fldChar w:fldCharType="separate"/>
      </w:r>
      <w:r>
        <w:rPr>
          <w:rStyle w:val="Internetverknpfung"/>
        </w:rPr>
        <w:t>Fn in V. 12</w:t>
      </w:r>
      <w:r>
        <w:rPr>
          <w:rStyle w:val="Internetverknpfung"/>
        </w:rPr>
        <w:fldChar w:fldCharType="end"/>
      </w:r>
      <w:r>
        <w:rPr/>
        <w:t xml:space="preserve">. </w:t>
      </w:r>
    </w:p>
  </w:footnote>
  <w:footnote w:id="5203">
    <w:p>
      <w:pPr>
        <w:pStyle w:val="Funote"/>
        <w:rPr/>
      </w:pPr>
      <w:r>
        <w:rPr>
          <w:rStyle w:val="Funotenzeichen"/>
        </w:rPr>
        <w:footnoteRef/>
      </w:r>
      <w:r>
        <w:rPr>
          <w:i/>
        </w:rPr>
        <w:tab/>
        <w:t>der blind war (als Blinder)</w:t>
      </w:r>
      <w:r>
        <w:rPr/>
        <w:t xml:space="preserve"> Übertragung der temporalen/modalen Angabe (Ptc. coni.) </w:t>
      </w:r>
      <w:r>
        <w:rPr>
          <w:lang w:val="el-GR"/>
        </w:rPr>
        <w:t>τυφλὸς ὢν</w:t>
      </w:r>
      <w:r>
        <w:rPr/>
        <w:t xml:space="preserve"> „blind seiend“. </w:t>
      </w:r>
    </w:p>
  </w:footnote>
  <w:footnote w:id="5204">
    <w:p>
      <w:pPr>
        <w:pStyle w:val="Funote"/>
        <w:rPr/>
      </w:pPr>
      <w:r>
        <w:rPr>
          <w:rStyle w:val="Funotenzeichen"/>
        </w:rPr>
        <w:footnoteRef/>
      </w:r>
      <w:r>
        <w:rPr>
          <w:i/>
        </w:rPr>
        <w:tab/>
        <w:t>{und sagten}</w:t>
      </w:r>
      <w:r>
        <w:rPr/>
        <w:t xml:space="preserve"> Zur Auslassung s. die </w:t>
      </w:r>
      <w:r>
        <w:fldChar w:fldCharType="begin"/>
      </w:r>
      <w:r>
        <w:rPr>
          <w:rStyle w:val="Internetverknpfung"/>
        </w:rPr>
        <w:instrText> HYPERLINK "../../../../../../../../../wiki/Johannes_9" \l "note_b"</w:instrText>
      </w:r>
      <w:r>
        <w:rPr>
          <w:rStyle w:val="Internetverknpfung"/>
        </w:rPr>
        <w:fldChar w:fldCharType="separate"/>
      </w:r>
      <w:r>
        <w:rPr>
          <w:rStyle w:val="Internetverknpfung"/>
        </w:rPr>
        <w:t>Fußnote in V. 2</w:t>
      </w:r>
      <w:r>
        <w:rPr>
          <w:rStyle w:val="Internetverknpfung"/>
        </w:rPr>
        <w:fldChar w:fldCharType="end"/>
      </w:r>
      <w:r>
        <w:rPr/>
        <w:t xml:space="preserve">. </w:t>
      </w:r>
    </w:p>
  </w:footnote>
  <w:footnote w:id="5205">
    <w:p>
      <w:pPr>
        <w:pStyle w:val="Funote"/>
        <w:rPr/>
      </w:pPr>
      <w:r>
        <w:rPr>
          <w:rStyle w:val="Funotenzeichen"/>
        </w:rPr>
        <w:footnoteRef/>
      </w:r>
      <w:r>
        <w:rPr>
          <w:i/>
        </w:rPr>
        <w:tab/>
        <w:t>{und sagte zu ihnen}</w:t>
      </w:r>
      <w:r>
        <w:rPr/>
        <w:t xml:space="preserve"> Zur Auslassung s. die </w:t>
      </w:r>
      <w:r>
        <w:fldChar w:fldCharType="begin"/>
      </w:r>
      <w:r>
        <w:rPr>
          <w:rStyle w:val="Internetverknpfung"/>
        </w:rPr>
        <w:instrText> HYPERLINK "../../../../../../../../../wiki/Johannes_9" \l "note_b"</w:instrText>
      </w:r>
      <w:r>
        <w:rPr>
          <w:rStyle w:val="Internetverknpfung"/>
        </w:rPr>
        <w:fldChar w:fldCharType="separate"/>
      </w:r>
      <w:r>
        <w:rPr>
          <w:rStyle w:val="Internetverknpfung"/>
        </w:rPr>
        <w:t>Fußnote in V. 2</w:t>
      </w:r>
      <w:r>
        <w:rPr>
          <w:rStyle w:val="Internetverknpfung"/>
        </w:rPr>
        <w:fldChar w:fldCharType="end"/>
      </w:r>
      <w:r>
        <w:rPr/>
        <w:t xml:space="preserve">. </w:t>
      </w:r>
    </w:p>
  </w:footnote>
  <w:footnote w:id="5206">
    <w:p>
      <w:pPr>
        <w:pStyle w:val="Funote"/>
        <w:rPr/>
      </w:pPr>
      <w:r>
        <w:rPr>
          <w:rStyle w:val="Funotenzeichen"/>
        </w:rPr>
        <w:footnoteRef/>
      </w:r>
      <w:r>
        <w:rPr/>
        <w:tab/>
        <w:t>Das ist ja merkwürdig W. »Darin ist ja das Merkwürdige/Erstaunliche« EÜ, Zür: »Darin liegt ja das Erstaunliche«, NGÜ: »Das ist doch wirklich sonderbar!«, Lut: »Das ist verwunderlich«, GNB: »Das ist wirklich seltsam!«</w:t>
      </w:r>
    </w:p>
  </w:footnote>
  <w:footnote w:id="5207">
    <w:p>
      <w:pPr>
        <w:pStyle w:val="Funote"/>
        <w:rPr/>
      </w:pPr>
      <w:r>
        <w:rPr>
          <w:rStyle w:val="Funotenzeichen"/>
        </w:rPr>
        <w:footnoteRef/>
      </w:r>
      <w:r>
        <w:rPr>
          <w:i/>
        </w:rPr>
        <w:tab/>
        <w:t>obwohl</w:t>
      </w:r>
      <w:r>
        <w:rPr/>
        <w:t xml:space="preserve"> </w:t>
      </w:r>
      <w:r>
        <w:rPr>
          <w:lang w:val="el-GR"/>
        </w:rPr>
        <w:t>καὶ</w:t>
      </w:r>
      <w:r>
        <w:rPr/>
        <w:t xml:space="preserve"> „und“ hat ihr eine sehr konzessive Konnotation. </w:t>
      </w:r>
    </w:p>
  </w:footnote>
  <w:footnote w:id="5208">
    <w:p>
      <w:pPr>
        <w:pStyle w:val="Funote"/>
        <w:rPr/>
      </w:pPr>
      <w:r>
        <w:rPr>
          <w:rStyle w:val="Funotenzeichen"/>
        </w:rPr>
        <w:footnoteRef/>
      </w:r>
      <w:r>
        <w:rPr>
          <w:i/>
        </w:rPr>
        <w:tab/>
        <w:t>hört er gerade demjenigen zu</w:t>
      </w:r>
      <w:r>
        <w:rPr/>
        <w:t xml:space="preserve"> Diese Phrase steht im Urtext besonders hervorgehoben am Satzende. Die Umstellung erfolgt, weil im Deutschen eine solche Betonung anders ausgedrückt werden muss, und der Satz wäre unter Beibehaltung der griechischen Satzstellung kaum übersetzbar. </w:t>
      </w:r>
    </w:p>
  </w:footnote>
  <w:footnote w:id="5209">
    <w:p>
      <w:pPr>
        <w:pStyle w:val="Funote"/>
        <w:rPr/>
      </w:pPr>
      <w:r>
        <w:rPr>
          <w:rStyle w:val="Funotenzeichen"/>
        </w:rPr>
        <w:footnoteRef/>
      </w:r>
      <w:r>
        <w:rPr>
          <w:i/>
        </w:rPr>
        <w:tab/>
        <w:t>Von jeher</w:t>
      </w:r>
      <w:r>
        <w:rPr/>
        <w:t xml:space="preserve"> Gr. </w:t>
      </w:r>
      <w:r>
        <w:rPr>
          <w:lang w:val="el-GR"/>
        </w:rPr>
        <w:t>ἐκ τοῦ αἰῶνος</w:t>
      </w:r>
      <w:r>
        <w:rPr/>
        <w:t xml:space="preserve">, W. etwa „seit Ewigkeit“. </w:t>
      </w:r>
    </w:p>
  </w:footnote>
  <w:footnote w:id="5210">
    <w:p>
      <w:pPr>
        <w:pStyle w:val="Funote"/>
        <w:rPr/>
      </w:pPr>
      <w:r>
        <w:rPr>
          <w:rStyle w:val="Funotenzeichen"/>
        </w:rPr>
        <w:footnoteRef/>
      </w:r>
      <w:r>
        <w:rPr>
          <w:i/>
        </w:rPr>
        <w:tab/>
        <w:t>nachdem er ihn gefunden hatte</w:t>
      </w:r>
      <w:r>
        <w:rPr/>
        <w:t xml:space="preserve"> Adverbiales Ptz. Aor., temporal-vorzeitig als Nebensatz aufgelöst. </w:t>
      </w:r>
    </w:p>
  </w:footnote>
  <w:footnote w:id="5211">
    <w:p>
      <w:pPr>
        <w:pStyle w:val="Funote"/>
        <w:rPr/>
      </w:pPr>
      <w:r>
        <w:rPr>
          <w:rStyle w:val="Funotenzeichen"/>
        </w:rPr>
        <w:footnoteRef/>
      </w:r>
      <w:r>
        <w:rPr>
          <w:i/>
        </w:rPr>
        <w:tab/>
        <w:t>{und sagte}</w:t>
      </w:r>
      <w:r>
        <w:rPr/>
        <w:t xml:space="preserve"> Zur Auslassung s. die </w:t>
      </w:r>
      <w:r>
        <w:fldChar w:fldCharType="begin"/>
      </w:r>
      <w:r>
        <w:rPr>
          <w:rStyle w:val="Internetverknpfung"/>
        </w:rPr>
        <w:instrText> HYPERLINK "../../../../../../../../../wiki/Johannes_9" \l "note_b"</w:instrText>
      </w:r>
      <w:r>
        <w:rPr>
          <w:rStyle w:val="Internetverknpfung"/>
        </w:rPr>
        <w:fldChar w:fldCharType="separate"/>
      </w:r>
      <w:r>
        <w:rPr>
          <w:rStyle w:val="Internetverknpfung"/>
        </w:rPr>
        <w:t>Fußnote in V. 2</w:t>
      </w:r>
      <w:r>
        <w:rPr>
          <w:rStyle w:val="Internetverknpfung"/>
        </w:rPr>
        <w:fldChar w:fldCharType="end"/>
      </w:r>
      <w:r>
        <w:rPr/>
        <w:t xml:space="preserve">. </w:t>
      </w:r>
    </w:p>
  </w:footnote>
  <w:footnote w:id="5212">
    <w:p>
      <w:pPr>
        <w:pStyle w:val="Funote"/>
        <w:rPr/>
      </w:pPr>
      <w:r>
        <w:rPr>
          <w:rStyle w:val="Funotenzeichen"/>
        </w:rPr>
        <w:footnoteRef/>
      </w:r>
      <w:r>
        <w:rPr>
          <w:i/>
        </w:rPr>
        <w:tab/>
        <w:t>glauben kann</w:t>
      </w:r>
      <w:r>
        <w:rPr/>
        <w:t xml:space="preserve"> W. „glauben werde“</w:t>
      </w:r>
    </w:p>
  </w:footnote>
  <w:footnote w:id="5213">
    <w:p>
      <w:pPr>
        <w:pStyle w:val="Funote"/>
        <w:rPr/>
      </w:pPr>
      <w:r>
        <w:rPr>
          <w:rStyle w:val="Funotenzeichen"/>
        </w:rPr>
        <w:footnoteRef/>
      </w:r>
      <w:r>
        <w:rPr>
          <w:i/>
        </w:rPr>
        <w:tab/>
        <w:t>Der mit dir spricht</w:t>
      </w:r>
      <w:r>
        <w:rPr/>
        <w:t xml:space="preserve"> Subst. Ptz., als Relativsatz aufgelöst. </w:t>
      </w:r>
    </w:p>
  </w:footnote>
  <w:footnote w:id="5214">
    <w:p>
      <w:pPr>
        <w:pStyle w:val="Funote"/>
        <w:rPr/>
      </w:pPr>
      <w:r>
        <w:rPr>
          <w:rStyle w:val="Funotenzeichen"/>
        </w:rPr>
        <w:footnoteRef/>
      </w:r>
      <w:r>
        <w:rPr/>
        <w:tab/>
        <w:t>„</w:t>
      </w:r>
      <w:r>
        <w:rPr>
          <w:i/>
        </w:rPr>
        <w:t>Aber wir gehören nicht zu den Blinden, oder?“</w:t>
      </w:r>
      <w:r>
        <w:rPr/>
        <w:t xml:space="preserve"> W. „Es sind doch nicht etwa auch wir blind?“</w:t>
      </w:r>
    </w:p>
  </w:footnote>
  <w:footnote w:id="5215">
    <w:p>
      <w:pPr>
        <w:pStyle w:val="Funote"/>
        <w:rPr/>
      </w:pPr>
      <w:r>
        <w:rPr>
          <w:rStyle w:val="Funotenzeichen"/>
        </w:rPr>
        <w:footnoteRef/>
      </w:r>
      <w:r>
        <w:rPr/>
        <w:tab/>
        <w:t>[Status: Ungeprüft]</w:t>
      </w:r>
    </w:p>
  </w:footnote>
  <w:footnote w:id="5216">
    <w:p>
      <w:pPr>
        <w:pStyle w:val="Funote"/>
        <w:rPr/>
      </w:pPr>
      <w:r>
        <w:rPr>
          <w:rStyle w:val="Funotenzeichen"/>
        </w:rPr>
        <w:footnoteRef/>
      </w:r>
      <w:r>
        <w:rPr>
          <w:i/>
        </w:rPr>
        <w:tab/>
        <w:t>Wer nicht gelangt … hineinsteigt</w:t>
      </w:r>
      <w:r>
        <w:rPr/>
        <w:t xml:space="preserve"> Substantiviertes Ptz., als Relativsatz mit „wer“ aufgelöst. </w:t>
      </w:r>
    </w:p>
  </w:footnote>
  <w:footnote w:id="5217">
    <w:p>
      <w:pPr>
        <w:pStyle w:val="Funote"/>
        <w:rPr/>
      </w:pPr>
      <w:r>
        <w:rPr>
          <w:rStyle w:val="Funotenzeichen"/>
        </w:rPr>
        <w:footnoteRef/>
      </w:r>
      <w:r>
        <w:rPr>
          <w:i/>
        </w:rPr>
        <w:tab/>
        <w:t>derjenige, der … eintritt</w:t>
      </w:r>
      <w:r>
        <w:rPr/>
        <w:t xml:space="preserve"> Substantiviertes Ptz., als Relativsatz mit „derjenige, der“ aufgelöst. </w:t>
      </w:r>
    </w:p>
  </w:footnote>
  <w:footnote w:id="5218">
    <w:p>
      <w:pPr>
        <w:pStyle w:val="Funote"/>
        <w:rPr/>
      </w:pPr>
      <w:r>
        <w:rPr>
          <w:rStyle w:val="Funotenzeichen"/>
        </w:rPr>
        <w:footnoteRef/>
      </w:r>
      <w:r>
        <w:rPr/>
        <w:tab/>
        <w:t>W. „Stimme“ (Sg.)</w:t>
      </w:r>
    </w:p>
  </w:footnote>
  <w:footnote w:id="5219">
    <w:p>
      <w:pPr>
        <w:pStyle w:val="Funote"/>
        <w:rPr/>
      </w:pPr>
      <w:r>
        <w:rPr>
          <w:rStyle w:val="Funotenzeichen"/>
        </w:rPr>
        <w:footnoteRef/>
      </w:r>
      <w:r>
        <w:rPr>
          <w:i/>
        </w:rPr>
        <w:tab/>
        <w:t>Gatter [für] die Schafe</w:t>
      </w:r>
      <w:r>
        <w:rPr/>
        <w:t xml:space="preserve"> W. „Gatter der Schafe“ (Appositiver Genitiv). </w:t>
      </w:r>
    </w:p>
  </w:footnote>
  <w:footnote w:id="5220">
    <w:p>
      <w:pPr>
        <w:pStyle w:val="Funote"/>
        <w:rPr/>
      </w:pPr>
      <w:r>
        <w:rPr>
          <w:rStyle w:val="Funotenzeichen"/>
        </w:rPr>
        <w:footnoteRef/>
      </w:r>
      <w:r>
        <w:rPr/>
        <w:tab/>
        <w:t>D.h. es war regnerisch und es wehte ein kalter Wind, was sachlich den Aufenthalt in der Säulenhalle Salomos (s. folgender Vers) motivieren könnte. Cf. Benedikt Schwank, Evangelium nach Johannes, St. Ottilien 1998, S. 292.</w:t>
      </w:r>
    </w:p>
  </w:footnote>
  <w:footnote w:id="5221">
    <w:p>
      <w:pPr>
        <w:pStyle w:val="Funote"/>
        <w:rPr/>
      </w:pPr>
      <w:r>
        <w:rPr>
          <w:rStyle w:val="Funotenzeichen"/>
        </w:rPr>
        <w:footnoteRef/>
      </w:r>
      <w:r>
        <w:rPr/>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222">
    <w:p>
      <w:pPr>
        <w:pStyle w:val="Funote"/>
        <w:rPr/>
      </w:pPr>
      <w:r>
        <w:rPr>
          <w:rStyle w:val="Funotenzeichen"/>
        </w:rPr>
        <w:footnoteRef/>
      </w:r>
      <w:r>
        <w:rPr/>
        <w:tab/>
        <w:t>[Status: Ungeprüft]</w:t>
      </w:r>
    </w:p>
  </w:footnote>
  <w:footnote w:id="5223">
    <w:p>
      <w:pPr>
        <w:pStyle w:val="Funote"/>
        <w:rPr/>
      </w:pPr>
      <w:r>
        <w:rPr>
          <w:rStyle w:val="Funotenzeichen"/>
        </w:rPr>
        <w:footnoteRef/>
      </w:r>
      <w:r>
        <w:rPr>
          <w:i/>
        </w:rPr>
        <w:tab/>
        <w:t>Lazarus</w:t>
      </w:r>
      <w:r>
        <w:rPr/>
        <w:t xml:space="preserve"> ist eine gekürzte, gräcisierte Form des hebräischen Namens Eleazar, der zur Zeit Jesu verbreitet war. Er bedeutet „Gott hilft“ (Brown ²1987, 422). </w:t>
      </w:r>
    </w:p>
  </w:footnote>
  <w:footnote w:id="5224">
    <w:p>
      <w:pPr>
        <w:pStyle w:val="Funote"/>
        <w:rPr/>
      </w:pPr>
      <w:r>
        <w:rPr>
          <w:rStyle w:val="Funotenzeichen"/>
        </w:rPr>
        <w:footnoteRef/>
      </w:r>
      <w:r>
        <w:rPr>
          <w:i/>
        </w:rPr>
        <w:tab/>
        <w:t>[mit] Salböl</w:t>
      </w:r>
      <w:r>
        <w:rPr/>
        <w:t xml:space="preserve"> und </w:t>
      </w:r>
      <w:r>
        <w:rPr>
          <w:i/>
        </w:rPr>
        <w:t>[mit] ihren Haaren</w:t>
      </w:r>
      <w:r>
        <w:rPr/>
        <w:t xml:space="preserve"> Instrumentaler Dativ. </w:t>
      </w:r>
    </w:p>
  </w:footnote>
  <w:footnote w:id="5225">
    <w:p>
      <w:pPr>
        <w:pStyle w:val="Funote"/>
        <w:rPr/>
      </w:pPr>
      <w:r>
        <w:rPr>
          <w:rStyle w:val="Funotenzeichen"/>
        </w:rPr>
        <w:footnoteRef/>
      </w:r>
      <w:r>
        <w:rPr>
          <w:i/>
        </w:rPr>
        <w:tab/>
        <w:t>die gesalbt und abgetrocknet hatte</w:t>
      </w:r>
      <w:r>
        <w:rPr/>
        <w:t xml:space="preserve"> Attributives Ptz., als Relativsatz wiedergegeben. </w:t>
      </w:r>
    </w:p>
  </w:footnote>
  <w:footnote w:id="5226">
    <w:p>
      <w:pPr>
        <w:pStyle w:val="Funote"/>
        <w:rPr/>
      </w:pPr>
      <w:r>
        <w:rPr>
          <w:rStyle w:val="Funotenzeichen"/>
        </w:rPr>
        <w:footnoteRef/>
      </w:r>
      <w:r>
        <w:rPr>
          <w:i/>
        </w:rPr>
        <w:tab/>
        <w:t>und ließen ihm ausrichten</w:t>
      </w:r>
      <w:r>
        <w:rPr/>
        <w:t xml:space="preserve"> Sinngemäße Übersetzung, w. etwa „und sagten“ (nämlich die Schwestern). Etwas freier könnte man den Satz folgendermaßen übersetzen: „Die Schwestern ließen ihm folgende Nachricht übermitteln:“</w:t>
      </w:r>
    </w:p>
  </w:footnote>
  <w:footnote w:id="5227">
    <w:p>
      <w:pPr>
        <w:pStyle w:val="Funote"/>
        <w:rPr/>
      </w:pPr>
      <w:r>
        <w:rPr>
          <w:rStyle w:val="Funotenzeichen"/>
        </w:rPr>
        <w:footnoteRef/>
      </w:r>
      <w:r>
        <w:rPr>
          <w:i/>
        </w:rPr>
        <w:tab/>
        <w:t>Als Jesus das hörte</w:t>
      </w:r>
      <w:r>
        <w:rPr/>
        <w:t xml:space="preserve"> Temporal aufgelöstes adv. Ptz. Aor. </w:t>
      </w:r>
    </w:p>
  </w:footnote>
  <w:footnote w:id="5228">
    <w:p>
      <w:pPr>
        <w:pStyle w:val="Funote"/>
        <w:rPr/>
      </w:pPr>
      <w:r>
        <w:rPr>
          <w:rStyle w:val="Funotenzeichen"/>
        </w:rPr>
        <w:footnoteRef/>
      </w:r>
      <w:r>
        <w:rPr>
          <w:i/>
        </w:rPr>
        <w:tab/>
        <w:t>führt nicht zum Tod</w:t>
      </w:r>
      <w:r>
        <w:rPr/>
        <w:t xml:space="preserve"> W. „ist nicht zum Tod“</w:t>
      </w:r>
    </w:p>
  </w:footnote>
  <w:footnote w:id="5229">
    <w:p>
      <w:pPr>
        <w:pStyle w:val="Funote"/>
        <w:rPr/>
      </w:pPr>
      <w:r>
        <w:rPr>
          <w:rStyle w:val="Funotenzeichen"/>
        </w:rPr>
        <w:footnoteRef/>
      </w:r>
      <w:r>
        <w:rPr>
          <w:i/>
        </w:rPr>
        <w:tab/>
        <w:t>jedoch</w:t>
      </w:r>
      <w:r>
        <w:rPr/>
        <w:t xml:space="preserve">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w:t>
      </w:r>
      <w:r>
        <w:rPr>
          <w:i/>
        </w:rPr>
        <w:t>dennoch</w:t>
      </w:r>
      <w:r>
        <w:rPr/>
        <w:t xml:space="preserve">) hervorgehoben werden. Die Erzählung nimmt er dann gewöhnlich – wie gleich in V. 6 – mit der Konjunktion </w:t>
      </w:r>
      <w:hyperlink r:id="rId531">
        <w:r>
          <w:rPr>
            <w:rStyle w:val="Internetverknpfung"/>
          </w:rPr>
          <w:t>Οὖν"&gt;οὖν</w:t>
        </w:r>
      </w:hyperlink>
      <w:r>
        <w:rPr/>
        <w:t xml:space="preserve"> „nun, also, daher“, bei Joh auch „da, dann, daraufhin“ (hier </w:t>
      </w:r>
      <w:r>
        <w:rPr>
          <w:i/>
        </w:rPr>
        <w:t>dann</w:t>
      </w:r>
      <w:r>
        <w:rPr/>
        <w:t xml:space="preserve">) wieder auf. </w:t>
      </w:r>
    </w:p>
  </w:footnote>
  <w:footnote w:id="5230">
    <w:p>
      <w:pPr>
        <w:pStyle w:val="Funote"/>
        <w:rPr/>
      </w:pPr>
      <w:r>
        <w:rPr>
          <w:rStyle w:val="Funotenzeichen"/>
        </w:rPr>
        <w:footnoteRef/>
      </w:r>
      <w:hyperlink r:id="rId532">
        <w:r>
          <w:rPr>
            <w:rStyle w:val="Internetverknpfung"/>
          </w:rPr>
          <w:tab/>
          <w:t>Historisches Präsens</w:t>
        </w:r>
      </w:hyperlink>
      <w:r>
        <w:rPr/>
        <w:t xml:space="preserve">. </w:t>
      </w:r>
    </w:p>
  </w:footnote>
  <w:footnote w:id="5231">
    <w:p>
      <w:pPr>
        <w:pStyle w:val="Funote"/>
        <w:rPr/>
      </w:pPr>
      <w:r>
        <w:rPr>
          <w:rStyle w:val="Funotenzeichen"/>
        </w:rPr>
        <w:footnoteRef/>
      </w:r>
      <w:r>
        <w:rPr>
          <w:i/>
        </w:rPr>
        <w:tab/>
        <w:t>[in] einem Tag</w:t>
      </w:r>
      <w:r>
        <w:rPr/>
        <w:t xml:space="preserve"> Gen. partitivus. </w:t>
      </w:r>
    </w:p>
  </w:footnote>
  <w:footnote w:id="5232">
    <w:p>
      <w:pPr>
        <w:pStyle w:val="Funote"/>
        <w:rPr/>
      </w:pPr>
      <w:r>
        <w:rPr>
          <w:rStyle w:val="Funotenzeichen"/>
        </w:rPr>
        <w:footnoteRef/>
      </w:r>
      <w:r>
        <w:rPr>
          <w:i/>
        </w:rPr>
        <w:tab/>
        <w:t>das Licht dieser Welt</w:t>
      </w:r>
      <w:r>
        <w:rPr/>
        <w:t xml:space="preserve"> D.h. die Sonne, bei Johannes im theologischen Kontext jedoch doppeldeutig auch auf Jesus bezogen (vgl. Joh 9,5; Brown ²1987, 423). </w:t>
      </w:r>
    </w:p>
  </w:footnote>
  <w:footnote w:id="5233">
    <w:p>
      <w:pPr>
        <w:pStyle w:val="Funote"/>
        <w:rPr/>
      </w:pPr>
      <w:r>
        <w:rPr>
          <w:rStyle w:val="Funotenzeichen"/>
        </w:rPr>
        <w:footnoteRef/>
      </w:r>
      <w:r>
        <w:rPr/>
        <w:tab/>
        <w:t>weil das Licht nicht in einem ist Das meint offenbar die Sehfähigkeit, die bei Nacht fehlt. Die Juden dachten offenbar, dass das Licht in den Augen ist ({{par|Matthäus_6#s22|Mt 6,22-23}}; Brown ²1987, 423)</w:t>
      </w:r>
    </w:p>
  </w:footnote>
  <w:footnote w:id="5234">
    <w:p>
      <w:pPr>
        <w:pStyle w:val="Funote"/>
        <w:rPr/>
      </w:pPr>
      <w:r>
        <w:rPr>
          <w:rStyle w:val="Funotenzeichen"/>
        </w:rPr>
        <w:footnoteRef/>
      </w:r>
      <w:r>
        <w:rPr/>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235">
    <w:p>
      <w:pPr>
        <w:pStyle w:val="Funote"/>
        <w:rPr/>
      </w:pPr>
      <w:r>
        <w:rPr>
          <w:rStyle w:val="Funotenzeichen"/>
        </w:rPr>
        <w:footnoteRef/>
      </w:r>
      <w:r>
        <w:rPr/>
        <w:tab/>
        <w:t xml:space="preserve">Irrealer Konditionalsatz (KG §479). </w:t>
      </w:r>
    </w:p>
  </w:footnote>
  <w:footnote w:id="5236">
    <w:p>
      <w:pPr>
        <w:pStyle w:val="Funote"/>
        <w:rPr/>
      </w:pPr>
      <w:r>
        <w:rPr>
          <w:rStyle w:val="Funotenzeichen"/>
        </w:rPr>
        <w:footnoteRef/>
      </w:r>
      <w:r>
        <w:rPr/>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237">
    <w:p>
      <w:pPr>
        <w:pStyle w:val="Funote"/>
        <w:rPr/>
      </w:pPr>
      <w:r>
        <w:rPr>
          <w:rStyle w:val="Funotenzeichen"/>
        </w:rPr>
        <w:footnoteRef/>
      </w:r>
      <w:r>
        <w:rPr>
          <w:i/>
        </w:rPr>
        <w:tab/>
        <w:t>ihn</w:t>
      </w:r>
      <w:r>
        <w:rPr/>
        <w:t xml:space="preserve"> W. „Gott“, das in der Übersetzung aber als Subjekt vorgezogen werden musste. </w:t>
      </w:r>
    </w:p>
  </w:footnote>
  <w:footnote w:id="5238">
    <w:p>
      <w:pPr>
        <w:pStyle w:val="Funote"/>
        <w:rPr/>
      </w:pPr>
      <w:r>
        <w:rPr>
          <w:rStyle w:val="Funotenzeichen"/>
        </w:rPr>
        <w:footnoteRef/>
      </w:r>
      <w:r>
        <w:rPr/>
        <w:tab/>
        <w:t xml:space="preserve">Oder: „Auch jetzt weiß ich: {dass} Alles, worum du Gott bittest, wird er dir geben.“ </w:t>
      </w:r>
    </w:p>
  </w:footnote>
  <w:footnote w:id="5239">
    <w:p>
      <w:pPr>
        <w:pStyle w:val="Funote"/>
        <w:rPr/>
      </w:pPr>
      <w:r>
        <w:rPr>
          <w:rStyle w:val="Funotenzeichen"/>
        </w:rPr>
        <w:footnoteRef/>
      </w:r>
      <w:hyperlink r:id="rId533">
        <w:r>
          <w:rPr>
            <w:rStyle w:val="Internetverknpfung"/>
          </w:rPr>
          <w:tab/>
          <w:t>Historisches Präsens</w:t>
        </w:r>
      </w:hyperlink>
      <w:r>
        <w:rPr/>
        <w:t xml:space="preserve">. </w:t>
      </w:r>
    </w:p>
  </w:footnote>
  <w:footnote w:id="5240">
    <w:p>
      <w:pPr>
        <w:pStyle w:val="Funote"/>
        <w:rPr/>
      </w:pPr>
      <w:r>
        <w:rPr>
          <w:rStyle w:val="Funotenzeichen"/>
        </w:rPr>
        <w:footnoteRef/>
      </w:r>
      <w:hyperlink r:id="rId534">
        <w:r>
          <w:rPr>
            <w:rStyle w:val="Internetverknpfung"/>
          </w:rPr>
          <w:tab/>
          <w:t>Historisches Präsens</w:t>
        </w:r>
      </w:hyperlink>
      <w:r>
        <w:rPr/>
        <w:t xml:space="preserve">. </w:t>
      </w:r>
    </w:p>
  </w:footnote>
  <w:footnote w:id="5241">
    <w:p>
      <w:pPr>
        <w:pStyle w:val="Funote"/>
        <w:rPr/>
      </w:pPr>
      <w:r>
        <w:rPr>
          <w:rStyle w:val="Funotenzeichen"/>
        </w:rPr>
        <w:footnoteRef/>
      </w:r>
      <w:r>
        <w:rPr>
          <w:i/>
        </w:rPr>
        <w:tab/>
        <w:t>Wer an mich glaubt</w:t>
      </w:r>
      <w:r>
        <w:rPr/>
        <w:t xml:space="preserve"> Substantiviertes Ptz., als Relativsatz aufgelöst. </w:t>
      </w:r>
    </w:p>
  </w:footnote>
  <w:footnote w:id="5242">
    <w:p>
      <w:pPr>
        <w:pStyle w:val="Funote"/>
        <w:rPr/>
      </w:pPr>
      <w:r>
        <w:rPr>
          <w:rStyle w:val="Funotenzeichen"/>
        </w:rPr>
        <w:footnoteRef/>
      </w:r>
      <w:r>
        <w:rPr>
          <w:i/>
        </w:rPr>
        <w:tab/>
        <w:t>der lebt und glaubt</w:t>
      </w:r>
      <w:r>
        <w:rPr/>
        <w:t xml:space="preserve"> Zwei substantivierte Ptz., als Relativsatz aufgelöst. </w:t>
      </w:r>
    </w:p>
  </w:footnote>
  <w:footnote w:id="5243">
    <w:p>
      <w:pPr>
        <w:pStyle w:val="Funote"/>
        <w:rPr/>
      </w:pPr>
      <w:r>
        <w:rPr>
          <w:rStyle w:val="Funotenzeichen"/>
        </w:rPr>
        <w:footnoteRef/>
      </w:r>
      <w:r>
        <w:rPr>
          <w:i/>
        </w:rPr>
        <w:tab/>
        <w:t>der kommt</w:t>
      </w:r>
      <w:r>
        <w:rPr/>
        <w:t xml:space="preserve"> Substantiviertes Ptz. Präs. (mit Futur-Aspektbedeutung, GGNT §228), als Relativsatz aufgelöst. </w:t>
      </w:r>
    </w:p>
  </w:footnote>
  <w:footnote w:id="5244">
    <w:p>
      <w:pPr>
        <w:pStyle w:val="Funote"/>
        <w:rPr/>
      </w:pPr>
      <w:r>
        <w:rPr>
          <w:rStyle w:val="Funotenzeichen"/>
        </w:rPr>
        <w:footnoteRef/>
      </w:r>
      <w:r>
        <w:rPr>
          <w:i/>
        </w:rPr>
        <w:tab/>
        <w:t>und ihn sah</w:t>
      </w:r>
      <w:r>
        <w:rPr/>
        <w:t xml:space="preserve"> Ptc. coni., temporal aufgelöst. Da hier schon ein parenthetischer Nebensatz mit „als“ vorhanden war, wurde das aufgelöste Ptz. mit „und“ an diesen geknüpft. </w:t>
      </w:r>
    </w:p>
  </w:footnote>
  <w:footnote w:id="5245">
    <w:p>
      <w:pPr>
        <w:pStyle w:val="Funote"/>
        <w:rPr/>
      </w:pPr>
      <w:r>
        <w:rPr>
          <w:rStyle w:val="Funotenzeichen"/>
        </w:rPr>
        <w:footnoteRef/>
      </w:r>
      <w:r>
        <w:rPr>
          <w:i/>
        </w:rPr>
        <w:tab/>
        <w:t>und sagte</w:t>
      </w:r>
      <w:r>
        <w:rPr/>
        <w:t xml:space="preserve"> Modal-temporales Ptc. coni., hier als „und“-Kombination wiedergegeben. </w:t>
      </w:r>
    </w:p>
  </w:footnote>
  <w:footnote w:id="5246">
    <w:p>
      <w:pPr>
        <w:pStyle w:val="Funote"/>
        <w:rPr/>
      </w:pPr>
      <w:r>
        <w:rPr>
          <w:rStyle w:val="Funotenzeichen"/>
        </w:rPr>
        <w:footnoteRef/>
      </w:r>
      <w:r>
        <w:rPr/>
        <w:tab/>
        <w:t>Die Aussage enthält einen irrealen Konditionalsatz (KG §479) und gleicht Martas Ausruf aus V. 21 bis auf einige Abweichungen.</w:t>
      </w:r>
    </w:p>
  </w:footnote>
  <w:footnote w:id="5247">
    <w:p>
      <w:pPr>
        <w:pStyle w:val="Funote"/>
        <w:rPr/>
      </w:pPr>
      <w:r>
        <w:rPr>
          <w:rStyle w:val="Funotenzeichen"/>
        </w:rPr>
        <w:footnoteRef/>
      </w:r>
      <w:r>
        <w:rPr/>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248">
    <w:p>
      <w:pPr>
        <w:pStyle w:val="Funote"/>
        <w:rPr/>
      </w:pPr>
      <w:r>
        <w:rPr>
          <w:rStyle w:val="Funotenzeichen"/>
        </w:rPr>
        <w:footnoteRef/>
      </w:r>
      <w:r>
        <w:rPr>
          <w:i/>
        </w:rPr>
        <w:tab/>
        <w:t>[im] Geist</w:t>
      </w:r>
      <w:r>
        <w:rPr/>
        <w:t xml:space="preserve"> Zwar könnte der hier lokativ interpretierte Dativ auch instrumental verstanden werden – dann wäre Jesus „[vom Heiligen] Geist“ so aufgewühlt –, aber das verwendete, Selbstbezug herstellende Medium und der Kontext zeigen an, dass es wie innerlich zu verstehen ist (vgl. Carson 1991, 415). </w:t>
      </w:r>
    </w:p>
  </w:footnote>
  <w:footnote w:id="5249">
    <w:p>
      <w:pPr>
        <w:pStyle w:val="Funote"/>
        <w:rPr/>
      </w:pPr>
      <w:r>
        <w:rPr>
          <w:rStyle w:val="Funotenzeichen"/>
        </w:rPr>
        <w:footnoteRef/>
      </w:r>
      <w:r>
        <w:rPr>
          <w:i/>
        </w:rPr>
        <w:tab/>
        <w:t>war er sehr aufgebracht (wütend, erregt) und erschüttert (aufgewühlt, tief bewegt)</w:t>
      </w:r>
      <w:r>
        <w:rPr/>
        <w:t xml:space="preserve">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w:t>
      </w:r>
      <w:r>
        <w:rPr>
          <w:i/>
        </w:rPr>
        <w:t>sehr aufgebracht/wütend sein</w:t>
      </w:r>
      <w:r>
        <w:rPr/>
        <w:t xml:space="preserve">)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 </w:t>
      </w:r>
    </w:p>
  </w:footnote>
  <w:footnote w:id="5250">
    <w:p>
      <w:pPr>
        <w:pStyle w:val="Funote"/>
        <w:rPr/>
      </w:pPr>
      <w:r>
        <w:rPr>
          <w:rStyle w:val="Funotenzeichen"/>
        </w:rPr>
        <w:footnoteRef/>
      </w:r>
      <w:hyperlink r:id="rId535">
        <w:r>
          <w:rPr>
            <w:rStyle w:val="Internetverknpfung"/>
          </w:rPr>
          <w:tab/>
          <w:t>Historisches Präsens</w:t>
        </w:r>
      </w:hyperlink>
      <w:r>
        <w:rPr/>
        <w:t xml:space="preserve">. </w:t>
      </w:r>
    </w:p>
  </w:footnote>
  <w:footnote w:id="5251">
    <w:p>
      <w:pPr>
        <w:pStyle w:val="Funote"/>
        <w:rPr/>
      </w:pPr>
      <w:r>
        <w:rPr>
          <w:rStyle w:val="Funotenzeichen"/>
        </w:rPr>
        <w:footnoteRef/>
      </w:r>
      <w:r>
        <w:rPr/>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252">
    <w:p>
      <w:pPr>
        <w:pStyle w:val="Funote"/>
        <w:rPr/>
      </w:pPr>
      <w:r>
        <w:rPr>
          <w:rStyle w:val="Funotenzeichen"/>
        </w:rPr>
        <w:footnoteRef/>
      </w:r>
      <w:r>
        <w:rPr>
          <w:i/>
        </w:rPr>
        <w:tab/>
        <w:t>[Lazarus]</w:t>
      </w:r>
      <w:r>
        <w:rPr/>
        <w:t xml:space="preserve"> W. „dieser, er“. Der Eigenname wurde eingefügt, um ihn von Jesus zu unterscheiden. </w:t>
      </w:r>
    </w:p>
  </w:footnote>
  <w:footnote w:id="5253">
    <w:p>
      <w:pPr>
        <w:pStyle w:val="Funote"/>
        <w:rPr/>
      </w:pPr>
      <w:r>
        <w:rPr>
          <w:rStyle w:val="Funotenzeichen"/>
        </w:rPr>
        <w:footnoteRef/>
      </w:r>
      <w:r>
        <w:rPr>
          <w:i/>
        </w:rPr>
        <w:tab/>
        <w:t>sage es (habe gesagt)</w:t>
      </w:r>
      <w:r>
        <w:rPr/>
        <w:t xml:space="preserve"> Gr. ein Aorist (Vergangenheit), aber das ist wohl eine zu wörtliche Wiedergabe des hebräischen Vollzugsperfekts (Brown ²1987, 427). </w:t>
      </w:r>
    </w:p>
  </w:footnote>
  <w:footnote w:id="5254">
    <w:p>
      <w:pPr>
        <w:pStyle w:val="Funote"/>
        <w:rPr/>
      </w:pPr>
      <w:r>
        <w:rPr>
          <w:rStyle w:val="Funotenzeichen"/>
        </w:rPr>
        <w:footnoteRef/>
      </w:r>
      <w:r>
        <w:rPr>
          <w:i/>
        </w:rPr>
        <w:tab/>
        <w:t>nachdem er das gesagt hatte</w:t>
      </w:r>
      <w:r>
        <w:rPr/>
        <w:t xml:space="preserve"> Als temporaler Nebensatz aufgelöstes adv. Ptz. Aor. </w:t>
      </w:r>
    </w:p>
  </w:footnote>
  <w:footnote w:id="5255">
    <w:p>
      <w:pPr>
        <w:pStyle w:val="Funote"/>
        <w:rPr/>
      </w:pPr>
      <w:r>
        <w:rPr>
          <w:rStyle w:val="Funotenzeichen"/>
        </w:rPr>
        <w:footnoteRef/>
      </w:r>
      <w:r>
        <w:rPr>
          <w:i/>
        </w:rPr>
        <w:tab/>
        <w:t>[mit] lauter Stimme</w:t>
      </w:r>
      <w:r>
        <w:rPr/>
        <w:t xml:space="preserve"> Instrumentaler Dativ. </w:t>
      </w:r>
    </w:p>
  </w:footnote>
  <w:footnote w:id="5256">
    <w:p>
      <w:pPr>
        <w:pStyle w:val="Funote"/>
        <w:rPr/>
      </w:pPr>
      <w:r>
        <w:rPr>
          <w:rStyle w:val="Funotenzeichen"/>
        </w:rPr>
        <w:footnoteRef/>
      </w:r>
      <w:r>
        <w:rPr>
          <w:i/>
        </w:rPr>
        <w:tab/>
        <w:t>an Füßen und Händen mit Binden gebunden</w:t>
      </w:r>
      <w:r>
        <w:rPr/>
        <w:t xml:space="preserve">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 </w:t>
      </w:r>
    </w:p>
  </w:footnote>
  <w:footnote w:id="5257">
    <w:p>
      <w:pPr>
        <w:pStyle w:val="Funote"/>
        <w:rPr/>
      </w:pPr>
      <w:r>
        <w:rPr>
          <w:rStyle w:val="Funotenzeichen"/>
        </w:rPr>
        <w:footnoteRef/>
      </w:r>
      <w:r>
        <w:rPr>
          <w:i/>
        </w:rPr>
        <w:tab/>
        <w:t>der war</w:t>
      </w:r>
      <w:r>
        <w:rPr/>
        <w:t xml:space="preserve"> Ptc. coni., als Relativsatz aufgelöst. </w:t>
      </w:r>
    </w:p>
  </w:footnote>
  <w:footnote w:id="5258">
    <w:p>
      <w:pPr>
        <w:pStyle w:val="Funote"/>
        <w:rPr/>
      </w:pPr>
      <w:r>
        <w:rPr>
          <w:rStyle w:val="Funotenzeichen"/>
        </w:rPr>
        <w:footnoteRef/>
      </w:r>
      <w:r>
        <w:rPr/>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259">
    <w:p>
      <w:pPr>
        <w:pStyle w:val="Funote"/>
        <w:rPr/>
      </w:pPr>
      <w:r>
        <w:rPr>
          <w:rStyle w:val="Funotenzeichen"/>
        </w:rPr>
        <w:footnoteRef/>
      </w:r>
      <w:r>
        <w:rPr>
          <w:i/>
        </w:rPr>
        <w:tab/>
        <w:t>weil er war</w:t>
      </w:r>
      <w:r>
        <w:rPr/>
        <w:t xml:space="preserve"> Ptc. coni., als kausaler Nebensatz aufgelöst. </w:t>
      </w:r>
    </w:p>
  </w:footnote>
  <w:footnote w:id="5260">
    <w:p>
      <w:pPr>
        <w:pStyle w:val="Funote"/>
        <w:rPr/>
      </w:pPr>
      <w:r>
        <w:rPr>
          <w:rStyle w:val="Funotenzeichen"/>
        </w:rPr>
        <w:footnoteRef/>
      </w:r>
      <w:r>
        <w:rPr/>
        <w:tab/>
        <w:t>[Status: Ungeprüft]</w:t>
      </w:r>
    </w:p>
  </w:footnote>
  <w:footnote w:id="5261">
    <w:p>
      <w:pPr>
        <w:pStyle w:val="Funote"/>
        <w:rPr/>
      </w:pPr>
      <w:r>
        <w:rPr>
          <w:rStyle w:val="Funotenzeichen"/>
        </w:rPr>
        <w:footnoteRef/>
      </w:r>
      <w:r>
        <w:rPr/>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w:t>
      </w:r>
      <w:r>
        <w:fldChar w:fldCharType="begin"/>
      </w:r>
      <w:r>
        <w:rPr>
          <w:rStyle w:val="Internetverknpfung"/>
        </w:rPr>
        <w:instrText> HYPERLINK "../../../../../../../../../wiki/Markus_14" \l "s3"</w:instrText>
      </w:r>
      <w:r>
        <w:rPr>
          <w:rStyle w:val="Internetverknpfung"/>
        </w:rPr>
        <w:fldChar w:fldCharType="separate"/>
      </w:r>
      <w:r>
        <w:rPr>
          <w:rStyle w:val="Internetverknpfung"/>
        </w:rPr>
        <w:t>Mk 14,3</w:t>
      </w:r>
      <w:r>
        <w:rPr>
          <w:rStyle w:val="Internetverknpfung"/>
        </w:rPr>
        <w:fldChar w:fldCharType="end"/>
      </w:r>
    </w:p>
  </w:footnote>
  <w:footnote w:id="5262">
    <w:p>
      <w:pPr>
        <w:pStyle w:val="Funote"/>
        <w:rPr/>
      </w:pPr>
      <w:r>
        <w:rPr>
          <w:rStyle w:val="Funotenzeichen"/>
        </w:rPr>
        <w:footnoteRef/>
      </w:r>
      <w:r>
        <w:rPr/>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263">
    <w:p>
      <w:pPr>
        <w:pStyle w:val="Funote"/>
        <w:rPr/>
      </w:pPr>
      <w:r>
        <w:rPr>
          <w:rStyle w:val="Funotenzeichen"/>
        </w:rPr>
        <w:footnoteRef/>
      </w:r>
      <w:hyperlink r:id="rId536">
        <w:r>
          <w:rPr>
            <w:rStyle w:val="Internetverknpfung"/>
          </w:rPr>
          <w:tab/>
          <w:t>Sach 9,9</w:t>
        </w:r>
      </w:hyperlink>
      <w:r>
        <w:rPr/>
        <w:t xml:space="preserve">. Das Zitat enspricht weder dem bekannten hebräischen noch dem bekannten griechischen Text genau, teilweise vielleicht erklärbar durch den Einfluß von </w:t>
      </w:r>
      <w:r>
        <w:fldChar w:fldCharType="begin"/>
      </w:r>
      <w:r>
        <w:rPr>
          <w:rStyle w:val="Internetverknpfung"/>
        </w:rPr>
        <w:instrText> HYPERLINK "../../../../../../../../../wiki/Jesaja_40" \l "s9"</w:instrText>
      </w:r>
      <w:r>
        <w:rPr>
          <w:rStyle w:val="Internetverknpfung"/>
        </w:rPr>
        <w:fldChar w:fldCharType="separate"/>
      </w:r>
      <w:r>
        <w:rPr>
          <w:rStyle w:val="Internetverknpfung"/>
        </w:rPr>
        <w:t>Jes 40,9</w:t>
      </w:r>
      <w:r>
        <w:rPr>
          <w:rStyle w:val="Internetverknpfung"/>
        </w:rPr>
        <w:fldChar w:fldCharType="end"/>
      </w:r>
      <w:r>
        <w:rPr/>
        <w:t>. Cf. C.K. Barrett, Das Evangelium des Johannes (KEK), 1990, S. 413 f.</w:t>
      </w:r>
    </w:p>
  </w:footnote>
  <w:footnote w:id="5264">
    <w:p>
      <w:pPr>
        <w:pStyle w:val="Funote"/>
        <w:rPr/>
      </w:pPr>
      <w:r>
        <w:rPr>
          <w:rStyle w:val="Funotenzeichen"/>
        </w:rPr>
        <w:footnoteRef/>
      </w:r>
      <w:r>
        <w:rPr/>
        <w:tab/>
        <w:t xml:space="preserve">Der griechische Text in der von NA27 favorisierten und besser bezeugten Lesart läßt offen, </w:t>
      </w:r>
      <w:r>
        <w:rPr>
          <w:i/>
        </w:rPr>
        <w:t>was</w:t>
      </w:r>
      <w:r>
        <w:rPr/>
        <w:t xml:space="preserve">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265">
    <w:p>
      <w:pPr>
        <w:pStyle w:val="Funote"/>
        <w:rPr/>
      </w:pPr>
      <w:r>
        <w:rPr>
          <w:rStyle w:val="Funotenzeichen"/>
        </w:rPr>
        <w:footnoteRef/>
      </w:r>
      <w:r>
        <w:rPr/>
        <w:tab/>
        <w:t xml:space="preserve">Wörtlich aus der Septuagintafassung von </w:t>
      </w:r>
      <w:r>
        <w:fldChar w:fldCharType="begin"/>
      </w:r>
      <w:r>
        <w:rPr>
          <w:rStyle w:val="Internetverknpfung"/>
        </w:rPr>
        <w:instrText> HYPERLINK "../../../../../../../../../wiki/Jesaja_53" \l "s1"</w:instrText>
      </w:r>
      <w:r>
        <w:rPr>
          <w:rStyle w:val="Internetverknpfung"/>
        </w:rPr>
        <w:fldChar w:fldCharType="separate"/>
      </w:r>
      <w:r>
        <w:rPr>
          <w:rStyle w:val="Internetverknpfung"/>
        </w:rPr>
        <w:t>Jes 53,1</w:t>
      </w:r>
      <w:r>
        <w:rPr>
          <w:rStyle w:val="Internetverknpfung"/>
        </w:rPr>
        <w:fldChar w:fldCharType="end"/>
      </w:r>
      <w:r>
        <w:rPr/>
        <w:t>.</w:t>
      </w:r>
    </w:p>
  </w:footnote>
  <w:footnote w:id="5266">
    <w:p>
      <w:pPr>
        <w:pStyle w:val="Funote"/>
        <w:rPr/>
      </w:pPr>
      <w:r>
        <w:rPr>
          <w:rStyle w:val="Funotenzeichen"/>
        </w:rPr>
        <w:footnoteRef/>
      </w:r>
      <w:r>
        <w:rPr/>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267">
    <w:p>
      <w:pPr>
        <w:pStyle w:val="Funote"/>
        <w:rPr/>
      </w:pPr>
      <w:r>
        <w:rPr>
          <w:rStyle w:val="Funotenzeichen"/>
        </w:rPr>
        <w:footnoteRef/>
      </w:r>
      <w:r>
        <w:rPr/>
        <w:tab/>
        <w:t>[Status: Ungeprüft]</w:t>
      </w:r>
    </w:p>
  </w:footnote>
  <w:footnote w:id="5268">
    <w:p>
      <w:pPr>
        <w:pStyle w:val="Funote"/>
        <w:rPr/>
      </w:pPr>
      <w:r>
        <w:rPr>
          <w:rStyle w:val="Funotenzeichen"/>
        </w:rPr>
        <w:footnoteRef/>
      </w:r>
      <w:r>
        <w:rPr>
          <w:i/>
        </w:rPr>
        <w:tab/>
        <w:t>weil Jesus wusste</w:t>
      </w:r>
      <w:r>
        <w:rPr/>
        <w:t xml:space="preserve"> Ptc. coni., hier kausal interpretiert und als Nebensatz mit „weil“ übersetzt. Ebenfalls möglich wäre ein temporaler Nebensatz mit „als“ (und dann evtl. der Übersetzung „erkannte“ statt „wusste“, vgl. Luther). </w:t>
      </w:r>
    </w:p>
  </w:footnote>
  <w:footnote w:id="5269">
    <w:p>
      <w:pPr>
        <w:pStyle w:val="Funote"/>
        <w:rPr/>
      </w:pPr>
      <w:r>
        <w:rPr>
          <w:rStyle w:val="Funotenzeichen"/>
        </w:rPr>
        <w:footnoteRef/>
      </w:r>
      <w:r>
        <w:rPr>
          <w:i/>
        </w:rPr>
        <w:tab/>
        <w:t>weil er die liebte</w:t>
      </w:r>
      <w:r>
        <w:rPr/>
        <w:t xml:space="preserve"> Ptc. coni. mit kausalem Sinn, daher als kausaler Nebensatz aufgelöst (und als zweite Umstandsangabe an die vorige Konstruktion gehängt). Unter Umständen könnte man das Ptz. auch final („um zu lieben“ verstehen. </w:t>
      </w:r>
    </w:p>
  </w:footnote>
  <w:footnote w:id="5270">
    <w:p>
      <w:pPr>
        <w:pStyle w:val="Funote"/>
        <w:rPr/>
      </w:pPr>
      <w:r>
        <w:rPr>
          <w:rStyle w:val="Funotenzeichen"/>
        </w:rPr>
        <w:footnoteRef/>
      </w:r>
      <w:r>
        <w:rPr>
          <w:i/>
        </w:rPr>
        <w:tab/>
        <w:t>zu ihm gehören</w:t>
      </w:r>
      <w:r>
        <w:rPr/>
        <w:t xml:space="preserve"> W. „sein eigen [sind]“.</w:t>
      </w:r>
    </w:p>
  </w:footnote>
  <w:footnote w:id="5271">
    <w:p>
      <w:pPr>
        <w:pStyle w:val="Funote"/>
        <w:rPr/>
      </w:pPr>
      <w:r>
        <w:rPr>
          <w:rStyle w:val="Funotenzeichen"/>
        </w:rPr>
        <w:footnoteRef/>
      </w:r>
      <w:r>
        <w:rPr>
          <w:i/>
        </w:rPr>
        <w:tab/>
        <w:t>während ... stattfand</w:t>
      </w:r>
      <w:r>
        <w:rPr/>
        <w:t xml:space="preserve"> Gen. abs. (Ptz. Präs.), als temporaler Nebensatz aufgelöst. </w:t>
      </w:r>
    </w:p>
  </w:footnote>
  <w:footnote w:id="5272">
    <w:p>
      <w:pPr>
        <w:pStyle w:val="Funote"/>
        <w:rPr/>
      </w:pPr>
      <w:r>
        <w:rPr>
          <w:rStyle w:val="Funotenzeichen"/>
        </w:rPr>
        <w:footnoteRef/>
      </w:r>
      <w:r>
        <w:rPr>
          <w:i/>
        </w:rPr>
        <w:tab/>
        <w:t>gelegt hatte</w:t>
      </w:r>
      <w:r>
        <w:rPr/>
        <w:t xml:space="preserve"> Gen. abs. (Ptz. Pf.), als temporaler Nebensatz aufgelöst (hier mit „und“ an den vorangehenden gehängt). </w:t>
      </w:r>
    </w:p>
  </w:footnote>
  <w:footnote w:id="5273">
    <w:p>
      <w:pPr>
        <w:pStyle w:val="Funote"/>
        <w:rPr/>
      </w:pPr>
      <w:r>
        <w:rPr>
          <w:rStyle w:val="Funotenzeichen"/>
        </w:rPr>
        <w:footnoteRef/>
      </w:r>
      <w:r>
        <w:rPr>
          <w:i/>
        </w:rPr>
        <w:tab/>
        <w:t>[Jesus]</w:t>
      </w:r>
      <w:r>
        <w:rPr/>
        <w:t xml:space="preserve"> W. „ihn“</w:t>
      </w:r>
    </w:p>
  </w:footnote>
  <w:footnote w:id="5274">
    <w:p>
      <w:pPr>
        <w:pStyle w:val="Funote"/>
        <w:rPr/>
      </w:pPr>
      <w:r>
        <w:rPr>
          <w:rStyle w:val="Funotenzeichen"/>
        </w:rPr>
        <w:footnoteRef/>
      </w:r>
      <w:r>
        <w:rPr>
          <w:i/>
        </w:rPr>
        <w:tab/>
        <w:t>und da er wusste</w:t>
      </w:r>
      <w:r>
        <w:rPr/>
        <w:t xml:space="preserve"> Ptc. coni., als kausaler Nebensatz übersetzt und mit „und“ mit dem vorherigen verbunden. </w:t>
      </w:r>
    </w:p>
  </w:footnote>
  <w:footnote w:id="5275">
    <w:p>
      <w:pPr>
        <w:pStyle w:val="Funote"/>
        <w:rPr/>
      </w:pPr>
      <w:r>
        <w:rPr>
          <w:rStyle w:val="Funotenzeichen"/>
        </w:rPr>
        <w:footnoteRef/>
      </w:r>
      <w:r>
        <w:rPr>
          <w:i/>
        </w:rPr>
        <w:tab/>
        <w:t>nahm ein Handtuch, das</w:t>
      </w:r>
      <w:r>
        <w:rPr/>
        <w:t xml:space="preserve"> Modal-temporales Ptc. coni., das hier nur aufgrund der stilistischen Variation erscheint. Es wurde aus stilistischen Gründen als Indikativ wiedergegeben, der einen Relativsatz einleitet. W. „und, ein Handtuch nehmend, band er [es] sich um die Hüften“</w:t>
      </w:r>
    </w:p>
  </w:footnote>
  <w:footnote w:id="5276">
    <w:p>
      <w:pPr>
        <w:pStyle w:val="Funote"/>
        <w:rPr/>
      </w:pPr>
      <w:r>
        <w:rPr>
          <w:rStyle w:val="Funotenzeichen"/>
        </w:rPr>
        <w:footnoteRef/>
      </w:r>
      <w:hyperlink r:id="rId537">
        <w:r>
          <w:rPr>
            <w:rStyle w:val="Internetverknpfung"/>
          </w:rPr>
          <w:tab/>
          <w:t>Historisches Präsens</w:t>
        </w:r>
      </w:hyperlink>
      <w:r>
        <w:rPr/>
        <w:t xml:space="preserve">. </w:t>
      </w:r>
    </w:p>
  </w:footnote>
  <w:footnote w:id="5277">
    <w:p>
      <w:pPr>
        <w:pStyle w:val="Funote"/>
        <w:rPr/>
      </w:pPr>
      <w:r>
        <w:rPr>
          <w:rStyle w:val="Funotenzeichen"/>
        </w:rPr>
        <w:footnoteRef/>
      </w:r>
      <w:r>
        <w:rPr/>
        <w:tab/>
        <w:t>W. etwa „Du wirst/sollst mir in Ewigkeit nicht...“ Auch: „Nie und nimmer sollst du…“</w:t>
      </w:r>
    </w:p>
  </w:footnote>
  <w:footnote w:id="5278">
    <w:p>
      <w:pPr>
        <w:pStyle w:val="Funote"/>
        <w:rPr/>
      </w:pPr>
      <w:r>
        <w:rPr>
          <w:rStyle w:val="Funotenzeichen"/>
        </w:rPr>
        <w:footnoteRef/>
      </w:r>
      <w:r>
        <w:rPr/>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279">
    <w:p>
      <w:pPr>
        <w:pStyle w:val="Funote"/>
        <w:rPr/>
      </w:pPr>
      <w:r>
        <w:rPr>
          <w:rStyle w:val="Funotenzeichen"/>
        </w:rPr>
        <w:footnoteRef/>
      </w:r>
      <w:r>
        <w:rPr>
          <w:i/>
        </w:rPr>
        <w:tab/>
        <w:t>Wer gebadet hat</w:t>
      </w:r>
      <w:r>
        <w:rPr/>
        <w:t xml:space="preserve"> Subst. Ptz. </w:t>
      </w:r>
    </w:p>
  </w:footnote>
  <w:footnote w:id="5280">
    <w:p>
      <w:pPr>
        <w:pStyle w:val="Funote"/>
        <w:rPr/>
      </w:pPr>
      <w:r>
        <w:rPr>
          <w:rStyle w:val="Funotenzeichen"/>
        </w:rPr>
        <w:footnoteRef/>
      </w:r>
      <w:r>
        <w:rPr>
          <w:i/>
        </w:rPr>
        <w:tab/>
        <w:t>denjenigen, der ihn verraten (ausliefern) würde</w:t>
      </w:r>
      <w:r>
        <w:rPr/>
        <w:t xml:space="preserve"> Subst. Ptz. Präs. mit futurischem Sinn. </w:t>
      </w:r>
    </w:p>
  </w:footnote>
  <w:footnote w:id="5281">
    <w:p>
      <w:pPr>
        <w:pStyle w:val="Funote"/>
        <w:rPr/>
      </w:pPr>
      <w:r>
        <w:rPr>
          <w:rStyle w:val="Funotenzeichen"/>
        </w:rPr>
        <w:footnoteRef/>
      </w:r>
      <w:hyperlink r:id="rId538">
        <w:r>
          <w:rPr>
            <w:rStyle w:val="Internetverknpfung"/>
          </w:rPr>
          <w:tab/>
          <w:t>Ὅτι recitativum"&gt;</w:t>
        </w:r>
        <w:r>
          <w:rPr>
            <w:rStyle w:val="Internetverknpfung"/>
            <w:lang w:val="el-GR"/>
          </w:rPr>
          <w:t>ὅτι</w:t>
        </w:r>
        <w:r>
          <w:rPr>
            <w:rStyle w:val="Internetverknpfung"/>
          </w:rPr>
          <w:t xml:space="preserve"> recitativum</w:t>
        </w:r>
      </w:hyperlink>
      <w:r>
        <w:rPr/>
        <w:t xml:space="preserve">. </w:t>
      </w:r>
    </w:p>
  </w:footnote>
  <w:footnote w:id="5282">
    <w:p>
      <w:pPr>
        <w:pStyle w:val="Funote"/>
        <w:rPr/>
      </w:pPr>
      <w:r>
        <w:rPr>
          <w:rStyle w:val="Funotenzeichen"/>
        </w:rPr>
        <w:footnoteRef/>
      </w:r>
      <w:r>
        <w:rPr>
          <w:i/>
        </w:rPr>
        <w:tab/>
        <w:t>sein Auftraggeber</w:t>
      </w:r>
      <w:r>
        <w:rPr/>
        <w:t xml:space="preserve"> W. (unter Auflösung des substantivierten Ptz.): „derjenige, der ihn gesandt hat“ (vgl. V. 20). </w:t>
      </w:r>
    </w:p>
  </w:footnote>
  <w:footnote w:id="5283">
    <w:p>
      <w:pPr>
        <w:pStyle w:val="Funote"/>
        <w:rPr/>
      </w:pPr>
      <w:r>
        <w:rPr>
          <w:rStyle w:val="Funotenzeichen"/>
        </w:rPr>
        <w:footnoteRef/>
      </w:r>
      <w:r>
        <w:rPr/>
        <w:tab/>
        <w:t>seine Ferse gegen mich erhoben Ein Idiom, das für »hat sich gegen mich gewandt« steht (LN 39.3). Jemandem die Fußsohle zu zeigen, galt damals als Zeichen der Verachtung (Brown ²1987, 554).</w:t>
      </w:r>
    </w:p>
  </w:footnote>
  <w:footnote w:id="5284">
    <w:p>
      <w:pPr>
        <w:pStyle w:val="Funote"/>
        <w:rPr/>
      </w:pPr>
      <w:r>
        <w:rPr>
          <w:rStyle w:val="Funotenzeichen"/>
        </w:rPr>
        <w:footnoteRef/>
      </w:r>
      <w:r>
        <w:rPr>
          <w:i/>
        </w:rPr>
        <w:tab/>
        <w:t>glaubt (vertraut)</w:t>
      </w:r>
      <w:r>
        <w:rPr/>
        <w:t xml:space="preserve"> W. „glauben werdet“ (Fut.). </w:t>
      </w:r>
    </w:p>
  </w:footnote>
  <w:footnote w:id="5285">
    <w:p>
      <w:pPr>
        <w:pStyle w:val="Funote"/>
        <w:rPr/>
      </w:pPr>
      <w:r>
        <w:rPr>
          <w:rStyle w:val="Funotenzeichen"/>
        </w:rPr>
        <w:footnoteRef/>
      </w:r>
      <w:r>
        <w:rPr>
          <w:i/>
        </w:rPr>
        <w:tab/>
        <w:t>meinen Auftraggeber</w:t>
      </w:r>
      <w:r>
        <w:rPr/>
        <w:t xml:space="preserve"> W. (unter Auflösung des substantivierten Ptz.): „denjenigen, der mich gesandt hat“. Es wurde jedoch aus Gründen des Stils und Zusammenhangs so übersetzt wie in V. 16. </w:t>
      </w:r>
    </w:p>
  </w:footnote>
  <w:footnote w:id="5286">
    <w:p>
      <w:pPr>
        <w:pStyle w:val="Funote"/>
        <w:rPr/>
      </w:pPr>
      <w:r>
        <w:rPr>
          <w:rStyle w:val="Funotenzeichen"/>
        </w:rPr>
        <w:footnoteRef/>
      </w:r>
      <w:r>
        <w:rPr/>
        <w:tab/>
        <w:t xml:space="preserve">Ptz. Aor. akt., temporal/modal aufgelöst. </w:t>
      </w:r>
    </w:p>
  </w:footnote>
  <w:footnote w:id="5287">
    <w:p>
      <w:pPr>
        <w:pStyle w:val="Funote"/>
        <w:rPr/>
      </w:pPr>
      <w:r>
        <w:rPr>
          <w:rStyle w:val="Funotenzeichen"/>
        </w:rPr>
        <w:footnoteRef/>
      </w:r>
      <w:r>
        <w:rPr/>
        <w:tab/>
        <w:t xml:space="preserve">Ptz. Präs. med., temporal als „und“-Konstruktion aufgelöst. </w:t>
      </w:r>
    </w:p>
  </w:footnote>
  <w:footnote w:id="5288">
    <w:p>
      <w:pPr>
        <w:pStyle w:val="Funote"/>
        <w:rPr/>
      </w:pPr>
      <w:r>
        <w:rPr>
          <w:rStyle w:val="Funotenzeichen"/>
        </w:rPr>
        <w:footnoteRef/>
      </w:r>
      <w:r>
        <w:rPr/>
        <w:tab/>
        <w:t xml:space="preserve">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 </w:t>
      </w:r>
    </w:p>
  </w:footnote>
  <w:footnote w:id="5289">
    <w:p>
      <w:pPr>
        <w:pStyle w:val="Funote"/>
        <w:rPr/>
      </w:pPr>
      <w:r>
        <w:rPr>
          <w:rStyle w:val="Funotenzeichen"/>
        </w:rPr>
        <w:footnoteRef/>
      </w:r>
      <w:r>
        <w:rPr/>
        <w:tab/>
        <w:t xml:space="preserve">Ptz. Aor. akt., temporal aufgelöst. </w:t>
      </w:r>
    </w:p>
  </w:footnote>
  <w:footnote w:id="5290">
    <w:p>
      <w:pPr>
        <w:pStyle w:val="Funote"/>
        <w:rPr/>
      </w:pPr>
      <w:r>
        <w:rPr>
          <w:rStyle w:val="Funotenzeichen"/>
        </w:rPr>
        <w:footnoteRef/>
      </w:r>
      <w:r>
        <w:rPr/>
        <w:tab/>
        <w:t>Wörtlich: „lehnte sich so … [und] fragte (sagte)“; dabei steht „so“ aber ohne Bezug (vgl. deshalb NGÜ).</w:t>
      </w:r>
    </w:p>
  </w:footnote>
  <w:footnote w:id="5291">
    <w:p>
      <w:pPr>
        <w:pStyle w:val="Funote"/>
        <w:rPr/>
      </w:pPr>
      <w:r>
        <w:rPr>
          <w:rStyle w:val="Funotenzeichen"/>
        </w:rPr>
        <w:footnoteRef/>
      </w:r>
      <w:r>
        <w:rPr/>
        <w:tab/>
        <w:t>Ptz. Aor. akt., temporal-gleichzeitig aufgelöst. Oder vorzeitig: „Als er dann … eingetunkt hatte“</w:t>
      </w:r>
    </w:p>
  </w:footnote>
  <w:footnote w:id="5292">
    <w:p>
      <w:pPr>
        <w:pStyle w:val="Funote"/>
        <w:rPr/>
      </w:pPr>
      <w:r>
        <w:rPr>
          <w:rStyle w:val="Funotenzeichen"/>
        </w:rPr>
        <w:footnoteRef/>
      </w:r>
      <w:r>
        <w:rPr/>
        <w:tab/>
        <w:t>„</w:t>
      </w:r>
      <w:r>
        <w:rPr/>
        <w:t>nahm es und“ steht im GNT in Eckigen klammern, d.h. seine Echtheit ist unsicher.</w:t>
      </w:r>
    </w:p>
  </w:footnote>
  <w:footnote w:id="5293">
    <w:p>
      <w:pPr>
        <w:pStyle w:val="Funote"/>
        <w:rPr/>
      </w:pPr>
      <w:r>
        <w:rPr>
          <w:rStyle w:val="Funotenzeichen"/>
        </w:rPr>
        <w:footnoteRef/>
      </w:r>
      <w:r>
        <w:rPr/>
        <w:tab/>
        <w:t>Es muss sich um den Augenblick handeln, in dem Judas das Stück Brot berührte (vgl. V. 30).</w:t>
      </w:r>
    </w:p>
  </w:footnote>
  <w:footnote w:id="5294">
    <w:p>
      <w:pPr>
        <w:pStyle w:val="Funote"/>
        <w:rPr/>
      </w:pPr>
      <w:r>
        <w:rPr>
          <w:rStyle w:val="Funotenzeichen"/>
        </w:rPr>
        <w:footnoteRef/>
      </w:r>
      <w:r>
        <w:rPr/>
        <w:tab/>
        <w:t xml:space="preserve">Also die gemeinsame Kasse der Gruppe. </w:t>
      </w:r>
    </w:p>
  </w:footnote>
  <w:footnote w:id="5295">
    <w:p>
      <w:pPr>
        <w:pStyle w:val="Funote"/>
        <w:rPr/>
      </w:pPr>
      <w:r>
        <w:rPr>
          <w:rStyle w:val="Funotenzeichen"/>
        </w:rPr>
        <w:footnoteRef/>
      </w:r>
      <w:r>
        <w:rPr/>
        <w:tab/>
        <w:t xml:space="preserve">Ptz. Präs. med., temporal aufgelöst. </w:t>
      </w:r>
    </w:p>
  </w:footnote>
  <w:footnote w:id="5296">
    <w:p>
      <w:pPr>
        <w:pStyle w:val="Funote"/>
        <w:rPr/>
      </w:pPr>
      <w:r>
        <w:rPr>
          <w:rStyle w:val="Funotenzeichen"/>
        </w:rPr>
        <w:footnoteRef/>
      </w:r>
      <w:r>
        <w:rPr/>
        <w:tab/>
        <w:t>[Status: Ungeprüft]</w:t>
      </w:r>
    </w:p>
  </w:footnote>
  <w:footnote w:id="5297">
    <w:p>
      <w:pPr>
        <w:pStyle w:val="Funote"/>
        <w:rPr/>
      </w:pPr>
      <w:r>
        <w:rPr>
          <w:rStyle w:val="Funotenzeichen"/>
        </w:rPr>
        <w:footnoteRef/>
      </w:r>
      <w:r>
        <w:rPr/>
        <w:tab/>
        <w:t>Im Griechischen steht bei der Aufzählung vor jedem Glied ein „und“.</w:t>
      </w:r>
    </w:p>
  </w:footnote>
  <w:footnote w:id="5298">
    <w:p>
      <w:pPr>
        <w:pStyle w:val="Funote"/>
        <w:rPr/>
      </w:pPr>
      <w:r>
        <w:rPr>
          <w:rStyle w:val="Funotenzeichen"/>
        </w:rPr>
        <w:footnoteRef/>
      </w:r>
      <w:r>
        <w:rPr/>
        <w:tab/>
        <w:t>Wörtlich: „wenn nicht“</w:t>
      </w:r>
    </w:p>
  </w:footnote>
  <w:footnote w:id="5299">
    <w:p>
      <w:pPr>
        <w:pStyle w:val="Funote"/>
        <w:rPr/>
      </w:pPr>
      <w:r>
        <w:rPr>
          <w:rStyle w:val="Funotenzeichen"/>
        </w:rPr>
        <w:footnoteRef/>
      </w:r>
      <w:r>
        <w:rPr/>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300">
    <w:p>
      <w:pPr>
        <w:pStyle w:val="Funote"/>
        <w:rPr/>
      </w:pPr>
      <w:r>
        <w:rPr>
          <w:rStyle w:val="Funotenzeichen"/>
        </w:rPr>
        <w:footnoteRef/>
      </w:r>
      <w:r>
        <w:rPr/>
        <w:tab/>
        <w:t>[Status: Ungeprüft]</w:t>
      </w:r>
    </w:p>
  </w:footnote>
  <w:footnote w:id="5301">
    <w:p>
      <w:pPr>
        <w:pStyle w:val="Funote"/>
        <w:rPr/>
      </w:pPr>
      <w:r>
        <w:rPr>
          <w:rStyle w:val="Funotenzeichen"/>
        </w:rPr>
        <w:footnoteRef/>
      </w:r>
      <w:r>
        <w:fldChar w:fldCharType="begin"/>
      </w:r>
      <w:r>
        <w:rPr>
          <w:rStyle w:val="Internetverknpfung"/>
        </w:rPr>
        <w:instrText> HYPERLINK "../../../../../../../../../wiki/Johannes_13" \l "s16"</w:instrText>
      </w:r>
      <w:r>
        <w:rPr>
          <w:rStyle w:val="Internetverknpfung"/>
        </w:rPr>
        <w:fldChar w:fldCharType="separate"/>
      </w:r>
      <w:r>
        <w:rPr>
          <w:rStyle w:val="Internetverknpfung"/>
        </w:rPr>
        <w:tab/>
        <w:t>13,16</w:t>
      </w:r>
      <w:r>
        <w:rPr>
          <w:rStyle w:val="Internetverknpfung"/>
        </w:rPr>
        <w:fldChar w:fldCharType="end"/>
      </w:r>
      <w:r>
        <w:rPr/>
        <w:t>.</w:t>
      </w:r>
    </w:p>
  </w:footnote>
  <w:footnote w:id="5302">
    <w:p>
      <w:pPr>
        <w:pStyle w:val="Funote"/>
        <w:rPr/>
      </w:pPr>
      <w:r>
        <w:rPr>
          <w:rStyle w:val="Funotenzeichen"/>
        </w:rPr>
        <w:footnoteRef/>
      </w:r>
      <w:r>
        <w:rPr/>
        <w:tab/>
        <w:t xml:space="preserve">Cf. </w:t>
      </w:r>
      <w:hyperlink r:id="rId539">
        <w:r>
          <w:rPr>
            <w:rStyle w:val="Internetverknpfung"/>
          </w:rPr>
          <w:t>Ps 35,19</w:t>
        </w:r>
      </w:hyperlink>
      <w:r>
        <w:rPr/>
        <w:t xml:space="preserve">, </w:t>
      </w:r>
      <w:hyperlink r:id="rId540">
        <w:r>
          <w:rPr>
            <w:rStyle w:val="Internetverknpfung"/>
          </w:rPr>
          <w:t>Ps 69,5</w:t>
        </w:r>
      </w:hyperlink>
      <w:r>
        <w:rPr/>
        <w:t>. Das Zitat ist nicht wörtlich.</w:t>
      </w:r>
    </w:p>
  </w:footnote>
  <w:footnote w:id="5303">
    <w:p>
      <w:pPr>
        <w:pStyle w:val="Funote"/>
        <w:rPr/>
      </w:pPr>
      <w:r>
        <w:rPr>
          <w:rStyle w:val="Funotenzeichen"/>
        </w:rPr>
        <w:footnoteRef/>
      </w:r>
      <w:r>
        <w:rPr/>
        <w:tab/>
        <w:t>Im klass. Griech. ursprünglich passive Bedeutung: "Der zur Unterstützung Herbeigerufene", lat. als "advocatus" übersetzt; gemeint ist aber nicht der Anwalt, sondern allgemein der Mittler, Fürsprecher, Helfer, BW Sp. 1226.</w:t>
      </w:r>
    </w:p>
  </w:footnote>
  <w:footnote w:id="5304">
    <w:p>
      <w:pPr>
        <w:pStyle w:val="Funote"/>
        <w:rPr/>
      </w:pPr>
      <w:r>
        <w:rPr>
          <w:rStyle w:val="Funotenzeichen"/>
        </w:rPr>
        <w:footnoteRef/>
      </w:r>
      <w:r>
        <w:rPr/>
        <w:tab/>
        <w:t>gemeint ist die sich offenbarende göttliche Wirklichkeit, Bultmann, KEK, S. 426</w:t>
      </w:r>
    </w:p>
  </w:footnote>
  <w:footnote w:id="5305">
    <w:p>
      <w:pPr>
        <w:pStyle w:val="Funote"/>
        <w:rPr/>
      </w:pPr>
      <w:r>
        <w:rPr>
          <w:rStyle w:val="Funotenzeichen"/>
        </w:rPr>
        <w:footnoteRef/>
      </w:r>
      <w:r>
        <w:rPr>
          <w:lang w:val="el-GR"/>
        </w:rPr>
        <w:tab/>
        <w:t>καί … δέ</w:t>
      </w:r>
      <w:r>
        <w:rPr/>
        <w:t xml:space="preserve"> "und auch", BDR § 447d.</w:t>
      </w:r>
    </w:p>
  </w:footnote>
  <w:footnote w:id="5306">
    <w:p>
      <w:pPr>
        <w:pStyle w:val="Funote"/>
        <w:rPr/>
      </w:pPr>
      <w:r>
        <w:rPr>
          <w:rStyle w:val="Funotenzeichen"/>
        </w:rPr>
        <w:footnoteRef/>
      </w:r>
      <w:r>
        <w:rPr/>
        <w:tab/>
        <w:t>[Status: Ungeprüft]</w:t>
      </w:r>
    </w:p>
  </w:footnote>
  <w:footnote w:id="5307">
    <w:p>
      <w:pPr>
        <w:pStyle w:val="Funote"/>
        <w:rPr/>
      </w:pPr>
      <w:r>
        <w:rPr>
          <w:rStyle w:val="Funotenzeichen"/>
        </w:rPr>
        <w:footnoteRef/>
      </w:r>
      <w:r>
        <w:rPr/>
        <w:tab/>
        <w:t xml:space="preserve">Hinzukommendes wird stark eingeführt durch </w:t>
      </w:r>
      <w:r>
        <w:rPr>
          <w:lang w:val="el-GR"/>
        </w:rPr>
        <w:t>ἀλλά</w:t>
      </w:r>
      <w:r>
        <w:rPr/>
        <w:t>: BDR § 448</w:t>
      </w:r>
    </w:p>
  </w:footnote>
  <w:footnote w:id="5308">
    <w:p>
      <w:pPr>
        <w:pStyle w:val="Funote"/>
        <w:rPr/>
      </w:pPr>
      <w:r>
        <w:rPr>
          <w:rStyle w:val="Funotenzeichen"/>
        </w:rPr>
        <w:footnoteRef/>
      </w:r>
      <w:r>
        <w:rPr/>
        <w:tab/>
        <w:t>eigentlich: Gottesdienst, Gottesverehrung</w:t>
      </w:r>
    </w:p>
  </w:footnote>
  <w:footnote w:id="5309">
    <w:p>
      <w:pPr>
        <w:pStyle w:val="Funote"/>
        <w:rPr/>
      </w:pPr>
      <w:r>
        <w:rPr>
          <w:rStyle w:val="Funotenzeichen"/>
        </w:rPr>
        <w:footnoteRef/>
      </w:r>
      <w:r>
        <w:rPr>
          <w:lang w:val="el-GR"/>
        </w:rPr>
        <w:tab/>
        <w:t>ἀλλά</w:t>
      </w:r>
      <w:r>
        <w:rPr/>
        <w:t xml:space="preserve"> am Satzanfang: BDR § 448,3</w:t>
      </w:r>
    </w:p>
  </w:footnote>
  <w:footnote w:id="5310">
    <w:p>
      <w:pPr>
        <w:pStyle w:val="Funote"/>
        <w:rPr/>
      </w:pPr>
      <w:r>
        <w:rPr>
          <w:rStyle w:val="Funotenzeichen"/>
        </w:rPr>
        <w:footnoteRef/>
      </w:r>
      <w:r>
        <w:rPr/>
        <w:tab/>
        <w:t>Die Übersetzung folgt SBL. Die von NA28 favorisierte Version wäre zu übersetzen: »Was bedeutet das, was er sagt, diese (die) ‚kleine Weile?‘«</w:t>
      </w:r>
    </w:p>
  </w:footnote>
  <w:footnote w:id="5311">
    <w:p>
      <w:pPr>
        <w:pStyle w:val="Funote"/>
        <w:rPr/>
      </w:pPr>
      <w:r>
        <w:rPr>
          <w:rStyle w:val="Funotenzeichen"/>
        </w:rPr>
        <w:footnoteRef/>
      </w:r>
      <w:r>
        <w:rPr/>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312">
    <w:p>
      <w:pPr>
        <w:pStyle w:val="Funote"/>
        <w:rPr/>
      </w:pPr>
      <w:r>
        <w:rPr>
          <w:rStyle w:val="Funotenzeichen"/>
        </w:rPr>
        <w:footnoteRef/>
      </w:r>
      <w:r>
        <w:rPr/>
        <w:tab/>
        <w:t>[Status: Ungeprüft]</w:t>
      </w:r>
    </w:p>
  </w:footnote>
  <w:footnote w:id="5313">
    <w:p>
      <w:pPr>
        <w:pStyle w:val="Funote"/>
        <w:rPr/>
      </w:pPr>
      <w:r>
        <w:rPr>
          <w:rStyle w:val="Funotenzeichen"/>
        </w:rPr>
        <w:footnoteRef/>
      </w:r>
      <w:r>
        <w:rPr/>
        <w:tab/>
        <w:t>Im Blick auf den isolierten Satz wäre auch möglich: „die ich hatte, bevor die Welt bei Dir war.“</w:t>
      </w:r>
    </w:p>
  </w:footnote>
  <w:footnote w:id="5314">
    <w:p>
      <w:pPr>
        <w:pStyle w:val="Funote"/>
        <w:rPr/>
      </w:pPr>
      <w:r>
        <w:rPr>
          <w:rStyle w:val="Funotenzeichen"/>
        </w:rPr>
        <w:footnoteRef/>
      </w:r>
      <w:r>
        <w:rPr/>
        <w:tab/>
        <w:t>Attributives Ptz., aufgelöst als Relativsatz.</w:t>
      </w:r>
    </w:p>
  </w:footnote>
  <w:footnote w:id="5315">
    <w:p>
      <w:pPr>
        <w:pStyle w:val="Funote"/>
        <w:rPr/>
      </w:pPr>
      <w:r>
        <w:rPr>
          <w:rStyle w:val="Funotenzeichen"/>
        </w:rPr>
        <w:footnoteRef/>
      </w:r>
      <w:r>
        <w:rPr/>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w:t>
      </w:r>
      <w:r>
        <w:fldChar w:fldCharType="begin"/>
      </w:r>
      <w:r>
        <w:rPr>
          <w:rStyle w:val="Internetverknpfung"/>
        </w:rPr>
        <w:instrText> HYPERLINK "../../../../../../../../../wiki/Johannes_17" \l "s24"</w:instrText>
      </w:r>
      <w:r>
        <w:rPr>
          <w:rStyle w:val="Internetverknpfung"/>
        </w:rPr>
        <w:fldChar w:fldCharType="separate"/>
      </w:r>
      <w:r>
        <w:rPr>
          <w:rStyle w:val="Internetverknpfung"/>
        </w:rPr>
        <w:t>24</w:t>
      </w:r>
      <w:r>
        <w:rPr>
          <w:rStyle w:val="Internetverknpfung"/>
        </w:rPr>
        <w:fldChar w:fldCharType="end"/>
      </w:r>
      <w:r>
        <w:rPr/>
        <w:t xml:space="preserve"> wird </w:t>
      </w:r>
      <w:r>
        <w:rPr>
          <w:lang w:val="el-GR"/>
        </w:rPr>
        <w:t>ἵνα</w:t>
      </w:r>
      <w:r>
        <w:rPr/>
        <w:t xml:space="preserve"> jedes Mal durch einen Hauptsatz eingeleitet. </w:t>
      </w:r>
    </w:p>
  </w:footnote>
  <w:footnote w:id="5316">
    <w:p>
      <w:pPr>
        <w:pStyle w:val="Funote"/>
        <w:rPr/>
      </w:pPr>
      <w:r>
        <w:rPr>
          <w:rStyle w:val="Funotenzeichen"/>
        </w:rPr>
        <w:footnoteRef/>
      </w:r>
      <w:r>
        <w:rPr/>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317">
    <w:p>
      <w:pPr>
        <w:pStyle w:val="Funote"/>
        <w:rPr/>
      </w:pPr>
      <w:r>
        <w:rPr>
          <w:rStyle w:val="Funotenzeichen"/>
        </w:rPr>
        <w:footnoteRef/>
      </w:r>
      <w:r>
        <w:rPr/>
        <w:tab/>
        <w:t>Ptz. präs. pass.</w:t>
      </w:r>
    </w:p>
  </w:footnote>
  <w:footnote w:id="5318">
    <w:p>
      <w:pPr>
        <w:pStyle w:val="Funote"/>
        <w:rPr/>
      </w:pPr>
      <w:r>
        <w:rPr>
          <w:rStyle w:val="Funotenzeichen"/>
        </w:rPr>
        <w:footnoteRef/>
      </w:r>
      <w:r>
        <w:rPr/>
        <w:tab/>
        <w:t xml:space="preserve">Vgl. die </w:t>
      </w:r>
      <w:r>
        <w:fldChar w:fldCharType="begin"/>
      </w:r>
      <w:r>
        <w:rPr>
          <w:rStyle w:val="Internetverknpfung"/>
        </w:rPr>
        <w:instrText> HYPERLINK "../../../../../../../../../wiki/Epheser_1" \l "note_ac"</w:instrText>
      </w:r>
      <w:r>
        <w:rPr>
          <w:rStyle w:val="Internetverknpfung"/>
        </w:rPr>
        <w:fldChar w:fldCharType="separate"/>
      </w:r>
      <w:r>
        <w:rPr>
          <w:rStyle w:val="Internetverknpfung"/>
        </w:rPr>
        <w:t>Fußnote zu Eph 1,4</w:t>
      </w:r>
      <w:r>
        <w:rPr>
          <w:rStyle w:val="Internetverknpfung"/>
        </w:rPr>
        <w:fldChar w:fldCharType="end"/>
      </w:r>
      <w:r>
        <w:rPr/>
        <w:t>.</w:t>
      </w:r>
    </w:p>
  </w:footnote>
  <w:footnote w:id="5319">
    <w:p>
      <w:pPr>
        <w:pStyle w:val="Funote"/>
        <w:rPr/>
      </w:pPr>
      <w:r>
        <w:rPr>
          <w:rStyle w:val="Funotenzeichen"/>
        </w:rPr>
        <w:footnoteRef/>
      </w:r>
      <w:r>
        <w:rPr/>
        <w:tab/>
        <w:t xml:space="preserve">Das Fehlen der Artikel zeigt hier vielleicht die Nachahmung einer Constructus-Verbindung an, die im Hebräischen die Funktion des Genitivs übernimmt. Möglich, dass der Verfasser dabei eine bestimmte fixe Wendung im Kopf hatte. </w:t>
      </w:r>
    </w:p>
  </w:footnote>
  <w:footnote w:id="5320">
    <w:p>
      <w:pPr>
        <w:pStyle w:val="Funote"/>
        <w:rPr/>
      </w:pPr>
      <w:r>
        <w:rPr>
          <w:rStyle w:val="Funotenzeichen"/>
        </w:rPr>
        <w:footnoteRef/>
      </w:r>
      <w:r>
        <w:rPr/>
        <w:tab/>
        <w:t>Auf Griechisch jeweils dasselbe Wort.</w:t>
      </w:r>
    </w:p>
  </w:footnote>
  <w:footnote w:id="5321">
    <w:p>
      <w:pPr>
        <w:pStyle w:val="Funote"/>
        <w:rPr/>
      </w:pPr>
      <w:r>
        <w:rPr>
          <w:rStyle w:val="Funotenzeichen"/>
        </w:rPr>
        <w:footnoteRef/>
      </w:r>
      <w:r>
        <w:rPr/>
        <w:tab/>
        <w:t>[Status: Ungeprüft]</w:t>
      </w:r>
    </w:p>
  </w:footnote>
  <w:footnote w:id="5322">
    <w:p>
      <w:pPr>
        <w:pStyle w:val="Funote"/>
        <w:rPr/>
      </w:pPr>
      <w:r>
        <w:rPr>
          <w:rStyle w:val="Funotenzeichen"/>
        </w:rPr>
        <w:footnoteRef/>
      </w:r>
      <w:r>
        <w:rPr/>
        <w:tab/>
        <w:t>Auflösung eines temporalen Ptz. EÜ: „nach diesen Worten“</w:t>
      </w:r>
    </w:p>
  </w:footnote>
  <w:footnote w:id="5323">
    <w:p>
      <w:pPr>
        <w:pStyle w:val="Funote"/>
        <w:rPr/>
      </w:pPr>
      <w:r>
        <w:rPr>
          <w:rStyle w:val="Funotenzeichen"/>
        </w:rPr>
        <w:footnoteRef/>
      </w:r>
      <w:r>
        <w:rPr/>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324">
    <w:p>
      <w:pPr>
        <w:pStyle w:val="Funote"/>
        <w:rPr/>
      </w:pPr>
      <w:r>
        <w:rPr>
          <w:rStyle w:val="Funotenzeichen"/>
        </w:rPr>
        <w:footnoteRef/>
      </w:r>
      <w:r>
        <w:rPr/>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325">
    <w:p>
      <w:pPr>
        <w:pStyle w:val="Funote"/>
        <w:rPr/>
      </w:pPr>
      <w:r>
        <w:rPr>
          <w:rStyle w:val="Funotenzeichen"/>
        </w:rPr>
        <w:footnoteRef/>
      </w:r>
      <w:r>
        <w:rPr/>
        <w:tab/>
        <w:t xml:space="preserve">Gr.: Singular. Im Deutschen ist der Plural oder „mit“ statt „und“ erforderlich. </w:t>
      </w:r>
    </w:p>
  </w:footnote>
  <w:footnote w:id="5326">
    <w:p>
      <w:pPr>
        <w:pStyle w:val="Funote"/>
        <w:rPr/>
      </w:pPr>
      <w:r>
        <w:rPr>
          <w:rStyle w:val="Funotenzeichen"/>
        </w:rPr>
        <w:footnoteRef/>
      </w:r>
      <w:r>
        <w:rPr/>
        <w:tab/>
        <w:t xml:space="preserve">Auflösung eines attributiven Ptz. als Relativsatz. </w:t>
      </w:r>
    </w:p>
  </w:footnote>
  <w:footnote w:id="5327">
    <w:p>
      <w:pPr>
        <w:pStyle w:val="Funote"/>
        <w:rPr/>
      </w:pPr>
      <w:r>
        <w:rPr>
          <w:rStyle w:val="Funotenzeichen"/>
        </w:rPr>
        <w:footnoteRef/>
      </w:r>
      <w:r>
        <w:rPr/>
        <w:tab/>
        <w:t xml:space="preserve">Die Konjunktion </w:t>
      </w:r>
      <w:hyperlink r:id="rId541">
        <w:r>
          <w:rPr>
            <w:rStyle w:val="Internetverknpfung"/>
          </w:rPr>
          <w:t>Οὖν"&gt;οὖν</w:t>
        </w:r>
      </w:hyperlink>
      <w:r>
        <w:rPr/>
        <w:t xml:space="preserve"> wird hier benutzt, um die Erzählung nach einer Unterbrechung erneut aufzugreifen und ist schlecht übersetzbar. </w:t>
      </w:r>
    </w:p>
  </w:footnote>
  <w:footnote w:id="5328">
    <w:p>
      <w:pPr>
        <w:pStyle w:val="Funote"/>
        <w:rPr/>
      </w:pPr>
      <w:r>
        <w:rPr>
          <w:rStyle w:val="Funotenzeichen"/>
        </w:rPr>
        <w:footnoteRef/>
      </w:r>
      <w:r>
        <w:rPr/>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329">
    <w:p>
      <w:pPr>
        <w:pStyle w:val="Funote"/>
        <w:rPr/>
      </w:pPr>
      <w:r>
        <w:rPr>
          <w:rStyle w:val="Funotenzeichen"/>
        </w:rPr>
        <w:footnoteRef/>
      </w:r>
      <w:r>
        <w:rPr/>
        <w:tab/>
        <w:t>V.a. im Johannesevangelium sind mit diesem Wort für „Diener“ i.d.R. Tempelwachen gemeint (LN 35.20).</w:t>
      </w:r>
    </w:p>
  </w:footnote>
  <w:footnote w:id="5330">
    <w:p>
      <w:pPr>
        <w:pStyle w:val="Funote"/>
        <w:rPr/>
      </w:pPr>
      <w:r>
        <w:rPr>
          <w:rStyle w:val="Funotenzeichen"/>
        </w:rPr>
        <w:footnoteRef/>
      </w:r>
      <w:r>
        <w:rPr/>
        <w:tab/>
        <w:t xml:space="preserve">Auflösung eines temporalen Ptz. Aor. als mit „und“ verknüpfter, separater Hauptsatz. </w:t>
      </w:r>
    </w:p>
  </w:footnote>
  <w:footnote w:id="5331">
    <w:p>
      <w:pPr>
        <w:pStyle w:val="Funote"/>
        <w:rPr/>
      </w:pPr>
      <w:r>
        <w:rPr>
          <w:rStyle w:val="Funotenzeichen"/>
        </w:rPr>
        <w:footnoteRef/>
      </w:r>
      <w:hyperlink r:id="rId542">
        <w:r>
          <w:rPr>
            <w:rStyle w:val="Internetverknpfung"/>
          </w:rPr>
          <w:tab/>
          <w:t>Historisches Präsens</w:t>
        </w:r>
      </w:hyperlink>
      <w:r>
        <w:rPr/>
        <w:t>.</w:t>
      </w:r>
    </w:p>
  </w:footnote>
  <w:footnote w:id="5332">
    <w:p>
      <w:pPr>
        <w:pStyle w:val="Funote"/>
        <w:rPr/>
      </w:pPr>
      <w:r>
        <w:rPr>
          <w:rStyle w:val="Funotenzeichen"/>
        </w:rPr>
        <w:footnoteRef/>
      </w:r>
      <w:r>
        <w:rPr/>
        <w:tab/>
        <w:t xml:space="preserve">Kausales adverbiales Partizip, aufgelöst als separater Hauptsatz mit „deshalb“ als Einleitung des nächsten. </w:t>
      </w:r>
    </w:p>
  </w:footnote>
  <w:footnote w:id="5333">
    <w:p>
      <w:pPr>
        <w:pStyle w:val="Funote"/>
        <w:rPr/>
      </w:pPr>
      <w:r>
        <w:rPr>
          <w:rStyle w:val="Funotenzeichen"/>
        </w:rPr>
        <w:footnoteRef/>
      </w:r>
      <w:r>
        <w:rPr/>
        <w:tab/>
        <w:t xml:space="preserve">Wörtlich: „Ich bin“ Im Griechischen ist hier keine Subjektsidentifikationsergänzung („er“, „es“ oder wie hier „[Der]“) nötig. Auf diese Weise identifiziert sich Jesus hier als Gott, indem er auf den Gottesnamen </w:t>
      </w:r>
      <w:hyperlink r:id="rId543">
        <w:r>
          <w:rPr>
            <w:rStyle w:val="Internetverknpfung"/>
          </w:rPr>
          <w:t>JHWH</w:t>
        </w:r>
      </w:hyperlink>
      <w:r>
        <w:rPr/>
        <w:t xml:space="preserve"> anspielt, mit dem er sich Mose in </w:t>
      </w:r>
      <w:r>
        <w:fldChar w:fldCharType="begin"/>
      </w:r>
      <w:r>
        <w:rPr>
          <w:rStyle w:val="Internetverknpfung"/>
        </w:rPr>
        <w:instrText> HYPERLINK "../../../../../../../../../wiki/Exodus_3" \l "s14"</w:instrText>
      </w:r>
      <w:r>
        <w:rPr>
          <w:rStyle w:val="Internetverknpfung"/>
        </w:rPr>
        <w:fldChar w:fldCharType="separate"/>
      </w:r>
      <w:r>
        <w:rPr>
          <w:rStyle w:val="Internetverknpfung"/>
        </w:rPr>
        <w:t>Ex 3,14</w:t>
      </w:r>
      <w:r>
        <w:rPr>
          <w:rStyle w:val="Internetverknpfung"/>
        </w:rPr>
        <w:fldChar w:fldCharType="end"/>
      </w:r>
      <w:r>
        <w:rPr/>
        <w:t xml:space="preserve"> vorstellt. </w:t>
      </w:r>
    </w:p>
  </w:footnote>
  <w:footnote w:id="5334">
    <w:p>
      <w:pPr>
        <w:pStyle w:val="Funote"/>
        <w:rPr/>
      </w:pPr>
      <w:r>
        <w:rPr>
          <w:rStyle w:val="Funotenzeichen"/>
        </w:rPr>
        <w:footnoteRef/>
      </w:r>
      <w:r>
        <w:rPr/>
        <w:tab/>
        <w:t xml:space="preserve">Auflösung eines attributiven Ptz. als Relativsatz. </w:t>
      </w:r>
    </w:p>
  </w:footnote>
  <w:footnote w:id="5335">
    <w:p>
      <w:pPr>
        <w:pStyle w:val="Funote"/>
        <w:rPr/>
      </w:pPr>
      <w:r>
        <w:rPr>
          <w:rStyle w:val="Funotenzeichen"/>
        </w:rPr>
        <w:footnoteRef/>
      </w:r>
      <w:r>
        <w:rPr/>
        <w:tab/>
        <w:t xml:space="preserve">Idiom, wörtlich: „gingen weg zu dem [Objekt] dahinter“ </w:t>
      </w:r>
    </w:p>
  </w:footnote>
  <w:footnote w:id="5336">
    <w:p>
      <w:pPr>
        <w:pStyle w:val="Funote"/>
        <w:rPr/>
      </w:pPr>
      <w:r>
        <w:rPr>
          <w:rStyle w:val="Funotenzeichen"/>
        </w:rPr>
        <w:footnoteRef/>
      </w:r>
      <w:hyperlink r:id="rId544">
        <w:r>
          <w:rPr>
            <w:rStyle w:val="Internetverknpfung"/>
          </w:rPr>
          <w:tab/>
          <w:t>Οὖν"&gt;οὖν</w:t>
        </w:r>
      </w:hyperlink>
      <w:r>
        <w:rPr/>
        <w:t xml:space="preserve"> zeigt einen Zusammenhang an, nämlich dass Jesu Forderung logisch unmittelbar auf dem vorher Gesagten beruht; ist aber so schwach, dass es kaum angemessen zu übersetzen ist. </w:t>
      </w:r>
    </w:p>
  </w:footnote>
  <w:footnote w:id="5337">
    <w:p>
      <w:pPr>
        <w:pStyle w:val="Funote"/>
        <w:rPr/>
      </w:pPr>
      <w:r>
        <w:rPr>
          <w:rStyle w:val="Funotenzeichen"/>
        </w:rPr>
        <w:footnoteRef/>
      </w:r>
      <w:hyperlink r:id="rId545">
        <w:r>
          <w:rPr>
            <w:rStyle w:val="Internetverknpfung"/>
          </w:rPr>
          <w:tab/>
          <w:t>Ὅτι recitativum"&gt;</w:t>
        </w:r>
        <w:r>
          <w:rPr>
            <w:rStyle w:val="Internetverknpfung"/>
            <w:lang w:val="el-GR"/>
          </w:rPr>
          <w:t>Ὅτι</w:t>
        </w:r>
        <w:r>
          <w:rPr>
            <w:rStyle w:val="Internetverknpfung"/>
          </w:rPr>
          <w:t xml:space="preserve"> recitativum</w:t>
        </w:r>
      </w:hyperlink>
      <w:r>
        <w:rPr/>
        <w:t>.</w:t>
      </w:r>
    </w:p>
  </w:footnote>
  <w:footnote w:id="5338">
    <w:p>
      <w:pPr>
        <w:pStyle w:val="Funote"/>
        <w:rPr/>
      </w:pPr>
      <w:r>
        <w:rPr>
          <w:rStyle w:val="Funotenzeichen"/>
        </w:rPr>
        <w:footnoteRef/>
      </w:r>
      <w:r>
        <w:rPr/>
        <w:tab/>
        <w:t xml:space="preserve">Auflösung eines temporalen Ptz. als Relativsatz. Auch möglich als gleichwertiger Hauptsatz mit "und" ("hatte ... dabei und") oder kausale Deutung (dann z.B. als Nebensatz: "da ... dabei hatte"). </w:t>
      </w:r>
    </w:p>
  </w:footnote>
  <w:footnote w:id="5339">
    <w:p>
      <w:pPr>
        <w:pStyle w:val="Funote"/>
        <w:rPr/>
      </w:pPr>
      <w:r>
        <w:rPr>
          <w:rStyle w:val="Funotenzeichen"/>
        </w:rPr>
        <w:footnoteRef/>
      </w:r>
      <w:r>
        <w:rPr/>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340">
    <w:p>
      <w:pPr>
        <w:pStyle w:val="Funote"/>
        <w:rPr/>
      </w:pPr>
      <w:r>
        <w:rPr>
          <w:rStyle w:val="Funotenzeichen"/>
        </w:rPr>
        <w:footnoteRef/>
      </w:r>
      <w:r>
        <w:rPr/>
        <w:tab/>
        <w:t xml:space="preserve">Auflösung eines attributiven Ptz. als Relativsatz. </w:t>
      </w:r>
    </w:p>
  </w:footnote>
  <w:footnote w:id="5341">
    <w:p>
      <w:pPr>
        <w:pStyle w:val="Funote"/>
        <w:rPr/>
      </w:pPr>
      <w:r>
        <w:rPr>
          <w:rStyle w:val="Funotenzeichen"/>
        </w:rPr>
        <w:footnoteRef/>
      </w:r>
      <w:r>
        <w:rPr/>
        <w:tab/>
        <w:t xml:space="preserve">AcI aufgelöst. </w:t>
      </w:r>
    </w:p>
  </w:footnote>
  <w:footnote w:id="5342">
    <w:p>
      <w:pPr>
        <w:pStyle w:val="Funote"/>
        <w:rPr/>
      </w:pPr>
      <w:r>
        <w:rPr>
          <w:rStyle w:val="Funotenzeichen"/>
        </w:rPr>
        <w:footnoteRef/>
      </w:r>
      <w:r>
        <w:rPr/>
        <w:tab/>
        <w:t>[Status: Ungeprüft]</w:t>
      </w:r>
    </w:p>
  </w:footnote>
  <w:footnote w:id="5343">
    <w:p>
      <w:pPr>
        <w:pStyle w:val="Funote"/>
        <w:rPr/>
      </w:pPr>
      <w:r>
        <w:rPr>
          <w:rStyle w:val="Funotenzeichen"/>
        </w:rPr>
        <w:footnoteRef/>
      </w:r>
      <w:r>
        <w:rPr/>
        <w:tab/>
        <w:t>D.h. Pilatus.</w:t>
      </w:r>
    </w:p>
  </w:footnote>
  <w:footnote w:id="5344">
    <w:p>
      <w:pPr>
        <w:pStyle w:val="Funote"/>
        <w:rPr/>
      </w:pPr>
      <w:r>
        <w:rPr>
          <w:rStyle w:val="Funotenzeichen"/>
        </w:rPr>
        <w:footnoteRef/>
      </w:r>
      <w:r>
        <w:rPr/>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345">
    <w:p>
      <w:pPr>
        <w:pStyle w:val="Funote"/>
        <w:rPr/>
      </w:pPr>
      <w:r>
        <w:rPr>
          <w:rStyle w:val="Funotenzeichen"/>
        </w:rPr>
        <w:footnoteRef/>
      </w:r>
      <w:r>
        <w:rPr>
          <w:lang w:val="el-GR"/>
        </w:rPr>
        <w:tab/>
        <w:t>ἐκάθισεν</w:t>
      </w:r>
      <w:r>
        <w:rPr/>
        <w:t xml:space="preserve"> kann intransitiv (Pilatus setzte sich) oder transitiv (Pilatus setzte jemanden – hier also Jesus) gemeint sein. C.K. Barrett, Das Evangelium des Johannes (KEK), 1990, S. 523.</w:t>
      </w:r>
    </w:p>
  </w:footnote>
  <w:footnote w:id="5346">
    <w:p>
      <w:pPr>
        <w:pStyle w:val="Funote"/>
        <w:rPr/>
      </w:pPr>
      <w:r>
        <w:rPr>
          <w:rStyle w:val="Funotenzeichen"/>
        </w:rPr>
        <w:footnoteRef/>
      </w:r>
      <w:r>
        <w:rPr/>
        <w:tab/>
        <w:t>Der Tag vor dem Sabbat, d.h. Freitag.</w:t>
      </w:r>
    </w:p>
  </w:footnote>
  <w:footnote w:id="5347">
    <w:p>
      <w:pPr>
        <w:pStyle w:val="Funote"/>
        <w:rPr/>
      </w:pPr>
      <w:r>
        <w:rPr>
          <w:rStyle w:val="Funotenzeichen"/>
        </w:rPr>
        <w:footnoteRef/>
      </w:r>
      <w:r>
        <w:rPr>
          <w:lang w:val="el-GR"/>
        </w:rPr>
        <w:tab/>
        <w:t>αιρω</w:t>
      </w:r>
      <w:r>
        <w:rPr/>
        <w:t xml:space="preserve"> kann verschieden übersetzt werden: hochheben, wegnehmen, auch umbringen (im Sinne von „beseitigen“).</w:t>
      </w:r>
    </w:p>
  </w:footnote>
  <w:footnote w:id="5348">
    <w:p>
      <w:pPr>
        <w:pStyle w:val="Funote"/>
        <w:rPr/>
      </w:pPr>
      <w:r>
        <w:rPr>
          <w:rStyle w:val="Funotenzeichen"/>
        </w:rPr>
        <w:footnoteRef/>
      </w:r>
      <w:r>
        <w:rPr/>
        <w:tab/>
        <w:t>Wörtlich: „Nicht haben wir einen König wenn nicht einen Kaiser.“</w:t>
      </w:r>
    </w:p>
  </w:footnote>
  <w:footnote w:id="5349">
    <w:p>
      <w:pPr>
        <w:pStyle w:val="Funote"/>
        <w:rPr/>
      </w:pPr>
      <w:r>
        <w:rPr>
          <w:rStyle w:val="Funotenzeichen"/>
        </w:rPr>
        <w:footnoteRef/>
      </w:r>
      <w:r>
        <w:rPr/>
        <w:tab/>
        <w:t>Im griechischen Text Plural.</w:t>
      </w:r>
    </w:p>
  </w:footnote>
  <w:footnote w:id="5350">
    <w:p>
      <w:pPr>
        <w:pStyle w:val="Funote"/>
        <w:rPr/>
      </w:pPr>
      <w:r>
        <w:rPr>
          <w:rStyle w:val="Funotenzeichen"/>
        </w:rPr>
        <w:footnoteRef/>
      </w:r>
      <w:r>
        <w:rPr/>
        <w:tab/>
        <w:t>Im griechischen Text Plural.</w:t>
      </w:r>
    </w:p>
  </w:footnote>
  <w:footnote w:id="5351">
    <w:p>
      <w:pPr>
        <w:pStyle w:val="Funote"/>
        <w:rPr/>
      </w:pPr>
      <w:r>
        <w:rPr>
          <w:rStyle w:val="Funotenzeichen"/>
        </w:rPr>
        <w:footnoteRef/>
      </w:r>
      <w:r>
        <w:rPr/>
        <w:tab/>
        <w:t>D.h. die Beine derjenigen, die am Kreuz hingen.</w:t>
      </w:r>
    </w:p>
  </w:footnote>
  <w:footnote w:id="5352">
    <w:p>
      <w:pPr>
        <w:pStyle w:val="Funote"/>
        <w:rPr/>
      </w:pPr>
      <w:r>
        <w:rPr>
          <w:rStyle w:val="Funotenzeichen"/>
        </w:rPr>
        <w:footnoteRef/>
      </w:r>
      <w:r>
        <w:rPr/>
        <w:tab/>
        <w:t>D.h. diejenigen, die am Kreuz hingen.</w:t>
      </w:r>
    </w:p>
  </w:footnote>
  <w:footnote w:id="5353">
    <w:p>
      <w:pPr>
        <w:pStyle w:val="Funote"/>
        <w:rPr/>
      </w:pPr>
      <w:r>
        <w:rPr>
          <w:rStyle w:val="Funotenzeichen"/>
        </w:rPr>
        <w:footnoteRef/>
      </w:r>
      <w:r>
        <w:rPr/>
        <w:tab/>
        <w:t>Einige wichtige Handschriften lesen „der von Arimatäa“</w:t>
      </w:r>
    </w:p>
  </w:footnote>
  <w:footnote w:id="5354">
    <w:p>
      <w:pPr>
        <w:pStyle w:val="Funote"/>
        <w:rPr/>
      </w:pPr>
      <w:r>
        <w:rPr>
          <w:rStyle w:val="Funotenzeichen"/>
        </w:rPr>
        <w:footnoteRef/>
      </w:r>
      <w:r>
        <w:rPr/>
        <w:tab/>
        <w:t>[Status: Ungeprüft]</w:t>
      </w:r>
    </w:p>
  </w:footnote>
  <w:footnote w:id="5355">
    <w:p>
      <w:pPr>
        <w:pStyle w:val="Funote"/>
        <w:rPr/>
      </w:pPr>
      <w:r>
        <w:rPr>
          <w:rStyle w:val="Funotenzeichen"/>
        </w:rPr>
        <w:footnoteRef/>
      </w:r>
      <w:hyperlink r:id="rId546">
        <w:r>
          <w:rPr>
            <w:rStyle w:val="Internetverknpfung"/>
          </w:rPr>
          <w:tab/>
          <w:t>Gen. abs.</w:t>
        </w:r>
      </w:hyperlink>
      <w:r>
        <w:rPr/>
        <w:t xml:space="preserve"> mit temporaler Bedeutung, als Nebensatz aufgelöst. </w:t>
      </w:r>
    </w:p>
  </w:footnote>
  <w:footnote w:id="5356">
    <w:p>
      <w:pPr>
        <w:pStyle w:val="Funote"/>
        <w:rPr/>
      </w:pPr>
      <w:r>
        <w:rPr>
          <w:rStyle w:val="Funotenzeichen"/>
        </w:rPr>
        <w:footnoteRef/>
      </w:r>
      <w:r>
        <w:rPr>
          <w:i/>
        </w:rPr>
        <w:tab/>
        <w:t>sah, dass … entfernt worden war</w:t>
      </w:r>
      <w:r>
        <w:rPr/>
        <w:t xml:space="preserve"> </w:t>
      </w:r>
      <w:hyperlink r:id="rId547">
        <w:r>
          <w:rPr>
            <w:rStyle w:val="Internetverknpfung"/>
          </w:rPr>
          <w:t>AcP</w:t>
        </w:r>
      </w:hyperlink>
      <w:r>
        <w:rPr/>
        <w:t xml:space="preserve"> (Ptz. Pf. Pass.)</w:t>
      </w:r>
    </w:p>
  </w:footnote>
  <w:footnote w:id="5357">
    <w:p>
      <w:pPr>
        <w:pStyle w:val="Funote"/>
        <w:rPr/>
      </w:pPr>
      <w:r>
        <w:rPr>
          <w:rStyle w:val="Funotenzeichen"/>
        </w:rPr>
        <w:footnoteRef/>
      </w:r>
      <w:r>
        <w:rPr>
          <w:i/>
        </w:rPr>
        <w:tab/>
        <w:t>machten sich auf</w:t>
      </w:r>
      <w:r>
        <w:rPr/>
        <w:t xml:space="preserve"> Gr. im Sg., im Deutschen ist der Plural nötig. </w:t>
      </w:r>
    </w:p>
  </w:footnote>
  <w:footnote w:id="5358">
    <w:p>
      <w:pPr>
        <w:pStyle w:val="Funote"/>
        <w:rPr/>
      </w:pPr>
      <w:r>
        <w:rPr>
          <w:rStyle w:val="Funotenzeichen"/>
        </w:rPr>
        <w:footnoteRef/>
      </w:r>
      <w:r>
        <w:rPr>
          <w:i/>
        </w:rPr>
        <w:tab/>
        <w:t>indem (als) er sich vorbeugte</w:t>
      </w:r>
      <w:r>
        <w:rPr/>
        <w:t xml:space="preserve"> Modal (Klammer: temporal) aufgelöstes </w:t>
      </w:r>
      <w:hyperlink r:id="rId548">
        <w:r>
          <w:rPr>
            <w:rStyle w:val="Internetverknpfung"/>
          </w:rPr>
          <w:t>Ptc. coni.</w:t>
        </w:r>
      </w:hyperlink>
      <w:r>
        <w:rPr/>
        <w:t xml:space="preserve">. </w:t>
      </w:r>
    </w:p>
  </w:footnote>
  <w:footnote w:id="5359">
    <w:p>
      <w:pPr>
        <w:pStyle w:val="Funote"/>
        <w:rPr/>
      </w:pPr>
      <w:r>
        <w:rPr>
          <w:rStyle w:val="Funotenzeichen"/>
        </w:rPr>
        <w:footnoteRef/>
      </w:r>
      <w:r>
        <w:rPr>
          <w:i/>
        </w:rPr>
        <w:tab/>
        <w:t>der ihm gefolgt war</w:t>
      </w:r>
      <w:r>
        <w:rPr/>
        <w:t xml:space="preserve"> </w:t>
      </w:r>
      <w:hyperlink r:id="rId549">
        <w:r>
          <w:rPr>
            <w:rStyle w:val="Internetverknpfung"/>
          </w:rPr>
          <w:t>Ptc. coni.</w:t>
        </w:r>
      </w:hyperlink>
      <w:r>
        <w:rPr/>
        <w:t xml:space="preserve">, als Relativsatz aufgelöst. </w:t>
      </w:r>
    </w:p>
  </w:footnote>
  <w:footnote w:id="5360">
    <w:p>
      <w:pPr>
        <w:pStyle w:val="Funote"/>
        <w:rPr/>
      </w:pPr>
      <w:r>
        <w:rPr>
          <w:rStyle w:val="Funotenzeichen"/>
        </w:rPr>
        <w:footnoteRef/>
      </w:r>
      <w:r>
        <w:rPr>
          <w:i/>
        </w:rPr>
        <w:tab/>
        <w:t>sah sich die daliegenden Leinentücher an</w:t>
      </w:r>
      <w:r>
        <w:rPr/>
        <w:t xml:space="preserve"> </w:t>
      </w:r>
      <w:hyperlink r:id="rId550">
        <w:r>
          <w:rPr>
            <w:rStyle w:val="Internetverknpfung"/>
          </w:rPr>
          <w:t>AcP</w:t>
        </w:r>
      </w:hyperlink>
      <w:r>
        <w:rPr/>
        <w:t xml:space="preserve"> wie in V. 5, aber wegen des anderen Wahrnehmungsverbs, das eine Auflösung mit Nebensatz nicht zulässt, wurde er etwas anders aufgelöst. </w:t>
      </w:r>
    </w:p>
  </w:footnote>
  <w:footnote w:id="5361">
    <w:p>
      <w:pPr>
        <w:pStyle w:val="Funote"/>
        <w:rPr/>
      </w:pPr>
      <w:r>
        <w:rPr>
          <w:rStyle w:val="Funotenzeichen"/>
        </w:rPr>
        <w:footnoteRef/>
      </w:r>
      <w:r>
        <w:rPr>
          <w:i/>
        </w:rPr>
        <w:tab/>
        <w:t>[gelegen hatte]</w:t>
      </w:r>
      <w:r>
        <w:rPr/>
        <w:t xml:space="preserve"> W. „war“</w:t>
      </w:r>
    </w:p>
  </w:footnote>
  <w:footnote w:id="5362">
    <w:p>
      <w:pPr>
        <w:pStyle w:val="Funote"/>
        <w:rPr/>
      </w:pPr>
      <w:r>
        <w:rPr>
          <w:rStyle w:val="Funotenzeichen"/>
        </w:rPr>
        <w:footnoteRef/>
      </w:r>
      <w:r>
        <w:rPr>
          <w:i/>
        </w:rPr>
        <w:tab/>
        <w:t>der ... gekommen war</w:t>
      </w:r>
      <w:r>
        <w:rPr/>
        <w:t xml:space="preserve"> </w:t>
      </w:r>
      <w:hyperlink r:id="rId551">
        <w:r>
          <w:rPr>
            <w:rStyle w:val="Internetverknpfung"/>
          </w:rPr>
          <w:t>Attr. Ptz.</w:t>
        </w:r>
      </w:hyperlink>
      <w:r>
        <w:rPr/>
        <w:t xml:space="preserve">, als Relativsatz aufgelöst. </w:t>
      </w:r>
    </w:p>
  </w:footnote>
  <w:footnote w:id="5363">
    <w:p>
      <w:pPr>
        <w:pStyle w:val="Funote"/>
        <w:rPr/>
      </w:pPr>
      <w:r>
        <w:rPr>
          <w:rStyle w:val="Funotenzeichen"/>
        </w:rPr>
        <w:footnoteRef/>
      </w:r>
      <w:r>
        <w:rPr>
          <w:i/>
        </w:rPr>
        <w:tab/>
        <w:t>die saßen</w:t>
      </w:r>
      <w:r>
        <w:rPr/>
        <w:t xml:space="preserve"> </w:t>
      </w:r>
      <w:hyperlink r:id="rId552">
        <w:r>
          <w:rPr>
            <w:rStyle w:val="Internetverknpfung"/>
          </w:rPr>
          <w:t>Ptc. coni.</w:t>
        </w:r>
      </w:hyperlink>
      <w:r>
        <w:rPr/>
        <w:t xml:space="preserve">, als Relativsatz aufgelöst. </w:t>
      </w:r>
    </w:p>
  </w:footnote>
  <w:footnote w:id="5364">
    <w:p>
      <w:pPr>
        <w:pStyle w:val="Funote"/>
        <w:rPr/>
      </w:pPr>
      <w:r>
        <w:rPr>
          <w:rStyle w:val="Funotenzeichen"/>
        </w:rPr>
        <w:footnoteRef/>
      </w:r>
      <w:r>
        <w:rPr>
          <w:i/>
        </w:rPr>
        <w:tab/>
        <w:t>sah (erblickte) [dort] Jesus stehen</w:t>
      </w:r>
      <w:r>
        <w:rPr/>
        <w:t xml:space="preserve"> </w:t>
      </w:r>
      <w:hyperlink r:id="rId553">
        <w:r>
          <w:rPr>
            <w:rStyle w:val="Internetverknpfung"/>
          </w:rPr>
          <w:t>AcP</w:t>
        </w:r>
      </w:hyperlink>
      <w:r>
        <w:rPr/>
        <w:t xml:space="preserve">. </w:t>
      </w:r>
    </w:p>
  </w:footnote>
  <w:footnote w:id="5365">
    <w:p>
      <w:pPr>
        <w:pStyle w:val="Funote"/>
        <w:rPr/>
      </w:pPr>
      <w:r>
        <w:rPr>
          <w:rStyle w:val="Funotenzeichen"/>
        </w:rPr>
        <w:footnoteRef/>
      </w:r>
      <w:r>
        <w:rPr>
          <w:i/>
        </w:rPr>
        <w:tab/>
        <w:t>war</w:t>
      </w:r>
      <w:r>
        <w:rPr/>
        <w:t xml:space="preserve"> W. „ist“. </w:t>
      </w:r>
    </w:p>
  </w:footnote>
  <w:footnote w:id="5366">
    <w:p>
      <w:pPr>
        <w:pStyle w:val="Funote"/>
        <w:rPr/>
      </w:pPr>
      <w:r>
        <w:rPr>
          <w:rStyle w:val="Funotenzeichen"/>
        </w:rPr>
        <w:footnoteRef/>
      </w:r>
      <w:r>
        <w:rPr>
          <w:i/>
        </w:rPr>
        <w:tab/>
        <w:t>Sie</w:t>
      </w:r>
      <w:r>
        <w:rPr/>
        <w:t xml:space="preserve"> W. „jene“, sinngemäß etwa „die Angesprochene“. </w:t>
      </w:r>
    </w:p>
  </w:footnote>
  <w:footnote w:id="5367">
    <w:p>
      <w:pPr>
        <w:pStyle w:val="Funote"/>
        <w:rPr/>
      </w:pPr>
      <w:r>
        <w:rPr>
          <w:rStyle w:val="Funotenzeichen"/>
        </w:rPr>
        <w:footnoteRef/>
      </w:r>
      <w:r>
        <w:rPr>
          <w:i/>
        </w:rPr>
        <w:tab/>
        <w:t>war</w:t>
      </w:r>
      <w:r>
        <w:rPr/>
        <w:t xml:space="preserve"> W. „ist“. </w:t>
      </w:r>
    </w:p>
  </w:footnote>
  <w:footnote w:id="5368">
    <w:p>
      <w:pPr>
        <w:pStyle w:val="Funote"/>
        <w:rPr/>
      </w:pPr>
      <w:r>
        <w:rPr>
          <w:rStyle w:val="Funotenzeichen"/>
        </w:rPr>
        <w:footnoteRef/>
      </w:r>
      <w:r>
        <w:rPr>
          <w:i/>
        </w:rPr>
        <w:tab/>
        <w:t>wandte sich um und</w:t>
      </w:r>
      <w:r>
        <w:rPr/>
        <w:t xml:space="preserve"> </w:t>
      </w:r>
      <w:hyperlink r:id="rId554">
        <w:r>
          <w:rPr>
            <w:rStyle w:val="Internetverknpfung"/>
          </w:rPr>
          <w:t>Ptc. coni.</w:t>
        </w:r>
      </w:hyperlink>
      <w:r>
        <w:rPr/>
        <w:t xml:space="preserve">, modal/temporal als Nebensatz mit „und“-Kombination aufgelöst. </w:t>
      </w:r>
    </w:p>
  </w:footnote>
  <w:footnote w:id="5369">
    <w:p>
      <w:pPr>
        <w:pStyle w:val="Funote"/>
        <w:rPr/>
      </w:pPr>
      <w:r>
        <w:rPr>
          <w:rStyle w:val="Funotenzeichen"/>
        </w:rPr>
        <w:footnoteRef/>
      </w:r>
      <w:r>
        <w:rPr>
          <w:i/>
        </w:rPr>
        <w:tab/>
        <w:t>und erzählte</w:t>
      </w:r>
      <w:r>
        <w:rPr/>
        <w:t xml:space="preserve"> </w:t>
      </w:r>
      <w:hyperlink r:id="rId555">
        <w:r>
          <w:rPr>
            <w:rStyle w:val="Internetverknpfung"/>
          </w:rPr>
          <w:t>Ptc. coni.</w:t>
        </w:r>
      </w:hyperlink>
      <w:r>
        <w:rPr/>
        <w:t xml:space="preserve">, modal/temporal als Nebensatz mit „und“-Kombination aufgelöst. </w:t>
      </w:r>
    </w:p>
  </w:footnote>
  <w:footnote w:id="5370">
    <w:p>
      <w:pPr>
        <w:pStyle w:val="Funote"/>
        <w:rPr/>
      </w:pPr>
      <w:r>
        <w:rPr>
          <w:rStyle w:val="Funotenzeichen"/>
        </w:rPr>
        <w:footnoteRef/>
      </w:r>
      <w:r>
        <w:rPr>
          <w:i/>
        </w:rPr>
        <w:tab/>
        <w:t>es war Abend</w:t>
      </w:r>
      <w:r>
        <w:rPr/>
        <w:t xml:space="preserve"> (Partizip Präsens) und </w:t>
      </w:r>
      <w:r>
        <w:rPr>
          <w:i/>
        </w:rPr>
        <w:t>waren abgeschlossen</w:t>
      </w:r>
      <w:r>
        <w:rPr/>
        <w:t xml:space="preserve"> (Partizip Perfekt). Der gesamte erste Versteil besteht aus zwei </w:t>
      </w:r>
      <w:hyperlink r:id="rId556">
        <w:r>
          <w:rPr>
            <w:rStyle w:val="Internetverknpfung"/>
          </w:rPr>
          <w:t>Gen. abs.</w:t>
        </w:r>
      </w:hyperlink>
      <w:r>
        <w:rPr/>
        <w:t xml:space="preserve"> und ist so als einleitende (temporale beziehungsweise modale) Umstandsangabe markiert. Die beiden Partizipien wurden (den deutschen Sprachkonventionen entsprechend) als separater HS übersetzt. Das kehrt ihre Funktion im Deutschen am ehesten heraus. </w:t>
      </w:r>
    </w:p>
  </w:footnote>
  <w:footnote w:id="5371">
    <w:p>
      <w:pPr>
        <w:pStyle w:val="Funote"/>
        <w:rPr/>
      </w:pPr>
      <w:r>
        <w:rPr>
          <w:rStyle w:val="Funotenzeichen"/>
        </w:rPr>
        <w:footnoteRef/>
      </w:r>
      <w:r>
        <w:rPr/>
        <w:tab/>
        <w:t>dem ersten [Tag] Der Gebrauch einer Kardinal- statt Ordinalzahl ist ein Semitismus (vgl. BDR § 247,1).</w:t>
      </w:r>
    </w:p>
  </w:footnote>
  <w:footnote w:id="5372">
    <w:p>
      <w:pPr>
        <w:pStyle w:val="Funote"/>
        <w:rPr/>
      </w:pPr>
      <w:r>
        <w:rPr>
          <w:rStyle w:val="Funotenzeichen"/>
        </w:rPr>
        <w:footnoteRef/>
      </w:r>
      <w:r>
        <w:rPr/>
        <w:tab/>
        <w:t>Wörtl.: „waren“</w:t>
      </w:r>
    </w:p>
  </w:footnote>
  <w:footnote w:id="5373">
    <w:p>
      <w:pPr>
        <w:pStyle w:val="Funote"/>
        <w:rPr/>
      </w:pPr>
      <w:r>
        <w:rPr>
          <w:rStyle w:val="Funotenzeichen"/>
        </w:rPr>
        <w:footnoteRef/>
      </w:r>
      <w:r>
        <w:rPr/>
        <w:tab/>
        <w:t xml:space="preserve">Der Aor. II von </w:t>
      </w:r>
      <w:r>
        <w:rPr>
          <w:lang w:val="el-GR"/>
        </w:rPr>
        <w:t>ἳστημι, ἒστην</w:t>
      </w:r>
      <w:r>
        <w:rPr/>
        <w:t>, bedeutet "trete hin, trete herzu, trete auf"</w:t>
      </w:r>
    </w:p>
  </w:footnote>
  <w:footnote w:id="5374">
    <w:p>
      <w:pPr>
        <w:pStyle w:val="Funote"/>
        <w:rPr/>
      </w:pPr>
      <w:r>
        <w:rPr>
          <w:rStyle w:val="Funotenzeichen"/>
        </w:rPr>
        <w:footnoteRef/>
      </w:r>
      <w:r>
        <w:rPr/>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375">
    <w:p>
      <w:pPr>
        <w:pStyle w:val="Funote"/>
        <w:rPr/>
      </w:pPr>
      <w:r>
        <w:rPr>
          <w:rStyle w:val="Funotenzeichen"/>
        </w:rPr>
        <w:footnoteRef/>
      </w:r>
      <w:r>
        <w:rPr>
          <w:i/>
        </w:rPr>
        <w:tab/>
        <w:t>Als er das gesagt hatte (während er das sagte)</w:t>
      </w:r>
      <w:r>
        <w:rPr/>
        <w:t xml:space="preserve"> </w:t>
      </w:r>
      <w:hyperlink r:id="rId557">
        <w:r>
          <w:rPr>
            <w:rStyle w:val="Internetverknpfung"/>
          </w:rPr>
          <w:t>Ptz. conj.</w:t>
        </w:r>
      </w:hyperlink>
      <w:r>
        <w:rPr/>
        <w:t xml:space="preserve"> Aorist, als temporaler Nebensatz aufgelöst.</w:t>
      </w:r>
    </w:p>
  </w:footnote>
  <w:footnote w:id="5376">
    <w:p>
      <w:pPr>
        <w:pStyle w:val="Funote"/>
        <w:rPr/>
      </w:pPr>
      <w:r>
        <w:rPr>
          <w:rStyle w:val="Funotenzeichen"/>
        </w:rPr>
        <w:footnoteRef/>
      </w:r>
      <w:r>
        <w:rPr>
          <w:i/>
        </w:rPr>
        <w:tab/>
        <w:t>weil (als) sie den Herrn sahen</w:t>
      </w:r>
      <w:r>
        <w:rPr/>
        <w:t xml:space="preserve"> Kausal oder modal zu verstehendes </w:t>
      </w:r>
      <w:hyperlink r:id="rId558">
        <w:r>
          <w:rPr>
            <w:rStyle w:val="Internetverknpfung"/>
          </w:rPr>
          <w:t>Ptz. conj.</w:t>
        </w:r>
      </w:hyperlink>
      <w:r>
        <w:rPr/>
        <w:t xml:space="preserve"> Aorist.</w:t>
      </w:r>
    </w:p>
  </w:footnote>
  <w:footnote w:id="5377">
    <w:p>
      <w:pPr>
        <w:pStyle w:val="Funote"/>
        <w:rPr/>
      </w:pPr>
      <w:r>
        <w:rPr>
          <w:rStyle w:val="Funotenzeichen"/>
        </w:rPr>
        <w:footnoteRef/>
      </w:r>
      <w:r>
        <w:rPr>
          <w:i/>
        </w:rPr>
        <w:tab/>
        <w:t>nachdem er das gesagt hatte</w:t>
      </w:r>
      <w:r>
        <w:rPr/>
        <w:t xml:space="preserve"> Temporal als NS aufgelöstes </w:t>
      </w:r>
      <w:hyperlink r:id="rId559">
        <w:r>
          <w:rPr>
            <w:rStyle w:val="Internetverknpfung"/>
          </w:rPr>
          <w:t>Ptz. conj.</w:t>
        </w:r>
      </w:hyperlink>
      <w:r>
        <w:rPr/>
        <w:t xml:space="preserve">. </w:t>
      </w:r>
    </w:p>
  </w:footnote>
  <w:footnote w:id="5378">
    <w:p>
      <w:pPr>
        <w:pStyle w:val="Funote"/>
        <w:rPr/>
      </w:pPr>
      <w:r>
        <w:rPr>
          <w:rStyle w:val="Funotenzeichen"/>
        </w:rPr>
        <w:footnoteRef/>
      </w:r>
      <w:r>
        <w:rPr>
          <w:i/>
        </w:rPr>
        <w:tab/>
        <w:t>welchen ihr [sie] behaltet</w:t>
      </w:r>
      <w:r>
        <w:rPr/>
        <w:t xml:space="preserve"> oder: „zurückhalten, festhalten“ – gemeint ist: nicht vergeben. </w:t>
      </w:r>
      <w:r>
        <w:rPr>
          <w:i/>
        </w:rPr>
        <w:t>[sie]</w:t>
      </w:r>
      <w:r>
        <w:rPr/>
        <w:t xml:space="preserve"> bezieht sich auf die Sünden. </w:t>
      </w:r>
    </w:p>
  </w:footnote>
  <w:footnote w:id="5379">
    <w:p>
      <w:pPr>
        <w:pStyle w:val="Funote"/>
        <w:rPr/>
      </w:pPr>
      <w:r>
        <w:rPr>
          <w:rStyle w:val="Funotenzeichen"/>
        </w:rPr>
        <w:footnoteRef/>
      </w:r>
      <w:r>
        <w:rPr/>
        <w:tab/>
        <w:t xml:space="preserve">Konditionalsatz (Futuralis): das Satzgefüge liegt in der Zukunft. </w:t>
      </w:r>
    </w:p>
  </w:footnote>
  <w:footnote w:id="5380">
    <w:p>
      <w:pPr>
        <w:pStyle w:val="Funote"/>
        <w:rPr/>
      </w:pPr>
      <w:r>
        <w:rPr>
          <w:rStyle w:val="Funotenzeichen"/>
        </w:rPr>
        <w:footnoteRef/>
      </w:r>
      <w:r>
        <w:rPr>
          <w:i/>
        </w:rPr>
        <w:tab/>
        <w:t>obwohl die Türen verschlossen waren</w:t>
      </w:r>
      <w:r>
        <w:rPr/>
        <w:t xml:space="preserve"> </w:t>
      </w:r>
      <w:hyperlink r:id="rId560">
        <w:r>
          <w:rPr>
            <w:rStyle w:val="Internetverknpfung"/>
          </w:rPr>
          <w:t>Gen. abs.</w:t>
        </w:r>
      </w:hyperlink>
      <w:r>
        <w:rPr/>
        <w:t xml:space="preserve">, konzessiv aufgelöst, möglich wäre auch temporal: nachdem </w:t>
      </w:r>
    </w:p>
  </w:footnote>
  <w:footnote w:id="5381">
    <w:p>
      <w:pPr>
        <w:pStyle w:val="Funote"/>
        <w:rPr/>
      </w:pPr>
      <w:r>
        <w:rPr>
          <w:rStyle w:val="Funotenzeichen"/>
        </w:rPr>
        <w:footnoteRef/>
      </w:r>
      <w:r>
        <w:rPr>
          <w:i/>
        </w:rPr>
        <w:tab/>
        <w:t>glaubst du jetzt (hast du geglaubt)</w:t>
      </w:r>
      <w:r>
        <w:rPr/>
        <w:t xml:space="preserve"> Beide Verben sind Perfekte. Da das gr. Perfekt das Ergebnis der vergangenen Handlung betont, wurde das zweite sinngemäß als Präsens mit „jetzt“ wiedergegeben.</w:t>
      </w:r>
    </w:p>
  </w:footnote>
  <w:footnote w:id="5382">
    <w:p>
      <w:pPr>
        <w:pStyle w:val="Funote"/>
        <w:rPr/>
      </w:pPr>
      <w:r>
        <w:rPr>
          <w:rStyle w:val="Funotenzeichen"/>
        </w:rPr>
        <w:footnoteRef/>
      </w:r>
      <w:r>
        <w:rPr/>
        <w:tab/>
        <w:t xml:space="preserve">In Nestle-Aland 28 ist der Satz als Frage punktiert: „Weil du mich gesehen hast, glaubst du jetzt?“ Das ist ebenso gut denkbar. </w:t>
      </w:r>
    </w:p>
  </w:footnote>
  <w:footnote w:id="5383">
    <w:p>
      <w:pPr>
        <w:pStyle w:val="Funote"/>
        <w:rPr/>
      </w:pPr>
      <w:r>
        <w:rPr>
          <w:rStyle w:val="Funotenzeichen"/>
        </w:rPr>
        <w:footnoteRef/>
      </w:r>
      <w:r>
        <w:rPr>
          <w:i/>
        </w:rPr>
        <w:tab/>
        <w:t>die nicht sehen und [doch] glauben</w:t>
      </w:r>
      <w:r>
        <w:rPr/>
        <w:t xml:space="preserve"> Zwei als Relativsatz aufgelöste </w:t>
      </w:r>
      <w:hyperlink r:id="rId561">
        <w:r>
          <w:rPr>
            <w:rStyle w:val="Internetverknpfung"/>
          </w:rPr>
          <w:t>subst. Ptz.</w:t>
        </w:r>
      </w:hyperlink>
      <w:r>
        <w:rPr/>
        <w:t xml:space="preserve">. </w:t>
      </w:r>
    </w:p>
  </w:footnote>
  <w:footnote w:id="5384">
    <w:p>
      <w:pPr>
        <w:pStyle w:val="Funote"/>
        <w:rPr/>
      </w:pPr>
      <w:r>
        <w:rPr>
          <w:rStyle w:val="Funotenzeichen"/>
        </w:rPr>
        <w:footnoteRef/>
      </w:r>
      <w:r>
        <w:rPr/>
        <w:tab/>
        <w:t>[Status: Zuverlässig]</w:t>
      </w:r>
    </w:p>
  </w:footnote>
  <w:footnote w:id="5385">
    <w:p>
      <w:pPr>
        <w:pStyle w:val="Funote"/>
        <w:rPr/>
      </w:pPr>
      <w:r>
        <w:rPr>
          <w:rStyle w:val="Funotenzeichen"/>
        </w:rPr>
        <w:footnoteRef/>
      </w:r>
      <w:r>
        <w:rPr/>
        <w:tab/>
        <w:t>Lokativer Genitiv.</w:t>
      </w:r>
    </w:p>
  </w:footnote>
  <w:footnote w:id="5386">
    <w:p>
      <w:pPr>
        <w:pStyle w:val="Funote"/>
        <w:rPr/>
      </w:pPr>
      <w:r>
        <w:rPr>
          <w:rStyle w:val="Funotenzeichen"/>
        </w:rPr>
        <w:footnoteRef/>
      </w:r>
      <w:r>
        <w:rPr/>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387">
    <w:p>
      <w:pPr>
        <w:pStyle w:val="Funote"/>
        <w:rPr/>
      </w:pPr>
      <w:r>
        <w:rPr>
          <w:rStyle w:val="Funotenzeichen"/>
        </w:rPr>
        <w:footnoteRef/>
      </w:r>
      <w:r>
        <w:rPr/>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388">
    <w:p>
      <w:pPr>
        <w:pStyle w:val="Funote"/>
        <w:rPr/>
      </w:pPr>
      <w:r>
        <w:rPr>
          <w:rStyle w:val="Funotenzeichen"/>
        </w:rPr>
        <w:footnoteRef/>
      </w:r>
      <w:r>
        <w:rPr>
          <w:i/>
        </w:rPr>
        <w:tab/>
        <w:t>war</w:t>
      </w:r>
      <w:r>
        <w:rPr/>
        <w:t xml:space="preserve"> Gr. „ist“</w:t>
      </w:r>
    </w:p>
  </w:footnote>
  <w:footnote w:id="5389">
    <w:p>
      <w:pPr>
        <w:pStyle w:val="Funote"/>
        <w:rPr/>
      </w:pPr>
      <w:r>
        <w:rPr>
          <w:rStyle w:val="Funotenzeichen"/>
        </w:rPr>
        <w:footnoteRef/>
      </w:r>
      <w:hyperlink r:id="rId562">
        <w:r>
          <w:rPr>
            <w:rStyle w:val="Internetverknpfung"/>
          </w:rPr>
          <w:tab/>
          <w:t>Historisches Präsens</w:t>
        </w:r>
      </w:hyperlink>
      <w:r>
        <w:rPr/>
        <w:t>.</w:t>
      </w:r>
    </w:p>
  </w:footnote>
  <w:footnote w:id="5390">
    <w:p>
      <w:pPr>
        <w:pStyle w:val="Funote"/>
        <w:rPr/>
      </w:pPr>
      <w:r>
        <w:rPr>
          <w:rStyle w:val="Funotenzeichen"/>
        </w:rPr>
        <w:footnoteRef/>
      </w:r>
      <w:r>
        <w:rPr>
          <w:i/>
        </w:rPr>
        <w:tab/>
        <w:t>Männer (Kinder)</w:t>
      </w:r>
      <w:r>
        <w:rPr/>
        <w:t xml:space="preserve">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 </w:t>
      </w:r>
    </w:p>
  </w:footnote>
  <w:footnote w:id="5391">
    <w:p>
      <w:pPr>
        <w:pStyle w:val="Funote"/>
        <w:rPr/>
      </w:pPr>
      <w:r>
        <w:rPr>
          <w:rStyle w:val="Funotenzeichen"/>
        </w:rPr>
        <w:footnoteRef/>
      </w:r>
      <w:r>
        <w:rPr/>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392">
    <w:p>
      <w:pPr>
        <w:pStyle w:val="Funote"/>
        <w:rPr/>
      </w:pPr>
      <w:r>
        <w:rPr>
          <w:rStyle w:val="Funotenzeichen"/>
        </w:rPr>
        <w:footnoteRef/>
      </w:r>
      <w:r>
        <w:rPr>
          <w:i/>
        </w:rPr>
        <w:tab/>
        <w:t>[doch einmal] auf der rechten Seite des Bootes</w:t>
      </w:r>
      <w:r>
        <w:rPr/>
        <w:t xml:space="preserve"> Die Einfügung </w:t>
      </w:r>
      <w:r>
        <w:rPr>
          <w:i/>
        </w:rPr>
        <w:t>[doch einmal]</w:t>
      </w:r>
      <w:r>
        <w:rPr/>
        <w:t xml:space="preserve"> soll wie die griechische Wortstellung die von Jesus vorgeschlagene Alternative hervorheben. </w:t>
      </w:r>
    </w:p>
  </w:footnote>
  <w:footnote w:id="5393">
    <w:p>
      <w:pPr>
        <w:pStyle w:val="Funote"/>
        <w:rPr/>
      </w:pPr>
      <w:r>
        <w:rPr>
          <w:rStyle w:val="Funotenzeichen"/>
        </w:rPr>
        <w:footnoteRef/>
      </w:r>
      <w:r>
        <w:rPr>
          <w:i/>
        </w:rPr>
        <w:tab/>
        <w:t>Als Simon Petrus hörte</w:t>
      </w:r>
      <w:r>
        <w:rPr/>
        <w:t xml:space="preserve"> Temporales, als Nebensatz aufgelöstes Ptc. coni. </w:t>
      </w:r>
    </w:p>
  </w:footnote>
  <w:footnote w:id="5394">
    <w:p>
      <w:pPr>
        <w:pStyle w:val="Funote"/>
        <w:rPr/>
      </w:pPr>
      <w:r>
        <w:rPr>
          <w:rStyle w:val="Funotenzeichen"/>
        </w:rPr>
        <w:footnoteRef/>
      </w:r>
      <w:r>
        <w:rPr/>
        <w:tab/>
        <w:t>er war nämlich (denn) nackt Das griechische Wort lässt offen, ob Petrus ganz nackt oder nur teilweise entkleidet war. Daher wäre auch die etwas freiere Alternativübersetzung denkbar: „er hatte es nämlich abgelegt“ o.ä. (vgl. NGÜ).</w:t>
      </w:r>
    </w:p>
  </w:footnote>
  <w:footnote w:id="5395">
    <w:p>
      <w:pPr>
        <w:pStyle w:val="Funote"/>
        <w:rPr/>
      </w:pPr>
      <w:r>
        <w:rPr>
          <w:rStyle w:val="Funotenzeichen"/>
        </w:rPr>
        <w:footnoteRef/>
      </w:r>
      <w:r>
        <w:rPr/>
        <w:tab/>
        <w:t>Die Juden nannten den See Tiberias das „Meer von Galiläa“.</w:t>
      </w:r>
    </w:p>
  </w:footnote>
  <w:footnote w:id="5396">
    <w:p>
      <w:pPr>
        <w:pStyle w:val="Funote"/>
        <w:rPr/>
      </w:pPr>
      <w:r>
        <w:rPr>
          <w:rStyle w:val="Funotenzeichen"/>
        </w:rPr>
        <w:footnoteRef/>
      </w:r>
      <w:r>
        <w:rPr>
          <w:i/>
        </w:rPr>
        <w:tab/>
        <w:t>[mit] dem Boot</w:t>
      </w:r>
      <w:r>
        <w:rPr/>
        <w:t xml:space="preserve"> Instrumentaler Dativ. </w:t>
      </w:r>
    </w:p>
  </w:footnote>
  <w:footnote w:id="5397">
    <w:p>
      <w:pPr>
        <w:pStyle w:val="Funote"/>
        <w:rPr/>
      </w:pPr>
      <w:r>
        <w:rPr>
          <w:rStyle w:val="Funotenzeichen"/>
        </w:rPr>
        <w:footnoteRef/>
      </w:r>
      <w:r>
        <w:rPr>
          <w:i/>
        </w:rPr>
        <w:tab/>
        <w:t>Dabei zogen sie das Netz [mit] den Fischen [hinter sich] her</w:t>
      </w:r>
      <w:r>
        <w:rPr/>
        <w:t xml:space="preserve"> Als modaler HS aufgelöstes Ptc. coni. </w:t>
      </w:r>
      <w:r>
        <w:rPr>
          <w:i/>
        </w:rPr>
        <w:t>Netz [mit] den Fischen</w:t>
      </w:r>
      <w:r>
        <w:rPr/>
        <w:t xml:space="preserve"> W. „Netz der Fische“, wohl appositiver Genitiv. </w:t>
      </w:r>
    </w:p>
  </w:footnote>
  <w:footnote w:id="5398">
    <w:p>
      <w:pPr>
        <w:pStyle w:val="Funote"/>
        <w:rPr/>
      </w:pPr>
      <w:r>
        <w:rPr>
          <w:rStyle w:val="Funotenzeichen"/>
        </w:rPr>
        <w:footnoteRef/>
      </w:r>
      <w:r>
        <w:rPr>
          <w:i/>
        </w:rPr>
        <w:tab/>
        <w:t>vorbereitetes</w:t>
      </w:r>
      <w:r>
        <w:rPr/>
        <w:t xml:space="preserve"> und </w:t>
      </w:r>
      <w:r>
        <w:rPr>
          <w:i/>
        </w:rPr>
        <w:t>daraufgelegt</w:t>
      </w:r>
      <w:r>
        <w:rPr/>
        <w:t xml:space="preserve"> AcP mit zwei Partizipien, im ersten Fall adjektivisch, im zweiten Fall als eigenständig angehängter NS übersetzt. Auch möglich wäre eine Konstruktion mit einem doppelten Infinitiv-NS. </w:t>
      </w:r>
    </w:p>
  </w:footnote>
  <w:footnote w:id="5399">
    <w:p>
      <w:pPr>
        <w:pStyle w:val="Funote"/>
        <w:rPr/>
      </w:pPr>
      <w:r>
        <w:rPr>
          <w:rStyle w:val="Funotenzeichen"/>
        </w:rPr>
        <w:footnoteRef/>
      </w:r>
      <w:hyperlink r:id="rId563">
        <w:r>
          <w:rPr>
            <w:rStyle w:val="Internetverknpfung"/>
          </w:rPr>
          <w:tab/>
          <w:t>Genitivus partitivus</w:t>
        </w:r>
      </w:hyperlink>
      <w:r>
        <w:rPr/>
        <w:t>.</w:t>
      </w:r>
    </w:p>
  </w:footnote>
  <w:footnote w:id="5400">
    <w:p>
      <w:pPr>
        <w:pStyle w:val="Funote"/>
        <w:rPr/>
      </w:pPr>
      <w:r>
        <w:rPr>
          <w:rStyle w:val="Funotenzeichen"/>
        </w:rPr>
        <w:footnoteRef/>
      </w:r>
      <w:r>
        <w:rPr>
          <w:i/>
        </w:rPr>
        <w:tab/>
        <w:t>obwohl es so viele waren</w:t>
      </w:r>
      <w:r>
        <w:rPr/>
        <w:t xml:space="preserve"> Als konzessiver NS aufgelöster Gen. abs. </w:t>
      </w:r>
    </w:p>
  </w:footnote>
  <w:footnote w:id="5401">
    <w:p>
      <w:pPr>
        <w:pStyle w:val="Funote"/>
        <w:rPr/>
      </w:pPr>
      <w:r>
        <w:rPr>
          <w:rStyle w:val="Funotenzeichen"/>
        </w:rPr>
        <w:footnoteRef/>
      </w:r>
      <w:r>
        <w:rPr>
          <w:i/>
        </w:rPr>
        <w:tab/>
        <w:t>[von] den Jüngern</w:t>
      </w:r>
      <w:r>
        <w:rPr/>
        <w:t xml:space="preserve"> Genitivus partitivus. </w:t>
      </w:r>
    </w:p>
  </w:footnote>
  <w:footnote w:id="5402">
    <w:p>
      <w:pPr>
        <w:pStyle w:val="Funote"/>
        <w:rPr/>
      </w:pPr>
      <w:r>
        <w:rPr>
          <w:rStyle w:val="Funotenzeichen"/>
        </w:rPr>
        <w:footnoteRef/>
      </w:r>
      <w:r>
        <w:rPr>
          <w:i/>
        </w:rPr>
        <w:tab/>
        <w:t>kam und nahm</w:t>
      </w:r>
      <w:r>
        <w:rPr/>
        <w:t xml:space="preserve"> Jew. </w:t>
      </w:r>
      <w:hyperlink r:id="rId564">
        <w:r>
          <w:rPr>
            <w:rStyle w:val="Internetverknpfung"/>
          </w:rPr>
          <w:t>Historisches Präsens</w:t>
        </w:r>
      </w:hyperlink>
      <w:r>
        <w:rPr/>
        <w:t>.</w:t>
      </w:r>
    </w:p>
  </w:footnote>
  <w:footnote w:id="5403">
    <w:p>
      <w:pPr>
        <w:pStyle w:val="Funote"/>
        <w:rPr/>
      </w:pPr>
      <w:r>
        <w:rPr>
          <w:rStyle w:val="Funotenzeichen"/>
        </w:rPr>
        <w:footnoteRef/>
      </w:r>
      <w:r>
        <w:rPr/>
        <w:tab/>
        <w:t>Part. Aor. pass.</w:t>
      </w:r>
    </w:p>
  </w:footnote>
  <w:footnote w:id="5404">
    <w:p>
      <w:pPr>
        <w:pStyle w:val="Funote"/>
        <w:rPr/>
      </w:pPr>
      <w:r>
        <w:rPr>
          <w:rStyle w:val="Funotenzeichen"/>
        </w:rPr>
        <w:footnoteRef/>
      </w:r>
      <w:r>
        <w:rPr/>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405">
    <w:p>
      <w:pPr>
        <w:pStyle w:val="Funote"/>
        <w:rPr/>
      </w:pPr>
      <w:r>
        <w:rPr>
          <w:rStyle w:val="Funotenzeichen"/>
        </w:rPr>
        <w:footnoteRef/>
      </w:r>
      <w:r>
        <w:rPr/>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406">
    <w:p>
      <w:pPr>
        <w:pStyle w:val="Funote"/>
        <w:rPr/>
      </w:pPr>
      <w:r>
        <w:rPr>
          <w:rStyle w:val="Funotenzeichen"/>
        </w:rPr>
        <w:footnoteRef/>
      </w:r>
      <w:r>
        <w:rPr>
          <w:i/>
        </w:rPr>
        <w:tab/>
        <w:t>nachdem er das gesagt hatte</w:t>
      </w:r>
      <w:r>
        <w:rPr/>
        <w:t xml:space="preserve"> Als temporaler Nebensatz aufgelöstes Ptc. coni.</w:t>
      </w:r>
    </w:p>
  </w:footnote>
  <w:footnote w:id="5407">
    <w:p>
      <w:pPr>
        <w:pStyle w:val="Funote"/>
        <w:rPr/>
      </w:pPr>
      <w:r>
        <w:rPr>
          <w:rStyle w:val="Funotenzeichen"/>
        </w:rPr>
        <w:footnoteRef/>
      </w:r>
      <w:r>
        <w:rPr>
          <w:i/>
        </w:rPr>
        <w:tab/>
        <w:t>Als er sich umwandte</w:t>
      </w:r>
      <w:r>
        <w:rPr/>
        <w:t xml:space="preserve"> Als temporaler Nebensatz aufgelöstes Ptc. coni.</w:t>
      </w:r>
    </w:p>
  </w:footnote>
  <w:footnote w:id="5408">
    <w:p>
      <w:pPr>
        <w:pStyle w:val="Funote"/>
        <w:rPr/>
      </w:pPr>
      <w:r>
        <w:rPr>
          <w:rStyle w:val="Funotenzeichen"/>
        </w:rPr>
        <w:footnoteRef/>
      </w:r>
      <w:r>
        <w:rPr>
          <w:i/>
        </w:rPr>
        <w:tab/>
        <w:t>sah, dass … folgte</w:t>
      </w:r>
      <w:r>
        <w:rPr/>
        <w:t xml:space="preserve"> AcP. </w:t>
      </w:r>
    </w:p>
  </w:footnote>
  <w:footnote w:id="5409">
    <w:p>
      <w:pPr>
        <w:pStyle w:val="Funote"/>
        <w:rPr/>
      </w:pPr>
      <w:r>
        <w:rPr>
          <w:rStyle w:val="Funotenzeichen"/>
        </w:rPr>
        <w:footnoteRef/>
      </w:r>
      <w:r>
        <w:rPr/>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410">
    <w:p>
      <w:pPr>
        <w:pStyle w:val="Funote"/>
        <w:rPr/>
      </w:pPr>
      <w:r>
        <w:rPr>
          <w:rStyle w:val="Funotenzeichen"/>
        </w:rPr>
        <w:footnoteRef/>
      </w:r>
      <w:r>
        <w:rPr>
          <w:i/>
        </w:rPr>
        <w:tab/>
        <w:t>will, dass er bleibt</w:t>
      </w:r>
      <w:r>
        <w:rPr/>
        <w:t xml:space="preserve"> AcI. </w:t>
      </w:r>
    </w:p>
  </w:footnote>
  <w:footnote w:id="5411">
    <w:p>
      <w:pPr>
        <w:pStyle w:val="Funote"/>
        <w:rPr/>
      </w:pPr>
      <w:r>
        <w:rPr>
          <w:rStyle w:val="Funotenzeichen"/>
        </w:rPr>
        <w:footnoteRef/>
      </w:r>
      <w:r>
        <w:rPr/>
        <w:tab/>
        <w:t>[Status: Ungeprüft]</w:t>
      </w:r>
    </w:p>
  </w:footnote>
  <w:footnote w:id="5412">
    <w:p>
      <w:pPr>
        <w:pStyle w:val="Funote"/>
        <w:rPr/>
      </w:pPr>
      <w:r>
        <w:rPr>
          <w:rStyle w:val="Funotenzeichen"/>
        </w:rPr>
        <w:footnoteRef/>
      </w:r>
      <w:r>
        <w:rPr>
          <w:i/>
        </w:rPr>
        <w:tab/>
        <w:t>der bezeugt und der aufgeschrieben hat</w:t>
      </w:r>
      <w:r>
        <w:rPr/>
        <w:t xml:space="preserve"> Substantivierte Ptz., als Relativsatz aufgelöst. </w:t>
      </w:r>
    </w:p>
  </w:footnote>
  <w:footnote w:id="5413">
    <w:p>
      <w:pPr>
        <w:pStyle w:val="Funote"/>
        <w:rPr/>
      </w:pPr>
      <w:r>
        <w:rPr>
          <w:rStyle w:val="Funotenzeichen"/>
        </w:rPr>
        <w:footnoteRef/>
      </w:r>
      <w:r>
        <w:rPr>
          <w:i/>
        </w:rPr>
        <w:tab/>
        <w:t>mehr</w:t>
      </w:r>
      <w:r>
        <w:rPr/>
        <w:t xml:space="preserve"> W. „anderes/andere [Dinge]“</w:t>
      </w:r>
    </w:p>
  </w:footnote>
  <w:footnote w:id="5414">
    <w:p>
      <w:pPr>
        <w:pStyle w:val="Funote"/>
        <w:rPr/>
      </w:pPr>
      <w:r>
        <w:rPr>
          <w:rStyle w:val="Funotenzeichen"/>
        </w:rPr>
        <w:footnoteRef/>
      </w:r>
      <w:r>
        <w:rPr/>
        <w:tab/>
        <w:t>[Status: Ungeprüft]</w:t>
      </w:r>
    </w:p>
  </w:footnote>
  <w:footnote w:id="5415">
    <w:p>
      <w:pPr>
        <w:pStyle w:val="Funote"/>
        <w:rPr/>
      </w:pPr>
      <w:r>
        <w:rPr>
          <w:rStyle w:val="Funotenzeichen"/>
        </w:rPr>
        <w:footnoteRef/>
      </w:r>
      <w:r>
        <w:rPr>
          <w:lang w:val="el-GR"/>
        </w:rPr>
        <w:tab/>
        <w:t>λόγος</w:t>
      </w:r>
      <w:r>
        <w:rPr/>
        <w:t xml:space="preserve"> heißt hier „Buch“; Lukas bezieht sich auf das Evangelium. </w:t>
      </w:r>
      <w:r>
        <w:rPr>
          <w:lang w:val="el-GR"/>
        </w:rPr>
        <w:t>πρῶτος λόγος</w:t>
      </w:r>
      <w:r>
        <w:rPr/>
        <w:t xml:space="preserve"> ist der erste Teil eines mehrbändigen Werkes.</w:t>
      </w:r>
    </w:p>
  </w:footnote>
  <w:footnote w:id="5416">
    <w:p>
      <w:pPr>
        <w:pStyle w:val="Funote"/>
        <w:rPr/>
      </w:pPr>
      <w:r>
        <w:rPr>
          <w:rStyle w:val="Funotenzeichen"/>
        </w:rPr>
        <w:footnoteRef/>
      </w:r>
      <w:r>
        <w:rPr/>
        <w:tab/>
        <w:t>Ein „</w:t>
      </w:r>
      <w:r>
        <w:rPr>
          <w:lang w:val="el-GR"/>
        </w:rPr>
        <w:t>μέν</w:t>
      </w:r>
      <w:r>
        <w:rPr/>
        <w:t xml:space="preserve"> solitarium“ ohne entsprechendes </w:t>
      </w:r>
      <w:r>
        <w:rPr>
          <w:lang w:val="el-GR"/>
        </w:rPr>
        <w:t>δέ</w:t>
      </w:r>
      <w:r>
        <w:rPr/>
        <w:t xml:space="preserve"> (Haenchen S. 107), wird hier nicht übersetzt.</w:t>
      </w:r>
    </w:p>
  </w:footnote>
  <w:footnote w:id="5417">
    <w:p>
      <w:pPr>
        <w:pStyle w:val="Funote"/>
        <w:rPr/>
      </w:pPr>
      <w:r>
        <w:rPr>
          <w:rStyle w:val="Funotenzeichen"/>
        </w:rPr>
        <w:footnoteRef/>
      </w:r>
      <w:r>
        <w:rPr/>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418">
    <w:p>
      <w:pPr>
        <w:pStyle w:val="Funote"/>
        <w:rPr/>
      </w:pPr>
      <w:r>
        <w:rPr>
          <w:rStyle w:val="Funotenzeichen"/>
        </w:rPr>
        <w:footnoteRef/>
      </w:r>
      <w:hyperlink r:id="rId565">
        <w:r>
          <w:rPr>
            <w:rStyle w:val="Internetverknpfung"/>
          </w:rPr>
          <w:tab/>
          <w:t>Ptz. coni.</w:t>
        </w:r>
      </w:hyperlink>
      <w:r>
        <w:rPr/>
        <w:t>, temporal aufgelöst.</w:t>
      </w:r>
    </w:p>
  </w:footnote>
  <w:footnote w:id="5419">
    <w:p>
      <w:pPr>
        <w:pStyle w:val="Funote"/>
        <w:rPr/>
      </w:pPr>
      <w:r>
        <w:rPr>
          <w:rStyle w:val="Funotenzeichen"/>
        </w:rPr>
        <w:footnoteRef/>
      </w:r>
      <w:hyperlink r:id="rId566">
        <w:r>
          <w:rPr>
            <w:rStyle w:val="Internetverknpfung"/>
          </w:rPr>
          <w:tab/>
          <w:t>Ptz. coni.</w:t>
        </w:r>
      </w:hyperlink>
      <w:r>
        <w:rPr/>
        <w:t>, temporal aufgelöst.</w:t>
      </w:r>
    </w:p>
  </w:footnote>
  <w:footnote w:id="5420">
    <w:p>
      <w:pPr>
        <w:pStyle w:val="Funote"/>
        <w:rPr/>
      </w:pPr>
      <w:r>
        <w:rPr>
          <w:rStyle w:val="Funotenzeichen"/>
        </w:rPr>
        <w:footnoteRef/>
      </w:r>
      <w:r>
        <w:rPr/>
        <w:tab/>
        <w:t>Partizip</w:t>
      </w:r>
    </w:p>
  </w:footnote>
  <w:footnote w:id="5421">
    <w:p>
      <w:pPr>
        <w:pStyle w:val="Funote"/>
        <w:rPr/>
      </w:pPr>
      <w:r>
        <w:rPr>
          <w:rStyle w:val="Funotenzeichen"/>
        </w:rPr>
        <w:footnoteRef/>
      </w:r>
      <w:r>
        <w:rPr>
          <w:lang w:val="el-GR"/>
        </w:rPr>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422">
    <w:p>
      <w:pPr>
        <w:pStyle w:val="Funote"/>
        <w:rPr/>
      </w:pPr>
      <w:r>
        <w:rPr>
          <w:rStyle w:val="Funotenzeichen"/>
        </w:rPr>
        <w:footnoteRef/>
      </w:r>
      <w:r>
        <w:rPr/>
        <w:tab/>
        <w:t>Möglich wäre auch: Nach vierzig Tagen; hier sind aber die wiederholten Erscheinungen des Auferstandenen gemeint.</w:t>
      </w:r>
    </w:p>
  </w:footnote>
  <w:footnote w:id="5423">
    <w:p>
      <w:pPr>
        <w:pStyle w:val="Funote"/>
        <w:rPr/>
      </w:pPr>
      <w:r>
        <w:rPr>
          <w:rStyle w:val="Funotenzeichen"/>
        </w:rPr>
        <w:footnoteRef/>
      </w:r>
      <w:hyperlink r:id="rId567">
        <w:r>
          <w:rPr>
            <w:rStyle w:val="Internetverknpfung"/>
          </w:rPr>
          <w:tab/>
          <w:t>Ptz. coni.</w:t>
        </w:r>
      </w:hyperlink>
      <w:r>
        <w:rPr/>
        <w:t xml:space="preserve">,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424">
    <w:p>
      <w:pPr>
        <w:pStyle w:val="Funote"/>
        <w:rPr/>
      </w:pPr>
      <w:r>
        <w:rPr>
          <w:rStyle w:val="Funotenzeichen"/>
        </w:rPr>
        <w:footnoteRef/>
      </w:r>
      <w:r>
        <w:rPr/>
        <w:tab/>
        <w:t xml:space="preserve">a) Das vom Vater Verheißene = der hl. Geist, b) die Verheißung als ein Wort, daher: </w:t>
      </w:r>
      <w:r>
        <w:rPr>
          <w:lang w:val="el-GR"/>
        </w:rPr>
        <w:t>ἀκούετε</w:t>
      </w:r>
      <w:r>
        <w:rPr/>
        <w:t>.</w:t>
      </w:r>
    </w:p>
  </w:footnote>
  <w:footnote w:id="5425">
    <w:p>
      <w:pPr>
        <w:pStyle w:val="Funote"/>
        <w:rPr/>
      </w:pPr>
      <w:r>
        <w:rPr>
          <w:rStyle w:val="Funotenzeichen"/>
        </w:rPr>
        <w:footnoteRef/>
      </w:r>
      <w:r>
        <w:rPr>
          <w:lang w:val="el-GR"/>
        </w:rPr>
        <w:tab/>
        <w:t>μὲν οὖν</w:t>
      </w:r>
      <w:r>
        <w:rPr/>
        <w:t xml:space="preserve"> hebt das Folgende vom Vorangehenden ab, Haenchen S. 114; dort auch die übrigen Stellen in der Apostelgeschichte.</w:t>
      </w:r>
    </w:p>
  </w:footnote>
  <w:footnote w:id="5426">
    <w:p>
      <w:pPr>
        <w:pStyle w:val="Funote"/>
        <w:rPr/>
      </w:pPr>
      <w:r>
        <w:rPr>
          <w:rStyle w:val="Funotenzeichen"/>
        </w:rPr>
        <w:footnoteRef/>
      </w:r>
      <w:r>
        <w:rPr/>
        <w:tab/>
        <w:t>Dativ</w:t>
      </w:r>
    </w:p>
  </w:footnote>
  <w:footnote w:id="5427">
    <w:p>
      <w:pPr>
        <w:pStyle w:val="Funote"/>
        <w:rPr/>
      </w:pPr>
      <w:r>
        <w:rPr>
          <w:rStyle w:val="Funotenzeichen"/>
        </w:rPr>
        <w:footnoteRef/>
      </w:r>
      <w:r>
        <w:rPr/>
        <w:tab/>
        <w:t>Terminus Technicus der eschatologischen Sprache: Die Herstellung der rechten Ordnung durch Gott/ Jesus in der Endzeit, Haenchen S. 114, Anm. 4.</w:t>
      </w:r>
    </w:p>
  </w:footnote>
  <w:footnote w:id="5428">
    <w:p>
      <w:pPr>
        <w:pStyle w:val="Funote"/>
        <w:rPr/>
      </w:pPr>
      <w:r>
        <w:rPr>
          <w:rStyle w:val="Funotenzeichen"/>
        </w:rPr>
        <w:footnoteRef/>
      </w:r>
      <w:hyperlink r:id="rId568">
        <w:r>
          <w:rPr>
            <w:rStyle w:val="Internetverknpfung"/>
          </w:rPr>
          <w:tab/>
          <w:t>Ptz. coni.</w:t>
        </w:r>
      </w:hyperlink>
      <w:r>
        <w:rPr/>
        <w:t>, relativisch aufgefasst</w:t>
      </w:r>
    </w:p>
  </w:footnote>
  <w:footnote w:id="5429">
    <w:p>
      <w:pPr>
        <w:pStyle w:val="Funote"/>
        <w:rPr/>
      </w:pPr>
      <w:r>
        <w:rPr>
          <w:rStyle w:val="Funotenzeichen"/>
        </w:rPr>
        <w:footnoteRef/>
      </w:r>
      <w:hyperlink r:id="rId569">
        <w:r>
          <w:rPr>
            <w:rStyle w:val="Internetverknpfung"/>
          </w:rPr>
          <w:tab/>
          <w:t>Ptz. coni.</w:t>
        </w:r>
      </w:hyperlink>
      <w:r>
        <w:rPr/>
        <w:t>, temporal aufgefasst.</w:t>
      </w:r>
    </w:p>
  </w:footnote>
  <w:footnote w:id="5430">
    <w:p>
      <w:pPr>
        <w:pStyle w:val="Funote"/>
        <w:rPr/>
      </w:pPr>
      <w:r>
        <w:rPr>
          <w:rStyle w:val="Funotenzeichen"/>
        </w:rPr>
        <w:footnoteRef/>
      </w:r>
      <w:r>
        <w:rPr>
          <w:lang w:val="el-GR"/>
        </w:rPr>
        <w:tab/>
        <w:t>ἀτενῖζοντες ἦσαν</w:t>
      </w:r>
      <w:r>
        <w:rPr/>
        <w:t xml:space="preserve"> ist eine Periphrase (Umschreibung), die den zeitlichen Rahmen angibt, in dem sich etwas ereignet, Haenchen S. 119, Anm. 7.</w:t>
      </w:r>
    </w:p>
  </w:footnote>
  <w:footnote w:id="5431">
    <w:p>
      <w:pPr>
        <w:pStyle w:val="Funote"/>
        <w:rPr/>
      </w:pPr>
      <w:r>
        <w:rPr>
          <w:rStyle w:val="Funotenzeichen"/>
        </w:rPr>
        <w:footnoteRef/>
      </w:r>
      <w:hyperlink r:id="rId570">
        <w:r>
          <w:rPr>
            <w:rStyle w:val="Internetverknpfung"/>
          </w:rPr>
          <w:tab/>
          <w:t>Ptz. coni.</w:t>
        </w:r>
      </w:hyperlink>
    </w:p>
  </w:footnote>
  <w:footnote w:id="5432">
    <w:p>
      <w:pPr>
        <w:pStyle w:val="Funote"/>
        <w:rPr/>
      </w:pPr>
      <w:r>
        <w:rPr>
          <w:rStyle w:val="Funotenzeichen"/>
        </w:rPr>
        <w:footnoteRef/>
      </w:r>
      <w:r>
        <w:rPr/>
        <w:tab/>
        <w:t>angeli interpretes, Deuteengel. „Sie haben hier keine andere Aufgabe, als den Menschen zum rechten Verständnis der Situation zu verhelfen“. Haenchen, S. 120, Anm. 2.</w:t>
      </w:r>
    </w:p>
  </w:footnote>
  <w:footnote w:id="5433">
    <w:p>
      <w:pPr>
        <w:pStyle w:val="Funote"/>
        <w:rPr/>
      </w:pPr>
      <w:r>
        <w:rPr>
          <w:rStyle w:val="Funotenzeichen"/>
        </w:rPr>
        <w:footnoteRef/>
      </w:r>
      <w:r>
        <w:rPr/>
        <w:tab/>
        <w:t xml:space="preserve">Das </w:t>
      </w:r>
      <w:r>
        <w:rPr>
          <w:lang w:val="el-GR"/>
        </w:rPr>
        <w:t>καί</w:t>
      </w:r>
      <w:r>
        <w:rPr/>
        <w:t xml:space="preserve"> darf hier nicht übersetzt werden, Haenchen a.a.O., Anm. 3.</w:t>
      </w:r>
    </w:p>
  </w:footnote>
  <w:footnote w:id="5434">
    <w:p>
      <w:pPr>
        <w:pStyle w:val="Funote"/>
        <w:rPr/>
      </w:pPr>
      <w:r>
        <w:rPr>
          <w:rStyle w:val="Funotenzeichen"/>
        </w:rPr>
        <w:footnoteRef/>
      </w:r>
      <w:hyperlink r:id="rId571">
        <w:r>
          <w:rPr>
            <w:rStyle w:val="Internetverknpfung"/>
          </w:rPr>
          <w:tab/>
          <w:t>Ptz. coni.</w:t>
        </w:r>
      </w:hyperlink>
      <w:r>
        <w:rPr/>
        <w:t>, beigeordnet</w:t>
      </w:r>
    </w:p>
  </w:footnote>
  <w:footnote w:id="5435">
    <w:p>
      <w:pPr>
        <w:pStyle w:val="Funote"/>
        <w:rPr/>
      </w:pPr>
      <w:r>
        <w:rPr>
          <w:rStyle w:val="Funotenzeichen"/>
        </w:rPr>
        <w:footnoteRef/>
      </w:r>
      <w:r>
        <w:rPr/>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436">
    <w:p>
      <w:pPr>
        <w:pStyle w:val="Funote"/>
        <w:rPr/>
      </w:pPr>
      <w:r>
        <w:rPr>
          <w:rStyle w:val="Funotenzeichen"/>
        </w:rPr>
        <w:footnoteRef/>
      </w:r>
      <w:r>
        <w:rPr/>
        <w:tab/>
        <w:t>Zu ergänzen ist: in die Stadt.</w:t>
      </w:r>
    </w:p>
  </w:footnote>
  <w:footnote w:id="5437">
    <w:p>
      <w:pPr>
        <w:pStyle w:val="Funote"/>
        <w:rPr/>
      </w:pPr>
      <w:r>
        <w:rPr>
          <w:rStyle w:val="Funotenzeichen"/>
        </w:rPr>
        <w:footnoteRef/>
      </w:r>
      <w:r>
        <w:rPr/>
        <w:tab/>
        <w:t>Periphrase, vgl. Anm. zu Vers 10.</w:t>
      </w:r>
    </w:p>
  </w:footnote>
  <w:footnote w:id="5438">
    <w:p>
      <w:pPr>
        <w:pStyle w:val="Funote"/>
        <w:rPr/>
      </w:pPr>
      <w:r>
        <w:rPr>
          <w:rStyle w:val="Funotenzeichen"/>
        </w:rPr>
        <w:footnoteRef/>
      </w:r>
      <w:r>
        <w:rPr>
          <w:i/>
        </w:rPr>
        <w:tab/>
        <w:t>[in der] Gemeinschaft (?, beisammen)</w:t>
      </w:r>
      <w:r>
        <w:rPr/>
        <w:t xml:space="preserve"> - </w:t>
      </w:r>
      <w:r>
        <w:rPr>
          <w:i/>
        </w:rPr>
        <w:t>epi to auto</w:t>
      </w:r>
      <w:r>
        <w:rPr/>
        <w:t xml:space="preserve"> („beisammen“, ein aus mehreren Worten bestehendes Adverb) wäre hier unproblematisch. Wegen der Verwendung der selben Wortgruppe v.a. in </w:t>
      </w:r>
      <w:r>
        <w:fldChar w:fldCharType="begin"/>
      </w:r>
      <w:r>
        <w:rPr>
          <w:rStyle w:val="Internetverknpfung"/>
        </w:rPr>
        <w:instrText> HYPERLINK "../../../../../../../../../wiki/Apostelgeschichte_2" \l "s44"</w:instrText>
      </w:r>
      <w:r>
        <w:rPr>
          <w:rStyle w:val="Internetverknpfung"/>
        </w:rPr>
        <w:fldChar w:fldCharType="separate"/>
      </w:r>
      <w:r>
        <w:rPr>
          <w:rStyle w:val="Internetverknpfung"/>
        </w:rPr>
        <w:t>Apg 2,44.47</w:t>
      </w:r>
      <w:r>
        <w:rPr>
          <w:rStyle w:val="Internetverknpfung"/>
        </w:rPr>
        <w:fldChar w:fldCharType="end"/>
      </w:r>
      <w:r>
        <w:rPr/>
        <w:t xml:space="preserve">, aber auch in </w:t>
      </w:r>
      <w:r>
        <w:fldChar w:fldCharType="begin"/>
      </w:r>
      <w:r>
        <w:rPr>
          <w:rStyle w:val="Internetverknpfung"/>
        </w:rPr>
        <w:instrText> HYPERLINK "../../../../../../../../../wiki/Apostelgeschichte_2" \l "s1"</w:instrText>
      </w:r>
      <w:r>
        <w:rPr>
          <w:rStyle w:val="Internetverknpfung"/>
        </w:rPr>
        <w:fldChar w:fldCharType="separate"/>
      </w:r>
      <w:r>
        <w:rPr>
          <w:rStyle w:val="Internetverknpfung"/>
        </w:rPr>
        <w:t>Apg 2,1</w:t>
      </w:r>
      <w:r>
        <w:rPr>
          <w:rStyle w:val="Internetverknpfung"/>
        </w:rPr>
        <w:fldChar w:fldCharType="end"/>
      </w:r>
      <w:r>
        <w:rPr/>
        <w:t xml:space="preserve">, sollte man aber besser hier wie dort die Wortgruppe als Hebraismus mit der Bedeutung „als/in der Gemeinschaft“ deuten (s. </w:t>
      </w:r>
      <w:r>
        <w:fldChar w:fldCharType="begin"/>
      </w:r>
      <w:r>
        <w:rPr>
          <w:rStyle w:val="Internetverknpfung"/>
        </w:rPr>
        <w:instrText> HYPERLINK "http://offene-bibel.de/wiki/Apostelgeschichte_2" \l "note_bm"</w:instrText>
      </w:r>
      <w:r>
        <w:rPr>
          <w:rStyle w:val="Internetverknpfung"/>
        </w:rPr>
        <w:fldChar w:fldCharType="separate"/>
      </w:r>
      <w:r>
        <w:rPr>
          <w:rStyle w:val="Internetverknpfung"/>
        </w:rPr>
        <w:t>FN bm</w:t>
      </w:r>
      <w:r>
        <w:rPr>
          <w:rStyle w:val="Internetverknpfung"/>
        </w:rPr>
        <w:fldChar w:fldCharType="end"/>
      </w:r>
      <w:r>
        <w:rPr/>
        <w:t>): „Zur Gemeinschaft gehörten damals ungefähr 120 Personen“.</w:t>
      </w:r>
    </w:p>
  </w:footnote>
  <w:footnote w:id="5439">
    <w:p>
      <w:pPr>
        <w:pStyle w:val="Funote"/>
        <w:rPr/>
      </w:pPr>
      <w:r>
        <w:rPr>
          <w:rStyle w:val="Funotenzeichen"/>
        </w:rPr>
        <w:footnoteRef/>
      </w:r>
      <w:r>
        <w:rPr/>
        <w:tab/>
        <w:t xml:space="preserve">Anrede, vgl. </w:t>
      </w:r>
      <w:r>
        <w:rPr>
          <w:lang w:val="el-GR"/>
        </w:rPr>
        <w:t>ἄνδρες Ἀθηναίοι</w:t>
      </w:r>
      <w:r>
        <w:rPr/>
        <w:t xml:space="preserve"> in der Apologie des Sokrates.</w:t>
      </w:r>
    </w:p>
  </w:footnote>
  <w:footnote w:id="5440">
    <w:p>
      <w:pPr>
        <w:pStyle w:val="Funote"/>
        <w:rPr/>
      </w:pPr>
      <w:r>
        <w:rPr>
          <w:rStyle w:val="Funotenzeichen"/>
        </w:rPr>
        <w:footnoteRef/>
      </w:r>
      <w:r>
        <w:rPr>
          <w:lang w:val="el-GR"/>
        </w:rPr>
        <w:tab/>
        <w:t>μὲν οὖν</w:t>
      </w:r>
      <w:r>
        <w:rPr/>
        <w:t>, vgl. Anm. zu Vers 6.</w:t>
      </w:r>
    </w:p>
  </w:footnote>
  <w:footnote w:id="5441">
    <w:p>
      <w:pPr>
        <w:pStyle w:val="Funote"/>
        <w:rPr/>
      </w:pPr>
      <w:r>
        <w:rPr>
          <w:rStyle w:val="Funotenzeichen"/>
        </w:rPr>
        <w:footnoteRef/>
      </w:r>
      <w:hyperlink r:id="rId572">
        <w:r>
          <w:rPr>
            <w:rStyle w:val="Internetverknpfung"/>
          </w:rPr>
          <w:tab/>
          <w:t>Ptz. coni.</w:t>
        </w:r>
      </w:hyperlink>
      <w:r>
        <w:rPr/>
        <w:t>, gleichzeitig aufgefasst.</w:t>
      </w:r>
    </w:p>
  </w:footnote>
  <w:footnote w:id="5442">
    <w:p>
      <w:pPr>
        <w:pStyle w:val="Funote"/>
        <w:rPr/>
      </w:pPr>
      <w:r>
        <w:rPr>
          <w:rStyle w:val="Funotenzeichen"/>
        </w:rPr>
        <w:footnoteRef/>
      </w:r>
      <w:r>
        <w:rPr/>
        <w:tab/>
        <w:t>JHWH</w:t>
      </w:r>
    </w:p>
  </w:footnote>
  <w:footnote w:id="5443">
    <w:p>
      <w:pPr>
        <w:pStyle w:val="Funote"/>
        <w:rPr/>
      </w:pPr>
      <w:r>
        <w:rPr>
          <w:rStyle w:val="Funotenzeichen"/>
        </w:rPr>
        <w:footnoteRef/>
      </w:r>
      <w:r>
        <w:rPr/>
        <w:tab/>
        <w:t>[Für Belegstellen s. Capper 1995, S. 3 FN 6]</w:t>
      </w:r>
    </w:p>
  </w:footnote>
  <w:footnote w:id="5444">
    <w:p>
      <w:pPr>
        <w:pStyle w:val="Funote"/>
        <w:rPr/>
      </w:pPr>
      <w:r>
        <w:rPr>
          <w:rStyle w:val="Funotenzeichen"/>
        </w:rPr>
        <w:footnoteRef/>
      </w:r>
      <w:r>
        <w:rPr/>
        <w:tab/>
        <w:t>[So richtig z.B. Capper 1995, S. 5.]</w:t>
      </w:r>
    </w:p>
  </w:footnote>
  <w:footnote w:id="5445">
    <w:p>
      <w:pPr>
        <w:pStyle w:val="Funote"/>
        <w:rPr/>
      </w:pPr>
      <w:r>
        <w:rPr>
          <w:rStyle w:val="Funotenzeichen"/>
        </w:rPr>
        <w:footnoteRef/>
      </w:r>
      <w:r>
        <w:rPr/>
        <w:tab/>
        <w:t>[Üss. nach Maier 1995.]</w:t>
      </w:r>
    </w:p>
  </w:footnote>
  <w:footnote w:id="5446">
    <w:p>
      <w:pPr>
        <w:pStyle w:val="Funote"/>
        <w:rPr/>
      </w:pPr>
      <w:r>
        <w:rPr>
          <w:rStyle w:val="Funotenzeichen"/>
        </w:rPr>
        <w:footnoteRef/>
      </w:r>
      <w:r>
        <w:rPr/>
        <w:tab/>
        <w:t>[Zu diesem Abschnitt vgl. übrigens 1QS VI 24f.]</w:t>
      </w:r>
    </w:p>
  </w:footnote>
  <w:footnote w:id="5447">
    <w:p>
      <w:pPr>
        <w:pStyle w:val="Funote"/>
        <w:rPr/>
      </w:pPr>
      <w:r>
        <w:rPr>
          <w:rStyle w:val="Funotenzeichen"/>
        </w:rPr>
        <w:footnoteRef/>
      </w:r>
      <w:r>
        <w:rPr/>
        <w:tab/>
        <w:t>[Status: Zuverlässig]</w:t>
      </w:r>
    </w:p>
  </w:footnote>
  <w:footnote w:id="5448">
    <w:p>
      <w:pPr>
        <w:pStyle w:val="Funote"/>
        <w:rPr/>
      </w:pPr>
      <w:r>
        <w:rPr>
          <w:rStyle w:val="Funotenzeichen"/>
        </w:rPr>
        <w:footnoteRef/>
      </w:r>
      <w:r>
        <w:rPr/>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449">
    <w:p>
      <w:pPr>
        <w:pStyle w:val="Funote"/>
        <w:rPr/>
      </w:pPr>
      <w:r>
        <w:rPr>
          <w:rStyle w:val="Funotenzeichen"/>
        </w:rPr>
        <w:footnoteRef/>
      </w:r>
      <w:r>
        <w:rPr/>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450">
    <w:p>
      <w:pPr>
        <w:pStyle w:val="Funote"/>
        <w:rPr/>
      </w:pPr>
      <w:r>
        <w:rPr>
          <w:rStyle w:val="Funotenzeichen"/>
        </w:rPr>
        <w:footnoteRef/>
      </w:r>
      <w:r>
        <w:rPr>
          <w:i/>
        </w:rPr>
        <w:tab/>
        <w:t>alle zusammen [als] Gemeinschaft (?, beisammen)</w:t>
      </w:r>
      <w:r>
        <w:rPr/>
        <w:t xml:space="preserve"> - W. „waren sie alle zusammen beisammen“, ein offensichtlich redundanter Ausdruck. Daher und wegen der Verwendung der Wortgruppe </w:t>
      </w:r>
      <w:r>
        <w:rPr>
          <w:i/>
        </w:rPr>
        <w:t>epi to auto</w:t>
      </w:r>
      <w:r>
        <w:rPr/>
        <w:t xml:space="preserve"> („beisammen“, ein aus mehreren Worten bestehendes Adverb) in Vv. 44.47 (s. </w:t>
      </w:r>
      <w:r>
        <w:fldChar w:fldCharType="begin"/>
      </w:r>
      <w:r>
        <w:rPr>
          <w:rStyle w:val="Internetverknpfung"/>
        </w:rPr>
        <w:instrText> HYPERLINK "http://offene-bibel.de/wiki/Apostelgeschichte_2" \l "note_bm"</w:instrText>
      </w:r>
      <w:r>
        <w:rPr>
          <w:rStyle w:val="Internetverknpfung"/>
        </w:rPr>
        <w:fldChar w:fldCharType="separate"/>
      </w:r>
      <w:r>
        <w:rPr>
          <w:rStyle w:val="Internetverknpfung"/>
        </w:rPr>
        <w:t>FN bm</w:t>
      </w:r>
      <w:r>
        <w:rPr>
          <w:rStyle w:val="Internetverknpfung"/>
        </w:rPr>
        <w:fldChar w:fldCharType="end"/>
      </w:r>
      <w:r>
        <w:rPr/>
        <w:t>) besser wie dort zu deuten als Hebraismus mit der Bedeutung „als Gemeinschaft; gemeinschaftlich“ (s. dort).</w:t>
        <w:br/>
        <w:t xml:space="preserve">Zusammen mit dem „alle“, von dem auf den ersten Blick nicht klar ist, auf wen es zu beziehen ist, muss man daher am ehesten so auflösen: „Alle“ bezieht sich auf die 120 Jünger aus </w:t>
      </w:r>
      <w:r>
        <w:fldChar w:fldCharType="begin"/>
      </w:r>
      <w:r>
        <w:rPr>
          <w:rStyle w:val="Internetverknpfung"/>
        </w:rPr>
        <w:instrText> HYPERLINK "../../../../../../../../../wiki/Apostelgeschichte_1" \l "s15"</w:instrText>
      </w:r>
      <w:r>
        <w:rPr>
          <w:rStyle w:val="Internetverknpfung"/>
        </w:rPr>
        <w:fldChar w:fldCharType="separate"/>
      </w:r>
      <w:r>
        <w:rPr>
          <w:rStyle w:val="Internetverknpfung"/>
        </w:rPr>
        <w:t>Apg 1,15</w:t>
      </w:r>
      <w:r>
        <w:rPr>
          <w:rStyle w:val="Internetverknpfung"/>
        </w:rPr>
        <w:fldChar w:fldCharType="end"/>
      </w:r>
      <w:r>
        <w:rPr/>
        <w:t xml:space="preserve">, die sich in der Zwischenzeit getrennt hatten, nun aber </w:t>
      </w:r>
      <w:r>
        <w:rPr>
          <w:i/>
        </w:rPr>
        <w:t>alle</w:t>
      </w:r>
      <w:r>
        <w:rPr/>
        <w:t xml:space="preserve"> wieder „als Gemeinschaft“ </w:t>
      </w:r>
      <w:r>
        <w:rPr>
          <w:i/>
        </w:rPr>
        <w:t>zusammen</w:t>
      </w:r>
      <w:r>
        <w:rPr/>
        <w:t>gekommen sind.</w:t>
      </w:r>
    </w:p>
  </w:footnote>
  <w:footnote w:id="5451">
    <w:p>
      <w:pPr>
        <w:pStyle w:val="Funote"/>
        <w:rPr/>
      </w:pPr>
      <w:r>
        <w:rPr>
          <w:rStyle w:val="Funotenzeichen"/>
        </w:rPr>
        <w:footnoteRef/>
      </w:r>
      <w:r>
        <w:rPr/>
        <w:tab/>
        <w:t>tFN: in dem sie [gerade] saßen (V. 2) + Es hielten sich [gerade] auf (V. 5) - W. „wo sie sitzend waren“ bzw. „Es waren wohnend“; periphrastisches Imperfekt, das man besser mit „gerade“ wiedergeben sollte.</w:t>
      </w:r>
    </w:p>
  </w:footnote>
  <w:footnote w:id="5452">
    <w:p>
      <w:pPr>
        <w:pStyle w:val="Funote"/>
        <w:rPr/>
      </w:pPr>
      <w:r>
        <w:rPr>
          <w:rStyle w:val="Funotenzeichen"/>
        </w:rPr>
        <w:footnoteRef/>
      </w:r>
      <w:r>
        <w:rPr/>
        <w:tab/>
        <w:t>tFN: mit heiligem Geist - „heiliger Geist“ hier unerklärlicherweise ohne Artikel.</w:t>
      </w:r>
    </w:p>
  </w:footnote>
  <w:footnote w:id="5453">
    <w:p>
      <w:pPr>
        <w:pStyle w:val="Funote"/>
        <w:rPr/>
      </w:pPr>
      <w:r>
        <w:rPr>
          <w:rStyle w:val="Funotenzeichen"/>
        </w:rPr>
        <w:footnoteRef/>
      </w:r>
      <w:r>
        <w:rPr/>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454">
    <w:p>
      <w:pPr>
        <w:pStyle w:val="Funote"/>
        <w:rPr/>
      </w:pPr>
      <w:r>
        <w:rPr>
          <w:rStyle w:val="Funotenzeichen"/>
        </w:rPr>
        <w:footnoteRef/>
      </w:r>
      <w:r>
        <w:rPr/>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455">
    <w:p>
      <w:pPr>
        <w:pStyle w:val="Funote"/>
        <w:rPr/>
      </w:pPr>
      <w:r>
        <w:rPr>
          <w:rStyle w:val="Funotenzeichen"/>
        </w:rPr>
        <w:footnoteRef/>
      </w:r>
      <w:r>
        <w:rPr>
          <w:i/>
        </w:rPr>
        <w:tab/>
        <w:t>fromme</w:t>
      </w:r>
      <w:r>
        <w:rPr/>
        <w:t xml:space="preserve"> - W. „haltende“, nämlich „[Fasten] haltende“ Männer.</w:t>
      </w:r>
    </w:p>
  </w:footnote>
  <w:footnote w:id="5456">
    <w:p>
      <w:pPr>
        <w:pStyle w:val="Funote"/>
        <w:rPr/>
      </w:pPr>
      <w:r>
        <w:rPr>
          <w:rStyle w:val="Funotenzeichen"/>
        </w:rPr>
        <w:footnoteRef/>
      </w:r>
      <w:r>
        <w:rPr>
          <w:i/>
        </w:rPr>
        <w:tab/>
        <w:t>Getön</w:t>
      </w:r>
      <w:r>
        <w:rPr/>
        <w:t xml:space="preserve"> - Könnte sich sowohl auf das Geräusch des Geistes als auch auf den Lärm der durcheinanderprophezeienden Jünger beziehen.</w:t>
      </w:r>
    </w:p>
  </w:footnote>
  <w:footnote w:id="5457">
    <w:p>
      <w:pPr>
        <w:pStyle w:val="Funote"/>
        <w:rPr/>
      </w:pPr>
      <w:r>
        <w:rPr>
          <w:rStyle w:val="Funotenzeichen"/>
        </w:rPr>
        <w:footnoteRef/>
      </w:r>
      <w:r>
        <w:rPr/>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458">
    <w:p>
      <w:pPr>
        <w:pStyle w:val="Funote"/>
        <w:rPr/>
      </w:pPr>
      <w:r>
        <w:rPr>
          <w:rStyle w:val="Funotenzeichen"/>
        </w:rPr>
        <w:footnoteRef/>
      </w:r>
      <w:r>
        <w:rPr/>
        <w:tab/>
        <w:t xml:space="preserve">Mit </w:t>
      </w:r>
      <w:r>
        <w:rPr>
          <w:i/>
        </w:rPr>
        <w:t>Parther</w:t>
      </w:r>
      <w:r>
        <w:rPr/>
        <w:t xml:space="preserve">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459">
    <w:p>
      <w:pPr>
        <w:pStyle w:val="Funote"/>
        <w:rPr/>
      </w:pPr>
      <w:r>
        <w:rPr>
          <w:rStyle w:val="Funotenzeichen"/>
        </w:rPr>
        <w:footnoteRef/>
      </w:r>
      <w:r>
        <w:rPr/>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460">
    <w:p>
      <w:pPr>
        <w:pStyle w:val="Funote"/>
        <w:rPr/>
      </w:pPr>
      <w:r>
        <w:rPr>
          <w:rStyle w:val="Funotenzeichen"/>
        </w:rPr>
        <w:footnoteRef/>
      </w:r>
      <w:r>
        <w:rPr/>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461">
    <w:p>
      <w:pPr>
        <w:pStyle w:val="Funote"/>
        <w:rPr/>
      </w:pPr>
      <w:r>
        <w:rPr>
          <w:rStyle w:val="Funotenzeichen"/>
        </w:rPr>
        <w:footnoteRef/>
      </w:r>
      <w:r>
        <w:rPr>
          <w:i/>
        </w:rPr>
        <w:tab/>
        <w:t>rühmen</w:t>
      </w:r>
      <w:r>
        <w:rPr/>
        <w:t xml:space="preserve"> - W. „reden“.</w:t>
      </w:r>
    </w:p>
  </w:footnote>
  <w:footnote w:id="5462">
    <w:p>
      <w:pPr>
        <w:pStyle w:val="Funote"/>
        <w:rPr/>
      </w:pPr>
      <w:r>
        <w:rPr>
          <w:rStyle w:val="Funotenzeichen"/>
        </w:rPr>
        <w:footnoteRef/>
      </w:r>
      <w:r>
        <w:rPr>
          <w:i/>
        </w:rPr>
        <w:tab/>
        <w:t>Was mag dies sein?</w:t>
      </w:r>
      <w:r>
        <w:rPr/>
        <w:t xml:space="preserve"> - Häufigerer Ausdruck der Ratlosigkeit, s. z.B. </w:t>
      </w:r>
      <w:r>
        <w:fldChar w:fldCharType="begin"/>
      </w:r>
      <w:r>
        <w:rPr>
          <w:rStyle w:val="Internetverknpfung"/>
        </w:rPr>
        <w:instrText> HYPERLINK "../../../../../../../../../wiki/Apostelgeschichte_17" \l "s20"</w:instrText>
      </w:r>
      <w:r>
        <w:rPr>
          <w:rStyle w:val="Internetverknpfung"/>
        </w:rPr>
        <w:fldChar w:fldCharType="separate"/>
      </w:r>
      <w:r>
        <w:rPr>
          <w:rStyle w:val="Internetverknpfung"/>
        </w:rPr>
        <w:t>Apg 17,20</w:t>
      </w:r>
      <w:r>
        <w:rPr>
          <w:rStyle w:val="Internetverknpfung"/>
        </w:rPr>
        <w:fldChar w:fldCharType="end"/>
      </w:r>
      <w:r>
        <w:rPr/>
        <w:t xml:space="preserve">; ähnlich </w:t>
      </w:r>
      <w:r>
        <w:fldChar w:fldCharType="begin"/>
      </w:r>
      <w:r>
        <w:rPr>
          <w:rStyle w:val="Internetverknpfung"/>
        </w:rPr>
        <w:instrText> HYPERLINK "../../../../../../../../../wiki/Lukas_15" \l "s26"</w:instrText>
      </w:r>
      <w:r>
        <w:rPr>
          <w:rStyle w:val="Internetverknpfung"/>
        </w:rPr>
        <w:fldChar w:fldCharType="separate"/>
      </w:r>
      <w:r>
        <w:rPr>
          <w:rStyle w:val="Internetverknpfung"/>
        </w:rPr>
        <w:t>Lk 15,26</w:t>
      </w:r>
      <w:r>
        <w:rPr>
          <w:rStyle w:val="Internetverknpfung"/>
        </w:rPr>
        <w:fldChar w:fldCharType="end"/>
      </w:r>
      <w:r>
        <w:rPr/>
        <w:t xml:space="preserve">; </w:t>
      </w:r>
      <w:r>
        <w:fldChar w:fldCharType="begin"/>
      </w:r>
      <w:r>
        <w:rPr>
          <w:rStyle w:val="Internetverknpfung"/>
        </w:rPr>
        <w:instrText> HYPERLINK "../../../../../../../../../wiki/Lukas_18" \l "s36"</w:instrText>
      </w:r>
      <w:r>
        <w:rPr>
          <w:rStyle w:val="Internetverknpfung"/>
        </w:rPr>
        <w:fldChar w:fldCharType="separate"/>
      </w:r>
      <w:r>
        <w:rPr>
          <w:rStyle w:val="Internetverknpfung"/>
        </w:rPr>
        <w:t>18,36</w:t>
      </w:r>
      <w:r>
        <w:rPr>
          <w:rStyle w:val="Internetverknpfung"/>
        </w:rPr>
        <w:fldChar w:fldCharType="end"/>
      </w:r>
      <w:r>
        <w:rPr/>
        <w:t xml:space="preserve">; </w:t>
      </w:r>
      <w:hyperlink r:id="rId573">
        <w:r>
          <w:rPr>
            <w:rStyle w:val="Internetverknpfung"/>
          </w:rPr>
          <w:t>Apg 10,17</w:t>
        </w:r>
      </w:hyperlink>
      <w:r>
        <w:rPr/>
        <w:t>. Viele Üss. daher richtig: „Was soll das bedeuten!?“</w:t>
      </w:r>
    </w:p>
  </w:footnote>
  <w:footnote w:id="5463">
    <w:p>
      <w:pPr>
        <w:pStyle w:val="Funote"/>
        <w:rPr/>
      </w:pPr>
      <w:r>
        <w:rPr>
          <w:rStyle w:val="Funotenzeichen"/>
        </w:rPr>
        <w:footnoteRef/>
      </w:r>
      <w:r>
        <w:rPr/>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464">
    <w:p>
      <w:pPr>
        <w:pStyle w:val="Funote"/>
        <w:rPr/>
      </w:pPr>
      <w:r>
        <w:rPr>
          <w:rStyle w:val="Funotenzeichen"/>
        </w:rPr>
        <w:footnoteRef/>
      </w:r>
      <w:r>
        <w:rPr/>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465">
    <w:p>
      <w:pPr>
        <w:pStyle w:val="Funote"/>
        <w:rPr/>
      </w:pPr>
      <w:r>
        <w:rPr>
          <w:rStyle w:val="Funotenzeichen"/>
        </w:rPr>
        <w:footnoteRef/>
      </w:r>
      <w:r>
        <w:rPr/>
        <w:tab/>
        <w:t>tFN: W. »[liebe] judäische/jüdische Männer« (V. 14) bzw. »[liebe] israelitische Männer« (V. 22); bzw. »[liebe] brüderliche Männer« (V. 29.37); »Männer« wird hier wie im klass. Gr. nur als Einleitung eines Vokativs verwendet und ist im Dt. auszusparen (vgl. BDR §242).</w:t>
      </w:r>
    </w:p>
  </w:footnote>
  <w:footnote w:id="5466">
    <w:p>
      <w:pPr>
        <w:pStyle w:val="Funote"/>
        <w:rPr/>
      </w:pPr>
      <w:r>
        <w:rPr>
          <w:rStyle w:val="Funotenzeichen"/>
        </w:rPr>
        <w:footnoteRef/>
      </w:r>
      <w:r>
        <w:rPr>
          <w:i/>
        </w:rPr>
        <w:tab/>
        <w:t>ihr euch Aufhaltenden (all ihr Wohenden)</w:t>
      </w:r>
      <w:r>
        <w:rPr/>
        <w:t xml:space="preserve"> - Gemeint sind wahrscheinlich wieder wie in V. 5 die ausländischen Juden, die zum Wochenfest nach Jerusalem gekommen waren; s. </w:t>
      </w:r>
      <w:r>
        <w:fldChar w:fldCharType="begin"/>
      </w:r>
      <w:r>
        <w:rPr>
          <w:rStyle w:val="Internetverknpfung"/>
        </w:rPr>
        <w:instrText> HYPERLINK "http://offene-bibel.de/mediawiki/index.php?title=Apostelgeschichte_2" \l "note_g"</w:instrText>
      </w:r>
      <w:r>
        <w:rPr>
          <w:rStyle w:val="Internetverknpfung"/>
        </w:rPr>
        <w:fldChar w:fldCharType="separate"/>
      </w:r>
      <w:r>
        <w:rPr>
          <w:rStyle w:val="Internetverknpfung"/>
        </w:rPr>
        <w:t>FN g</w:t>
      </w:r>
      <w:r>
        <w:rPr>
          <w:rStyle w:val="Internetverknpfung"/>
        </w:rPr>
        <w:fldChar w:fldCharType="end"/>
      </w:r>
      <w:r>
        <w:rPr/>
        <w:t>.</w:t>
      </w:r>
    </w:p>
  </w:footnote>
  <w:footnote w:id="5467">
    <w:p>
      <w:pPr>
        <w:pStyle w:val="Funote"/>
        <w:rPr/>
      </w:pPr>
      <w:r>
        <w:rPr>
          <w:rStyle w:val="Funotenzeichen"/>
        </w:rPr>
        <w:footnoteRef/>
      </w:r>
      <w:r>
        <w:rPr/>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468">
    <w:p>
      <w:pPr>
        <w:pStyle w:val="Funote"/>
        <w:rPr/>
      </w:pPr>
      <w:r>
        <w:rPr>
          <w:rStyle w:val="Funotenzeichen"/>
        </w:rPr>
        <w:footnoteRef/>
      </w:r>
      <w:r>
        <w:rPr/>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469">
    <w:p>
      <w:pPr>
        <w:pStyle w:val="Funote"/>
        <w:rPr/>
      </w:pPr>
      <w:r>
        <w:rPr>
          <w:rStyle w:val="Funotenzeichen"/>
        </w:rPr>
        <w:footnoteRef/>
      </w:r>
      <w:r>
        <w:rPr/>
        <w:tab/>
        <w:t>durch den Propheten Joel Vorhergesagtes - nämlich von Gott, ein sog. »Passivum divinum«. Gut daher NGÜ: »was Gott durch den Propheten Joel angekündigt hat«.</w:t>
      </w:r>
    </w:p>
  </w:footnote>
  <w:footnote w:id="5470">
    <w:p>
      <w:pPr>
        <w:pStyle w:val="Funote"/>
        <w:rPr/>
      </w:pPr>
      <w:r>
        <w:rPr>
          <w:rStyle w:val="Funotenzeichen"/>
        </w:rPr>
        <w:footnoteRef/>
      </w:r>
      <w:r>
        <w:rPr/>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471">
    <w:p>
      <w:pPr>
        <w:pStyle w:val="Funote"/>
        <w:rPr/>
      </w:pPr>
      <w:r>
        <w:rPr>
          <w:rStyle w:val="Funotenzeichen"/>
        </w:rPr>
        <w:footnoteRef/>
      </w:r>
      <w:r>
        <w:rPr>
          <w:i/>
        </w:rPr>
        <w:tab/>
        <w:t>in den Letzten Tagen</w:t>
      </w:r>
      <w:r>
        <w:rPr/>
        <w:t xml:space="preserve"> (V. 17) + </w:t>
      </w:r>
      <w:r>
        <w:rPr>
          <w:i/>
        </w:rPr>
        <w:t>Tag des Herrn</w:t>
      </w:r>
      <w:r>
        <w:rPr/>
        <w:t xml:space="preserve"> (V. 20) - Zwei häufige Motive aus den Prophetenbüchern. Hinter ihnen steht die Erwartung, dass Gott dereinst am sog. „Tag JHWHs“ Gericht über die Menschheit halten und die Herrschaft auf Erden völlig an sich reißen wird (vgl. z.B. </w:t>
      </w:r>
      <w:r>
        <w:fldChar w:fldCharType="begin"/>
      </w:r>
      <w:r>
        <w:rPr>
          <w:rStyle w:val="Internetverknpfung"/>
        </w:rPr>
        <w:instrText> HYPERLINK "https://www.bibelwissenschaft.de/de/stichwort/32258/" \l "h8"</w:instrText>
      </w:r>
      <w:r>
        <w:rPr>
          <w:rStyle w:val="Internetverknpfung"/>
        </w:rPr>
        <w:fldChar w:fldCharType="separate"/>
      </w:r>
      <w:r>
        <w:rPr>
          <w:rStyle w:val="Internetverknpfung"/>
        </w:rPr>
        <w:t>Tag Jahwes (AT) (WibiLex)</w:t>
      </w:r>
      <w:r>
        <w:rPr>
          <w:rStyle w:val="Internetverknpfung"/>
        </w:rPr>
        <w:fldChar w:fldCharType="end"/>
      </w:r>
      <w:r>
        <w:rPr/>
        <w:t xml:space="preserve">). Diesem besagten Tag gehen die „Letzten Tage“ voraus: eine Zeit des Leids, in der sich u.a. auch kosmische Katastrophen abspielen werden (s. z.B. </w:t>
      </w:r>
      <w:r>
        <w:fldChar w:fldCharType="begin"/>
      </w:r>
      <w:r>
        <w:rPr>
          <w:rStyle w:val="Internetverknpfung"/>
        </w:rPr>
        <w:instrText> HYPERLINK "../../../../../../../../../wiki/Markus_13" \l "s24"</w:instrText>
      </w:r>
      <w:r>
        <w:rPr>
          <w:rStyle w:val="Internetverknpfung"/>
        </w:rPr>
        <w:fldChar w:fldCharType="separate"/>
      </w:r>
      <w:r>
        <w:rPr>
          <w:rStyle w:val="Internetverknpfung"/>
        </w:rPr>
        <w:t>Mk 13,24f.</w:t>
      </w:r>
      <w:r>
        <w:rPr>
          <w:rStyle w:val="Internetverknpfung"/>
        </w:rPr>
        <w:fldChar w:fldCharType="end"/>
      </w:r>
      <w:r>
        <w:rPr/>
        <w:t>: Sonne und Mond werden sich verfinstern, die Sterne werden vom Himmel fallen und die Kräfte im Himmel erschüttert werden).</w:t>
      </w:r>
    </w:p>
  </w:footnote>
  <w:footnote w:id="5472">
    <w:p>
      <w:pPr>
        <w:pStyle w:val="Funote"/>
        <w:rPr/>
      </w:pPr>
      <w:r>
        <w:rPr>
          <w:rStyle w:val="Funotenzeichen"/>
        </w:rPr>
        <w:footnoteRef/>
      </w:r>
      <w:r>
        <w:rPr/>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473">
    <w:p>
      <w:pPr>
        <w:pStyle w:val="Funote"/>
        <w:rPr/>
      </w:pPr>
      <w:r>
        <w:rPr>
          <w:rStyle w:val="Funotenzeichen"/>
        </w:rPr>
        <w:footnoteRef/>
      </w:r>
      <w:r>
        <w:rPr>
          <w:i/>
        </w:rPr>
        <w:tab/>
        <w:t>alles Fleisch</w:t>
      </w:r>
      <w:r>
        <w:rPr/>
        <w:t xml:space="preserve"> - d.h. „auf jedermann“.</w:t>
      </w:r>
    </w:p>
  </w:footnote>
  <w:footnote w:id="5474">
    <w:p>
      <w:pPr>
        <w:pStyle w:val="Funote"/>
        <w:rPr/>
      </w:pPr>
      <w:r>
        <w:rPr>
          <w:rStyle w:val="Funotenzeichen"/>
        </w:rPr>
        <w:footnoteRef/>
      </w:r>
      <w:r>
        <w:rPr/>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475">
    <w:p>
      <w:pPr>
        <w:pStyle w:val="Funote"/>
        <w:rPr/>
      </w:pPr>
      <w:r>
        <w:rPr>
          <w:rStyle w:val="Funotenzeichen"/>
        </w:rPr>
        <w:footnoteRef/>
      </w:r>
      <w:r>
        <w:rPr>
          <w:i/>
        </w:rPr>
        <w:tab/>
        <w:t>darbieten</w:t>
      </w:r>
      <w:r>
        <w:rPr/>
        <w:t xml:space="preserve"> - W. „geben“; Semitismus: Soll betont werden, dass Wunder </w:t>
      </w:r>
      <w:r>
        <w:rPr>
          <w:i/>
        </w:rPr>
        <w:t>als Zeichen</w:t>
      </w:r>
      <w:r>
        <w:rPr/>
        <w:t xml:space="preserve"> und dass Zeichen „dargeboten“ werden sollen, spricht man im Heb. davon, dass sie „gegeben“ werden (s. z.B. </w:t>
      </w:r>
      <w:r>
        <w:fldChar w:fldCharType="begin"/>
      </w:r>
      <w:r>
        <w:rPr>
          <w:rStyle w:val="Internetverknpfung"/>
        </w:rPr>
        <w:instrText> HYPERLINK "../../../../../../../../../wiki/Exodus_7" \l "s9"</w:instrText>
      </w:r>
      <w:r>
        <w:rPr>
          <w:rStyle w:val="Internetverknpfung"/>
        </w:rPr>
        <w:fldChar w:fldCharType="separate"/>
      </w:r>
      <w:r>
        <w:rPr>
          <w:rStyle w:val="Internetverknpfung"/>
        </w:rPr>
        <w:t>Ex 7,9</w:t>
      </w:r>
      <w:r>
        <w:rPr>
          <w:rStyle w:val="Internetverknpfung"/>
        </w:rPr>
        <w:fldChar w:fldCharType="end"/>
      </w:r>
      <w:r>
        <w:rPr/>
        <w:t xml:space="preserve">; </w:t>
      </w:r>
      <w:r>
        <w:fldChar w:fldCharType="begin"/>
      </w:r>
      <w:r>
        <w:rPr>
          <w:rStyle w:val="Internetverknpfung"/>
        </w:rPr>
        <w:instrText> HYPERLINK "../../../../../../../../../wiki/Deuteronomium_6" \l "s22"</w:instrText>
      </w:r>
      <w:r>
        <w:rPr>
          <w:rStyle w:val="Internetverknpfung"/>
        </w:rPr>
        <w:fldChar w:fldCharType="separate"/>
      </w:r>
      <w:r>
        <w:rPr>
          <w:rStyle w:val="Internetverknpfung"/>
        </w:rPr>
        <w:t>Dtn 6,22</w:t>
      </w:r>
      <w:r>
        <w:rPr>
          <w:rStyle w:val="Internetverknpfung"/>
        </w:rPr>
        <w:fldChar w:fldCharType="end"/>
      </w:r>
      <w:r>
        <w:rPr/>
        <w:t xml:space="preserve">; </w:t>
      </w:r>
      <w:r>
        <w:fldChar w:fldCharType="begin"/>
      </w:r>
      <w:r>
        <w:rPr>
          <w:rStyle w:val="Internetverknpfung"/>
        </w:rPr>
        <w:instrText> HYPERLINK "../../../../../../../../../wiki/Deuteronomium_13" \l "s1"</w:instrText>
      </w:r>
      <w:r>
        <w:rPr>
          <w:rStyle w:val="Internetverknpfung"/>
        </w:rPr>
        <w:fldChar w:fldCharType="separate"/>
      </w:r>
      <w:r>
        <w:rPr>
          <w:rStyle w:val="Internetverknpfung"/>
        </w:rPr>
        <w:t>13,1</w:t>
      </w:r>
      <w:r>
        <w:rPr>
          <w:rStyle w:val="Internetverknpfung"/>
        </w:rPr>
        <w:fldChar w:fldCharType="end"/>
      </w:r>
      <w:r>
        <w:rPr/>
        <w:t xml:space="preserve">; </w:t>
      </w:r>
      <w:hyperlink r:id="rId574">
        <w:r>
          <w:rPr>
            <w:rStyle w:val="Internetverknpfung"/>
          </w:rPr>
          <w:t>1 Kön 13,3</w:t>
        </w:r>
      </w:hyperlink>
      <w:r>
        <w:rPr/>
        <w:t xml:space="preserve">; </w:t>
      </w:r>
      <w:hyperlink r:id="rId575">
        <w:r>
          <w:rPr>
            <w:rStyle w:val="Internetverknpfung"/>
          </w:rPr>
          <w:t>Ez 12,6</w:t>
        </w:r>
      </w:hyperlink>
      <w:r>
        <w:rPr/>
        <w:t xml:space="preserve">; </w:t>
      </w:r>
      <w:hyperlink r:id="rId576">
        <w:r>
          <w:rPr>
            <w:rStyle w:val="Internetverknpfung"/>
          </w:rPr>
          <w:t>Joel 2,30</w:t>
        </w:r>
      </w:hyperlink>
      <w:r>
        <w:rPr/>
        <w:t xml:space="preserve">; auch </w:t>
      </w:r>
      <w:r>
        <w:fldChar w:fldCharType="begin"/>
      </w:r>
      <w:r>
        <w:rPr>
          <w:rStyle w:val="Internetverknpfung"/>
        </w:rPr>
        <w:instrText> HYPERLINK "../../../../../../../../../wiki/Matth%C3%A4us_24" \l "s24"</w:instrText>
      </w:r>
      <w:r>
        <w:rPr>
          <w:rStyle w:val="Internetverknpfung"/>
        </w:rPr>
        <w:fldChar w:fldCharType="separate"/>
      </w:r>
      <w:r>
        <w:rPr>
          <w:rStyle w:val="Internetverknpfung"/>
        </w:rPr>
        <w:t>Mt 24,24</w:t>
      </w:r>
      <w:r>
        <w:rPr>
          <w:rStyle w:val="Internetverknpfung"/>
        </w:rPr>
        <w:fldChar w:fldCharType="end"/>
      </w:r>
      <w:r>
        <w:rPr/>
        <w:t xml:space="preserve"> = </w:t>
      </w:r>
      <w:r>
        <w:fldChar w:fldCharType="begin"/>
      </w:r>
      <w:r>
        <w:rPr>
          <w:rStyle w:val="Internetverknpfung"/>
        </w:rPr>
        <w:instrText> HYPERLINK "../../../../../../../../../wiki/Markus_13" \l "s22"</w:instrText>
      </w:r>
      <w:r>
        <w:rPr>
          <w:rStyle w:val="Internetverknpfung"/>
        </w:rPr>
        <w:fldChar w:fldCharType="separate"/>
      </w:r>
      <w:r>
        <w:rPr>
          <w:rStyle w:val="Internetverknpfung"/>
        </w:rPr>
        <w:t>Mk 13,22</w:t>
      </w:r>
      <w:r>
        <w:rPr>
          <w:rStyle w:val="Internetverknpfung"/>
        </w:rPr>
        <w:fldChar w:fldCharType="end"/>
      </w:r>
      <w:r>
        <w:rPr/>
        <w:t xml:space="preserve">; </w:t>
      </w:r>
      <w:hyperlink r:id="rId577">
        <w:r>
          <w:rPr>
            <w:rStyle w:val="Internetverknpfung"/>
          </w:rPr>
          <w:t>Apg 14,3</w:t>
        </w:r>
      </w:hyperlink>
      <w:r>
        <w:rPr/>
        <w:t>.</w:t>
      </w:r>
    </w:p>
  </w:footnote>
  <w:footnote w:id="5476">
    <w:p>
      <w:pPr>
        <w:pStyle w:val="Funote"/>
        <w:rPr/>
      </w:pPr>
      <w:r>
        <w:rPr>
          <w:rStyle w:val="Funotenzeichen"/>
        </w:rPr>
        <w:footnoteRef/>
      </w:r>
      <w:r>
        <w:rPr>
          <w:i/>
        </w:rPr>
        <w:tab/>
        <w:t>Die Sonne wird verwandelt werden zu Finsternis und der Mond zu Blut</w:t>
      </w:r>
      <w:r>
        <w:rPr/>
        <w:t xml:space="preserve"> - d.h. „die Sonne wird sich verfinstern und der Mond wird blutrot werden.“</w:t>
      </w:r>
    </w:p>
  </w:footnote>
  <w:footnote w:id="5477">
    <w:p>
      <w:pPr>
        <w:pStyle w:val="Funote"/>
        <w:rPr/>
      </w:pPr>
      <w:r>
        <w:rPr>
          <w:rStyle w:val="Funotenzeichen"/>
        </w:rPr>
        <w:footnoteRef/>
      </w:r>
      <w:r>
        <w:rPr/>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478">
    <w:p>
      <w:pPr>
        <w:pStyle w:val="Funote"/>
        <w:rPr/>
      </w:pPr>
      <w:r>
        <w:rPr>
          <w:rStyle w:val="Funotenzeichen"/>
        </w:rPr>
        <w:footnoteRef/>
      </w:r>
      <w:r>
        <w:rPr>
          <w:i/>
        </w:rPr>
        <w:tab/>
        <w:t>{</w:t>
      </w:r>
      <w:r>
        <w:rPr>
          <w:i/>
          <w:strike/>
        </w:rPr>
        <w:t>Und es wird sein:</w:t>
      </w:r>
      <w:r>
        <w:rPr>
          <w:i/>
        </w:rPr>
        <w:t>}</w:t>
      </w:r>
      <w:r>
        <w:rPr/>
        <w:t xml:space="preserve"> - Im Dt. besser auszusparender Semitismus ähnlich dem in V. 17: „Und es wird sein“ soll im Heb. nur markieren, dass nun in einem anderen Modus gesprochen wird, nämlich im Kommissiv (d.h., es wird nicht mehr nur vorhergesagt, sd. </w:t>
      </w:r>
      <w:r>
        <w:rPr>
          <w:i/>
        </w:rPr>
        <w:t>versprochen</w:t>
      </w:r>
      <w:r>
        <w:rPr/>
        <w:t>).</w:t>
      </w:r>
    </w:p>
  </w:footnote>
  <w:footnote w:id="5479">
    <w:p>
      <w:pPr>
        <w:pStyle w:val="Funote"/>
        <w:rPr/>
      </w:pPr>
      <w:r>
        <w:rPr>
          <w:rStyle w:val="Funotenzeichen"/>
        </w:rPr>
        <w:footnoteRef/>
      </w:r>
      <w:r>
        <w:rPr/>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480">
    <w:p>
      <w:pPr>
        <w:pStyle w:val="Funote"/>
        <w:rPr/>
      </w:pPr>
      <w:r>
        <w:rPr>
          <w:rStyle w:val="Funotenzeichen"/>
        </w:rPr>
        <w:footnoteRef/>
      </w:r>
      <w:r>
        <w:rPr/>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481">
    <w:p>
      <w:pPr>
        <w:pStyle w:val="Funote"/>
        <w:rPr/>
      </w:pPr>
      <w:r>
        <w:rPr>
          <w:rStyle w:val="Funotenzeichen"/>
        </w:rPr>
        <w:footnoteRef/>
      </w:r>
      <w:r>
        <w:rPr>
          <w:i/>
        </w:rPr>
        <w:tab/>
        <w:t>wegen dem beschlossenen (festgesetzten) Plan und dem Vorauswissen Gottes!</w:t>
      </w:r>
      <w:r>
        <w:rPr/>
        <w:t xml:space="preserve"> - Eine für den Autoren der Apg sehr wichtige Präzisierung: Dass der Sohn Gottes getötet worden war, war ein Skandal; und dies umso mehr, als er mit seiner Kreuzigung den Tod eines </w:t>
      </w:r>
      <w:r>
        <w:rPr>
          <w:i/>
        </w:rPr>
        <w:t>Verbrechers</w:t>
      </w:r>
      <w:r>
        <w:rPr/>
        <w:t xml:space="preserve"> starb. Aus diesem Grund betont Lukas noch häufiger, dass dieser Skandal eigentlich gerade kein Skandal ist – sondern dass all dies zurückzuführen ist auf Gottes verborgenen Heilsplan. S. ähnlich </w:t>
      </w:r>
      <w:r>
        <w:fldChar w:fldCharType="begin"/>
      </w:r>
      <w:r>
        <w:rPr>
          <w:rStyle w:val="Internetverknpfung"/>
        </w:rPr>
        <w:instrText> HYPERLINK "../../../../../../../../../wiki/Lukas_24" \l "s6"</w:instrText>
      </w:r>
      <w:r>
        <w:rPr>
          <w:rStyle w:val="Internetverknpfung"/>
        </w:rPr>
        <w:fldChar w:fldCharType="separate"/>
      </w:r>
      <w:r>
        <w:rPr>
          <w:rStyle w:val="Internetverknpfung"/>
        </w:rPr>
        <w:t>Lk 24,6f.</w:t>
      </w:r>
      <w:r>
        <w:rPr>
          <w:rStyle w:val="Internetverknpfung"/>
        </w:rPr>
        <w:fldChar w:fldCharType="end"/>
      </w:r>
      <w:r>
        <w:rPr/>
        <w:t>.</w:t>
      </w:r>
      <w:r>
        <w:fldChar w:fldCharType="begin"/>
      </w:r>
      <w:r>
        <w:rPr>
          <w:rStyle w:val="Internetverknpfung"/>
        </w:rPr>
        <w:instrText> HYPERLINK "../../../../../../../../../wiki/Lukas_24" \l "s25"</w:instrText>
      </w:r>
      <w:r>
        <w:rPr>
          <w:rStyle w:val="Internetverknpfung"/>
        </w:rPr>
        <w:fldChar w:fldCharType="separate"/>
      </w:r>
      <w:r>
        <w:rPr>
          <w:rStyle w:val="Internetverknpfung"/>
        </w:rPr>
        <w:t>25f.</w:t>
      </w:r>
      <w:r>
        <w:rPr>
          <w:rStyle w:val="Internetverknpfung"/>
        </w:rPr>
        <w:fldChar w:fldCharType="end"/>
      </w:r>
      <w:r>
        <w:rPr/>
        <w:t>.</w:t>
      </w:r>
      <w:r>
        <w:fldChar w:fldCharType="begin"/>
      </w:r>
      <w:r>
        <w:rPr>
          <w:rStyle w:val="Internetverknpfung"/>
        </w:rPr>
        <w:instrText> HYPERLINK "../../../../../../../../../wiki/Lukas_24" \l "s44"</w:instrText>
      </w:r>
      <w:r>
        <w:rPr>
          <w:rStyle w:val="Internetverknpfung"/>
        </w:rPr>
        <w:fldChar w:fldCharType="separate"/>
      </w:r>
      <w:r>
        <w:rPr>
          <w:rStyle w:val="Internetverknpfung"/>
        </w:rPr>
        <w:t>44-46</w:t>
      </w:r>
      <w:r>
        <w:rPr>
          <w:rStyle w:val="Internetverknpfung"/>
        </w:rPr>
        <w:fldChar w:fldCharType="end"/>
      </w:r>
      <w:r>
        <w:rPr/>
        <w:t xml:space="preserve">; </w:t>
      </w:r>
      <w:hyperlink r:id="rId578">
        <w:r>
          <w:rPr>
            <w:rStyle w:val="Internetverknpfung"/>
          </w:rPr>
          <w:t>Apg 3,18</w:t>
        </w:r>
      </w:hyperlink>
      <w:r>
        <w:rPr/>
        <w:t xml:space="preserve">; </w:t>
      </w:r>
      <w:r>
        <w:fldChar w:fldCharType="begin"/>
      </w:r>
      <w:r>
        <w:rPr>
          <w:rStyle w:val="Internetverknpfung"/>
        </w:rPr>
        <w:instrText> HYPERLINK "../../../../../../../../../wiki/Apostelgeschichte_4" \l "s28"</w:instrText>
      </w:r>
      <w:r>
        <w:rPr>
          <w:rStyle w:val="Internetverknpfung"/>
        </w:rPr>
        <w:fldChar w:fldCharType="separate"/>
      </w:r>
      <w:r>
        <w:rPr>
          <w:rStyle w:val="Internetverknpfung"/>
        </w:rPr>
        <w:t>4,28</w:t>
      </w:r>
      <w:r>
        <w:rPr>
          <w:rStyle w:val="Internetverknpfung"/>
        </w:rPr>
        <w:fldChar w:fldCharType="end"/>
      </w:r>
      <w:r>
        <w:rPr/>
        <w:t>.</w:t>
      </w:r>
    </w:p>
  </w:footnote>
  <w:footnote w:id="5482">
    <w:p>
      <w:pPr>
        <w:pStyle w:val="Funote"/>
        <w:rPr/>
      </w:pPr>
      <w:r>
        <w:rPr>
          <w:rStyle w:val="Funotenzeichen"/>
        </w:rPr>
        <w:footnoteRef/>
      </w:r>
      <w:r>
        <w:rPr/>
        <w:tab/>
        <w:t>Gesetzloser, nämlich die der Römer, die nicht unter dem Gesetz der Juden standen (vgl. z.B. Bruce 1988, S. 63f.; ähnlich wird das Wort z.B. verwendet in 1 Kor 9,21).</w:t>
      </w:r>
    </w:p>
  </w:footnote>
  <w:footnote w:id="5483">
    <w:p>
      <w:pPr>
        <w:pStyle w:val="Funote"/>
        <w:rPr/>
      </w:pPr>
      <w:r>
        <w:rPr>
          <w:rStyle w:val="Funotenzeichen"/>
        </w:rPr>
        <w:footnoteRef/>
      </w:r>
      <w:r>
        <w:rPr/>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484">
    <w:p>
      <w:pPr>
        <w:pStyle w:val="Funote"/>
        <w:rPr/>
      </w:pPr>
      <w:r>
        <w:rPr>
          <w:rStyle w:val="Funotenzeichen"/>
        </w:rPr>
        <w:footnoteRef/>
      </w:r>
      <w:r>
        <w:rPr/>
        <w:tab/>
        <w:t>dass er unter ihm gehalten wurde - sinngemäß gut EÜ: »denn es war unmöglich, daß er vom Tod festgehalten wurde«.</w:t>
      </w:r>
    </w:p>
  </w:footnote>
  <w:footnote w:id="5485">
    <w:p>
      <w:pPr>
        <w:pStyle w:val="Funote"/>
        <w:rPr/>
      </w:pPr>
      <w:r>
        <w:rPr>
          <w:rStyle w:val="Funotenzeichen"/>
        </w:rPr>
        <w:footnoteRef/>
      </w:r>
      <w:r>
        <w:rPr/>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486">
    <w:p>
      <w:pPr>
        <w:pStyle w:val="Funote"/>
        <w:rPr/>
      </w:pPr>
      <w:r>
        <w:rPr>
          <w:rStyle w:val="Funotenzeichen"/>
        </w:rPr>
        <w:footnoteRef/>
      </w:r>
      <w:r>
        <w:rPr/>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487">
    <w:p>
      <w:pPr>
        <w:pStyle w:val="Funote"/>
        <w:rPr/>
      </w:pPr>
      <w:r>
        <w:rPr>
          <w:rStyle w:val="Funotenzeichen"/>
        </w:rPr>
        <w:footnoteRef/>
      </w:r>
      <w:r>
        <w:rPr>
          <w:i/>
        </w:rPr>
        <w:tab/>
        <w:t>wanken</w:t>
      </w:r>
      <w:r>
        <w:rPr/>
        <w:t xml:space="preserve"> - Häufige bibl. Metapher die Gefährdung, aus der direkt Vernichtung und Tod folgt (s. </w:t>
      </w:r>
      <w:r>
        <w:fldChar w:fldCharType="begin"/>
      </w:r>
      <w:r>
        <w:rPr>
          <w:rStyle w:val="Internetverknpfung"/>
        </w:rPr>
        <w:instrText> HYPERLINK "../../../../../../../../../wiki/Psalm_30" \l "note_r"</w:instrText>
      </w:r>
      <w:r>
        <w:rPr>
          <w:rStyle w:val="Internetverknpfung"/>
        </w:rPr>
        <w:fldChar w:fldCharType="separate"/>
      </w:r>
      <w:r>
        <w:rPr>
          <w:rStyle w:val="Internetverknpfung"/>
        </w:rPr>
        <w:t>FN r</w:t>
      </w:r>
      <w:r>
        <w:rPr>
          <w:rStyle w:val="Internetverknpfung"/>
        </w:rPr>
        <w:fldChar w:fldCharType="end"/>
      </w:r>
      <w:r>
        <w:rPr/>
        <w:t xml:space="preserve"> zu </w:t>
      </w:r>
      <w:r>
        <w:fldChar w:fldCharType="begin"/>
      </w:r>
      <w:r>
        <w:rPr>
          <w:rStyle w:val="Internetverknpfung"/>
        </w:rPr>
        <w:instrText> HYPERLINK "../../../../../../../../../wiki/Psalm_30" \l "s7"</w:instrText>
      </w:r>
      <w:r>
        <w:rPr>
          <w:rStyle w:val="Internetverknpfung"/>
        </w:rPr>
        <w:fldChar w:fldCharType="separate"/>
      </w:r>
      <w:r>
        <w:rPr>
          <w:rStyle w:val="Internetverknpfung"/>
        </w:rPr>
        <w:t>Ps 30,7</w:t>
      </w:r>
      <w:r>
        <w:rPr>
          <w:rStyle w:val="Internetverknpfung"/>
        </w:rPr>
        <w:fldChar w:fldCharType="end"/>
      </w:r>
      <w:r>
        <w:rPr/>
        <w:t>).</w:t>
      </w:r>
    </w:p>
  </w:footnote>
  <w:footnote w:id="5488">
    <w:p>
      <w:pPr>
        <w:pStyle w:val="Funote"/>
        <w:rPr/>
      </w:pPr>
      <w:r>
        <w:rPr>
          <w:rStyle w:val="Funotenzeichen"/>
        </w:rPr>
        <w:footnoteRef/>
      </w:r>
      <w:r>
        <w:rPr>
          <w:i/>
        </w:rPr>
        <w:tab/>
        <w:t>mein Herz</w:t>
      </w:r>
      <w:r>
        <w:rPr/>
        <w:t xml:space="preserve"> + </w:t>
      </w:r>
      <w:r>
        <w:rPr>
          <w:i/>
        </w:rPr>
        <w:t>meine Zunge</w:t>
      </w:r>
      <w:r>
        <w:rPr/>
        <w:t xml:space="preserve"> + </w:t>
      </w:r>
      <w:r>
        <w:rPr>
          <w:i/>
        </w:rPr>
        <w:t>mein Fleisch</w:t>
      </w:r>
      <w:r>
        <w:rPr/>
        <w:t xml:space="preserve"> (V. 26) + </w:t>
      </w:r>
      <w:r>
        <w:rPr>
          <w:i/>
        </w:rPr>
        <w:t>meine Seele</w:t>
      </w:r>
      <w:r>
        <w:rPr/>
        <w:t xml:space="preserv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489">
    <w:p>
      <w:pPr>
        <w:pStyle w:val="Funote"/>
        <w:rPr/>
      </w:pPr>
      <w:r>
        <w:rPr>
          <w:rStyle w:val="Funotenzeichen"/>
        </w:rPr>
        <w:footnoteRef/>
      </w:r>
      <w:r>
        <w:rPr/>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490">
    <w:p>
      <w:pPr>
        <w:pStyle w:val="Funote"/>
        <w:rPr/>
      </w:pPr>
      <w:r>
        <w:rPr>
          <w:rStyle w:val="Funotenzeichen"/>
        </w:rPr>
        <w:footnoteRef/>
      </w:r>
      <w:r>
        <w:rPr>
          <w:i/>
        </w:rPr>
        <w:tab/>
        <w:t>Hades</w:t>
      </w:r>
      <w:r>
        <w:rPr/>
        <w:t xml:space="preserve"> - gr. Begriff für das Reich des Todes.</w:t>
      </w:r>
    </w:p>
  </w:footnote>
  <w:footnote w:id="5491">
    <w:p>
      <w:pPr>
        <w:pStyle w:val="Funote"/>
        <w:rPr/>
      </w:pPr>
      <w:r>
        <w:rPr>
          <w:rStyle w:val="Funotenzeichen"/>
        </w:rPr>
        <w:footnoteRef/>
      </w:r>
      <w:r>
        <w:rPr/>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492">
    <w:p>
      <w:pPr>
        <w:pStyle w:val="Funote"/>
        <w:rPr/>
      </w:pPr>
      <w:r>
        <w:rPr>
          <w:rStyle w:val="Funotenzeichen"/>
        </w:rPr>
        <w:footnoteRef/>
      </w:r>
      <w:r>
        <w:rPr/>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493">
    <w:p>
      <w:pPr>
        <w:pStyle w:val="Funote"/>
        <w:rPr/>
      </w:pPr>
      <w:r>
        <w:rPr>
          <w:rStyle w:val="Funotenzeichen"/>
        </w:rPr>
        <w:footnoteRef/>
      </w:r>
      <w:r>
        <w:rPr/>
        <w:tab/>
        <w:t xml:space="preserve">Zu </w:t>
      </w:r>
      <w:r>
        <w:rPr>
          <w:i/>
        </w:rPr>
        <w:t>Davids Grabstätte</w:t>
      </w:r>
      <w:r>
        <w:rPr/>
        <w:t xml:space="preserve"> s. </w:t>
      </w:r>
      <w:hyperlink r:id="rId579">
        <w:r>
          <w:rPr>
            <w:rStyle w:val="Internetverknpfung"/>
          </w:rPr>
          <w:t>1 Kön 2,10</w:t>
        </w:r>
      </w:hyperlink>
      <w:r>
        <w:rPr/>
        <w:t xml:space="preserve">; </w:t>
      </w:r>
      <w:hyperlink r:id="rId580">
        <w:r>
          <w:rPr>
            <w:rStyle w:val="Internetverknpfung"/>
          </w:rPr>
          <w:t>Neh 3,16</w:t>
        </w:r>
      </w:hyperlink>
      <w:r>
        <w:rPr/>
        <w:t xml:space="preserve">. Sie befand sich in Jerusalem und erst einige Jahre zuvor hatte Herodes der Große diese Grabstätte nach einem Plünderungsversuch zusätzlich ausgebaut (vgl. </w:t>
      </w:r>
      <w:hyperlink r:id="rId581">
        <w:r>
          <w:rPr>
            <w:rStyle w:val="Internetverknpfung"/>
          </w:rPr>
          <w:t>JosAnt XVI.7</w:t>
        </w:r>
      </w:hyperlink>
      <w:r>
        <w:rPr/>
        <w:t>). Heute ist ihr Ort vergessen; eine neuere und verbreitete Tradition verortet sie allerdings interessanterweise ins selbe Gebäude, in das traditionellerweise auch der Abendmahlssaal verortet wird.</w:t>
      </w:r>
    </w:p>
  </w:footnote>
  <w:footnote w:id="5494">
    <w:p>
      <w:pPr>
        <w:pStyle w:val="Funote"/>
        <w:rPr/>
      </w:pPr>
      <w:r>
        <w:rPr>
          <w:rStyle w:val="Funotenzeichen"/>
        </w:rPr>
        <w:footnoteRef/>
      </w:r>
      <w:r>
        <w:rPr>
          <w:i/>
        </w:rPr>
        <w:tab/>
        <w:t>Prophet</w:t>
      </w:r>
      <w:r>
        <w:rPr/>
        <w:t xml:space="preserve"> - Zur Bezeichnung Davids als „Prophet“ vgl. 11QPs</w:t>
      </w:r>
      <w:r>
        <w:rPr>
          <w:position w:val="7"/>
          <w:sz w:val="16"/>
        </w:rPr>
        <w:t>a</w:t>
      </w:r>
      <w:r>
        <w:rPr/>
        <w:t xml:space="preserve"> XXVII 11: „All diese [seine Psalmen und Lieder] sprach er durch Prophetie, die ihm gegeben worden war vom Höchsten.“</w:t>
      </w:r>
    </w:p>
  </w:footnote>
  <w:footnote w:id="5495">
    <w:p>
      <w:pPr>
        <w:pStyle w:val="Funote"/>
        <w:rPr/>
      </w:pPr>
      <w:r>
        <w:rPr>
          <w:rStyle w:val="Funotenzeichen"/>
        </w:rPr>
        <w:footnoteRef/>
      </w:r>
      <w:r>
        <w:rPr/>
        <w:tab/>
        <w:t>wurden sie im Herz durchbohrt - d.h., »traf es sie mitten ins Herz« (gut KAR; ähnlich BB, GN, NL); »ging ihnen ein Stich durchs Herz« (ZINK); »Als die Leute das hörten, waren sie von dieser Botschaft tief betroffen« (HfA; ähnlich NeÜ, NGÜ).</w:t>
      </w:r>
    </w:p>
  </w:footnote>
  <w:footnote w:id="5496">
    <w:p>
      <w:pPr>
        <w:pStyle w:val="Funote"/>
        <w:rPr/>
      </w:pPr>
      <w:r>
        <w:rPr>
          <w:rStyle w:val="Funotenzeichen"/>
        </w:rPr>
        <w:footnoteRef/>
      </w:r>
      <w:r>
        <w:rPr/>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497">
    <w:p>
      <w:pPr>
        <w:pStyle w:val="Funote"/>
        <w:rPr/>
      </w:pPr>
      <w:r>
        <w:rPr>
          <w:rStyle w:val="Funotenzeichen"/>
        </w:rPr>
        <w:footnoteRef/>
      </w:r>
      <w:r>
        <w:rPr/>
        <w:tab/>
        <w:t>Textkritik: In sehr vielen Handschriften findet sich ein zusätzliches {sagt[e] er}, das aber sicher erst von späterer Hand eingefügt wurde (vgl. TCNT, S. 261).</w:t>
      </w:r>
    </w:p>
  </w:footnote>
  <w:footnote w:id="5498">
    <w:p>
      <w:pPr>
        <w:pStyle w:val="Funote"/>
        <w:rPr/>
      </w:pPr>
      <w:r>
        <w:rPr>
          <w:rStyle w:val="Funotenzeichen"/>
        </w:rPr>
        <w:footnoteRef/>
      </w:r>
      <w:r>
        <w:rPr/>
        <w:tab/>
        <w:t>Textkritik: auf - Gr. epi; untypische Präposition statt gewöhnlichem en. Einige Handschriften ändern daher nachträglich zu en, was aber wieder sicher sekundär ist. S. nächste FN.</w:t>
      </w:r>
    </w:p>
  </w:footnote>
  <w:footnote w:id="5499">
    <w:p>
      <w:pPr>
        <w:pStyle w:val="Funote"/>
        <w:rPr/>
      </w:pPr>
      <w:r>
        <w:rPr>
          <w:rStyle w:val="Funotenzeichen"/>
        </w:rPr>
        <w:footnoteRef/>
      </w:r>
      <w:r>
        <w:rPr/>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500">
    <w:p>
      <w:pPr>
        <w:pStyle w:val="Funote"/>
        <w:rPr/>
      </w:pPr>
      <w:r>
        <w:rPr>
          <w:rStyle w:val="Funotenzeichen"/>
        </w:rPr>
        <w:footnoteRef/>
      </w:r>
      <w:r>
        <w:rPr>
          <w:i/>
        </w:rPr>
        <w:tab/>
        <w:t>Verheißung</w:t>
      </w:r>
      <w:r>
        <w:rPr/>
        <w:t xml:space="preserve"> - Gemeint ist sicher die Verheißung aus </w:t>
      </w:r>
      <w:r>
        <w:fldChar w:fldCharType="begin"/>
      </w:r>
      <w:r>
        <w:rPr>
          <w:rStyle w:val="Internetverknpfung"/>
        </w:rPr>
        <w:instrText> HYPERLINK "../../../../../../../../../wiki/Apostelgeschichte_2" \l "s21"</w:instrText>
      </w:r>
      <w:r>
        <w:rPr>
          <w:rStyle w:val="Internetverknpfung"/>
        </w:rPr>
        <w:fldChar w:fldCharType="separate"/>
      </w:r>
      <w:r>
        <w:rPr>
          <w:rStyle w:val="Internetverknpfung"/>
        </w:rPr>
        <w:t>V. 21</w:t>
      </w:r>
      <w:r>
        <w:rPr>
          <w:rStyle w:val="Internetverknpfung"/>
        </w:rPr>
        <w:fldChar w:fldCharType="end"/>
      </w:r>
      <w:r>
        <w:rPr/>
        <w:t>: „Jeder, der den Namen des Herrn anruft, wird gerettet werden.“ Das ist natürlich besonders relevant für die Angesprochenen: Auch und gerade ihnen gilt die Verheißung; ihnen, die doch den Messias getötet haben!</w:t>
      </w:r>
    </w:p>
  </w:footnote>
  <w:footnote w:id="5501">
    <w:p>
      <w:pPr>
        <w:pStyle w:val="Funote"/>
        <w:rPr/>
      </w:pPr>
      <w:r>
        <w:rPr>
          <w:rStyle w:val="Funotenzeichen"/>
        </w:rPr>
        <w:footnoteRef/>
      </w:r>
      <w:r>
        <w:rPr/>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502">
    <w:p>
      <w:pPr>
        <w:pStyle w:val="Funote"/>
        <w:rPr/>
      </w:pPr>
      <w:r>
        <w:rPr>
          <w:rStyle w:val="Funotenzeichen"/>
        </w:rPr>
        <w:footnoteRef/>
      </w:r>
      <w:r>
        <w:rPr>
          <w:i/>
        </w:rPr>
        <w:tab/>
        <w:t>hinzurufen</w:t>
      </w:r>
      <w:r>
        <w:rPr/>
        <w:t xml:space="preserve"> + </w:t>
      </w:r>
      <w:r>
        <w:rPr>
          <w:i/>
        </w:rPr>
        <w:t>hinzufügen</w:t>
      </w:r>
      <w:r>
        <w:rPr/>
        <w:t xml:space="preserve"> - nämlich zur Gemeinschaft der Christen.</w:t>
        <w:br/>
      </w:r>
      <w:r>
        <w:rPr>
          <w:i/>
        </w:rPr>
        <w:t>hinzugefügt werden</w:t>
      </w:r>
      <w:r>
        <w:rPr/>
        <w:t xml:space="preserve"> ist recht sicher ein sog. „theologisches Passiv“, also eine Ausdrucksvariante zu „</w:t>
      </w:r>
      <w:r>
        <w:rPr>
          <w:i/>
        </w:rPr>
        <w:t>Gott</w:t>
      </w:r>
      <w:r>
        <w:rPr/>
        <w:t xml:space="preserve"> fügte hinzu“, s. </w:t>
      </w:r>
      <w:r>
        <w:fldChar w:fldCharType="begin"/>
      </w:r>
      <w:r>
        <w:rPr>
          <w:rStyle w:val="Internetverknpfung"/>
        </w:rPr>
        <w:instrText> HYPERLINK "../../../../../../../../../wiki/Apostelgeschichte_2" \l "s47"</w:instrText>
      </w:r>
      <w:r>
        <w:rPr>
          <w:rStyle w:val="Internetverknpfung"/>
        </w:rPr>
        <w:fldChar w:fldCharType="separate"/>
      </w:r>
      <w:r>
        <w:rPr>
          <w:rStyle w:val="Internetverknpfung"/>
        </w:rPr>
        <w:t>V 47</w:t>
      </w:r>
      <w:r>
        <w:rPr>
          <w:rStyle w:val="Internetverknpfung"/>
        </w:rPr>
        <w:fldChar w:fldCharType="end"/>
      </w:r>
      <w:r>
        <w:rPr/>
        <w:t>.</w:t>
      </w:r>
    </w:p>
  </w:footnote>
  <w:footnote w:id="5503">
    <w:p>
      <w:pPr>
        <w:pStyle w:val="Funote"/>
        <w:rPr/>
      </w:pPr>
      <w:r>
        <w:rPr>
          <w:rStyle w:val="Funotenzeichen"/>
        </w:rPr>
        <w:footnoteRef/>
      </w:r>
      <w:r>
        <w:rPr/>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504">
    <w:p>
      <w:pPr>
        <w:pStyle w:val="Funote"/>
        <w:rPr/>
      </w:pPr>
      <w:r>
        <w:rPr>
          <w:rStyle w:val="Funotenzeichen"/>
        </w:rPr>
        <w:footnoteRef/>
      </w:r>
      <w:r>
        <w:rPr/>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505">
    <w:p>
      <w:pPr>
        <w:pStyle w:val="Funote"/>
        <w:rPr/>
      </w:pPr>
      <w:r>
        <w:rPr>
          <w:rStyle w:val="Funotenzeichen"/>
        </w:rPr>
        <w:footnoteRef/>
      </w:r>
      <w:r>
        <w:rPr/>
        <w:tab/>
        <w:t>Seelen meint im Gr. wie im veralteten Deutsch »Personen«; s. ebenso z.B. Apg 7,14; 27,37 und vgl. z.B. Fitzmyer 1998, S. 267.</w:t>
      </w:r>
    </w:p>
  </w:footnote>
  <w:footnote w:id="5506">
    <w:p>
      <w:pPr>
        <w:pStyle w:val="Funote"/>
        <w:rPr/>
      </w:pPr>
      <w:r>
        <w:rPr>
          <w:rStyle w:val="Funotenzeichen"/>
        </w:rPr>
        <w:footnoteRef/>
      </w:r>
      <w:r>
        <w:rPr/>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507">
    <w:p>
      <w:pPr>
        <w:pStyle w:val="Funote"/>
        <w:rPr/>
      </w:pPr>
      <w:r>
        <w:rPr>
          <w:rStyle w:val="Funotenzeichen"/>
        </w:rPr>
        <w:footnoteRef/>
      </w:r>
      <w:r>
        <w:rPr/>
        <w:tab/>
        <w:t>Lehre - Gr. didachä, gemeint ist hier also nicht die frohe Botschaft von der Auferstehung Jesu, sondern dass auf Jesus zurückgehende »Lehrsystem«, in dem die Jünger von den Aposteln unterwiesen werden (vgl. Fitzmyer 1998, S. 270).</w:t>
      </w:r>
    </w:p>
  </w:footnote>
  <w:footnote w:id="5508">
    <w:p>
      <w:pPr>
        <w:pStyle w:val="Funote"/>
        <w:rPr/>
      </w:pPr>
      <w:r>
        <w:rPr>
          <w:rStyle w:val="Funotenzeichen"/>
        </w:rPr>
        <w:footnoteRef/>
      </w:r>
      <w:r>
        <w:rPr/>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509">
    <w:p>
      <w:pPr>
        <w:pStyle w:val="Funote"/>
        <w:rPr/>
      </w:pPr>
      <w:r>
        <w:rPr>
          <w:rStyle w:val="Funotenzeichen"/>
        </w:rPr>
        <w:footnoteRef/>
      </w:r>
      <w:r>
        <w:rPr/>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510">
    <w:p>
      <w:pPr>
        <w:pStyle w:val="Funote"/>
        <w:rPr/>
      </w:pPr>
      <w:r>
        <w:rPr>
          <w:rStyle w:val="Funotenzeichen"/>
        </w:rPr>
        <w:footnoteRef/>
      </w:r>
      <w:r>
        <w:rPr>
          <w:i/>
        </w:rPr>
        <w:tab/>
        <w:t>Brotbrechen</w:t>
      </w:r>
      <w:r>
        <w:rPr/>
        <w:t xml:space="preserve"> (V. 42) + </w:t>
      </w:r>
      <w:r>
        <w:rPr>
          <w:i/>
        </w:rPr>
        <w:t>Brot brachen</w:t>
      </w:r>
      <w:r>
        <w:rPr/>
        <w:t xml:space="preserve"> (V. 46) - Gemeint ist sicher der Vorläufer der Eucharistiefeier, der zu Zeit von Lk und Apg noch die Form eines Sättigungsmahl hatte, bei dem in Erinnerung an die Handlung Jesu beim letzten Abendmahl auch Brot gebrochen wurde. S. ebenso </w:t>
      </w:r>
      <w:r>
        <w:fldChar w:fldCharType="begin"/>
      </w:r>
      <w:r>
        <w:rPr>
          <w:rStyle w:val="Internetverknpfung"/>
        </w:rPr>
        <w:instrText> HYPERLINK "../../../../../../../../../wiki/Lukas_24" \l "s30"</w:instrText>
      </w:r>
      <w:r>
        <w:rPr>
          <w:rStyle w:val="Internetverknpfung"/>
        </w:rPr>
        <w:fldChar w:fldCharType="separate"/>
      </w:r>
      <w:r>
        <w:rPr>
          <w:rStyle w:val="Internetverknpfung"/>
        </w:rPr>
        <w:t>Lk 24,30</w:t>
      </w:r>
      <w:r>
        <w:rPr>
          <w:rStyle w:val="Internetverknpfung"/>
        </w:rPr>
        <w:fldChar w:fldCharType="end"/>
      </w:r>
      <w:r>
        <w:rPr/>
        <w:t>.</w:t>
      </w:r>
      <w:r>
        <w:fldChar w:fldCharType="begin"/>
      </w:r>
      <w:r>
        <w:rPr>
          <w:rStyle w:val="Internetverknpfung"/>
        </w:rPr>
        <w:instrText> HYPERLINK "../../../../../../../../../wiki/Lukas_24" \l "s35"</w:instrText>
      </w:r>
      <w:r>
        <w:rPr>
          <w:rStyle w:val="Internetverknpfung"/>
        </w:rPr>
        <w:fldChar w:fldCharType="separate"/>
      </w:r>
      <w:r>
        <w:rPr>
          <w:rStyle w:val="Internetverknpfung"/>
        </w:rPr>
        <w:t>35</w:t>
      </w:r>
      <w:r>
        <w:rPr>
          <w:rStyle w:val="Internetverknpfung"/>
        </w:rPr>
        <w:fldChar w:fldCharType="end"/>
      </w:r>
      <w:r>
        <w:rPr/>
        <w:t xml:space="preserve">; </w:t>
      </w:r>
      <w:r>
        <w:fldChar w:fldCharType="begin"/>
      </w:r>
      <w:r>
        <w:rPr>
          <w:rStyle w:val="Internetverknpfung"/>
        </w:rPr>
        <w:instrText> HYPERLINK "../../../../../../../../../wiki/Apostelgeschichte_20" \l "s7"</w:instrText>
      </w:r>
      <w:r>
        <w:rPr>
          <w:rStyle w:val="Internetverknpfung"/>
        </w:rPr>
        <w:fldChar w:fldCharType="separate"/>
      </w:r>
      <w:r>
        <w:rPr>
          <w:rStyle w:val="Internetverknpfung"/>
        </w:rPr>
        <w:t>Apg 20,7</w:t>
      </w:r>
      <w:r>
        <w:rPr>
          <w:rStyle w:val="Internetverknpfung"/>
        </w:rPr>
        <w:fldChar w:fldCharType="end"/>
      </w:r>
      <w:r>
        <w:rPr/>
        <w:t>.</w:t>
      </w:r>
      <w:r>
        <w:fldChar w:fldCharType="begin"/>
      </w:r>
      <w:r>
        <w:rPr>
          <w:rStyle w:val="Internetverknpfung"/>
        </w:rPr>
        <w:instrText> HYPERLINK "../../../../../../../../../wiki/Apostelgeschichte_20" \l "s11"</w:instrText>
      </w:r>
      <w:r>
        <w:rPr>
          <w:rStyle w:val="Internetverknpfung"/>
        </w:rPr>
        <w:fldChar w:fldCharType="separate"/>
      </w:r>
      <w:r>
        <w:rPr>
          <w:rStyle w:val="Internetverknpfung"/>
        </w:rPr>
        <w:t>11</w:t>
      </w:r>
      <w:r>
        <w:rPr>
          <w:rStyle w:val="Internetverknpfung"/>
        </w:rPr>
        <w:fldChar w:fldCharType="end"/>
      </w:r>
      <w:r>
        <w:rPr/>
        <w:t xml:space="preserve">; </w:t>
      </w:r>
      <w:hyperlink r:id="rId582">
        <w:r>
          <w:rPr>
            <w:rStyle w:val="Internetverknpfung"/>
          </w:rPr>
          <w:t>27,35</w:t>
        </w:r>
      </w:hyperlink>
      <w:r>
        <w:rPr/>
        <w:t>.</w:t>
      </w:r>
    </w:p>
  </w:footnote>
  <w:footnote w:id="5511">
    <w:p>
      <w:pPr>
        <w:pStyle w:val="Funote"/>
        <w:rPr/>
      </w:pPr>
      <w:r>
        <w:rPr>
          <w:rStyle w:val="Funotenzeichen"/>
        </w:rPr>
        <w:footnoteRef/>
      </w:r>
      <w:r>
        <w:rPr/>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512">
    <w:p>
      <w:pPr>
        <w:pStyle w:val="Funote"/>
        <w:rPr/>
      </w:pPr>
      <w:r>
        <w:rPr>
          <w:rStyle w:val="Funotenzeichen"/>
        </w:rPr>
        <w:footnoteRef/>
      </w:r>
      <w:r>
        <w:rPr/>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513">
    <w:p>
      <w:pPr>
        <w:pStyle w:val="Funote"/>
        <w:rPr/>
      </w:pPr>
      <w:r>
        <w:rPr>
          <w:rStyle w:val="Funotenzeichen"/>
        </w:rPr>
        <w:footnoteRef/>
      </w:r>
      <w:r>
        <w:rPr/>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514">
    <w:p>
      <w:pPr>
        <w:pStyle w:val="Funote"/>
        <w:rPr/>
      </w:pPr>
      <w:r>
        <w:rPr>
          <w:rStyle w:val="Funotenzeichen"/>
        </w:rPr>
        <w:footnoteRef/>
      </w:r>
      <w:r>
        <w:rPr>
          <w:i/>
        </w:rPr>
        <w:tab/>
        <w:t>hatten alles gemeinsam</w:t>
      </w:r>
      <w:r>
        <w:rPr/>
        <w:t xml:space="preserve"> - hierzu s. die Anmerkungen.</w:t>
      </w:r>
    </w:p>
  </w:footnote>
  <w:footnote w:id="5515">
    <w:p>
      <w:pPr>
        <w:pStyle w:val="Funote"/>
        <w:rPr/>
      </w:pPr>
      <w:r>
        <w:rPr>
          <w:rStyle w:val="Funotenzeichen"/>
        </w:rPr>
        <w:footnoteRef/>
      </w:r>
      <w:r>
        <w:rPr/>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516">
    <w:p>
      <w:pPr>
        <w:pStyle w:val="Funote"/>
        <w:rPr/>
      </w:pPr>
      <w:r>
        <w:rPr>
          <w:rStyle w:val="Funotenzeichen"/>
        </w:rPr>
        <w:footnoteRef/>
      </w:r>
      <w:r>
        <w:rPr>
          <w:i/>
        </w:rPr>
        <w:tab/>
        <w:t>im Haus</w:t>
      </w:r>
      <w:r>
        <w:rPr/>
        <w:t>, d.h. „in den Privathäusern“ im Unterschied zum Tempel.</w:t>
      </w:r>
    </w:p>
  </w:footnote>
  <w:footnote w:id="5517">
    <w:p>
      <w:pPr>
        <w:pStyle w:val="Funote"/>
        <w:rPr/>
      </w:pPr>
      <w:r>
        <w:rPr>
          <w:rStyle w:val="Funotenzeichen"/>
        </w:rPr>
        <w:footnoteRef/>
      </w:r>
      <w:r>
        <w:rPr>
          <w:i/>
        </w:rPr>
        <w:tab/>
        <w:t>Gerettete</w:t>
      </w:r>
      <w:r>
        <w:rPr/>
        <w:t xml:space="preserve"> - Sicher in Anspielung an V. 21 (=</w:t>
      </w:r>
      <w:hyperlink r:id="rId583">
        <w:r>
          <w:rPr>
            <w:rStyle w:val="Internetverknpfung"/>
          </w:rPr>
          <w:t>Joel 3,5</w:t>
        </w:r>
      </w:hyperlink>
      <w:r>
        <w:rPr/>
        <w:t xml:space="preserve">: „Gerettet“ ist der, der „den Namen des Herrn anruft“. Dies wurde von Petrus interpretiert als Ausdruck für die Taufe (s. </w:t>
      </w:r>
      <w:r>
        <w:fldChar w:fldCharType="begin"/>
      </w:r>
      <w:r>
        <w:rPr>
          <w:rStyle w:val="Internetverknpfung"/>
        </w:rPr>
        <w:instrText> HYPERLINK "http://offene-bibel.de/mediawiki/index.php?title=Apostelgeschichte_2" \l "note_az"</w:instrText>
      </w:r>
      <w:r>
        <w:rPr>
          <w:rStyle w:val="Internetverknpfung"/>
        </w:rPr>
        <w:fldChar w:fldCharType="separate"/>
      </w:r>
      <w:r>
        <w:rPr>
          <w:rStyle w:val="Internetverknpfung"/>
        </w:rPr>
        <w:t>FN az</w:t>
      </w:r>
      <w:r>
        <w:rPr>
          <w:rStyle w:val="Internetverknpfung"/>
        </w:rPr>
        <w:fldChar w:fldCharType="end"/>
      </w:r>
      <w:r>
        <w:rPr/>
        <w:t xml:space="preserve"> zu </w:t>
      </w:r>
      <w:r>
        <w:fldChar w:fldCharType="begin"/>
      </w:r>
      <w:r>
        <w:rPr>
          <w:rStyle w:val="Internetverknpfung"/>
        </w:rPr>
        <w:instrText> HYPERLINK "../../../../../../../../../wiki/Apostelgeschichte_2" \l "s38"</w:instrText>
      </w:r>
      <w:r>
        <w:rPr>
          <w:rStyle w:val="Internetverknpfung"/>
        </w:rPr>
        <w:fldChar w:fldCharType="separate"/>
      </w:r>
      <w:r>
        <w:rPr>
          <w:rStyle w:val="Internetverknpfung"/>
        </w:rPr>
        <w:t>V. 38</w:t>
      </w:r>
      <w:r>
        <w:rPr>
          <w:rStyle w:val="Internetverknpfung"/>
        </w:rPr>
        <w:fldChar w:fldCharType="end"/>
      </w:r>
      <w:r>
        <w:rPr/>
        <w:t>); also sind die, die sich der Gemeinde der Christen anschließen, die „Geretteten“ oder auch „die, die gerettet werden sollten“ (was sprachlich möglich und zumindest in der LF sinnvoller ist, da die Rettung vor der Zeit des Unheils ja noch aussteht).</w:t>
      </w:r>
    </w:p>
  </w:footnote>
  <w:footnote w:id="5518">
    <w:p>
      <w:pPr>
        <w:pStyle w:val="Funote"/>
        <w:rPr/>
      </w:pPr>
      <w:r>
        <w:rPr>
          <w:rStyle w:val="Funotenzeichen"/>
        </w:rPr>
        <w:footnoteRef/>
      </w:r>
      <w:r>
        <w:rPr/>
        <w:tab/>
        <w:t>w. legte ihn den Aposteln zu Füßen</w:t>
      </w:r>
    </w:p>
  </w:footnote>
  <w:footnote w:id="5519">
    <w:p>
      <w:pPr>
        <w:pStyle w:val="Funote"/>
        <w:rPr/>
      </w:pPr>
      <w:r>
        <w:rPr>
          <w:rStyle w:val="Funotenzeichen"/>
        </w:rPr>
        <w:footnoteRef/>
      </w:r>
      <w:r>
        <w:rPr/>
        <w:tab/>
        <w:t>Alternativ: „Es wurden immer (noch) mehr Gläubige dem Herrn hinzugefügt“. Cf. C. K. Barrett, Acts 1-14, 275.</w:t>
      </w:r>
    </w:p>
  </w:footnote>
  <w:footnote w:id="5520">
    <w:p>
      <w:pPr>
        <w:pStyle w:val="Funote"/>
        <w:rPr/>
      </w:pPr>
      <w:r>
        <w:rPr>
          <w:rStyle w:val="Funotenzeichen"/>
        </w:rPr>
        <w:footnoteRef/>
      </w:r>
      <w:r>
        <w:rPr/>
        <w:tab/>
        <w:t>Partizip Aorist</w:t>
      </w:r>
    </w:p>
  </w:footnote>
  <w:footnote w:id="5521">
    <w:p>
      <w:pPr>
        <w:pStyle w:val="Funote"/>
        <w:rPr/>
      </w:pPr>
      <w:r>
        <w:rPr>
          <w:rStyle w:val="Funotenzeichen"/>
        </w:rPr>
        <w:footnoteRef/>
      </w:r>
      <w:r>
        <w:rPr/>
        <w:tab/>
        <w:t>ihr „Finanzminister“</w:t>
      </w:r>
    </w:p>
  </w:footnote>
  <w:footnote w:id="5522">
    <w:p>
      <w:pPr>
        <w:pStyle w:val="Funote"/>
        <w:rPr/>
      </w:pPr>
      <w:r>
        <w:rPr>
          <w:rStyle w:val="Funotenzeichen"/>
        </w:rPr>
        <w:footnoteRef/>
      </w:r>
      <w:r>
        <w:rPr/>
        <w:tab/>
        <w:t>Partizip Aorist</w:t>
      </w:r>
    </w:p>
  </w:footnote>
  <w:footnote w:id="5523">
    <w:p>
      <w:pPr>
        <w:pStyle w:val="Funote"/>
        <w:rPr/>
      </w:pPr>
      <w:r>
        <w:rPr>
          <w:rStyle w:val="Funotenzeichen"/>
        </w:rPr>
        <w:footnoteRef/>
      </w:r>
      <w:r>
        <w:rPr/>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524">
    <w:p>
      <w:pPr>
        <w:pStyle w:val="Funote"/>
        <w:rPr/>
      </w:pPr>
      <w:r>
        <w:rPr>
          <w:rStyle w:val="Funotenzeichen"/>
        </w:rPr>
        <w:footnoteRef/>
      </w:r>
      <w:r>
        <w:rPr/>
        <w:tab/>
        <w:t>Partizip Präs. Vielleicht könnte man rheinländisch sagen: „War am Umkehren“</w:t>
      </w:r>
    </w:p>
  </w:footnote>
  <w:footnote w:id="5525">
    <w:p>
      <w:pPr>
        <w:pStyle w:val="Funote"/>
        <w:rPr/>
      </w:pPr>
      <w:r>
        <w:rPr>
          <w:rStyle w:val="Funotenzeichen"/>
        </w:rPr>
        <w:footnoteRef/>
      </w:r>
      <w:r>
        <w:rPr/>
        <w:tab/>
        <w:t>Partizip Aorist</w:t>
      </w:r>
    </w:p>
  </w:footnote>
  <w:footnote w:id="5526">
    <w:p>
      <w:pPr>
        <w:pStyle w:val="Funote"/>
        <w:rPr/>
      </w:pPr>
      <w:r>
        <w:rPr>
          <w:rStyle w:val="Funotenzeichen"/>
        </w:rPr>
        <w:footnoteRef/>
      </w:r>
      <w:r>
        <w:rPr/>
        <w:tab/>
        <w:t>Der Eunuch las nach jüdischem Brauch laut</w:t>
      </w:r>
    </w:p>
  </w:footnote>
  <w:footnote w:id="5527">
    <w:p>
      <w:pPr>
        <w:pStyle w:val="Funote"/>
        <w:rPr/>
      </w:pPr>
      <w:r>
        <w:rPr>
          <w:rStyle w:val="Funotenzeichen"/>
        </w:rPr>
        <w:footnoteRef/>
      </w:r>
      <w:r>
        <w:rPr/>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528">
    <w:p>
      <w:pPr>
        <w:pStyle w:val="Funote"/>
        <w:rPr/>
      </w:pPr>
      <w:r>
        <w:rPr>
          <w:rStyle w:val="Funotenzeichen"/>
        </w:rPr>
        <w:footnoteRef/>
      </w:r>
      <w:r>
        <w:rPr/>
        <w:tab/>
        <w:t>Partizip Aorist</w:t>
      </w:r>
    </w:p>
  </w:footnote>
  <w:footnote w:id="5529">
    <w:p>
      <w:pPr>
        <w:pStyle w:val="Funote"/>
        <w:rPr/>
      </w:pPr>
      <w:r>
        <w:rPr>
          <w:rStyle w:val="Funotenzeichen"/>
        </w:rPr>
        <w:footnoteRef/>
      </w:r>
      <w:r>
        <w:rPr/>
        <w:tab/>
        <w:t>Partizip Aorist</w:t>
      </w:r>
    </w:p>
  </w:footnote>
  <w:footnote w:id="5530">
    <w:p>
      <w:pPr>
        <w:pStyle w:val="Funote"/>
        <w:rPr/>
      </w:pPr>
      <w:r>
        <w:rPr>
          <w:rStyle w:val="Funotenzeichen"/>
        </w:rPr>
        <w:footnoteRef/>
      </w:r>
      <w:r>
        <w:rPr/>
        <w:tab/>
        <w:t xml:space="preserve">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 </w:t>
      </w:r>
    </w:p>
  </w:footnote>
  <w:footnote w:id="5531">
    <w:p>
      <w:pPr>
        <w:pStyle w:val="Funote"/>
        <w:rPr/>
      </w:pPr>
      <w:r>
        <w:rPr>
          <w:rStyle w:val="Funotenzeichen"/>
        </w:rPr>
        <w:footnoteRef/>
      </w:r>
      <w:r>
        <w:rPr/>
        <w:tab/>
        <w:t>Getauft wurde, indem der Täufling ganz untergetaucht wurde. Man muss sich wahrscheinlich vorstellen, dass Philippus verschwand, als der Eunuch noch untergetaucht war</w:t>
      </w:r>
    </w:p>
  </w:footnote>
  <w:footnote w:id="5532">
    <w:p>
      <w:pPr>
        <w:pStyle w:val="Funote"/>
        <w:rPr/>
      </w:pPr>
      <w:r>
        <w:rPr>
          <w:rStyle w:val="Funotenzeichen"/>
        </w:rPr>
        <w:footnoteRef/>
      </w:r>
      <w:r>
        <w:rPr/>
        <w:tab/>
        <w:t>Partizip Präsens</w:t>
      </w:r>
    </w:p>
  </w:footnote>
  <w:footnote w:id="5533">
    <w:p>
      <w:pPr>
        <w:pStyle w:val="Funote"/>
        <w:rPr/>
      </w:pPr>
      <w:r>
        <w:rPr>
          <w:rStyle w:val="Funotenzeichen"/>
        </w:rPr>
        <w:footnoteRef/>
      </w:r>
      <w:r>
        <w:rPr/>
        <w:tab/>
        <w:t>Partizip Präsens</w:t>
      </w:r>
    </w:p>
  </w:footnote>
  <w:footnote w:id="5534">
    <w:p>
      <w:pPr>
        <w:pStyle w:val="Funote"/>
        <w:rPr/>
      </w:pPr>
      <w:r>
        <w:rPr>
          <w:rStyle w:val="Funotenzeichen"/>
        </w:rPr>
        <w:footnoteRef/>
      </w:r>
      <w:r>
        <w:rPr/>
        <w:tab/>
        <w:t>Pleonasmus zur Belebung der Rede.</w:t>
      </w:r>
    </w:p>
  </w:footnote>
  <w:footnote w:id="5535">
    <w:p>
      <w:pPr>
        <w:pStyle w:val="Funote"/>
        <w:rPr/>
      </w:pPr>
      <w:r>
        <w:rPr>
          <w:rStyle w:val="Funotenzeichen"/>
        </w:rPr>
        <w:footnoteRef/>
      </w:r>
      <w:hyperlink r:id="rId584">
        <w:r>
          <w:rPr>
            <w:rStyle w:val="Internetverknpfung"/>
          </w:rPr>
          <w:tab/>
          <w:t>Ptz.coni.</w:t>
        </w:r>
      </w:hyperlink>
      <w:r>
        <w:rPr/>
        <w:t>, temporal aufgelöst.</w:t>
      </w:r>
    </w:p>
  </w:footnote>
  <w:footnote w:id="5536">
    <w:p>
      <w:pPr>
        <w:pStyle w:val="Funote"/>
        <w:rPr/>
      </w:pPr>
      <w:r>
        <w:rPr>
          <w:rStyle w:val="Funotenzeichen"/>
        </w:rPr>
        <w:footnoteRef/>
      </w:r>
      <w:hyperlink r:id="rId585">
        <w:r>
          <w:rPr>
            <w:rStyle w:val="Internetverknpfung"/>
          </w:rPr>
          <w:tab/>
          <w:t>Ptz.coni.</w:t>
        </w:r>
      </w:hyperlink>
      <w:r>
        <w:rPr/>
        <w:t>, temporal aufgelöst.</w:t>
      </w:r>
    </w:p>
  </w:footnote>
  <w:footnote w:id="5537">
    <w:p>
      <w:pPr>
        <w:pStyle w:val="Funote"/>
        <w:rPr/>
      </w:pPr>
      <w:r>
        <w:rPr>
          <w:rStyle w:val="Funotenzeichen"/>
        </w:rPr>
        <w:footnoteRef/>
      </w:r>
      <w:hyperlink r:id="rId586">
        <w:r>
          <w:rPr>
            <w:rStyle w:val="Internetverknpfung"/>
          </w:rPr>
          <w:tab/>
          <w:t>Ptz.coni.</w:t>
        </w:r>
      </w:hyperlink>
      <w:r>
        <w:rPr/>
        <w:t>, temporal aufgelöst.</w:t>
      </w:r>
    </w:p>
  </w:footnote>
  <w:footnote w:id="5538">
    <w:p>
      <w:pPr>
        <w:pStyle w:val="Funote"/>
        <w:rPr/>
      </w:pPr>
      <w:r>
        <w:rPr>
          <w:rStyle w:val="Funotenzeichen"/>
        </w:rPr>
        <w:footnoteRef/>
      </w:r>
      <w:r>
        <w:rPr/>
        <w:tab/>
        <w:t xml:space="preserve">Wechsel der Erzählperspektive: Bisher wurde unpersönlich in der 3. Person erzählt. Jetzt taucht zum ersten Mal die 1. Person Plural auf. Ist der Erzähler Silas </w:t>
      </w:r>
      <w:hyperlink r:id="rId587">
        <w:r>
          <w:rPr>
            <w:rStyle w:val="Internetverknpfung"/>
          </w:rPr>
          <w:t>Apg 15,40</w:t>
        </w:r>
      </w:hyperlink>
      <w:r>
        <w:rPr/>
        <w:t xml:space="preserve"> oder Timotheus? Das Wir könnte hier bewusst als Stilmittel eingesetzt sein, denn mit diesem Traum setzt das Evangelium aus dem Orient nach Europa über, vgl. Haenchen, KEK S. 435.</w:t>
      </w:r>
    </w:p>
  </w:footnote>
  <w:footnote w:id="5539">
    <w:p>
      <w:pPr>
        <w:pStyle w:val="Funote"/>
        <w:rPr/>
      </w:pPr>
      <w:r>
        <w:rPr>
          <w:rStyle w:val="Funotenzeichen"/>
        </w:rPr>
        <w:footnoteRef/>
      </w:r>
      <w:hyperlink r:id="rId588">
        <w:r>
          <w:rPr>
            <w:rStyle w:val="Internetverknpfung"/>
          </w:rPr>
          <w:tab/>
          <w:t>Ptz.coni.</w:t>
        </w:r>
      </w:hyperlink>
      <w:r>
        <w:rPr/>
        <w:t>, temporal aufgelöst.</w:t>
      </w:r>
    </w:p>
  </w:footnote>
  <w:footnote w:id="5540">
    <w:p>
      <w:pPr>
        <w:pStyle w:val="Funote"/>
        <w:rPr/>
      </w:pPr>
      <w:r>
        <w:rPr>
          <w:rStyle w:val="Funotenzeichen"/>
        </w:rPr>
        <w:footnoteRef/>
      </w:r>
      <w:r>
        <w:rPr/>
        <w:tab/>
        <w:t>Der Name des Hafens von Philippi in Makedonien, BW Sp. 1085.</w:t>
      </w:r>
    </w:p>
  </w:footnote>
  <w:footnote w:id="5541">
    <w:p>
      <w:pPr>
        <w:pStyle w:val="Funote"/>
        <w:rPr/>
      </w:pPr>
      <w:r>
        <w:rPr>
          <w:rStyle w:val="Funotenzeichen"/>
        </w:rPr>
        <w:footnoteRef/>
      </w:r>
      <w:r>
        <w:rPr/>
        <w:tab/>
        <w:t>Der erste der vier von Maemilius Paullus 167 v. Chr. eingerichteten Teile, Haenchen, KEK S. 437.</w:t>
      </w:r>
    </w:p>
  </w:footnote>
  <w:footnote w:id="5542">
    <w:p>
      <w:pPr>
        <w:pStyle w:val="Funote"/>
        <w:rPr/>
      </w:pPr>
      <w:r>
        <w:rPr>
          <w:rStyle w:val="Funotenzeichen"/>
        </w:rPr>
        <w:footnoteRef/>
      </w:r>
      <w:hyperlink r:id="rId589">
        <w:r>
          <w:rPr>
            <w:rStyle w:val="Internetverknpfung"/>
          </w:rPr>
          <w:tab/>
          <w:t>Ptz.coni.</w:t>
        </w:r>
      </w:hyperlink>
      <w:r>
        <w:rPr/>
        <w:t>, beiordnnend aufgelöst.</w:t>
      </w:r>
    </w:p>
  </w:footnote>
  <w:footnote w:id="5543">
    <w:p>
      <w:pPr>
        <w:pStyle w:val="Funote"/>
        <w:rPr/>
      </w:pPr>
      <w:r>
        <w:rPr>
          <w:rStyle w:val="Funotenzeichen"/>
        </w:rPr>
        <w:footnoteRef/>
      </w:r>
      <w:r>
        <w:rPr/>
        <w:tab/>
        <w:t xml:space="preserve">ACI, wörtl.: wo wir vermuteten, dass eine Synagoge sei. Alternativ könnte man </w:t>
      </w:r>
      <w:r>
        <w:rPr>
          <w:lang w:val="el-GR"/>
        </w:rPr>
        <w:t>νομίζω</w:t>
      </w:r>
      <w:r>
        <w:rPr/>
        <w:t xml:space="preserve"> auch wiedergeben mit "wo herkömmlicherweise eine Synagoge war". Paulus vermutet eine Synagoge am Fluss wegen der Notwendigkeit eines Tauchbeckens (Mikwe) für die Reinigung.</w:t>
      </w:r>
    </w:p>
  </w:footnote>
  <w:footnote w:id="5544">
    <w:p>
      <w:pPr>
        <w:pStyle w:val="Funote"/>
        <w:rPr/>
      </w:pPr>
      <w:r>
        <w:rPr>
          <w:rStyle w:val="Funotenzeichen"/>
        </w:rPr>
        <w:footnoteRef/>
      </w:r>
      <w:hyperlink r:id="rId590">
        <w:r>
          <w:rPr>
            <w:rStyle w:val="Internetverknpfung"/>
          </w:rPr>
          <w:tab/>
          <w:t>Ptz.coni.</w:t>
        </w:r>
      </w:hyperlink>
      <w:r>
        <w:rPr/>
        <w:t>, temporal aufgelöst.</w:t>
      </w:r>
    </w:p>
  </w:footnote>
  <w:footnote w:id="5545">
    <w:p>
      <w:pPr>
        <w:pStyle w:val="Funote"/>
        <w:rPr/>
      </w:pPr>
      <w:r>
        <w:rPr>
          <w:rStyle w:val="Funotenzeichen"/>
        </w:rPr>
        <w:footnoteRef/>
      </w:r>
      <w:r>
        <w:rPr/>
        <w:tab/>
        <w:t>„</w:t>
      </w:r>
      <w:r>
        <w:rPr>
          <w:lang w:val="el-GR"/>
        </w:rPr>
        <w:t>σεβόμενοι τὸν θεόν</w:t>
      </w:r>
      <w:r>
        <w:rPr/>
        <w:t xml:space="preserve"> _Gottesfürchtige_ heißen Heiden, d. sich den ethischen Monotheismus des Judentums aneigneten, auch zur Synagoge hielten, ohne jedoch das Gesetz im ganzen Umfang anzunehmen, vor allem ohne sich beschneiden zu lassen“ BW Sp. 1492.</w:t>
      </w:r>
    </w:p>
  </w:footnote>
  <w:footnote w:id="5546">
    <w:p>
      <w:pPr>
        <w:pStyle w:val="Funote"/>
        <w:rPr/>
      </w:pPr>
      <w:r>
        <w:rPr>
          <w:rStyle w:val="Funotenzeichen"/>
        </w:rPr>
        <w:footnoteRef/>
      </w:r>
      <w:hyperlink r:id="rId591">
        <w:r>
          <w:rPr>
            <w:rStyle w:val="Internetverknpfung"/>
          </w:rPr>
          <w:tab/>
          <w:t>Ptz.coni.</w:t>
        </w:r>
      </w:hyperlink>
      <w:r>
        <w:rPr/>
        <w:t>, relativisch aufgelöst, im Griech. Plural: die von Paulus gesprochenen (erg.:Worte).</w:t>
      </w:r>
    </w:p>
  </w:footnote>
  <w:footnote w:id="5547">
    <w:p>
      <w:pPr>
        <w:pStyle w:val="Funote"/>
        <w:rPr/>
      </w:pPr>
      <w:r>
        <w:rPr>
          <w:rStyle w:val="Funotenzeichen"/>
        </w:rPr>
        <w:footnoteRef/>
      </w:r>
      <w:hyperlink r:id="rId592">
        <w:r>
          <w:rPr>
            <w:rStyle w:val="Internetverknpfung"/>
          </w:rPr>
          <w:tab/>
          <w:t>Ptz.coni.</w:t>
        </w:r>
      </w:hyperlink>
      <w:r>
        <w:rPr/>
        <w:t>, beiordnnend aufgelöst.</w:t>
      </w:r>
    </w:p>
  </w:footnote>
  <w:footnote w:id="5548">
    <w:p>
      <w:pPr>
        <w:pStyle w:val="Funote"/>
        <w:rPr/>
      </w:pPr>
      <w:r>
        <w:rPr>
          <w:rStyle w:val="Funotenzeichen"/>
        </w:rPr>
        <w:footnoteRef/>
      </w:r>
      <w:hyperlink r:id="rId593">
        <w:r>
          <w:rPr>
            <w:rStyle w:val="Internetverknpfung"/>
          </w:rPr>
          <w:tab/>
          <w:t>Ptz.coni.</w:t>
        </w:r>
      </w:hyperlink>
      <w:r>
        <w:rPr/>
        <w:t>, temporal aufgelöst.</w:t>
      </w:r>
    </w:p>
  </w:footnote>
  <w:footnote w:id="5549">
    <w:p>
      <w:pPr>
        <w:pStyle w:val="Funote"/>
        <w:rPr/>
      </w:pPr>
      <w:r>
        <w:rPr>
          <w:rStyle w:val="Funotenzeichen"/>
        </w:rPr>
        <w:footnoteRef/>
      </w:r>
      <w:r>
        <w:rPr/>
        <w:tab/>
        <w:t>Da von ihren „Herren“ die Rede ist, scheint es sich hier im eine Sklavin zu handeln.</w:t>
      </w:r>
    </w:p>
  </w:footnote>
  <w:footnote w:id="5550">
    <w:p>
      <w:pPr>
        <w:pStyle w:val="Funote"/>
        <w:rPr/>
      </w:pPr>
      <w:r>
        <w:rPr>
          <w:rStyle w:val="Funotenzeichen"/>
        </w:rPr>
        <w:footnoteRef/>
      </w:r>
      <w:hyperlink r:id="rId594">
        <w:r>
          <w:rPr>
            <w:rStyle w:val="Internetverknpfung"/>
          </w:rPr>
          <w:tab/>
          <w:t>Ptz.coni.</w:t>
        </w:r>
      </w:hyperlink>
      <w:r>
        <w:rPr/>
        <w:t>, relativisch aufgelöst.</w:t>
      </w:r>
    </w:p>
  </w:footnote>
  <w:footnote w:id="5551">
    <w:p>
      <w:pPr>
        <w:pStyle w:val="Funote"/>
        <w:rPr/>
      </w:pPr>
      <w:r>
        <w:rPr>
          <w:rStyle w:val="Funotenzeichen"/>
        </w:rPr>
        <w:footnoteRef/>
      </w:r>
      <w:r>
        <w:rPr>
          <w:lang w:val="el-GR"/>
        </w:rPr>
        <w:tab/>
        <w:t>πνεῦμα πύθωνα. πύθων</w:t>
      </w:r>
      <w:r>
        <w:rPr/>
        <w:t xml:space="preserve"> ist der Drache, der das delphische Orakel bewachte und von Apollon getötet wurde. </w:t>
      </w:r>
      <w:r>
        <w:rPr>
          <w:lang w:val="el-GR"/>
        </w:rPr>
        <w:t>πύθων</w:t>
      </w:r>
      <w:r>
        <w:rPr/>
        <w:t xml:space="preserve"> wurde zur Bezeichnung für den Wahrsagegeist, später für Bauchredner. Die v.l. </w:t>
      </w:r>
      <w:r>
        <w:rPr>
          <w:lang w:val="el-GR"/>
        </w:rPr>
        <w:t>πνεῦμα πύθωνος</w:t>
      </w:r>
      <w:r>
        <w:rPr/>
        <w:t>, die z.B. Papyrus 45 und der Mehrheitstext bezeugen, bedeutet: „Geist eines Bauchredners“, also: die Bauchrednergabe.</w:t>
      </w:r>
    </w:p>
  </w:footnote>
  <w:footnote w:id="5552">
    <w:p>
      <w:pPr>
        <w:pStyle w:val="Funote"/>
        <w:rPr/>
      </w:pPr>
      <w:r>
        <w:rPr>
          <w:rStyle w:val="Funotenzeichen"/>
        </w:rPr>
        <w:footnoteRef/>
      </w:r>
      <w:hyperlink r:id="rId595">
        <w:r>
          <w:rPr>
            <w:rStyle w:val="Internetverknpfung"/>
          </w:rPr>
          <w:tab/>
          <w:t>Ptz.coni.</w:t>
        </w:r>
      </w:hyperlink>
      <w:r>
        <w:rPr/>
        <w:t>, modal aufgelöst.</w:t>
      </w:r>
    </w:p>
  </w:footnote>
  <w:footnote w:id="5553">
    <w:p>
      <w:pPr>
        <w:pStyle w:val="Funote"/>
        <w:rPr/>
      </w:pPr>
      <w:r>
        <w:rPr>
          <w:rStyle w:val="Funotenzeichen"/>
        </w:rPr>
        <w:footnoteRef/>
      </w:r>
      <w:hyperlink r:id="rId596">
        <w:r>
          <w:rPr>
            <w:rStyle w:val="Internetverknpfung"/>
          </w:rPr>
          <w:tab/>
          <w:t>Ptz.coni.</w:t>
        </w:r>
      </w:hyperlink>
      <w:r>
        <w:rPr/>
        <w:t>, beiordnend aufgelöst.</w:t>
      </w:r>
    </w:p>
  </w:footnote>
  <w:footnote w:id="5554">
    <w:p>
      <w:pPr>
        <w:pStyle w:val="Funote"/>
        <w:rPr/>
      </w:pPr>
      <w:r>
        <w:rPr>
          <w:rStyle w:val="Funotenzeichen"/>
        </w:rPr>
        <w:footnoteRef/>
      </w:r>
      <w:hyperlink r:id="rId597">
        <w:r>
          <w:rPr>
            <w:rStyle w:val="Internetverknpfung"/>
          </w:rPr>
          <w:tab/>
          <w:t>Ptz.coni.</w:t>
        </w:r>
      </w:hyperlink>
      <w:r>
        <w:rPr/>
        <w:t>, beiordnend aufgelöst.</w:t>
      </w:r>
    </w:p>
  </w:footnote>
  <w:footnote w:id="5555">
    <w:p>
      <w:pPr>
        <w:pStyle w:val="Funote"/>
        <w:rPr/>
      </w:pPr>
      <w:r>
        <w:rPr>
          <w:rStyle w:val="Funotenzeichen"/>
        </w:rPr>
        <w:footnoteRef/>
      </w:r>
      <w:r>
        <w:rPr/>
        <w:tab/>
        <w:t>Aoristisches Präsens: Als Moment der Handlung soll der gegenwärtige Augenblick bezeichnet werden, BDR § 320.</w:t>
      </w:r>
    </w:p>
  </w:footnote>
  <w:footnote w:id="5556">
    <w:p>
      <w:pPr>
        <w:pStyle w:val="Funote"/>
        <w:rPr/>
      </w:pPr>
      <w:r>
        <w:rPr>
          <w:rStyle w:val="Funotenzeichen"/>
        </w:rPr>
        <w:footnoteRef/>
      </w:r>
      <w:hyperlink r:id="rId598">
        <w:r>
          <w:rPr>
            <w:rStyle w:val="Internetverknpfung"/>
          </w:rPr>
          <w:tab/>
          <w:t>Ptz.coni.</w:t>
        </w:r>
      </w:hyperlink>
      <w:r>
        <w:rPr/>
        <w:t>, temporal aufgelöst.</w:t>
      </w:r>
    </w:p>
  </w:footnote>
  <w:footnote w:id="5557">
    <w:p>
      <w:pPr>
        <w:pStyle w:val="Funote"/>
        <w:rPr/>
      </w:pPr>
      <w:r>
        <w:rPr>
          <w:rStyle w:val="Funotenzeichen"/>
        </w:rPr>
        <w:footnoteRef/>
      </w:r>
      <w:r>
        <w:rPr/>
        <w:tab/>
        <w:t xml:space="preserve">Wie in V. 18 steht auch hier </w:t>
      </w:r>
      <w:r>
        <w:rPr>
          <w:lang w:val="el-GR"/>
        </w:rPr>
        <w:t>ἐξέρχομαι</w:t>
      </w:r>
      <w:r>
        <w:rPr/>
        <w:t>. M.E. liegt hier ein Wortspiel vor, das man mit „verschwinden“ (statt: ausfahren) gut wiedergeben kann.</w:t>
      </w:r>
    </w:p>
  </w:footnote>
  <w:footnote w:id="5558">
    <w:p>
      <w:pPr>
        <w:pStyle w:val="Funote"/>
        <w:rPr/>
      </w:pPr>
      <w:r>
        <w:rPr>
          <w:rStyle w:val="Funotenzeichen"/>
        </w:rPr>
        <w:footnoteRef/>
      </w:r>
      <w:hyperlink r:id="rId599">
        <w:r>
          <w:rPr>
            <w:rStyle w:val="Internetverknpfung"/>
          </w:rPr>
          <w:tab/>
          <w:t>Ptz.coni.</w:t>
        </w:r>
      </w:hyperlink>
      <w:r>
        <w:rPr/>
        <w:t>, beiordnend aufgelöst.</w:t>
      </w:r>
    </w:p>
  </w:footnote>
  <w:footnote w:id="5559">
    <w:p>
      <w:pPr>
        <w:pStyle w:val="Funote"/>
        <w:rPr/>
      </w:pPr>
      <w:r>
        <w:rPr>
          <w:rStyle w:val="Funotenzeichen"/>
        </w:rPr>
        <w:footnoteRef/>
      </w:r>
      <w:hyperlink r:id="rId600">
        <w:r>
          <w:rPr>
            <w:rStyle w:val="Internetverknpfung"/>
          </w:rPr>
          <w:tab/>
          <w:t>Ptz.coni.</w:t>
        </w:r>
      </w:hyperlink>
      <w:r>
        <w:rPr/>
        <w:t>, temporal aufgelöst.</w:t>
      </w:r>
    </w:p>
  </w:footnote>
  <w:footnote w:id="5560">
    <w:p>
      <w:pPr>
        <w:pStyle w:val="Funote"/>
        <w:rPr/>
      </w:pPr>
      <w:r>
        <w:rPr>
          <w:rStyle w:val="Funotenzeichen"/>
        </w:rPr>
        <w:footnoteRef/>
      </w:r>
      <w:r>
        <w:rPr/>
        <w:tab/>
        <w:t xml:space="preserve">Das griechische Wort steht für das römische Amt des Prätoren, des obersten Beamten der Kolonie. Die Bezeichnung ist eig. Duumviri, aber </w:t>
      </w:r>
      <w:r>
        <w:rPr>
          <w:lang w:val="el-GR"/>
        </w:rPr>
        <w:t>στρατηγός</w:t>
      </w:r>
      <w:r>
        <w:rPr/>
        <w:t xml:space="preserve"> war auch üblich.</w:t>
      </w:r>
    </w:p>
  </w:footnote>
  <w:footnote w:id="5561">
    <w:p>
      <w:pPr>
        <w:pStyle w:val="Funote"/>
        <w:rPr/>
      </w:pPr>
      <w:r>
        <w:rPr>
          <w:rStyle w:val="Funotenzeichen"/>
        </w:rPr>
        <w:footnoteRef/>
      </w:r>
      <w:r>
        <w:rPr/>
        <w:tab/>
        <w:t>Wörtl.: die uns nicht erlaubt sind gelten zu lassen.</w:t>
      </w:r>
    </w:p>
  </w:footnote>
  <w:footnote w:id="5562">
    <w:p>
      <w:pPr>
        <w:pStyle w:val="Funote"/>
        <w:rPr/>
      </w:pPr>
      <w:r>
        <w:rPr>
          <w:rStyle w:val="Funotenzeichen"/>
        </w:rPr>
        <w:footnoteRef/>
      </w:r>
      <w:hyperlink r:id="rId601">
        <w:r>
          <w:rPr>
            <w:rStyle w:val="Internetverknpfung"/>
          </w:rPr>
          <w:tab/>
          <w:t>Ptz.coni.</w:t>
        </w:r>
      </w:hyperlink>
      <w:r>
        <w:rPr/>
        <w:t>, temporal aufgelöst.</w:t>
      </w:r>
    </w:p>
  </w:footnote>
  <w:footnote w:id="5563">
    <w:p>
      <w:pPr>
        <w:pStyle w:val="Funote"/>
        <w:rPr/>
      </w:pPr>
      <w:r>
        <w:rPr>
          <w:rStyle w:val="Funotenzeichen"/>
        </w:rPr>
        <w:footnoteRef/>
      </w:r>
      <w:r>
        <w:rPr/>
        <w:tab/>
        <w:t>Die Strafe der _verberatio_, nicht mit der Peitsche, sondern mit dem Stock verabreicht. Unter den Prügelstrafen war sie die härteste. Sie wurde nicht gegen römische Bürger angewandt (siehe Vers 37!).</w:t>
      </w:r>
    </w:p>
  </w:footnote>
  <w:footnote w:id="5564">
    <w:p>
      <w:pPr>
        <w:pStyle w:val="Funote"/>
        <w:rPr/>
      </w:pPr>
      <w:r>
        <w:rPr>
          <w:rStyle w:val="Funotenzeichen"/>
        </w:rPr>
        <w:footnoteRef/>
      </w:r>
      <w:hyperlink r:id="rId602">
        <w:r>
          <w:rPr>
            <w:rStyle w:val="Internetverknpfung"/>
          </w:rPr>
          <w:tab/>
          <w:t>Ptz.coni.</w:t>
        </w:r>
      </w:hyperlink>
      <w:r>
        <w:rPr/>
        <w:t>, temporal aufgelöst.</w:t>
      </w:r>
    </w:p>
  </w:footnote>
  <w:footnote w:id="5565">
    <w:p>
      <w:pPr>
        <w:pStyle w:val="Funote"/>
        <w:rPr/>
      </w:pPr>
      <w:r>
        <w:rPr>
          <w:rStyle w:val="Funotenzeichen"/>
        </w:rPr>
        <w:footnoteRef/>
      </w:r>
      <w:hyperlink r:id="rId603">
        <w:r>
          <w:rPr>
            <w:rStyle w:val="Internetverknpfung"/>
          </w:rPr>
          <w:tab/>
          <w:t>Ptz.coni.</w:t>
        </w:r>
      </w:hyperlink>
      <w:r>
        <w:rPr/>
        <w:t>, beiordnend aufgelöst.</w:t>
      </w:r>
    </w:p>
  </w:footnote>
  <w:footnote w:id="5566">
    <w:p>
      <w:pPr>
        <w:pStyle w:val="Funote"/>
        <w:rPr/>
      </w:pPr>
      <w:r>
        <w:rPr>
          <w:rStyle w:val="Funotenzeichen"/>
        </w:rPr>
        <w:footnoteRef/>
      </w:r>
      <w:hyperlink r:id="rId604">
        <w:r>
          <w:rPr>
            <w:rStyle w:val="Internetverknpfung"/>
          </w:rPr>
          <w:tab/>
          <w:t>Ptz.coni.</w:t>
        </w:r>
      </w:hyperlink>
      <w:r>
        <w:rPr/>
        <w:t>, temporal aufgelöst.</w:t>
      </w:r>
    </w:p>
  </w:footnote>
  <w:footnote w:id="5567">
    <w:p>
      <w:pPr>
        <w:pStyle w:val="Funote"/>
        <w:rPr/>
      </w:pPr>
      <w:r>
        <w:rPr>
          <w:rStyle w:val="Funotenzeichen"/>
        </w:rPr>
        <w:footnoteRef/>
      </w:r>
      <w:hyperlink r:id="rId605">
        <w:r>
          <w:rPr>
            <w:rStyle w:val="Internetverknpfung"/>
          </w:rPr>
          <w:tab/>
          <w:t>Ptz.coni.</w:t>
        </w:r>
      </w:hyperlink>
      <w:r>
        <w:rPr/>
        <w:t>, beiordnend aufgelöst.</w:t>
      </w:r>
    </w:p>
  </w:footnote>
  <w:footnote w:id="5568">
    <w:p>
      <w:pPr>
        <w:pStyle w:val="Funote"/>
        <w:rPr/>
      </w:pPr>
      <w:r>
        <w:rPr>
          <w:rStyle w:val="Funotenzeichen"/>
        </w:rPr>
        <w:footnoteRef/>
      </w:r>
      <w:hyperlink r:id="rId606">
        <w:r>
          <w:rPr>
            <w:rStyle w:val="Internetverknpfung"/>
          </w:rPr>
          <w:tab/>
          <w:t>Ptz.coni.</w:t>
        </w:r>
      </w:hyperlink>
      <w:r>
        <w:rPr/>
        <w:t>, temporal aufgelöst.</w:t>
      </w:r>
    </w:p>
  </w:footnote>
  <w:footnote w:id="5569">
    <w:p>
      <w:pPr>
        <w:pStyle w:val="Funote"/>
        <w:rPr/>
      </w:pPr>
      <w:r>
        <w:rPr>
          <w:rStyle w:val="Funotenzeichen"/>
        </w:rPr>
        <w:footnoteRef/>
      </w:r>
      <w:hyperlink r:id="rId607">
        <w:r>
          <w:rPr>
            <w:rStyle w:val="Internetverknpfung"/>
          </w:rPr>
          <w:tab/>
          <w:t>Ptz.coni.</w:t>
        </w:r>
      </w:hyperlink>
      <w:r>
        <w:rPr/>
        <w:t>, beiordnend aufgelöst.</w:t>
      </w:r>
    </w:p>
  </w:footnote>
  <w:footnote w:id="5570">
    <w:p>
      <w:pPr>
        <w:pStyle w:val="Funote"/>
        <w:rPr/>
      </w:pPr>
      <w:r>
        <w:rPr>
          <w:rStyle w:val="Funotenzeichen"/>
        </w:rPr>
        <w:footnoteRef/>
      </w:r>
      <w:hyperlink r:id="rId608">
        <w:r>
          <w:rPr>
            <w:rStyle w:val="Internetverknpfung"/>
          </w:rPr>
          <w:tab/>
          <w:t>Ptz.coni.</w:t>
        </w:r>
      </w:hyperlink>
      <w:r>
        <w:rPr/>
        <w:t>, beiordnend aufgelöst.</w:t>
      </w:r>
    </w:p>
  </w:footnote>
  <w:footnote w:id="5571">
    <w:p>
      <w:pPr>
        <w:pStyle w:val="Funote"/>
        <w:rPr/>
      </w:pPr>
      <w:r>
        <w:rPr>
          <w:rStyle w:val="Funotenzeichen"/>
        </w:rPr>
        <w:footnoteRef/>
      </w:r>
      <w:hyperlink r:id="rId609">
        <w:r>
          <w:rPr>
            <w:rStyle w:val="Internetverknpfung"/>
          </w:rPr>
          <w:tab/>
          <w:t>Ptz.coni.</w:t>
        </w:r>
      </w:hyperlink>
      <w:r>
        <w:rPr/>
        <w:t>, kausal aufgelöst.</w:t>
      </w:r>
    </w:p>
  </w:footnote>
  <w:footnote w:id="5572">
    <w:p>
      <w:pPr>
        <w:pStyle w:val="Funote"/>
        <w:rPr/>
      </w:pPr>
      <w:r>
        <w:rPr>
          <w:rStyle w:val="Funotenzeichen"/>
        </w:rPr>
        <w:footnoteRef/>
      </w:r>
      <w:r>
        <w:rPr/>
        <w:tab/>
        <w:t>ACI, wörtl.: dass die Gefangenen entflohen wären.</w:t>
      </w:r>
    </w:p>
  </w:footnote>
  <w:footnote w:id="5573">
    <w:p>
      <w:pPr>
        <w:pStyle w:val="Funote"/>
        <w:rPr/>
      </w:pPr>
      <w:r>
        <w:rPr>
          <w:rStyle w:val="Funotenzeichen"/>
        </w:rPr>
        <w:footnoteRef/>
      </w:r>
      <w:hyperlink r:id="rId610">
        <w:r>
          <w:rPr>
            <w:rStyle w:val="Internetverknpfung"/>
          </w:rPr>
          <w:tab/>
          <w:t>Ptz.coni.</w:t>
        </w:r>
      </w:hyperlink>
      <w:r>
        <w:rPr/>
        <w:t>, temporal aufgelöst.</w:t>
      </w:r>
    </w:p>
  </w:footnote>
  <w:footnote w:id="5574">
    <w:p>
      <w:pPr>
        <w:pStyle w:val="Funote"/>
        <w:rPr/>
      </w:pPr>
      <w:r>
        <w:rPr>
          <w:rStyle w:val="Funotenzeichen"/>
        </w:rPr>
        <w:footnoteRef/>
      </w:r>
      <w:r>
        <w:rPr/>
        <w:tab/>
        <w:t>So wörtlich. Ich stelle mir das Gefängnis als einen Kellerraum vor, in den die Gefangenen hinabgelassen wurden, was ihre Flucht zusätzlich erschwert hätte - andererseits müsste es sich bei den „Türen“ dann um Falltüren handeln; sonst: hineinlaufen.</w:t>
      </w:r>
    </w:p>
  </w:footnote>
  <w:footnote w:id="5575">
    <w:p>
      <w:pPr>
        <w:pStyle w:val="Funote"/>
        <w:rPr/>
      </w:pPr>
      <w:r>
        <w:rPr>
          <w:rStyle w:val="Funotenzeichen"/>
        </w:rPr>
        <w:footnoteRef/>
      </w:r>
      <w:hyperlink r:id="rId611">
        <w:r>
          <w:rPr>
            <w:rStyle w:val="Internetverknpfung"/>
          </w:rPr>
          <w:tab/>
          <w:t>Ptz.coni.</w:t>
        </w:r>
      </w:hyperlink>
      <w:r>
        <w:rPr/>
        <w:t>, temporal aufgelöst.</w:t>
      </w:r>
    </w:p>
  </w:footnote>
  <w:footnote w:id="5576">
    <w:p>
      <w:pPr>
        <w:pStyle w:val="Funote"/>
        <w:rPr/>
      </w:pPr>
      <w:r>
        <w:rPr>
          <w:rStyle w:val="Funotenzeichen"/>
        </w:rPr>
        <w:footnoteRef/>
      </w:r>
      <w:hyperlink r:id="rId612">
        <w:r>
          <w:rPr>
            <w:rStyle w:val="Internetverknpfung"/>
          </w:rPr>
          <w:tab/>
          <w:t>Ptz.coni.</w:t>
        </w:r>
      </w:hyperlink>
      <w:r>
        <w:rPr/>
        <w:t>, temporal aufgelöst.</w:t>
      </w:r>
    </w:p>
  </w:footnote>
  <w:footnote w:id="5577">
    <w:p>
      <w:pPr>
        <w:pStyle w:val="Funote"/>
        <w:rPr/>
      </w:pPr>
      <w:r>
        <w:rPr>
          <w:rStyle w:val="Funotenzeichen"/>
        </w:rPr>
        <w:footnoteRef/>
      </w:r>
      <w:r>
        <w:rPr/>
        <w:tab/>
        <w:t>Wohl: reinigte die von der Prügelstrafe verursachten Wunden - durch die Schläöge platzt die Haut auf.</w:t>
      </w:r>
    </w:p>
  </w:footnote>
  <w:footnote w:id="5578">
    <w:p>
      <w:pPr>
        <w:pStyle w:val="Funote"/>
        <w:rPr/>
      </w:pPr>
      <w:r>
        <w:rPr>
          <w:rStyle w:val="Funotenzeichen"/>
        </w:rPr>
        <w:footnoteRef/>
      </w:r>
      <w:hyperlink r:id="rId613">
        <w:r>
          <w:rPr>
            <w:rStyle w:val="Internetverknpfung"/>
          </w:rPr>
          <w:tab/>
          <w:t>Ptz.coni.</w:t>
        </w:r>
      </w:hyperlink>
      <w:r>
        <w:rPr/>
        <w:t>, beiordnend aufgelöst.</w:t>
      </w:r>
    </w:p>
  </w:footnote>
  <w:footnote w:id="5579">
    <w:p>
      <w:pPr>
        <w:pStyle w:val="Funote"/>
        <w:rPr/>
      </w:pPr>
      <w:r>
        <w:rPr>
          <w:rStyle w:val="Funotenzeichen"/>
        </w:rPr>
        <w:footnoteRef/>
      </w:r>
      <w:hyperlink r:id="rId614">
        <w:r>
          <w:rPr>
            <w:rStyle w:val="Internetverknpfung"/>
          </w:rPr>
          <w:tab/>
          <w:t>Ptz.coni.</w:t>
        </w:r>
      </w:hyperlink>
      <w:r>
        <w:rPr/>
        <w:t>, temporal aufgelöst.</w:t>
      </w:r>
    </w:p>
  </w:footnote>
  <w:footnote w:id="5580">
    <w:p>
      <w:pPr>
        <w:pStyle w:val="Funote"/>
        <w:rPr/>
      </w:pPr>
      <w:r>
        <w:rPr>
          <w:rStyle w:val="Funotenzeichen"/>
        </w:rPr>
        <w:footnoteRef/>
      </w:r>
      <w:r>
        <w:rPr/>
        <w:tab/>
        <w:t>Den Prätoren von Philippi standen zwei Liktoren zu, BW Sp. 1468.</w:t>
      </w:r>
    </w:p>
  </w:footnote>
  <w:footnote w:id="5581">
    <w:p>
      <w:pPr>
        <w:pStyle w:val="Funote"/>
        <w:rPr/>
      </w:pPr>
      <w:r>
        <w:rPr>
          <w:rStyle w:val="Funotenzeichen"/>
        </w:rPr>
        <w:footnoteRef/>
      </w:r>
      <w:r>
        <w:rPr>
          <w:lang w:val="el-GR"/>
        </w:rPr>
        <w:tab/>
        <w:t>ότι</w:t>
      </w:r>
      <w:r>
        <w:rPr/>
        <w:t xml:space="preserve"> citativum, wird nicht übersetzt.</w:t>
      </w:r>
    </w:p>
  </w:footnote>
  <w:footnote w:id="5582">
    <w:p>
      <w:pPr>
        <w:pStyle w:val="Funote"/>
        <w:rPr/>
      </w:pPr>
      <w:r>
        <w:rPr>
          <w:rStyle w:val="Funotenzeichen"/>
        </w:rPr>
        <w:footnoteRef/>
      </w:r>
      <w:r>
        <w:rPr/>
        <w:tab/>
        <w:t>Den Liktoren aus Vers 35.</w:t>
      </w:r>
    </w:p>
  </w:footnote>
  <w:footnote w:id="5583">
    <w:p>
      <w:pPr>
        <w:pStyle w:val="Funote"/>
        <w:rPr/>
      </w:pPr>
      <w:r>
        <w:rPr>
          <w:rStyle w:val="Funotenzeichen"/>
        </w:rPr>
        <w:footnoteRef/>
      </w:r>
      <w:hyperlink r:id="rId615">
        <w:r>
          <w:rPr>
            <w:rStyle w:val="Internetverknpfung"/>
          </w:rPr>
          <w:tab/>
          <w:t>Ptz.coni.</w:t>
        </w:r>
      </w:hyperlink>
      <w:r>
        <w:rPr/>
        <w:t>, konzessiv aufgelöst.</w:t>
      </w:r>
    </w:p>
  </w:footnote>
  <w:footnote w:id="5584">
    <w:p>
      <w:pPr>
        <w:pStyle w:val="Funote"/>
        <w:rPr/>
      </w:pPr>
      <w:r>
        <w:rPr>
          <w:rStyle w:val="Funotenzeichen"/>
        </w:rPr>
        <w:footnoteRef/>
      </w:r>
      <w:hyperlink r:id="rId616">
        <w:r>
          <w:rPr>
            <w:rStyle w:val="Internetverknpfung"/>
          </w:rPr>
          <w:tab/>
          <w:t>Ptz.coni.</w:t>
        </w:r>
      </w:hyperlink>
      <w:r>
        <w:rPr/>
        <w:t>, beiordnend aufgelöst.</w:t>
      </w:r>
    </w:p>
  </w:footnote>
  <w:footnote w:id="5585">
    <w:p>
      <w:pPr>
        <w:pStyle w:val="Funote"/>
        <w:rPr/>
      </w:pPr>
      <w:r>
        <w:rPr>
          <w:rStyle w:val="Funotenzeichen"/>
        </w:rPr>
        <w:footnoteRef/>
      </w:r>
      <w:hyperlink r:id="rId617">
        <w:r>
          <w:rPr>
            <w:rStyle w:val="Internetverknpfung"/>
          </w:rPr>
          <w:tab/>
          <w:t>Ptz.coni.</w:t>
        </w:r>
      </w:hyperlink>
      <w:r>
        <w:rPr/>
        <w:t>, temporal aufgelöst.</w:t>
      </w:r>
    </w:p>
  </w:footnote>
  <w:footnote w:id="5586">
    <w:p>
      <w:pPr>
        <w:pStyle w:val="Funote"/>
        <w:rPr/>
      </w:pPr>
      <w:r>
        <w:rPr>
          <w:rStyle w:val="Funotenzeichen"/>
        </w:rPr>
        <w:footnoteRef/>
      </w:r>
      <w:r>
        <w:rPr>
          <w:lang w:val="el-GR"/>
        </w:rPr>
        <w:tab/>
        <w:t>ότι</w:t>
      </w:r>
      <w:r>
        <w:rPr/>
        <w:t xml:space="preserve"> citativum, wird nicht übersetzt.</w:t>
      </w:r>
    </w:p>
  </w:footnote>
  <w:footnote w:id="5587">
    <w:p>
      <w:pPr>
        <w:pStyle w:val="Funote"/>
        <w:rPr/>
      </w:pPr>
      <w:r>
        <w:rPr>
          <w:rStyle w:val="Funotenzeichen"/>
        </w:rPr>
        <w:footnoteRef/>
      </w:r>
      <w:hyperlink r:id="rId618">
        <w:r>
          <w:rPr>
            <w:rStyle w:val="Internetverknpfung"/>
          </w:rPr>
          <w:tab/>
          <w:t>Ptz.coni.</w:t>
        </w:r>
      </w:hyperlink>
      <w:r>
        <w:rPr/>
        <w:t>, beiordnend aufgelöst.</w:t>
      </w:r>
    </w:p>
  </w:footnote>
  <w:footnote w:id="5588">
    <w:p>
      <w:pPr>
        <w:pStyle w:val="Funote"/>
        <w:rPr/>
      </w:pPr>
      <w:r>
        <w:rPr>
          <w:rStyle w:val="Funotenzeichen"/>
        </w:rPr>
        <w:footnoteRef/>
      </w:r>
      <w:hyperlink r:id="rId619">
        <w:r>
          <w:rPr>
            <w:rStyle w:val="Internetverknpfung"/>
          </w:rPr>
          <w:tab/>
          <w:t>Ptz.coni.</w:t>
        </w:r>
      </w:hyperlink>
      <w:r>
        <w:rPr/>
        <w:t>, modal aufgelöst.</w:t>
      </w:r>
    </w:p>
  </w:footnote>
  <w:footnote w:id="5589">
    <w:p>
      <w:pPr>
        <w:pStyle w:val="Funote"/>
        <w:rPr/>
      </w:pPr>
      <w:r>
        <w:rPr>
          <w:rStyle w:val="Funotenzeichen"/>
        </w:rPr>
        <w:footnoteRef/>
      </w:r>
      <w:hyperlink r:id="rId620">
        <w:r>
          <w:rPr>
            <w:rStyle w:val="Internetverknpfung"/>
          </w:rPr>
          <w:tab/>
          <w:t>Ptz.coni.</w:t>
        </w:r>
      </w:hyperlink>
      <w:r>
        <w:rPr/>
        <w:t>, temporal aufgelöst.</w:t>
      </w:r>
    </w:p>
  </w:footnote>
  <w:footnote w:id="5590">
    <w:p>
      <w:pPr>
        <w:pStyle w:val="Funote"/>
        <w:rPr/>
      </w:pPr>
      <w:r>
        <w:rPr>
          <w:rStyle w:val="Funotenzeichen"/>
        </w:rPr>
        <w:footnoteRef/>
      </w:r>
      <w:hyperlink r:id="rId621">
        <w:r>
          <w:rPr>
            <w:rStyle w:val="Internetverknpfung"/>
          </w:rPr>
          <w:tab/>
          <w:t>Ptz.coni.</w:t>
        </w:r>
      </w:hyperlink>
      <w:r>
        <w:rPr/>
        <w:t>, beiordnend aufgelöst.</w:t>
      </w:r>
    </w:p>
  </w:footnote>
  <w:footnote w:id="5591">
    <w:p>
      <w:pPr>
        <w:pStyle w:val="Funote"/>
        <w:rPr/>
      </w:pPr>
      <w:r>
        <w:rPr>
          <w:rStyle w:val="Funotenzeichen"/>
        </w:rPr>
        <w:footnoteRef/>
      </w:r>
      <w:r>
        <w:rPr/>
        <w:tab/>
        <w:t>Bauer, Wörterbuch Sp. 1248 übersetzt: "sein Geist wurde in ihm in Erregung versetzt" und gibt als mögliche Gründe dafür Zorn, Betrübnis oder Bekehrungseifer an</w:t>
      </w:r>
    </w:p>
  </w:footnote>
  <w:footnote w:id="5592">
    <w:p>
      <w:pPr>
        <w:pStyle w:val="Funote"/>
        <w:rPr/>
      </w:pPr>
      <w:r>
        <w:rPr>
          <w:rStyle w:val="Funotenzeichen"/>
        </w:rPr>
        <w:footnoteRef/>
      </w:r>
      <w:r>
        <w:rPr/>
        <w:tab/>
        <w:t>Gottesfürchtige aus dem Umkreis der Synagoge</w:t>
      </w:r>
    </w:p>
  </w:footnote>
  <w:footnote w:id="5593">
    <w:p>
      <w:pPr>
        <w:pStyle w:val="Funote"/>
        <w:rPr/>
      </w:pPr>
      <w:r>
        <w:rPr>
          <w:rStyle w:val="Funotenzeichen"/>
        </w:rPr>
        <w:footnoteRef/>
      </w:r>
      <w:r>
        <w:rPr/>
        <w:tab/>
        <w:t>an vielen Tagen</w:t>
      </w:r>
    </w:p>
  </w:footnote>
  <w:footnote w:id="5594">
    <w:p>
      <w:pPr>
        <w:pStyle w:val="Funote"/>
        <w:rPr/>
      </w:pPr>
      <w:r>
        <w:rPr>
          <w:rStyle w:val="Funotenzeichen"/>
        </w:rPr>
        <w:footnoteRef/>
      </w:r>
      <w:r>
        <w:rPr/>
        <w:tab/>
        <w:t>Potentialis der Gegenwart</w:t>
      </w:r>
    </w:p>
  </w:footnote>
  <w:footnote w:id="5595">
    <w:p>
      <w:pPr>
        <w:pStyle w:val="Funote"/>
        <w:rPr/>
      </w:pPr>
      <w:r>
        <w:rPr>
          <w:rStyle w:val="Funotenzeichen"/>
        </w:rPr>
        <w:footnoteRef/>
      </w:r>
      <w:r>
        <w:rPr/>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596">
    <w:p>
      <w:pPr>
        <w:pStyle w:val="Funote"/>
        <w:rPr/>
      </w:pPr>
      <w:r>
        <w:rPr>
          <w:rStyle w:val="Funotenzeichen"/>
        </w:rPr>
        <w:footnoteRef/>
      </w:r>
      <w:r>
        <w:rPr/>
        <w:tab/>
        <w:t>Das Verb kann ein freundliches Anfassen meinen, aber auch eine Festnahme bezeichnen</w:t>
      </w:r>
    </w:p>
  </w:footnote>
  <w:footnote w:id="5597">
    <w:p>
      <w:pPr>
        <w:pStyle w:val="Funote"/>
        <w:rPr/>
      </w:pPr>
      <w:r>
        <w:rPr>
          <w:rStyle w:val="Funotenzeichen"/>
        </w:rPr>
        <w:footnoteRef/>
      </w:r>
      <w:r>
        <w:rPr/>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598">
    <w:p>
      <w:pPr>
        <w:pStyle w:val="Funote"/>
        <w:rPr/>
      </w:pPr>
      <w:r>
        <w:rPr>
          <w:rStyle w:val="Funotenzeichen"/>
        </w:rPr>
        <w:footnoteRef/>
      </w:r>
      <w:r>
        <w:rPr/>
        <w:tab/>
        <w:t>Man kann das Partizip auch gleichzeitig auflösen: Paulus stellte sich [als Redner in Positur]</w:t>
      </w:r>
    </w:p>
  </w:footnote>
  <w:footnote w:id="5599">
    <w:p>
      <w:pPr>
        <w:pStyle w:val="Funote"/>
        <w:rPr/>
      </w:pPr>
      <w:r>
        <w:rPr>
          <w:rStyle w:val="Funotenzeichen"/>
        </w:rPr>
        <w:footnoteRef/>
      </w:r>
      <w:r>
        <w:rPr/>
        <w:tab/>
        <w:t>oder: betrachte euch als durch und durch religiös</w:t>
      </w:r>
    </w:p>
  </w:footnote>
  <w:footnote w:id="5600">
    <w:p>
      <w:pPr>
        <w:pStyle w:val="Funote"/>
        <w:rPr/>
      </w:pPr>
      <w:r>
        <w:rPr>
          <w:rStyle w:val="Funotenzeichen"/>
        </w:rPr>
        <w:footnoteRef/>
      </w:r>
      <w:r>
        <w:rPr/>
        <w:tab/>
        <w:t>Relativpronomen neutrum Sg.</w:t>
      </w:r>
    </w:p>
  </w:footnote>
  <w:footnote w:id="5601">
    <w:p>
      <w:pPr>
        <w:pStyle w:val="Funote"/>
        <w:rPr/>
      </w:pPr>
      <w:r>
        <w:rPr>
          <w:rStyle w:val="Funotenzeichen"/>
        </w:rPr>
        <w:footnoteRef/>
      </w:r>
      <w:r>
        <w:rPr/>
        <w:tab/>
        <w:t>optativus obliqus</w:t>
      </w:r>
    </w:p>
  </w:footnote>
  <w:footnote w:id="5602">
    <w:p>
      <w:pPr>
        <w:pStyle w:val="Funote"/>
        <w:rPr/>
      </w:pPr>
      <w:r>
        <w:rPr>
          <w:rStyle w:val="Funotenzeichen"/>
        </w:rPr>
        <w:footnoteRef/>
      </w:r>
      <w:r>
        <w:rPr>
          <w:lang w:val="el-GR"/>
        </w:rPr>
        <w:tab/>
        <w:t>γένος</w:t>
      </w:r>
      <w:r>
        <w:rPr/>
        <w:t xml:space="preserve"> bezeichnet die Abstammung; der Begriff „Geschlecht“ ist mehrdeutig. Besser: Wir stammen auch von ihm ab</w:t>
      </w:r>
    </w:p>
  </w:footnote>
  <w:footnote w:id="5603">
    <w:p>
      <w:pPr>
        <w:pStyle w:val="Funote"/>
        <w:rPr/>
      </w:pPr>
      <w:r>
        <w:rPr>
          <w:rStyle w:val="Funotenzeichen"/>
        </w:rPr>
        <w:footnoteRef/>
      </w:r>
      <w:r>
        <w:rPr/>
        <w:tab/>
        <w:t>gemeint sind Götterfiguren</w:t>
      </w:r>
    </w:p>
  </w:footnote>
  <w:footnote w:id="5604">
    <w:p>
      <w:pPr>
        <w:pStyle w:val="Funote"/>
        <w:rPr/>
      </w:pPr>
      <w:r>
        <w:rPr>
          <w:rStyle w:val="Funotenzeichen"/>
        </w:rPr>
        <w:footnoteRef/>
      </w:r>
      <w:r>
        <w:rPr>
          <w:lang w:val="el-GR"/>
        </w:rPr>
        <w:tab/>
        <w:t>ὁμοίος</w:t>
      </w:r>
      <w:r>
        <w:rPr/>
        <w:t xml:space="preserve"> kann auch "ähnlich" bedeuten, aber Paulus geht es um die Verehrung der Figuren als Götter, deshalb geht es ihm hier um die (Un-)Gleichheit</w:t>
      </w:r>
    </w:p>
  </w:footnote>
  <w:footnote w:id="5605">
    <w:p>
      <w:pPr>
        <w:pStyle w:val="Funote"/>
        <w:rPr/>
      </w:pPr>
      <w:r>
        <w:rPr>
          <w:rStyle w:val="Funotenzeichen"/>
        </w:rPr>
        <w:footnoteRef/>
      </w:r>
      <w:r>
        <w:rPr/>
        <w:tab/>
        <w:t>eine höfliche Art, das Gespräch zu beenden, ohne dass eine Fortsetzung beabsichtigt wäre, Haenchen S. 466</w:t>
      </w:r>
    </w:p>
  </w:footnote>
  <w:footnote w:id="5606">
    <w:p>
      <w:pPr>
        <w:pStyle w:val="Funote"/>
        <w:rPr/>
      </w:pPr>
      <w:r>
        <w:rPr>
          <w:rStyle w:val="Funotenzeichen"/>
        </w:rPr>
        <w:footnoteRef/>
      </w:r>
      <w:r>
        <w:rPr>
          <w:lang w:val="el-GR"/>
        </w:rPr>
        <w:tab/>
        <w:t>εν τω τον απολλω ειναι εν κορινθω</w:t>
      </w:r>
      <w:r>
        <w:rPr/>
        <w:t>.</w:t>
      </w:r>
    </w:p>
  </w:footnote>
  <w:footnote w:id="5607">
    <w:p>
      <w:pPr>
        <w:pStyle w:val="Funote"/>
        <w:rPr/>
      </w:pPr>
      <w:r>
        <w:rPr>
          <w:rStyle w:val="Funotenzeichen"/>
        </w:rPr>
        <w:footnoteRef/>
      </w:r>
      <w:hyperlink r:id="rId622">
        <w:r>
          <w:rPr>
            <w:rStyle w:val="Internetverknpfung"/>
          </w:rPr>
          <w:tab/>
          <w:t>AcI</w:t>
        </w:r>
      </w:hyperlink>
      <w:r>
        <w:rPr/>
        <w:t>-Konstruktion: A=</w:t>
      </w:r>
      <w:r>
        <w:rPr>
          <w:lang w:val="el-GR"/>
        </w:rPr>
        <w:t>παυλον</w:t>
      </w:r>
      <w:r>
        <w:rPr/>
        <w:t>; I=</w:t>
      </w:r>
      <w:r>
        <w:rPr>
          <w:lang w:val="el-GR"/>
        </w:rPr>
        <w:t>ελθειν, ευρειν</w:t>
      </w:r>
      <w:r>
        <w:rPr/>
        <w:t>.</w:t>
      </w:r>
    </w:p>
  </w:footnote>
  <w:footnote w:id="5608">
    <w:p>
      <w:pPr>
        <w:pStyle w:val="Funote"/>
        <w:rPr/>
      </w:pPr>
      <w:r>
        <w:rPr>
          <w:rStyle w:val="Funotenzeichen"/>
        </w:rPr>
        <w:footnoteRef/>
      </w:r>
      <w:r>
        <w:rPr/>
        <w:tab/>
        <w:t>Genitivus absolutus.</w:t>
      </w:r>
    </w:p>
  </w:footnote>
  <w:footnote w:id="5609">
    <w:p>
      <w:pPr>
        <w:pStyle w:val="Funote"/>
        <w:rPr/>
      </w:pPr>
      <w:r>
        <w:rPr>
          <w:rStyle w:val="Funotenzeichen"/>
        </w:rPr>
        <w:footnoteRef/>
      </w:r>
      <w:r>
        <w:rPr/>
        <w:tab/>
        <w:t xml:space="preserve">Sowohl Ephesus als auch Milet sind Hafenstädte. Sie sind ca. 70 km voneinander entfernt, also etwa 2–3 Tagesreisen (Schnabel 2002, 1177). Milet wird als unbedeutende Stadt dargestellt: es scheint keine Gemeinde dort zu geben, und selbst die Wolle, für die diese Handelsstadt berühmt war, wird nicht erwähnt. </w:t>
      </w:r>
    </w:p>
  </w:footnote>
  <w:footnote w:id="5610">
    <w:p>
      <w:pPr>
        <w:pStyle w:val="Funote"/>
        <w:rPr/>
      </w:pPr>
      <w:r>
        <w:rPr>
          <w:rStyle w:val="Funotenzeichen"/>
        </w:rPr>
        <w:footnoteRef/>
      </w:r>
      <w:r>
        <w:rPr/>
        <w:tab/>
        <w:t>tFN: Zeitform hier Aor. Inhaltlich macht Vorvergangenheit mehr Sinn.</w:t>
      </w:r>
    </w:p>
  </w:footnote>
  <w:footnote w:id="5611">
    <w:p>
      <w:pPr>
        <w:pStyle w:val="Funote"/>
        <w:rPr/>
      </w:pPr>
      <w:r>
        <w:rPr>
          <w:rStyle w:val="Funotenzeichen"/>
        </w:rPr>
        <w:footnoteRef/>
      </w:r>
      <w:r>
        <w:rPr/>
        <w:tab/>
        <w:t>Paulus erinnert an seine Ankunft in Ephesus, die Hauptstadt der römischen Provinz Asia/Asien. Wir wissen von zwei Aufenthalten: sein erster Aufenthalt war am Ende der zweiten Missionsreise (Apg 18,19). Sein längerer Aufenthalt folgt erst in der dritten Missionsreise: in Apg 19,10 werden 2 Jahre erwähnt, nachdem er bereits 3 Monate in den Synagogen gepredigt hatte (Apg 19,8). Die Angabe drei Jahre (V. 31) könnte der inklusiven Zählung zugrunde liegen, bei der angebrochene Jahre mitgezählt werden.</w:t>
      </w:r>
    </w:p>
  </w:footnote>
  <w:footnote w:id="5612">
    <w:p>
      <w:pPr>
        <w:pStyle w:val="Funote"/>
        <w:rPr/>
      </w:pPr>
      <w:r>
        <w:rPr>
          <w:rStyle w:val="Funotenzeichen"/>
        </w:rPr>
        <w:footnoteRef/>
      </w:r>
      <w:r>
        <w:rPr/>
        <w:tab/>
        <w:t>Die deutsche Übersetzung kann nicht wiedergeben, dass die drei Verhaltensweisen (Demut, Tränen und Versuchungen) hier grammatikalisch gleichgeordnet sind, sie sind Charakteristika für den Dienst des Paulus.</w:t>
      </w:r>
    </w:p>
  </w:footnote>
  <w:footnote w:id="5613">
    <w:p>
      <w:pPr>
        <w:pStyle w:val="Funote"/>
        <w:rPr/>
      </w:pPr>
      <w:r>
        <w:rPr>
          <w:rStyle w:val="Funotenzeichen"/>
        </w:rPr>
        <w:footnoteRef/>
      </w:r>
      <w:r>
        <w:rPr/>
        <w:tab/>
        <w:t>Vgl. V. 27, der fast parallel aufgebaut ist.</w:t>
      </w:r>
    </w:p>
  </w:footnote>
  <w:footnote w:id="5614">
    <w:p>
      <w:pPr>
        <w:pStyle w:val="Funote"/>
        <w:rPr/>
      </w:pPr>
      <w:r>
        <w:rPr>
          <w:rStyle w:val="Funotenzeichen"/>
        </w:rPr>
        <w:footnoteRef/>
      </w:r>
      <w:r>
        <w:rPr/>
        <w:tab/>
        <w:t xml:space="preserve">Die doppelte Verneinung „[es gibt] nichts, was ich euch nicht verkündigt hätte“, betont die Vollständigkeit seiner Lehre: er hat nichts verschwiegen, den ganzen Willen Gottes gepredigt, und zwar sowohl den Juden als auch den Griechen; sowohl öffentlich als auch privat, also: mit vollem Einsatz. (Zmijewski 1994, 741) </w:t>
      </w:r>
    </w:p>
  </w:footnote>
  <w:footnote w:id="5615">
    <w:p>
      <w:pPr>
        <w:pStyle w:val="Funote"/>
        <w:rPr/>
      </w:pPr>
      <w:r>
        <w:rPr>
          <w:rStyle w:val="Funotenzeichen"/>
        </w:rPr>
        <w:footnoteRef/>
      </w:r>
      <w:r>
        <w:rPr>
          <w:lang w:val="el-GR"/>
        </w:rPr>
        <w:tab/>
        <w:t>διαμαρτυρόμαι</w:t>
      </w:r>
      <w:r>
        <w:rPr/>
        <w:t xml:space="preserve"> ist stärker als »bezeugen« (so ELB, LUT, SCHL): durch die Vorsilbe </w:t>
      </w:r>
      <w:r>
        <w:rPr>
          <w:lang w:val="el-GR"/>
        </w:rPr>
        <w:t>δια</w:t>
      </w:r>
      <w:r>
        <w:rPr/>
        <w:t>- hat es eine feierlichen, beschwörenden Klang (Haubeck &amp; Siebenthal 2007, 814)</w:t>
      </w:r>
    </w:p>
  </w:footnote>
  <w:footnote w:id="5616">
    <w:p>
      <w:pPr>
        <w:pStyle w:val="Funote"/>
        <w:rPr/>
      </w:pPr>
      <w:r>
        <w:rPr>
          <w:rStyle w:val="Funotenzeichen"/>
        </w:rPr>
        <w:footnoteRef/>
      </w:r>
      <w:r>
        <w:rPr/>
        <w:tab/>
        <w:t>tFN: Welcher Geist ist hier gemeint? Ist hier der Heilige Geist gemeint, also »gebunden durch den (Heiligen) Geist« (dat. instrumentalis, so LUT, NGÜ, NIV)? Dann ist seltsam, dass die Qualifizierung »heilig« hier fehlt, in V. 23 aber erwähnt wird. Allerdings wird »Geist« und »Heiliger Geist« in der Apostelgeschichte oft austauschbar verwendet (am deutlichsten Apg 2,4; 8,17–19). Oder handelt es sich um einen idiomatischen Superlativ der geistigen Tätigkeit des Paulus (»mit fester Entschlossenheit«, so Bullinger 1898, 832)? Dafür würde sprechen, dass bereits in Apg 19,21 von dieser Entscheidung mit dem Idiom »im Geist« gesprochen wird. In diesem Fall würde es sich hier um eine Wiederholung und Steigerung (»gebunden«) handeln. Wir schließen uns der Entscheidung von Bruce (1990, 413) an, der beide Alternativen nennt und sich für die erste Variante entscheidet für beide Stellen.</w:t>
      </w:r>
    </w:p>
  </w:footnote>
  <w:footnote w:id="5617">
    <w:p>
      <w:pPr>
        <w:pStyle w:val="Funote"/>
        <w:rPr/>
      </w:pPr>
      <w:r>
        <w:rPr>
          <w:rStyle w:val="Funotenzeichen"/>
        </w:rPr>
        <w:footnoteRef/>
      </w:r>
      <w:r>
        <w:rPr/>
        <w:tab/>
        <w:t>Erst in Apg 21,11 wird die Warnung konkreter: „fremde Nationen“ werden ihn fesseln (was in Apg 21,33 geschah)</w:t>
      </w:r>
    </w:p>
  </w:footnote>
  <w:footnote w:id="5618">
    <w:p>
      <w:pPr>
        <w:pStyle w:val="Funote"/>
        <w:rPr/>
      </w:pPr>
      <w:r>
        <w:rPr>
          <w:rStyle w:val="Funotenzeichen"/>
        </w:rPr>
        <w:footnoteRef/>
      </w:r>
      <w:r>
        <w:rPr/>
        <w:tab/>
        <w:t>Die grammatikalische Konstruktion ist hier schwierig zu deuten, weil zwei emphatische Ausdrücke kombiniert werden, inhaltlich aber ist klar: Paulus hält sein Leben „für absolut wertlos“ (Dupont 1966, 67f).</w:t>
      </w:r>
    </w:p>
  </w:footnote>
  <w:footnote w:id="5619">
    <w:p>
      <w:pPr>
        <w:pStyle w:val="Funote"/>
        <w:rPr/>
      </w:pPr>
      <w:r>
        <w:rPr>
          <w:rStyle w:val="Funotenzeichen"/>
        </w:rPr>
        <w:footnoteRef/>
      </w:r>
      <w:r>
        <w:rPr/>
        <w:tab/>
        <w:t>Textkritik: SCHL fügt hier hinzu, "mit Freuden". (textus receptus)</w:t>
      </w:r>
    </w:p>
  </w:footnote>
  <w:footnote w:id="5620">
    <w:p>
      <w:pPr>
        <w:pStyle w:val="Funote"/>
        <w:rPr/>
      </w:pPr>
      <w:r>
        <w:rPr>
          <w:rStyle w:val="Funotenzeichen"/>
        </w:rPr>
        <w:footnoteRef/>
      </w:r>
      <w:r>
        <w:rPr/>
        <w:tab/>
        <w:t>Apg 18,6 zeigt, dass er mit dem Blut die fehlende Errettung meint, also „Ich bin unschuldig, wenn einer von euch verloren geht.“ (vgl. Zmijewski 1994, 743). Aber ist nicht jeder für seine eigene Errettung zuständig? Hier hilft ein Verweis auf Wächteramt von Hesekiel: wenn der Prophet Gottes Gerichtswarnung verschweigt, so wird das Gericht den Gottlosen treffen, die Blutschuld aber Hesekiel (Hes 3,18;33,6).</w:t>
      </w:r>
    </w:p>
  </w:footnote>
  <w:footnote w:id="5621">
    <w:p>
      <w:pPr>
        <w:pStyle w:val="Funote"/>
        <w:rPr/>
      </w:pPr>
      <w:r>
        <w:rPr>
          <w:rStyle w:val="Funotenzeichen"/>
        </w:rPr>
        <w:footnoteRef/>
      </w:r>
      <w:r>
        <w:rPr/>
        <w:tab/>
        <w:t>Bei diesen Aufsehern (</w:t>
      </w:r>
      <w:r>
        <w:rPr>
          <w:lang w:val="el-GR"/>
        </w:rPr>
        <w:t>ἐπισκόποι</w:t>
      </w:r>
      <w:r>
        <w:rPr/>
        <w:t>) handelt es sich um die gleiche Personengruppe wie in V. 17: Älteste (</w:t>
      </w:r>
      <w:r>
        <w:rPr>
          <w:lang w:val="el-GR"/>
        </w:rPr>
        <w:t>πρεσβυτέροι</w:t>
      </w:r>
      <w:r>
        <w:rPr/>
        <w:t>). Wir denken bei Ältesten und Bischöfe zuerst an Autorität und Hierarchie; dies wäre hier anachronistisch. Zu der damaligen Zeit waren beide Begriffe wohl Umschreibungen für die gleiche Aufgabe: sich um die Gemeinde fürsorglich zu kümmern. Paulus erinnert hier an die Verantwortung ihrer Leiterrolle. (vgl. Stott 2000, 473)</w:t>
      </w:r>
    </w:p>
  </w:footnote>
  <w:footnote w:id="5622">
    <w:p>
      <w:pPr>
        <w:pStyle w:val="Funote"/>
        <w:rPr/>
      </w:pPr>
      <w:r>
        <w:rPr>
          <w:rStyle w:val="Funotenzeichen"/>
        </w:rPr>
        <w:footnoteRef/>
      </w:r>
      <w:r>
        <w:rPr/>
        <w:tab/>
        <w:t>Textkritik: viele Handschriften haben hier "Gemeinde des Herrn". Vgl. Metzger 1971, 425-427</w:t>
      </w:r>
    </w:p>
  </w:footnote>
  <w:footnote w:id="5623">
    <w:p>
      <w:pPr>
        <w:pStyle w:val="Funote"/>
        <w:rPr/>
      </w:pPr>
      <w:r>
        <w:rPr>
          <w:rStyle w:val="Funotenzeichen"/>
        </w:rPr>
        <w:footnoteRef/>
      </w:r>
      <w:r>
        <w:rPr/>
        <w:tab/>
        <w:t>d.i. durch den Blut seines eigenes [Sohnes]. Vgl. NSS; Dupont: "Paulus an die Seelsorger (1966), S. 107-109</w:t>
      </w:r>
    </w:p>
  </w:footnote>
  <w:footnote w:id="5624">
    <w:p>
      <w:pPr>
        <w:pStyle w:val="Funote"/>
        <w:rPr/>
      </w:pPr>
      <w:r>
        <w:rPr>
          <w:rStyle w:val="Funotenzeichen"/>
        </w:rPr>
        <w:footnoteRef/>
      </w:r>
      <w:r>
        <w:rPr/>
        <w:tab/>
        <w:t>Präsens-Stamm, durativ-iterativ.</w:t>
      </w:r>
    </w:p>
  </w:footnote>
  <w:footnote w:id="5625">
    <w:p>
      <w:pPr>
        <w:pStyle w:val="Funote"/>
        <w:rPr/>
      </w:pPr>
      <w:r>
        <w:rPr>
          <w:rStyle w:val="Funotenzeichen"/>
        </w:rPr>
        <w:footnoteRef/>
      </w:r>
      <w:r>
        <w:rPr/>
        <w:tab/>
        <w:t>Also: die Jünger aus der Herde zu entfernen. Stattdessen schließen sie sich diesen Irrlehrern an.</w:t>
      </w:r>
    </w:p>
  </w:footnote>
  <w:footnote w:id="5626">
    <w:p>
      <w:pPr>
        <w:pStyle w:val="Funote"/>
        <w:rPr/>
      </w:pPr>
      <w:r>
        <w:rPr>
          <w:rStyle w:val="Funotenzeichen"/>
        </w:rPr>
        <w:footnoteRef/>
      </w:r>
      <w:r>
        <w:rPr/>
        <w:tab/>
        <w:t xml:space="preserve">LUT: "der" fähig ist, also Gott. Das Relativpronomen kann sich tatsächlich auf beides beziehen, denn </w:t>
      </w:r>
      <w:r>
        <w:rPr>
          <w:lang w:val="el-GR"/>
        </w:rPr>
        <w:t>θεός</w:t>
      </w:r>
      <w:r>
        <w:rPr/>
        <w:t xml:space="preserve"> und </w:t>
      </w:r>
      <w:r>
        <w:rPr>
          <w:lang w:val="el-GR"/>
        </w:rPr>
        <w:t>λόγος</w:t>
      </w:r>
      <w:r>
        <w:rPr/>
        <w:t xml:space="preserve"> haben den gleichen Genus. Im Kontext der Verse 20.24.27 ist es allerdings wahrscheinlicher, dass Paulus hier die Predigt meint, dessen Inhalt die Gnade ist.</w:t>
      </w:r>
    </w:p>
  </w:footnote>
  <w:footnote w:id="5627">
    <w:p>
      <w:pPr>
        <w:pStyle w:val="Funote"/>
        <w:rPr/>
      </w:pPr>
      <w:r>
        <w:rPr>
          <w:rStyle w:val="Funotenzeichen"/>
        </w:rPr>
        <w:footnoteRef/>
      </w:r>
      <w:r>
        <w:rPr/>
        <w:tab/>
        <w:t>Silber oder Gold: Paraphrastisch für "Geld". Könnte in der Lesefassung als "Münzen oder Scheine" wiedergegeben werden.</w:t>
      </w:r>
    </w:p>
  </w:footnote>
  <w:footnote w:id="5628">
    <w:p>
      <w:pPr>
        <w:pStyle w:val="Funote"/>
        <w:rPr/>
      </w:pPr>
      <w:r>
        <w:rPr>
          <w:rStyle w:val="Funotenzeichen"/>
        </w:rPr>
        <w:footnoteRef/>
      </w:r>
      <w:r>
        <w:rPr/>
        <w:tab/>
        <w:t>Als Hintergrund für die nun folgende Ermahnung muss uns bewusst sein: Paulus hat die Jersualem-Kollekte dabei. Lukas erwähnt diese nicht explizit, aber Apg 20,4 deutet stark auf die anvisierte Delegation der Gemeinden (1Kor 16,3) hin (Böttrich 2013). Diese Kollekte ist eine freiwillige Gabe (2Kor 8,3.8; 9,7), die die Verbundenheit der überwiegende heidenchristlichen Gemeinden mit den Judenchristen in Jerusalem ausdrückt (Gal 2,10), und für die Armen in Jerusalem bestimmt ist (2Kor 9,7).</w:t>
      </w:r>
    </w:p>
  </w:footnote>
  <w:footnote w:id="5629">
    <w:p>
      <w:pPr>
        <w:pStyle w:val="Funote"/>
        <w:rPr/>
      </w:pPr>
      <w:r>
        <w:rPr>
          <w:rStyle w:val="Funotenzeichen"/>
        </w:rPr>
        <w:footnoteRef/>
      </w:r>
      <w:r>
        <w:rPr/>
        <w:tab/>
        <w:t xml:space="preserve">Betonung. Vielleicht auf deutsch: "meine </w:t>
      </w:r>
      <w:r>
        <w:rPr>
          <w:i/>
        </w:rPr>
        <w:t>eigenen</w:t>
      </w:r>
      <w:r>
        <w:rPr/>
        <w:t xml:space="preserve"> Hände"</w:t>
      </w:r>
    </w:p>
  </w:footnote>
  <w:footnote w:id="5630">
    <w:p>
      <w:pPr>
        <w:pStyle w:val="Funote"/>
        <w:rPr/>
      </w:pPr>
      <w:r>
        <w:rPr>
          <w:rStyle w:val="Funotenzeichen"/>
        </w:rPr>
        <w:footnoteRef/>
      </w:r>
      <w:r>
        <w:rPr/>
        <w:tab/>
        <w:t>Er hat selbst den Unterhalt für sich und seine Begleiter erarbeitet. Dass dies nicht selbstverständlich war, wird in 1Kor 9 deutlich: natürlich haben die Leviten, und damit auch die Wanderprediger (1Kor 9,14), Recht auf Unterhalt. Er verzichtet darauf, nicht weil es von Gott so befohlen ist, sondern freiwillig, um der Verbreitung des Evangeliums in keinster Weise ein Hindernis zu sein (1Kor 9,12). Als er im Gefängnis ist, nimmt er eine Gabe von den Philippern dankend an (Phil 4,10–18).</w:t>
      </w:r>
    </w:p>
  </w:footnote>
  <w:footnote w:id="5631">
    <w:p>
      <w:pPr>
        <w:pStyle w:val="Funote"/>
        <w:rPr/>
      </w:pPr>
      <w:r>
        <w:rPr>
          <w:rStyle w:val="Funotenzeichen"/>
        </w:rPr>
        <w:footnoteRef/>
      </w:r>
      <w:r>
        <w:rPr/>
        <w:tab/>
        <w:t>Im Griechischen fehlt das Subjekt. Darum haben die Übersetzung hier verschiedene Formulierungen gewählt: man (soll/kann ...) (ELB, LUT, SCHL, EU, HFA), wir (NGÜ, GNB, NeÜ, NIV), ihr (NLB, KJV).</w:t>
      </w:r>
    </w:p>
  </w:footnote>
  <w:footnote w:id="5632">
    <w:p>
      <w:pPr>
        <w:pStyle w:val="Funote"/>
        <w:rPr/>
      </w:pPr>
      <w:r>
        <w:rPr>
          <w:rStyle w:val="Funotenzeichen"/>
        </w:rPr>
        <w:footnoteRef/>
      </w:r>
      <w:r>
        <w:rPr/>
        <w:tab/>
        <w:t xml:space="preserve">Er begründet sein Verhalten mit dem jüdischen Wohlfahrtsgedanken: wer etwas hat, soll mit dem Teilen, der nicht genug hat (5Mo 24,19; Sach 7,9f; Lk 3,11). </w:t>
      </w:r>
    </w:p>
  </w:footnote>
  <w:footnote w:id="5633">
    <w:p>
      <w:pPr>
        <w:pStyle w:val="Funote"/>
        <w:rPr/>
      </w:pPr>
      <w:r>
        <w:rPr>
          <w:rStyle w:val="Funotenzeichen"/>
        </w:rPr>
        <w:footnoteRef/>
      </w:r>
      <w:r>
        <w:rPr/>
        <w:tab/>
        <w:t xml:space="preserve">Das Wort </w:t>
      </w:r>
      <w:r>
        <w:rPr>
          <w:lang w:val="el-GR"/>
        </w:rPr>
        <w:t>μακάριος</w:t>
      </w:r>
      <w:r>
        <w:rPr/>
        <w:t xml:space="preserve"> hat dabei sowohl einen horizontalen, als auch einen vertikalen Aspekt: es macht glücklicher, aber auch: es ist gesegneter (Becker 2000, 1642f). </w:t>
      </w:r>
    </w:p>
  </w:footnote>
  <w:footnote w:id="5634">
    <w:p>
      <w:pPr>
        <w:pStyle w:val="Funote"/>
        <w:rPr/>
      </w:pPr>
      <w:r>
        <w:rPr>
          <w:rStyle w:val="Funotenzeichen"/>
        </w:rPr>
        <w:footnoteRef/>
      </w:r>
      <w:r>
        <w:rPr/>
        <w:tab/>
        <w:t>Dieses Jesus-Wort ist nicht in den Evangelien überliefert. Aber vgl. Lk 6,38</w:t>
      </w:r>
    </w:p>
  </w:footnote>
  <w:footnote w:id="5635">
    <w:p>
      <w:pPr>
        <w:pStyle w:val="Funote"/>
        <w:rPr/>
      </w:pPr>
      <w:r>
        <w:rPr>
          <w:rStyle w:val="Funotenzeichen"/>
        </w:rPr>
        <w:footnoteRef/>
      </w:r>
      <w:r>
        <w:rPr/>
        <w:tab/>
        <w:t>Impf - durativ iterativ (oder linear: sie hörten nicht auf, ihn zu küssen). Beides spricht von einem längerem Abschied.</w:t>
      </w:r>
    </w:p>
  </w:footnote>
  <w:footnote w:id="5636">
    <w:p>
      <w:pPr>
        <w:pStyle w:val="Funote"/>
        <w:rPr/>
      </w:pPr>
      <w:r>
        <w:rPr>
          <w:rStyle w:val="Funotenzeichen"/>
        </w:rPr>
        <w:footnoteRef/>
      </w:r>
      <w:r>
        <w:rPr/>
        <w:tab/>
        <w:t>w. sie statteten ihn zur Weiterreise aus. D.h. sie taten alles, was sie konnten, um Paulus ein letztes Mal Ehre zu erweisen. Antike Gastfreundschaft</w:t>
      </w:r>
    </w:p>
  </w:footnote>
  <w:footnote w:id="5637">
    <w:p>
      <w:pPr>
        <w:pStyle w:val="Funote"/>
        <w:rPr/>
      </w:pPr>
      <w:r>
        <w:rPr>
          <w:rStyle w:val="Funotenzeichen"/>
        </w:rPr>
        <w:footnoteRef/>
      </w:r>
      <w:r>
        <w:rPr/>
        <w:tab/>
        <w:t>[Status: Ungeprüft]</w:t>
      </w:r>
    </w:p>
  </w:footnote>
  <w:footnote w:id="5638">
    <w:p>
      <w:pPr>
        <w:pStyle w:val="Funote"/>
        <w:rPr/>
      </w:pPr>
      <w:r>
        <w:rPr>
          <w:rStyle w:val="Funotenzeichen"/>
        </w:rPr>
        <w:footnoteRef/>
      </w:r>
      <w:r>
        <w:rPr/>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w:t>
      </w:r>
      <w:hyperlink r:id="rId623">
        <w:r>
          <w:rPr>
            <w:rStyle w:val="Internetverknpfung"/>
          </w:rPr>
          <w:t>1 Sam 18,5.30</w:t>
        </w:r>
      </w:hyperlink>
      <w:r>
        <w:rPr/>
        <w:t xml:space="preserve"> und </w:t>
      </w:r>
      <w:hyperlink r:id="rId624">
        <w:r>
          <w:rPr>
            <w:rStyle w:val="Internetverknpfung"/>
          </w:rPr>
          <w:t>19,4</w:t>
        </w:r>
      </w:hyperlink>
      <w:r>
        <w:rPr/>
        <w:t xml:space="preserve"> (Haaker </w:t>
      </w:r>
      <w:r>
        <w:rPr>
          <w:position w:val="7"/>
          <w:sz w:val="16"/>
        </w:rPr>
        <w:t>3</w:t>
      </w:r>
      <w:r>
        <w:rPr/>
        <w:t>2006, 22–23).</w:t>
      </w:r>
    </w:p>
  </w:footnote>
  <w:footnote w:id="5639">
    <w:p>
      <w:pPr>
        <w:pStyle w:val="Funote"/>
        <w:rPr/>
      </w:pPr>
      <w:r>
        <w:rPr>
          <w:rStyle w:val="Funotenzeichen"/>
        </w:rPr>
        <w:footnoteRef/>
      </w:r>
      <w:r>
        <w:rPr/>
        <w:tab/>
        <w:t>D.h. wohl „seiner menschlichen Abstammung nach“ (vgl. NGÜ)</w:t>
      </w:r>
    </w:p>
  </w:footnote>
  <w:footnote w:id="5640">
    <w:p>
      <w:pPr>
        <w:pStyle w:val="Funote"/>
        <w:rPr/>
      </w:pPr>
      <w:r>
        <w:rPr>
          <w:rStyle w:val="Funotenzeichen"/>
        </w:rPr>
        <w:footnoteRef/>
      </w:r>
      <w:r>
        <w:rPr/>
        <w:tab/>
        <w:t xml:space="preserve">D.h. „seiner himmlischen Herkunft nach“. Paulus erklärt hier anhand einer zitierten Formulierung die Zweinaturenlehre von Jesu irdischer Herkunft und seiner himmlischen Herkunft. Es geht also nicht - wie anderswo bei Paulus (etwa </w:t>
      </w:r>
      <w:hyperlink r:id="rId625">
        <w:r>
          <w:rPr>
            <w:rStyle w:val="Internetverknpfung"/>
          </w:rPr>
          <w:t>Gal 5</w:t>
        </w:r>
      </w:hyperlink>
      <w:r>
        <w:rPr/>
        <w:t xml:space="preserve">) um einen Gegensatz zwischen „Fleisch“ und „Geist“ im Leben der Christen. </w:t>
      </w:r>
    </w:p>
  </w:footnote>
  <w:footnote w:id="5641">
    <w:p>
      <w:pPr>
        <w:pStyle w:val="Funote"/>
        <w:rPr/>
      </w:pPr>
      <w:r>
        <w:rPr>
          <w:rStyle w:val="Funotenzeichen"/>
        </w:rPr>
        <w:footnoteRef/>
      </w:r>
      <w:r>
        <w:rPr/>
        <w:tab/>
        <w:t xml:space="preserve">Wörtlich </w:t>
      </w:r>
      <w:r>
        <w:rPr>
          <w:lang w:val="el-GR"/>
        </w:rPr>
        <w:t>ἐξ ἀναστάσεως νεκρῶν</w:t>
      </w:r>
      <w:r>
        <w:rPr/>
        <w:t xml:space="preserve"> „</w:t>
      </w:r>
      <w:r>
        <w:rPr>
          <w:i/>
        </w:rPr>
        <w:t>aus</w:t>
      </w:r>
      <w:r>
        <w:rPr/>
        <w:t xml:space="preserve"> der Auferstehung der Toten“. „Aus“ ist entweder kausal („durch“) oder temporal („nach“) zu verstehen, hier wurde einstweilen kausal formuliert. </w:t>
      </w:r>
    </w:p>
  </w:footnote>
  <w:footnote w:id="5642">
    <w:p>
      <w:pPr>
        <w:pStyle w:val="Funote"/>
        <w:rPr/>
      </w:pPr>
      <w:r>
        <w:rPr>
          <w:rStyle w:val="Funotenzeichen"/>
        </w:rPr>
        <w:footnoteRef/>
      </w:r>
      <w:r>
        <w:rPr/>
        <w:tab/>
        <w:t>„</w:t>
      </w:r>
      <w:r>
        <w:rPr>
          <w:i/>
        </w:rPr>
        <w:t>Sohn Gottes in Macht“</w:t>
      </w:r>
      <w:r>
        <w:rPr/>
        <w:t xml:space="preserve">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 </w:t>
      </w:r>
    </w:p>
  </w:footnote>
  <w:footnote w:id="5643">
    <w:p>
      <w:pPr>
        <w:pStyle w:val="Funote"/>
        <w:rPr/>
      </w:pPr>
      <w:r>
        <w:rPr>
          <w:rStyle w:val="Funotenzeichen"/>
        </w:rPr>
        <w:footnoteRef/>
      </w:r>
      <w:r>
        <w:rPr/>
        <w:tab/>
        <w:t xml:space="preserve">Jesus wurde durch Tod und Auferstehung in das messianische Amt des verheißenen Königs von Israel eingesetzt, der ein Erbe Davids sein sollte (vgl. </w:t>
      </w:r>
      <w:r>
        <w:fldChar w:fldCharType="begin"/>
      </w:r>
      <w:r>
        <w:rPr>
          <w:rStyle w:val="Internetverknpfung"/>
        </w:rPr>
        <w:instrText> HYPERLINK "../../../../../../../../../wiki/R%C3%B6mer_1" \l "s3"</w:instrText>
      </w:r>
      <w:r>
        <w:rPr>
          <w:rStyle w:val="Internetverknpfung"/>
        </w:rPr>
        <w:fldChar w:fldCharType="separate"/>
      </w:r>
      <w:r>
        <w:rPr>
          <w:rStyle w:val="Internetverknpfung"/>
        </w:rPr>
        <w:t>3</w:t>
      </w:r>
      <w:r>
        <w:rPr>
          <w:rStyle w:val="Internetverknpfung"/>
        </w:rPr>
        <w:fldChar w:fldCharType="end"/>
      </w:r>
      <w:r>
        <w:rPr/>
        <w:t xml:space="preserve">), also zum Messias gemacht. Obwohl er das schon vorher war, ist dieser Status erst jetzt in Kraft getreten. Röm 1,4 darf man hingegen nicht adoptianistisch verstehen, dass Jesus also erst nach seinem Tod als Sohn Gottes adoptiert wurde und vorher lediglich Mensch war. </w:t>
      </w:r>
    </w:p>
  </w:footnote>
  <w:footnote w:id="5644">
    <w:p>
      <w:pPr>
        <w:pStyle w:val="Funote"/>
        <w:rPr/>
      </w:pPr>
      <w:r>
        <w:rPr>
          <w:rStyle w:val="Funotenzeichen"/>
        </w:rPr>
        <w:footnoteRef/>
      </w:r>
      <w:r>
        <w:rPr/>
        <w:tab/>
        <w:t>Oder „... auch ihr seid, weil ihr von Jesus Christus berufen worden seid“. Dann wird das Ptz. „berufen“ kausal aufgelöst (vgl. Menge). [von] Jesus Christus Berufene Genitivus auctoris (NSS, 900).</w:t>
      </w:r>
    </w:p>
  </w:footnote>
  <w:footnote w:id="5645">
    <w:p>
      <w:pPr>
        <w:pStyle w:val="Funote"/>
        <w:rPr/>
      </w:pPr>
      <w:r>
        <w:rPr>
          <w:rStyle w:val="Funotenzeichen"/>
        </w:rPr>
        <w:footnoteRef/>
      </w:r>
      <w:r>
        <w:rPr/>
        <w:tab/>
        <w:t>Theoretisch ebenfalls möglich: „unserem Vater und Herrn von Jesus Christus“ oder „unserem Vater sowie [dem Vater] unseres Herrn Jesus Christus“</w:t>
      </w:r>
    </w:p>
  </w:footnote>
  <w:footnote w:id="5646">
    <w:p>
      <w:pPr>
        <w:pStyle w:val="Funote"/>
        <w:rPr/>
      </w:pPr>
      <w:r>
        <w:rPr>
          <w:rStyle w:val="Funotenzeichen"/>
        </w:rPr>
        <w:footnoteRef/>
      </w:r>
      <w:r>
        <w:rPr/>
        <w:tab/>
        <w:t>Luther: „dass man von eurem Glauben in aller Welt spricht“ (ähnlich NGÜ, GNB, Menge)</w:t>
      </w:r>
    </w:p>
  </w:footnote>
  <w:footnote w:id="5647">
    <w:p>
      <w:pPr>
        <w:pStyle w:val="Funote"/>
        <w:rPr/>
      </w:pPr>
      <w:r>
        <w:rPr>
          <w:rStyle w:val="Funotenzeichen"/>
        </w:rPr>
        <w:footnoteRef/>
      </w:r>
      <w:r>
        <w:rPr/>
        <w:tab/>
        <w:t xml:space="preserve">Das Verb meint einen Dienst im Sinne religiöser Verehrung (engl. „worship“; vgl. Wilckens </w:t>
      </w:r>
      <w:r>
        <w:rPr>
          <w:position w:val="7"/>
          <w:sz w:val="16"/>
        </w:rPr>
        <w:t>2</w:t>
      </w:r>
      <w:r>
        <w:rPr/>
        <w:t xml:space="preserve">1987, 78), nicht einfach den Dienst eines Sklaven. </w:t>
      </w:r>
    </w:p>
  </w:footnote>
  <w:footnote w:id="5648">
    <w:p>
      <w:pPr>
        <w:pStyle w:val="Funote"/>
        <w:rPr/>
      </w:pPr>
      <w:r>
        <w:rPr>
          <w:rStyle w:val="Funotenzeichen"/>
        </w:rPr>
        <w:footnoteRef/>
      </w:r>
      <w:r>
        <w:rPr>
          <w:i/>
        </w:rPr>
        <w:tab/>
        <w:t>an euch denke</w:t>
      </w:r>
      <w:r>
        <w:rPr/>
        <w:t xml:space="preserve"> W. „euer Andenken mache“</w:t>
      </w:r>
    </w:p>
  </w:footnote>
  <w:footnote w:id="5649">
    <w:p>
      <w:pPr>
        <w:pStyle w:val="Funote"/>
        <w:rPr/>
      </w:pPr>
      <w:r>
        <w:rPr>
          <w:rStyle w:val="Funotenzeichen"/>
        </w:rPr>
        <w:footnoteRef/>
      </w:r>
      <w:r>
        <w:rPr/>
        <w:tab/>
        <w:t>Oder über die Versgrenzen hinweg „dass ich beständig, jedes Mal bei meinen Gebeten an euch denke und [darum] bitte, dass...“</w:t>
      </w:r>
    </w:p>
  </w:footnote>
  <w:footnote w:id="5650">
    <w:p>
      <w:pPr>
        <w:pStyle w:val="Funote"/>
        <w:rPr/>
      </w:pPr>
      <w:r>
        <w:rPr>
          <w:rStyle w:val="Funotenzeichen"/>
        </w:rPr>
        <w:footnoteRef/>
      </w:r>
      <w:r>
        <w:rPr/>
        <w:tab/>
        <w:t xml:space="preserve">Participium coniunctum, hier temporal aufgelöst (mit „wenn“). Möglich auch als „und“-Kombination („denke und … bitte“) oder kausal (mit „weil“). </w:t>
      </w:r>
    </w:p>
  </w:footnote>
  <w:footnote w:id="5651">
    <w:p>
      <w:pPr>
        <w:pStyle w:val="Funote"/>
        <w:rPr/>
      </w:pPr>
      <w:r>
        <w:rPr>
          <w:rStyle w:val="Funotenzeichen"/>
        </w:rPr>
        <w:footnoteRef/>
      </w:r>
      <w:r>
        <w:rPr/>
        <w:tab/>
        <w:t>Oder: "einmal schaffen könnte, in Gottes Willen zu euch zu kommen"</w:t>
      </w:r>
    </w:p>
  </w:footnote>
  <w:footnote w:id="5652">
    <w:p>
      <w:pPr>
        <w:pStyle w:val="Funote"/>
        <w:rPr/>
      </w:pPr>
      <w:r>
        <w:rPr>
          <w:rStyle w:val="Funotenzeichen"/>
        </w:rPr>
        <w:footnoteRef/>
      </w:r>
      <w:r>
        <w:rPr/>
        <w:tab/>
        <w:t>W. „und dieses [Geschenk] ist“</w:t>
      </w:r>
    </w:p>
  </w:footnote>
  <w:footnote w:id="5653">
    <w:p>
      <w:pPr>
        <w:pStyle w:val="Funote"/>
        <w:rPr/>
      </w:pPr>
      <w:r>
        <w:rPr>
          <w:rStyle w:val="Funotenzeichen"/>
        </w:rPr>
        <w:footnoteRef/>
      </w:r>
      <w:r>
        <w:rPr/>
        <w:tab/>
        <w:t>Oder freier „durch den uns allen gemeinsamen Glauben“ (so Zür).</w:t>
      </w:r>
    </w:p>
  </w:footnote>
  <w:footnote w:id="5654">
    <w:p>
      <w:pPr>
        <w:pStyle w:val="Funote"/>
        <w:rPr/>
      </w:pPr>
      <w:r>
        <w:rPr>
          <w:rStyle w:val="Funotenzeichen"/>
        </w:rPr>
        <w:footnoteRef/>
      </w:r>
      <w:r>
        <w:rPr/>
        <w:tab/>
        <w:t xml:space="preserve">Oder „Ich will aber nicht, dass ihr unwissend bleibt.“ Die gewählte Übersetzung löst den AcI aber genauer und eleganter auf. </w:t>
      </w:r>
    </w:p>
  </w:footnote>
  <w:footnote w:id="5655">
    <w:p>
      <w:pPr>
        <w:pStyle w:val="Funote"/>
        <w:rPr/>
      </w:pPr>
      <w:r>
        <w:rPr>
          <w:rStyle w:val="Funotenzeichen"/>
        </w:rPr>
        <w:footnoteRef/>
      </w:r>
      <w:r>
        <w:rPr/>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656">
    <w:p>
      <w:pPr>
        <w:pStyle w:val="Funote"/>
        <w:rPr/>
      </w:pPr>
      <w:r>
        <w:rPr>
          <w:rStyle w:val="Funotenzeichen"/>
        </w:rPr>
        <w:footnoteRef/>
      </w:r>
      <w:r>
        <w:rPr/>
        <w:tab/>
        <w:t xml:space="preserve">Substantiviertes Ptz., als Relativsatz aufgelöst. </w:t>
      </w:r>
    </w:p>
  </w:footnote>
  <w:footnote w:id="5657">
    <w:p>
      <w:pPr>
        <w:pStyle w:val="Funote"/>
        <w:rPr/>
      </w:pPr>
      <w:r>
        <w:rPr>
          <w:rStyle w:val="Funotenzeichen"/>
        </w:rPr>
        <w:footnoteRef/>
      </w:r>
      <w:r>
        <w:rPr/>
        <w:tab/>
        <w:t>[Platzhalter]</w:t>
      </w:r>
    </w:p>
  </w:footnote>
  <w:footnote w:id="5658">
    <w:p>
      <w:pPr>
        <w:pStyle w:val="Funote"/>
        <w:rPr/>
      </w:pPr>
      <w:r>
        <w:rPr>
          <w:rStyle w:val="Funotenzeichen"/>
        </w:rPr>
        <w:footnoteRef/>
      </w:r>
      <w:r>
        <w:rPr>
          <w:i/>
        </w:rPr>
        <w:tab/>
        <w:t>aufgrund des Glaubens zum Glauben</w:t>
      </w:r>
      <w:r>
        <w:rPr/>
        <w:t xml:space="preserve"> Es wird klar, was damit gemeint ist, wenn man beachtet, dass </w:t>
      </w:r>
      <w:r>
        <w:rPr>
          <w:lang w:val="el-GR"/>
        </w:rPr>
        <w:t>ἐν αὐτῷ</w:t>
      </w:r>
      <w:r>
        <w:rPr/>
        <w:t xml:space="preserve"> </w:t>
      </w:r>
      <w:r>
        <w:rPr>
          <w:i/>
        </w:rPr>
        <w:t>darin</w:t>
      </w:r>
      <w:r>
        <w:rPr/>
        <w:t xml:space="preserve"> und </w:t>
      </w:r>
      <w:r>
        <w:rPr>
          <w:lang w:val="el-GR"/>
        </w:rPr>
        <w:t>γὰρ</w:t>
      </w:r>
      <w:r>
        <w:rPr/>
        <w:t xml:space="preserve"> </w:t>
      </w:r>
      <w:r>
        <w:rPr>
          <w:i/>
        </w:rPr>
        <w:t>ja</w:t>
      </w:r>
      <w:r>
        <w:rPr/>
        <w:t xml:space="preserve"> darauf hinweisen, dass V. 17 V. 16 genauer erklärt. </w:t>
      </w:r>
      <w:r>
        <w:rPr>
          <w:lang w:val="el-GR"/>
        </w:rPr>
        <w:t>ἐκ πίστεως</w:t>
      </w:r>
      <w:r>
        <w:rPr/>
        <w:t xml:space="preserve"> </w:t>
      </w:r>
      <w:r>
        <w:rPr>
          <w:i/>
        </w:rPr>
        <w:t>aufgrund des Glaubens</w:t>
      </w:r>
      <w:r>
        <w:rPr/>
        <w:t xml:space="preserve"> ist diese Gerechtigkeit verfügbar, weil die Gerechtigkeit Gottes (vgl. vorige Fußnote) im Evangelium auf Gottes Kraft beruht, und </w:t>
      </w:r>
      <w:r>
        <w:rPr>
          <w:lang w:val="el-GR"/>
        </w:rPr>
        <w:t>εἰς πίστιν</w:t>
      </w:r>
      <w:r>
        <w:rPr/>
        <w:t xml:space="preserve"> </w:t>
      </w:r>
      <w:r>
        <w:rPr>
          <w:i/>
        </w:rPr>
        <w:t>zum Glauben</w:t>
      </w:r>
      <w:r>
        <w:rPr/>
        <w:t xml:space="preserve"> führt Gottes Gerechtigkeit jeden, der glaubt (Wilckens </w:t>
      </w:r>
      <w:r>
        <w:rPr>
          <w:position w:val="7"/>
          <w:sz w:val="16"/>
        </w:rPr>
        <w:t>2</w:t>
      </w:r>
      <w:r>
        <w:rPr/>
        <w:t xml:space="preserve">1987, 86). Sinngemäß könnte man also zusammenfassen: „Gerechtigkeit Gottes aufgrund des Glaubens (weil Gottes Kraft sie erwirkt), die zum Glauben führt“ </w:t>
      </w:r>
    </w:p>
  </w:footnote>
  <w:footnote w:id="5659">
    <w:p>
      <w:pPr>
        <w:pStyle w:val="Funote"/>
        <w:rPr/>
      </w:pPr>
      <w:r>
        <w:rPr>
          <w:rStyle w:val="Funotenzeichen"/>
        </w:rPr>
        <w:footnoteRef/>
      </w:r>
      <w:r>
        <w:rPr/>
        <w:tab/>
        <w:t>[Status: Ungeprüft]</w:t>
      </w:r>
    </w:p>
  </w:footnote>
  <w:footnote w:id="5660">
    <w:p>
      <w:pPr>
        <w:pStyle w:val="Funote"/>
        <w:rPr/>
      </w:pPr>
      <w:r>
        <w:rPr>
          <w:rStyle w:val="Funotenzeichen"/>
        </w:rPr>
        <w:footnoteRef/>
      </w:r>
      <w:r>
        <w:rPr/>
        <w:tab/>
        <w:t xml:space="preserve">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w:t>
      </w:r>
      <w:r>
        <w:rPr>
          <w:position w:val="7"/>
          <w:sz w:val="16"/>
        </w:rPr>
        <w:t>3</w:t>
      </w:r>
      <w:r>
        <w:rPr/>
        <w:t>2006, S. 62</w:t>
      </w:r>
    </w:p>
  </w:footnote>
  <w:footnote w:id="5661">
    <w:p>
      <w:pPr>
        <w:pStyle w:val="Funote"/>
        <w:rPr/>
      </w:pPr>
      <w:r>
        <w:rPr>
          <w:rStyle w:val="Funotenzeichen"/>
        </w:rPr>
        <w:footnoteRef/>
      </w:r>
      <w:r>
        <w:rPr/>
        <w:tab/>
        <w:t>Ein Genitivus absolutus wurde hier als (einigermaßen neutral einzustufender) Relativsatz übersetzt.</w:t>
      </w:r>
    </w:p>
  </w:footnote>
  <w:footnote w:id="5662">
    <w:p>
      <w:pPr>
        <w:pStyle w:val="Funote"/>
        <w:rPr/>
      </w:pPr>
      <w:r>
        <w:rPr>
          <w:rStyle w:val="Funotenzeichen"/>
        </w:rPr>
        <w:footnoteRef/>
      </w:r>
      <w:r>
        <w:rPr/>
        <w:tab/>
        <w:t>[Status: Ungeprüft]</w:t>
      </w:r>
    </w:p>
  </w:footnote>
  <w:footnote w:id="5663">
    <w:p>
      <w:pPr>
        <w:pStyle w:val="Funote"/>
        <w:rPr/>
      </w:pPr>
      <w:r>
        <w:rPr>
          <w:rStyle w:val="Funotenzeichen"/>
        </w:rPr>
        <w:footnoteRef/>
      </w:r>
      <w:r>
        <w:rPr>
          <w:i/>
        </w:rPr>
        <w:tab/>
        <w:t>perissos</w:t>
      </w:r>
      <w:r>
        <w:rPr/>
        <w:t xml:space="preserve"> meint das, was über das übliche Maß oder die übliche Anzahl hinausgeht. Damit stehen Bedeutungshorizonte von „besonders“ bzw. „vorzüglich“ bis „überflüssig“ bzw. „unnötig“ offen.</w:t>
      </w:r>
    </w:p>
  </w:footnote>
  <w:footnote w:id="5664">
    <w:p>
      <w:pPr>
        <w:pStyle w:val="Funote"/>
        <w:rPr/>
      </w:pPr>
      <w:r>
        <w:rPr>
          <w:rStyle w:val="Funotenzeichen"/>
        </w:rPr>
        <w:footnoteRef/>
      </w:r>
      <w:r>
        <w:rPr/>
        <w:tab/>
        <w:t xml:space="preserve">Grundsätzlich kann man hier </w:t>
      </w:r>
      <w:r>
        <w:rPr>
          <w:i/>
        </w:rPr>
        <w:t>prwton</w:t>
      </w:r>
      <w:r>
        <w:rPr/>
        <w:t xml:space="preserve">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w:t>
      </w:r>
      <w:r>
        <w:rPr>
          <w:i/>
        </w:rPr>
        <w:t>prwton</w:t>
      </w:r>
      <w:r>
        <w:rPr/>
        <w:t xml:space="preserve"> auch den Rang bezeichnen („in erster Linie“, „vor allem“), beziehungsweise einfach die Grundbedeutung „zuerst, früher, vorher“ meinen. Die Übersetzung mit dem Rang scheint mir gut zu passen.</w:t>
      </w:r>
    </w:p>
  </w:footnote>
  <w:footnote w:id="5665">
    <w:p>
      <w:pPr>
        <w:pStyle w:val="Funote"/>
        <w:rPr/>
      </w:pPr>
      <w:r>
        <w:rPr>
          <w:rStyle w:val="Funotenzeichen"/>
        </w:rPr>
        <w:footnoteRef/>
      </w:r>
      <w:r>
        <w:rPr/>
        <w:tab/>
        <w:t>Das verneinende Partikel wird in direkten Fragen mit „doch nicht“ oder „etwa“ übersetzt</w:t>
      </w:r>
    </w:p>
  </w:footnote>
  <w:footnote w:id="5666">
    <w:p>
      <w:pPr>
        <w:pStyle w:val="Funote"/>
        <w:rPr/>
      </w:pPr>
      <w:r>
        <w:rPr>
          <w:rStyle w:val="Funotenzeichen"/>
        </w:rPr>
        <w:footnoteRef/>
      </w:r>
      <w:r>
        <w:rPr/>
        <w:tab/>
        <w:t xml:space="preserve">Gott kann schwer gläubig sein. Bei ihm/ihr wird </w:t>
      </w:r>
      <w:r>
        <w:rPr>
          <w:i/>
        </w:rPr>
        <w:t>pistis</w:t>
      </w:r>
      <w:r>
        <w:rPr/>
        <w:t xml:space="preserve"> wohl besser mit Treue übersetzt. Bei den Menschen geht es aber in erster Linie um den Glauben, id est die Treue zu Gott.</w:t>
      </w:r>
    </w:p>
  </w:footnote>
  <w:footnote w:id="5667">
    <w:p>
      <w:pPr>
        <w:pStyle w:val="Funote"/>
        <w:rPr/>
      </w:pPr>
      <w:r>
        <w:rPr>
          <w:rStyle w:val="Funotenzeichen"/>
        </w:rPr>
        <w:footnoteRef/>
      </w:r>
      <w:r>
        <w:rPr/>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668">
    <w:p>
      <w:pPr>
        <w:pStyle w:val="Funote"/>
        <w:rPr/>
      </w:pPr>
      <w:r>
        <w:rPr>
          <w:rStyle w:val="Funotenzeichen"/>
        </w:rPr>
        <w:footnoteRef/>
      </w:r>
      <w:r>
        <w:rPr/>
        <w:tab/>
        <w:t>Bei Personen: wahrhaftig oder aufrichtig, bei Sachen: wahr, insgesamt aber auch: wirklich oder echt;</w:t>
      </w:r>
    </w:p>
  </w:footnote>
  <w:footnote w:id="5669">
    <w:p>
      <w:pPr>
        <w:pStyle w:val="Funote"/>
        <w:rPr/>
      </w:pPr>
      <w:r>
        <w:rPr>
          <w:rStyle w:val="Funotenzeichen"/>
        </w:rPr>
        <w:footnoteRef/>
      </w:r>
      <w:r>
        <w:rPr/>
        <w:tab/>
        <w:t>Eigentlich ein Partizip, also wörtlich: „keinen Verstehenden“ bzw. „keinen Begreifenden“.</w:t>
      </w:r>
    </w:p>
  </w:footnote>
  <w:footnote w:id="5670">
    <w:p>
      <w:pPr>
        <w:pStyle w:val="Funote"/>
        <w:rPr/>
      </w:pPr>
      <w:r>
        <w:rPr>
          <w:rStyle w:val="Funotenzeichen"/>
        </w:rPr>
        <w:footnoteRef/>
      </w:r>
      <w:r>
        <w:rPr/>
        <w:tab/>
        <w:t>(h)ews bezeichnet die Höchstgrenze, die sich normalerweise gut mit „bis“ ausdrücken lässt. Hier geht es um eine negative Höchstgrenze, was mit „nicht einmal“ widergegeben wird</w:t>
      </w:r>
    </w:p>
  </w:footnote>
  <w:footnote w:id="5671">
    <w:p>
      <w:pPr>
        <w:pStyle w:val="Funote"/>
        <w:rPr/>
      </w:pPr>
      <w:r>
        <w:rPr>
          <w:rStyle w:val="Funotenzeichen"/>
        </w:rPr>
        <w:footnoteRef/>
      </w:r>
      <w:r>
        <w:rPr/>
        <w:tab/>
        <w:t>abstrakt: Zorn</w:t>
      </w:r>
    </w:p>
  </w:footnote>
  <w:footnote w:id="5672">
    <w:p>
      <w:pPr>
        <w:pStyle w:val="Funote"/>
        <w:rPr/>
      </w:pPr>
      <w:r>
        <w:rPr>
          <w:rStyle w:val="Funotenzeichen"/>
        </w:rPr>
        <w:footnoteRef/>
      </w:r>
      <w:r>
        <w:rPr/>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673">
    <w:p>
      <w:pPr>
        <w:pStyle w:val="Funote"/>
        <w:rPr/>
      </w:pPr>
      <w:r>
        <w:rPr>
          <w:rStyle w:val="Funotenzeichen"/>
        </w:rPr>
        <w:footnoteRef/>
      </w:r>
      <w:r>
        <w:rPr>
          <w:i/>
        </w:rPr>
        <w:tab/>
        <w:t>enwpion</w:t>
      </w:r>
      <w:r>
        <w:rPr/>
        <w:t xml:space="preserve"> meint grundsätzlich „vor jdn./etw.“ und kann daher auch „vor den Augen von jdn.“ bzw. „in Gegenwart“ meinen. Daraus resultiert wiederum die dritte Bedeutung „nach Meinung“ oder „nach dem Urteil“, welche hier im Gesetzeskontext m.E. sehr relevant ist.</w:t>
      </w:r>
    </w:p>
  </w:footnote>
  <w:footnote w:id="5674">
    <w:p>
      <w:pPr>
        <w:pStyle w:val="Funote"/>
        <w:rPr/>
      </w:pPr>
      <w:r>
        <w:rPr>
          <w:rStyle w:val="Funotenzeichen"/>
        </w:rPr>
        <w:footnoteRef/>
      </w:r>
      <w:r>
        <w:rPr/>
        <w:tab/>
        <w:t>abstrakt: Erlösung</w:t>
      </w:r>
    </w:p>
  </w:footnote>
  <w:footnote w:id="5675">
    <w:p>
      <w:pPr>
        <w:pStyle w:val="Funote"/>
        <w:rPr/>
      </w:pPr>
      <w:r>
        <w:rPr>
          <w:rStyle w:val="Funotenzeichen"/>
        </w:rPr>
        <w:footnoteRef/>
      </w:r>
      <w:r>
        <w:rPr/>
        <w:tab/>
        <w:t>...den, [der] aus Glauben an Jesus [ist],...</w:t>
      </w:r>
    </w:p>
  </w:footnote>
  <w:footnote w:id="5676">
    <w:p>
      <w:pPr>
        <w:pStyle w:val="Funote"/>
        <w:rPr/>
      </w:pPr>
      <w:r>
        <w:rPr>
          <w:rStyle w:val="Funotenzeichen"/>
        </w:rPr>
        <w:footnoteRef/>
      </w:r>
      <w:r>
        <w:rPr/>
        <w:tab/>
        <w:t>eigentlich: [die] Beschneidung</w:t>
      </w:r>
    </w:p>
  </w:footnote>
  <w:footnote w:id="5677">
    <w:p>
      <w:pPr>
        <w:pStyle w:val="Funote"/>
        <w:rPr/>
      </w:pPr>
      <w:r>
        <w:rPr>
          <w:rStyle w:val="Funotenzeichen"/>
        </w:rPr>
        <w:footnoteRef/>
      </w:r>
      <w:r>
        <w:rPr/>
        <w:tab/>
        <w:t>eigentlich: [die] Vorhaut</w:t>
      </w:r>
    </w:p>
  </w:footnote>
  <w:footnote w:id="5678">
    <w:p>
      <w:pPr>
        <w:pStyle w:val="Funote"/>
        <w:rPr/>
      </w:pPr>
      <w:r>
        <w:rPr>
          <w:rStyle w:val="Funotenzeichen"/>
        </w:rPr>
        <w:footnoteRef/>
      </w:r>
      <w:r>
        <w:rPr/>
        <w:tab/>
        <w:t>[Status: Ungeprüft]</w:t>
      </w:r>
    </w:p>
  </w:footnote>
  <w:footnote w:id="5679">
    <w:p>
      <w:pPr>
        <w:pStyle w:val="Funote"/>
        <w:rPr/>
      </w:pPr>
      <w:r>
        <w:rPr>
          <w:rStyle w:val="Funotenzeichen"/>
        </w:rPr>
        <w:footnoteRef/>
      </w:r>
      <w:r>
        <w:rPr/>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680">
    <w:p>
      <w:pPr>
        <w:pStyle w:val="Funote"/>
        <w:rPr/>
      </w:pPr>
      <w:r>
        <w:rPr>
          <w:rStyle w:val="Funotenzeichen"/>
        </w:rPr>
        <w:footnoteRef/>
      </w:r>
      <w:r>
        <w:rPr/>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681">
    <w:p>
      <w:pPr>
        <w:pStyle w:val="Funote"/>
        <w:rPr/>
      </w:pPr>
      <w:r>
        <w:rPr>
          <w:rStyle w:val="Funotenzeichen"/>
        </w:rPr>
        <w:footnoteRef/>
      </w:r>
      <w:r>
        <w:rPr/>
        <w:tab/>
        <w:t>Verstärkte Verneinung!</w:t>
      </w:r>
    </w:p>
  </w:footnote>
  <w:footnote w:id="5682">
    <w:p>
      <w:pPr>
        <w:pStyle w:val="Funote"/>
        <w:rPr/>
      </w:pPr>
      <w:r>
        <w:rPr>
          <w:rStyle w:val="Funotenzeichen"/>
        </w:rPr>
        <w:footnoteRef/>
      </w:r>
      <w:r>
        <w:rPr/>
        <w:tab/>
        <w:t>EWigentlich: „für die Beschneidung“.</w:t>
      </w:r>
    </w:p>
  </w:footnote>
  <w:footnote w:id="5683">
    <w:p>
      <w:pPr>
        <w:pStyle w:val="Funote"/>
        <w:rPr/>
      </w:pPr>
      <w:r>
        <w:rPr>
          <w:rStyle w:val="Funotenzeichen"/>
        </w:rPr>
        <w:footnoteRef/>
      </w:r>
      <w:r>
        <w:rPr/>
        <w:tab/>
        <w:t>Wörtlich: „In [der] Beschneidung seiend, oder in [der] Vorhaut?“</w:t>
      </w:r>
    </w:p>
  </w:footnote>
  <w:footnote w:id="5684">
    <w:p>
      <w:pPr>
        <w:pStyle w:val="Funote"/>
        <w:rPr/>
      </w:pPr>
      <w:r>
        <w:rPr>
          <w:rStyle w:val="Funotenzeichen"/>
        </w:rPr>
        <w:footnoteRef/>
      </w:r>
      <w:r>
        <w:rPr/>
        <w:tab/>
        <w:t>Wörtlich: „Nicht in [der] Beschneidung, sondern in [der] Vorhaut“. Zum besseren Verständnis könnte ergänzt werden: „…wurde ihm der Glaube zur Gerechtigkeit zugerechnet“</w:t>
      </w:r>
    </w:p>
  </w:footnote>
  <w:footnote w:id="5685">
    <w:p>
      <w:pPr>
        <w:pStyle w:val="Funote"/>
        <w:rPr/>
      </w:pPr>
      <w:r>
        <w:rPr>
          <w:rStyle w:val="Funotenzeichen"/>
        </w:rPr>
        <w:footnoteRef/>
      </w:r>
      <w:r>
        <w:rPr/>
        <w:tab/>
        <w:t xml:space="preserve">Das </w:t>
      </w:r>
      <w:r>
        <w:rPr>
          <w:lang w:val="el-GR"/>
        </w:rPr>
        <w:t>καὶ</w:t>
      </w:r>
      <w:r>
        <w:rPr/>
        <w:t xml:space="preserve"> ist textkritisch strittig: Die </w:t>
      </w:r>
      <w:r>
        <w:rPr>
          <w:i/>
        </w:rPr>
        <w:t>codices</w:t>
      </w:r>
      <w:r>
        <w:rPr/>
        <w:t xml:space="preserve"> </w:t>
      </w:r>
      <w:r>
        <w:rPr>
          <w:rtl w:val="true"/>
          <w:lang w:bidi="he-IL"/>
        </w:rPr>
        <w:t>א</w:t>
      </w:r>
      <w:r>
        <w:rPr/>
        <w:t>,C², D* u.a. lassen es weg.</w:t>
      </w:r>
    </w:p>
  </w:footnote>
  <w:footnote w:id="5686">
    <w:p>
      <w:pPr>
        <w:pStyle w:val="Funote"/>
        <w:rPr/>
      </w:pPr>
      <w:r>
        <w:rPr>
          <w:rStyle w:val="Funotenzeichen"/>
        </w:rPr>
        <w:footnoteRef/>
      </w:r>
      <w:r>
        <w:rPr/>
        <w:tab/>
        <w:t>D.h. nicht allein derer, die beschnitten sind…</w:t>
      </w:r>
    </w:p>
  </w:footnote>
  <w:footnote w:id="5687">
    <w:p>
      <w:pPr>
        <w:pStyle w:val="Funote"/>
        <w:rPr/>
      </w:pPr>
      <w:r>
        <w:rPr>
          <w:rStyle w:val="Funotenzeichen"/>
        </w:rPr>
        <w:footnoteRef/>
      </w:r>
      <w:r>
        <w:rPr/>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688">
    <w:p>
      <w:pPr>
        <w:pStyle w:val="Funote"/>
        <w:rPr/>
      </w:pPr>
      <w:r>
        <w:rPr>
          <w:rStyle w:val="Funotenzeichen"/>
        </w:rPr>
        <w:footnoteRef/>
      </w:r>
      <w:r>
        <w:rPr/>
        <w:tab/>
        <w:t>Wörtlich: „nicht ein“.</w:t>
      </w:r>
    </w:p>
  </w:footnote>
  <w:footnote w:id="5689">
    <w:p>
      <w:pPr>
        <w:pStyle w:val="Funote"/>
        <w:rPr/>
      </w:pPr>
      <w:r>
        <w:rPr>
          <w:rStyle w:val="Funotenzeichen"/>
        </w:rPr>
        <w:footnoteRef/>
      </w:r>
      <w:r>
        <w:rPr/>
        <w:tab/>
        <w:t>Wörtlich: „nicht ein“.</w:t>
      </w:r>
    </w:p>
  </w:footnote>
  <w:footnote w:id="5690">
    <w:p>
      <w:pPr>
        <w:pStyle w:val="Funote"/>
        <w:rPr/>
      </w:pPr>
      <w:r>
        <w:rPr>
          <w:rStyle w:val="Funotenzeichen"/>
        </w:rPr>
        <w:footnoteRef/>
      </w:r>
      <w:r>
        <w:rPr>
          <w:lang w:val="el-GR"/>
        </w:rPr>
        <w:tab/>
        <w:t>κατέναντι</w:t>
      </w:r>
      <w:r>
        <w:rPr/>
        <w:t xml:space="preserve"> meint grundsätzlich „gegenüber“, in übertragenem Sinne aber auch „vor den Augen“, bzw. verkürzt schlicht „vor“.</w:t>
      </w:r>
    </w:p>
  </w:footnote>
  <w:footnote w:id="5691">
    <w:p>
      <w:pPr>
        <w:pStyle w:val="Funote"/>
        <w:rPr/>
      </w:pPr>
      <w:r>
        <w:rPr>
          <w:rStyle w:val="Funotenzeichen"/>
        </w:rPr>
        <w:footnoteRef/>
      </w:r>
      <w:r>
        <w:rPr/>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692">
    <w:p>
      <w:pPr>
        <w:pStyle w:val="Funote"/>
        <w:rPr/>
      </w:pPr>
      <w:r>
        <w:rPr>
          <w:rStyle w:val="Funotenzeichen"/>
        </w:rPr>
        <w:footnoteRef/>
      </w:r>
      <w:r>
        <w:rPr/>
        <w:tab/>
        <w:t>Da es eine Verheißung und keine Prophetie ist, ist das Futur vermutlich besser mit „soll“ zu übersetzen. In der Studienfassung bleibe ich bei der wörtlichen Wiedergabe des Futurs.</w:t>
      </w:r>
    </w:p>
  </w:footnote>
  <w:footnote w:id="5693">
    <w:p>
      <w:pPr>
        <w:pStyle w:val="Funote"/>
        <w:rPr/>
      </w:pPr>
      <w:r>
        <w:rPr>
          <w:rStyle w:val="Funotenzeichen"/>
        </w:rPr>
        <w:footnoteRef/>
      </w:r>
      <w:r>
        <w:rPr/>
        <w:tab/>
        <w:t xml:space="preserve">Das </w:t>
      </w:r>
      <w:r>
        <w:rPr>
          <w:lang w:val="el-GR"/>
        </w:rPr>
        <w:t>ἤδη</w:t>
      </w:r>
      <w:r>
        <w:rPr/>
        <w:t xml:space="preserve"> ist textkritisch strittig: Die </w:t>
      </w:r>
      <w:r>
        <w:rPr>
          <w:i/>
        </w:rPr>
        <w:t>codices</w:t>
      </w:r>
      <w:r>
        <w:rPr/>
        <w:t xml:space="preserve"> B, F, G u.a. lassen es weg.</w:t>
      </w:r>
    </w:p>
  </w:footnote>
  <w:footnote w:id="5694">
    <w:p>
      <w:pPr>
        <w:pStyle w:val="Funote"/>
        <w:rPr/>
      </w:pPr>
      <w:r>
        <w:rPr>
          <w:rStyle w:val="Funotenzeichen"/>
        </w:rPr>
        <w:footnoteRef/>
      </w:r>
      <w:r>
        <w:rPr/>
        <w:tab/>
        <w:t>Also Gott.</w:t>
      </w:r>
    </w:p>
  </w:footnote>
  <w:footnote w:id="5695">
    <w:p>
      <w:pPr>
        <w:pStyle w:val="Funote"/>
        <w:rPr/>
      </w:pPr>
      <w:r>
        <w:rPr>
          <w:rStyle w:val="Funotenzeichen"/>
        </w:rPr>
        <w:footnoteRef/>
      </w:r>
      <w:r>
        <w:rPr/>
        <w:tab/>
        <w:t xml:space="preserve">Das </w:t>
      </w:r>
      <w:r>
        <w:rPr>
          <w:lang w:val="el-GR"/>
        </w:rPr>
        <w:t>καὶ</w:t>
      </w:r>
      <w:r>
        <w:rPr/>
        <w:t xml:space="preserve"> ist textkritisch strittig: Die </w:t>
      </w:r>
      <w:r>
        <w:rPr>
          <w:i/>
        </w:rPr>
        <w:t>codices</w:t>
      </w:r>
      <w:r>
        <w:rPr/>
        <w:t xml:space="preserve"> B, D*, F, G u.a. lassen es weg.</w:t>
      </w:r>
    </w:p>
  </w:footnote>
  <w:footnote w:id="5696">
    <w:p>
      <w:pPr>
        <w:pStyle w:val="Funote"/>
        <w:rPr/>
      </w:pPr>
      <w:r>
        <w:rPr>
          <w:rStyle w:val="Funotenzeichen"/>
        </w:rPr>
        <w:footnoteRef/>
      </w:r>
      <w:r>
        <w:rPr/>
        <w:tab/>
        <w:t>Partizip Aorist Aktiv, wörtlich: „den auferweckt Habenden“.</w:t>
      </w:r>
    </w:p>
  </w:footnote>
  <w:footnote w:id="5697">
    <w:p>
      <w:pPr>
        <w:pStyle w:val="Funote"/>
        <w:rPr/>
      </w:pPr>
      <w:r>
        <w:rPr>
          <w:rStyle w:val="Funotenzeichen"/>
        </w:rPr>
        <w:footnoteRef/>
      </w:r>
      <w:r>
        <w:rPr/>
        <w:tab/>
        <w:t>[Status: Ungeprüft]</w:t>
      </w:r>
    </w:p>
  </w:footnote>
  <w:footnote w:id="5698">
    <w:p>
      <w:pPr>
        <w:pStyle w:val="Funote"/>
        <w:rPr/>
      </w:pPr>
      <w:r>
        <w:rPr>
          <w:rStyle w:val="Funotenzeichen"/>
        </w:rPr>
        <w:footnoteRef/>
      </w:r>
      <w:r>
        <w:rPr/>
        <w:tab/>
        <w:t>Adverbiales Ptz. Aor. Pass., hier substantivisch interpretiert. Alternativ kausal/temporal (NSS), dann: „weil/seit wir … gerecht gesprochen wurden“</w:t>
      </w:r>
    </w:p>
  </w:footnote>
  <w:footnote w:id="5699">
    <w:p>
      <w:pPr>
        <w:pStyle w:val="Funote"/>
        <w:rPr/>
      </w:pPr>
      <w:r>
        <w:rPr>
          <w:rStyle w:val="Funotenzeichen"/>
        </w:rPr>
        <w:footnoteRef/>
      </w:r>
      <w:r>
        <w:rPr/>
        <w:tab/>
        <w:t>cf. NSS.</w:t>
      </w:r>
    </w:p>
  </w:footnote>
  <w:footnote w:id="5700">
    <w:p>
      <w:pPr>
        <w:pStyle w:val="Funote"/>
        <w:rPr/>
      </w:pPr>
      <w:r>
        <w:rPr>
          <w:rStyle w:val="Funotenzeichen"/>
        </w:rPr>
        <w:footnoteRef/>
      </w:r>
      <w:r>
        <w:rPr/>
        <w:tab/>
        <w:t xml:space="preserve">Wörtlich „dem Glauben“. Dat. causae. Die Lesart </w:t>
      </w:r>
      <w:r>
        <w:rPr>
          <w:lang w:val="el-GR"/>
        </w:rPr>
        <w:t>τῇ πίστει</w:t>
      </w:r>
      <w:r>
        <w:rPr/>
        <w:t xml:space="preserve"> (im/durch den Glauben) lassen die </w:t>
      </w:r>
      <w:r>
        <w:rPr>
          <w:i/>
        </w:rPr>
        <w:t>Codices</w:t>
      </w:r>
      <w:r>
        <w:rPr/>
        <w:t xml:space="preserve"> B, D, F, G u.a. weg, weshalb diese Lesart textkritisch als unsicher bezeichnet werden kann.</w:t>
      </w:r>
    </w:p>
  </w:footnote>
  <w:footnote w:id="5701">
    <w:p>
      <w:pPr>
        <w:pStyle w:val="Funote"/>
        <w:rPr/>
      </w:pPr>
      <w:r>
        <w:rPr>
          <w:rStyle w:val="Funotenzeichen"/>
        </w:rPr>
        <w:footnoteRef/>
      </w:r>
      <w:r>
        <w:rPr/>
        <w:tab/>
        <w:t>Wörtlich „der Herrlichkeit“; Gen. obiectivus</w:t>
      </w:r>
    </w:p>
  </w:footnote>
  <w:footnote w:id="5702">
    <w:p>
      <w:pPr>
        <w:pStyle w:val="Funote"/>
        <w:rPr/>
      </w:pPr>
      <w:r>
        <w:rPr>
          <w:rStyle w:val="Funotenzeichen"/>
        </w:rPr>
        <w:footnoteRef/>
      </w:r>
      <w:r>
        <w:rPr/>
        <w:tab/>
        <w:t>Gen. auctoris: Also der Herrlichkeit, die von Gott kommt.</w:t>
      </w:r>
    </w:p>
  </w:footnote>
  <w:footnote w:id="5703">
    <w:p>
      <w:pPr>
        <w:pStyle w:val="Funote"/>
        <w:rPr/>
      </w:pPr>
      <w:r>
        <w:rPr>
          <w:rStyle w:val="Funotenzeichen"/>
        </w:rPr>
        <w:footnoteRef/>
      </w:r>
      <w:r>
        <w:rPr>
          <w:i/>
        </w:rPr>
        <w:tab/>
        <w:t>im Wissen</w:t>
      </w:r>
      <w:r>
        <w:rPr/>
        <w:t xml:space="preserve"> </w:t>
      </w:r>
      <w:hyperlink r:id="rId626">
        <w:r>
          <w:rPr>
            <w:rStyle w:val="Internetverknpfung"/>
          </w:rPr>
          <w:t>Ptc. coni.</w:t>
        </w:r>
      </w:hyperlink>
      <w:r>
        <w:rPr/>
        <w:t xml:space="preserve"> mit kausaler Konnotation, hier als Präpositionalphrase aufglöst. Alternativ mit Nebensatz „weil wir wissen“ oder als deutscher Partizipialsatz „wissend“. </w:t>
      </w:r>
    </w:p>
  </w:footnote>
  <w:footnote w:id="5704">
    <w:p>
      <w:pPr>
        <w:pStyle w:val="Funote"/>
        <w:rPr/>
      </w:pPr>
      <w:r>
        <w:rPr>
          <w:rStyle w:val="Funotenzeichen"/>
        </w:rPr>
        <w:footnoteRef/>
      </w:r>
      <w:r>
        <w:rPr/>
        <w:tab/>
        <w:t>Hier kausativ (NSS cf. B/A).</w:t>
      </w:r>
    </w:p>
  </w:footnote>
  <w:footnote w:id="5705">
    <w:p>
      <w:pPr>
        <w:pStyle w:val="Funote"/>
        <w:rPr/>
      </w:pPr>
      <w:r>
        <w:rPr>
          <w:rStyle w:val="Funotenzeichen"/>
        </w:rPr>
        <w:footnoteRef/>
      </w:r>
      <w:r>
        <w:rPr/>
        <w:tab/>
        <w:t>Hier ein Pf. Pass. Das griechische Perfekt hebt das Resultat hervor.</w:t>
      </w:r>
    </w:p>
  </w:footnote>
  <w:footnote w:id="5706">
    <w:p>
      <w:pPr>
        <w:pStyle w:val="Funote"/>
        <w:rPr/>
      </w:pPr>
      <w:r>
        <w:rPr>
          <w:rStyle w:val="Funotenzeichen"/>
        </w:rPr>
        <w:footnoteRef/>
      </w:r>
      <w:r>
        <w:rPr/>
        <w:tab/>
        <w:t>Konstruktion mit Genitivus Absolutus (Partizip Präsens), der an dieser Stelle aufgelöst wurde.</w:t>
      </w:r>
    </w:p>
  </w:footnote>
  <w:footnote w:id="5707">
    <w:p>
      <w:pPr>
        <w:pStyle w:val="Funote"/>
        <w:rPr/>
      </w:pPr>
      <w:r>
        <w:rPr>
          <w:rStyle w:val="Funotenzeichen"/>
        </w:rPr>
        <w:footnoteRef/>
      </w:r>
      <w:r>
        <w:rPr/>
        <w:tab/>
        <w:t>Wörtlich „denn“. V. 7 sei als Parenthese zu verstehen (NSS).</w:t>
      </w:r>
    </w:p>
  </w:footnote>
  <w:footnote w:id="5708">
    <w:p>
      <w:pPr>
        <w:pStyle w:val="Funote"/>
        <w:rPr/>
      </w:pPr>
      <w:r>
        <w:rPr>
          <w:rStyle w:val="Funotenzeichen"/>
        </w:rPr>
        <w:footnoteRef/>
      </w:r>
      <w:r>
        <w:rPr/>
        <w:tab/>
        <w:t>Wieder eine Konstruktion mit Genitivus Absolutus mit Partizip Präsens (s.o. in Vers 6), hier temporal aufgelöst.</w:t>
      </w:r>
    </w:p>
  </w:footnote>
  <w:footnote w:id="5709">
    <w:p>
      <w:pPr>
        <w:pStyle w:val="Funote"/>
        <w:rPr/>
      </w:pPr>
      <w:r>
        <w:rPr>
          <w:rStyle w:val="Funotenzeichen"/>
        </w:rPr>
        <w:footnoteRef/>
      </w:r>
      <w:r>
        <w:rPr/>
        <w:tab/>
        <w:t>Substantiviertes (attributives) Partizip Aor. Pass., hier aufgelöst.</w:t>
      </w:r>
    </w:p>
  </w:footnote>
  <w:footnote w:id="5710">
    <w:p>
      <w:pPr>
        <w:pStyle w:val="Funote"/>
        <w:rPr/>
      </w:pPr>
      <w:r>
        <w:rPr>
          <w:rStyle w:val="Funotenzeichen"/>
        </w:rPr>
        <w:footnoteRef/>
      </w:r>
      <w:r>
        <w:rPr/>
        <w:tab/>
        <w:t>Genitivus Absolutus mit Partizip Präsens.</w:t>
      </w:r>
    </w:p>
  </w:footnote>
  <w:footnote w:id="5711">
    <w:p>
      <w:pPr>
        <w:pStyle w:val="Funote"/>
        <w:rPr/>
      </w:pPr>
      <w:r>
        <w:rPr>
          <w:rStyle w:val="Funotenzeichen"/>
        </w:rPr>
        <w:footnoteRef/>
      </w:r>
      <w:r>
        <w:rPr/>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712">
    <w:p>
      <w:pPr>
        <w:pStyle w:val="Funote"/>
        <w:rPr/>
      </w:pPr>
      <w:r>
        <w:rPr>
          <w:rStyle w:val="Funotenzeichen"/>
        </w:rPr>
        <w:footnoteRef/>
      </w:r>
      <w:r>
        <w:rPr/>
        <w:tab/>
        <w:t>Wörtlich: „nicht ein“</w:t>
      </w:r>
    </w:p>
  </w:footnote>
  <w:footnote w:id="5713">
    <w:p>
      <w:pPr>
        <w:pStyle w:val="Funote"/>
        <w:rPr/>
      </w:pPr>
      <w:r>
        <w:rPr>
          <w:rStyle w:val="Funotenzeichen"/>
        </w:rPr>
        <w:footnoteRef/>
      </w:r>
      <w:r>
        <w:rPr/>
        <w:tab/>
        <w:t>Wörtlich „ist“. Gen.abs. wurde konditional/temporal aufgelöst.</w:t>
      </w:r>
    </w:p>
  </w:footnote>
  <w:footnote w:id="5714">
    <w:p>
      <w:pPr>
        <w:pStyle w:val="Funote"/>
        <w:rPr/>
      </w:pPr>
      <w:r>
        <w:rPr>
          <w:rStyle w:val="Funotenzeichen"/>
        </w:rPr>
        <w:footnoteRef/>
      </w:r>
      <w:r>
        <w:rPr/>
        <w:tab/>
        <w:t>Ptz. Aor., substantivisch; hier aufgelöst.</w:t>
      </w:r>
    </w:p>
  </w:footnote>
  <w:footnote w:id="5715">
    <w:p>
      <w:pPr>
        <w:pStyle w:val="Funote"/>
        <w:rPr/>
      </w:pPr>
      <w:r>
        <w:rPr>
          <w:rStyle w:val="Funotenzeichen"/>
        </w:rPr>
        <w:footnoteRef/>
      </w:r>
      <w:r>
        <w:rPr/>
        <w:tab/>
        <w:t>Wörtlich: „auf die Gleichheit…“</w:t>
      </w:r>
    </w:p>
  </w:footnote>
  <w:footnote w:id="5716">
    <w:p>
      <w:pPr>
        <w:pStyle w:val="Funote"/>
        <w:rPr/>
      </w:pPr>
      <w:r>
        <w:rPr>
          <w:rStyle w:val="Funotenzeichen"/>
        </w:rPr>
        <w:footnoteRef/>
      </w:r>
      <w:r>
        <w:rPr/>
        <w:tab/>
        <w:t>cf. B/A</w:t>
      </w:r>
    </w:p>
  </w:footnote>
  <w:footnote w:id="5717">
    <w:p>
      <w:pPr>
        <w:pStyle w:val="Funote"/>
        <w:rPr/>
      </w:pPr>
      <w:r>
        <w:rPr>
          <w:rStyle w:val="Funotenzeichen"/>
        </w:rPr>
        <w:footnoteRef/>
      </w:r>
      <w:r>
        <w:rPr/>
        <w:tab/>
        <w:t>Wörtlich „die vielen“. Semitismus (cf. NSS).</w:t>
      </w:r>
    </w:p>
  </w:footnote>
  <w:footnote w:id="5718">
    <w:p>
      <w:pPr>
        <w:pStyle w:val="Funote"/>
        <w:rPr/>
      </w:pPr>
      <w:r>
        <w:rPr>
          <w:rStyle w:val="Funotenzeichen"/>
        </w:rPr>
        <w:footnoteRef/>
      </w:r>
      <w:r>
        <w:rPr/>
        <w:tab/>
        <w:t>Wörtlich „die vielen“. Semitismus (cf. NSS).</w:t>
      </w:r>
    </w:p>
  </w:footnote>
  <w:footnote w:id="5719">
    <w:p>
      <w:pPr>
        <w:pStyle w:val="Funote"/>
        <w:rPr/>
      </w:pPr>
      <w:r>
        <w:rPr>
          <w:rStyle w:val="Funotenzeichen"/>
        </w:rPr>
        <w:footnoteRef/>
      </w:r>
      <w:r>
        <w:rPr/>
        <w:tab/>
        <w:t>Wörtlich „des Lebens“; Gen. des Zwecks (NSS)</w:t>
      </w:r>
    </w:p>
  </w:footnote>
  <w:footnote w:id="5720">
    <w:p>
      <w:pPr>
        <w:pStyle w:val="Funote"/>
        <w:rPr/>
      </w:pPr>
      <w:r>
        <w:rPr>
          <w:rStyle w:val="Funotenzeichen"/>
        </w:rPr>
        <w:footnoteRef/>
      </w:r>
      <w:r>
        <w:rPr/>
        <w:tab/>
        <w:t>Wörtlich „die vielen“. Semitismus (cf. NSS).</w:t>
      </w:r>
    </w:p>
  </w:footnote>
  <w:footnote w:id="5721">
    <w:p>
      <w:pPr>
        <w:pStyle w:val="Funote"/>
        <w:rPr/>
      </w:pPr>
      <w:r>
        <w:rPr>
          <w:rStyle w:val="Funotenzeichen"/>
        </w:rPr>
        <w:footnoteRef/>
      </w:r>
      <w:r>
        <w:rPr/>
        <w:tab/>
        <w:t>Wörtlich „die vielen“. Semitismus (cf. NSS).</w:t>
      </w:r>
    </w:p>
  </w:footnote>
  <w:footnote w:id="5722">
    <w:p>
      <w:pPr>
        <w:pStyle w:val="Funote"/>
        <w:rPr/>
      </w:pPr>
      <w:r>
        <w:rPr>
          <w:rStyle w:val="Funotenzeichen"/>
        </w:rPr>
        <w:footnoteRef/>
      </w:r>
      <w:r>
        <w:rPr/>
        <w:tab/>
        <w:t>[Status: Ungeprüft]</w:t>
      </w:r>
    </w:p>
  </w:footnote>
  <w:footnote w:id="5723">
    <w:p>
      <w:pPr>
        <w:pStyle w:val="Funote"/>
        <w:rPr/>
      </w:pPr>
      <w:r>
        <w:rPr>
          <w:rStyle w:val="Funotenzeichen"/>
        </w:rPr>
        <w:footnoteRef/>
      </w:r>
      <w:r>
        <w:rPr/>
        <w:tab/>
        <w:t>Die Vokabel drückt häufig etwas Ungewöhnliches aus; es geht um etwas Ungewöhnliches, Neues.</w:t>
      </w:r>
    </w:p>
  </w:footnote>
  <w:footnote w:id="5724">
    <w:p>
      <w:pPr>
        <w:pStyle w:val="Funote"/>
        <w:rPr/>
      </w:pPr>
      <w:r>
        <w:rPr>
          <w:rStyle w:val="Funotenzeichen"/>
        </w:rPr>
        <w:footnoteRef/>
      </w:r>
      <w:r>
        <w:rPr/>
        <w:tab/>
        <w:t>AcI.</w:t>
      </w:r>
    </w:p>
  </w:footnote>
  <w:footnote w:id="5725">
    <w:p>
      <w:pPr>
        <w:pStyle w:val="Funote"/>
        <w:rPr/>
      </w:pPr>
      <w:r>
        <w:rPr>
          <w:rStyle w:val="Funotenzeichen"/>
        </w:rPr>
        <w:footnoteRef/>
      </w:r>
      <w:r>
        <w:rPr/>
        <w:tab/>
        <w:t>Eventuell kann man auch wörtlich ohne Pronomen übersetzen und so sehr nahe am griechischen Text bleiben</w:t>
      </w:r>
    </w:p>
  </w:footnote>
  <w:footnote w:id="5726">
    <w:p>
      <w:pPr>
        <w:pStyle w:val="Funote"/>
        <w:rPr/>
      </w:pPr>
      <w:r>
        <w:rPr>
          <w:rStyle w:val="Funotenzeichen"/>
        </w:rPr>
        <w:footnoteRef/>
      </w:r>
      <w:r>
        <w:rPr/>
        <w:tab/>
        <w:t>Mit „betrachten“ kann auch das Reflexivpronomen im Deutschen wörtlich übersetzt werden: „betrachtet euch als Tote“.</w:t>
      </w:r>
    </w:p>
  </w:footnote>
  <w:footnote w:id="5727">
    <w:p>
      <w:pPr>
        <w:pStyle w:val="Funote"/>
        <w:rPr/>
      </w:pPr>
      <w:r>
        <w:rPr>
          <w:rStyle w:val="Funotenzeichen"/>
        </w:rPr>
        <w:footnoteRef/>
      </w:r>
      <w:r>
        <w:rPr/>
        <w:tab/>
        <w:t>AcI.</w:t>
      </w:r>
    </w:p>
  </w:footnote>
  <w:footnote w:id="5728">
    <w:p>
      <w:pPr>
        <w:pStyle w:val="Funote"/>
        <w:rPr/>
      </w:pPr>
      <w:r>
        <w:rPr>
          <w:rStyle w:val="Funotenzeichen"/>
        </w:rPr>
        <w:footnoteRef/>
      </w:r>
      <w:r>
        <w:rPr>
          <w:lang w:val="el-GR"/>
        </w:rPr>
        <w:tab/>
        <w:t>χάρις</w:t>
      </w:r>
      <w:r>
        <w:rPr/>
        <w:t xml:space="preserve"> bedeutet Gnade, aber auch Dank. Gnade ist, was von Gott kommt. Dank ist, was der Mensch entgegnet. Diese Unterscheidung gibt es im Deutschen, im Griechischen steht ein und dasselbe Vokabel.</w:t>
      </w:r>
    </w:p>
  </w:footnote>
  <w:footnote w:id="5729">
    <w:p>
      <w:pPr>
        <w:pStyle w:val="Funote"/>
        <w:rPr/>
      </w:pPr>
      <w:r>
        <w:rPr>
          <w:rStyle w:val="Funotenzeichen"/>
        </w:rPr>
        <w:footnoteRef/>
      </w:r>
      <w:r>
        <w:rPr/>
        <w:tab/>
        <w:t>Oder: 2.Pers. Pl. Ind. Aor. akt.: „so habt ihr nun zur Verfügung ... gestellt“ Bei dieser Übersetzung würde die Einmaligkeit bzw. das punktuelle Handeln hervorgehoben werden, welches der Aorist ausdrückt.</w:t>
      </w:r>
    </w:p>
  </w:footnote>
  <w:footnote w:id="5730">
    <w:p>
      <w:pPr>
        <w:pStyle w:val="Funote"/>
        <w:rPr/>
      </w:pPr>
      <w:r>
        <w:rPr>
          <w:rStyle w:val="Funotenzeichen"/>
        </w:rPr>
        <w:footnoteRef/>
      </w:r>
      <w:r>
        <w:rPr/>
        <w:tab/>
        <w:t>Eigtl. steht an dieser Stelle eine Pluralform.</w:t>
      </w:r>
    </w:p>
  </w:footnote>
  <w:footnote w:id="5731">
    <w:p>
      <w:pPr>
        <w:pStyle w:val="Funote"/>
        <w:rPr/>
      </w:pPr>
      <w:r>
        <w:rPr>
          <w:rStyle w:val="Funotenzeichen"/>
        </w:rPr>
        <w:footnoteRef/>
      </w:r>
      <w:r>
        <w:rPr/>
        <w:tab/>
        <w:t>Hierbei handelt es sich um einen Gen. Abs.</w:t>
      </w:r>
    </w:p>
  </w:footnote>
  <w:footnote w:id="5732">
    <w:p>
      <w:pPr>
        <w:pStyle w:val="Funote"/>
        <w:rPr/>
      </w:pPr>
      <w:r>
        <w:rPr>
          <w:rStyle w:val="Funotenzeichen"/>
        </w:rPr>
        <w:footnoteRef/>
      </w:r>
      <w:r>
        <w:rPr/>
        <w:tab/>
        <w:t>[Status: Ungeprüft]</w:t>
      </w:r>
    </w:p>
  </w:footnote>
  <w:footnote w:id="5733">
    <w:p>
      <w:pPr>
        <w:pStyle w:val="Funote"/>
        <w:rPr/>
      </w:pPr>
      <w:r>
        <w:rPr>
          <w:rStyle w:val="Funotenzeichen"/>
        </w:rPr>
        <w:footnoteRef/>
      </w:r>
      <w:r>
        <w:rPr/>
        <w:tab/>
        <w:t>wörtlich: das Unmögliche (Unvermögende) des Gesetzes [betreffend]</w:t>
      </w:r>
    </w:p>
  </w:footnote>
  <w:footnote w:id="5734">
    <w:p>
      <w:pPr>
        <w:pStyle w:val="Funote"/>
        <w:rPr/>
      </w:pPr>
      <w:r>
        <w:rPr>
          <w:rStyle w:val="Funotenzeichen"/>
        </w:rPr>
        <w:footnoteRef/>
      </w:r>
      <w:r>
        <w:rPr/>
        <w:tab/>
        <w:t>Partizip aufgelöst</w:t>
      </w:r>
    </w:p>
  </w:footnote>
  <w:footnote w:id="5735">
    <w:p>
      <w:pPr>
        <w:pStyle w:val="Funote"/>
        <w:rPr/>
      </w:pPr>
      <w:r>
        <w:rPr>
          <w:rStyle w:val="Funotenzeichen"/>
        </w:rPr>
        <w:footnoteRef/>
      </w:r>
      <w:r>
        <w:rPr/>
        <w:tab/>
        <w:t>wörtlich: den nicht Fleisch-gemäß Lebenden, sondern Geist-gemäß</w:t>
      </w:r>
    </w:p>
  </w:footnote>
  <w:footnote w:id="5736">
    <w:p>
      <w:pPr>
        <w:pStyle w:val="Funote"/>
        <w:rPr/>
      </w:pPr>
      <w:r>
        <w:rPr>
          <w:rStyle w:val="Funotenzeichen"/>
        </w:rPr>
        <w:footnoteRef/>
      </w:r>
      <w:r>
        <w:rPr/>
        <w:tab/>
        <w:t>wörtlich: Denn die Fleisch-gemäß Seienden sinnen auf (denken an) die [Angelegenheiten] des Fleisches, aber die Geist-gemäß [Seienden] auf die [Angelegenheiten] des Geistes.</w:t>
      </w:r>
    </w:p>
  </w:footnote>
  <w:footnote w:id="5737">
    <w:p>
      <w:pPr>
        <w:pStyle w:val="Funote"/>
        <w:rPr/>
      </w:pPr>
      <w:r>
        <w:rPr>
          <w:rStyle w:val="Funotenzeichen"/>
        </w:rPr>
        <w:footnoteRef/>
      </w:r>
      <w:hyperlink r:id="rId627">
        <w:r>
          <w:rPr>
            <w:rStyle w:val="Internetverknpfung"/>
          </w:rPr>
          <w:tab/>
          <w:t>Generisches Maskulinum</w:t>
        </w:r>
      </w:hyperlink>
    </w:p>
  </w:footnote>
  <w:footnote w:id="5738">
    <w:p>
      <w:pPr>
        <w:pStyle w:val="Funote"/>
        <w:rPr/>
      </w:pPr>
      <w:r>
        <w:rPr>
          <w:rStyle w:val="Funotenzeichen"/>
        </w:rPr>
        <w:footnoteRef/>
      </w:r>
      <w:r>
        <w:rPr/>
        <w:tab/>
        <w:t xml:space="preserve">Das Bild der Adoption als erbberechtigter Sohn ist auch auf Frauen anwendbar (vgl. </w:t>
      </w:r>
      <w:hyperlink r:id="rId628">
        <w:r>
          <w:rPr>
            <w:rStyle w:val="Internetverknpfung"/>
          </w:rPr>
          <w:t>generisches Maskulinum</w:t>
        </w:r>
      </w:hyperlink>
      <w:r>
        <w:rPr/>
        <w:t>).</w:t>
      </w:r>
    </w:p>
  </w:footnote>
  <w:footnote w:id="5739">
    <w:p>
      <w:pPr>
        <w:pStyle w:val="Funote"/>
        <w:rPr/>
      </w:pPr>
      <w:r>
        <w:rPr>
          <w:rStyle w:val="Funotenzeichen"/>
        </w:rPr>
        <w:footnoteRef/>
      </w:r>
      <w:r>
        <w:rPr/>
        <w:tab/>
        <w:t>„</w:t>
      </w:r>
      <w:r>
        <w:rPr/>
        <w:t>Abba“ ist das aramäische Wort für „Vater“, das Paulus direkt anschließend mit „</w:t>
      </w:r>
      <w:r>
        <w:rPr>
          <w:lang w:val="el-GR"/>
        </w:rPr>
        <w:t>ὁ πατήρ</w:t>
      </w:r>
      <w:r>
        <w:rPr/>
        <w:t>“ ins Griechisch übersetzt.</w:t>
      </w:r>
    </w:p>
  </w:footnote>
  <w:footnote w:id="5740">
    <w:p>
      <w:pPr>
        <w:pStyle w:val="Funote"/>
        <w:rPr/>
      </w:pPr>
      <w:r>
        <w:rPr>
          <w:rStyle w:val="Funotenzeichen"/>
        </w:rPr>
        <w:footnoteRef/>
      </w:r>
      <w:r>
        <w:rPr/>
        <w:tab/>
        <w:t>[Status: Ungeprüft]</w:t>
      </w:r>
    </w:p>
  </w:footnote>
  <w:footnote w:id="5741">
    <w:p>
      <w:pPr>
        <w:pStyle w:val="Funote"/>
        <w:rPr/>
      </w:pPr>
      <w:r>
        <w:rPr>
          <w:rStyle w:val="Funotenzeichen"/>
        </w:rPr>
        <w:footnoteRef/>
      </w:r>
      <w:r>
        <w:rPr/>
        <w:tab/>
        <w:t xml:space="preserve">Nicht Gegensatz (aber), sondern Weiterführung (und). Vgl. Moo 1996, 527. </w:t>
      </w:r>
    </w:p>
  </w:footnote>
  <w:footnote w:id="5742">
    <w:p>
      <w:pPr>
        <w:pStyle w:val="Funote"/>
        <w:rPr/>
      </w:pPr>
      <w:r>
        <w:rPr>
          <w:rStyle w:val="Funotenzeichen"/>
        </w:rPr>
        <w:footnoteRef/>
      </w:r>
      <w:r>
        <w:rPr/>
        <w:tab/>
        <w:t xml:space="preserve">Auflösung eines attributiven Ptz. Dat. Pl. als Relativsatz mit „[für alle], die“. </w:t>
      </w:r>
    </w:p>
  </w:footnote>
  <w:footnote w:id="5743">
    <w:p>
      <w:pPr>
        <w:pStyle w:val="Funote"/>
        <w:rPr/>
      </w:pPr>
      <w:r>
        <w:rPr>
          <w:rStyle w:val="Funotenzeichen"/>
        </w:rPr>
        <w:footnoteRef/>
      </w:r>
      <w:r>
        <w:rPr/>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744">
    <w:p>
      <w:pPr>
        <w:pStyle w:val="Funote"/>
        <w:rPr/>
      </w:pPr>
      <w:r>
        <w:rPr>
          <w:rStyle w:val="Funotenzeichen"/>
        </w:rPr>
        <w:footnoteRef/>
      </w:r>
      <w:r>
        <w:rPr/>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745">
    <w:p>
      <w:pPr>
        <w:pStyle w:val="Funote"/>
        <w:rPr/>
      </w:pPr>
      <w:r>
        <w:rPr>
          <w:rStyle w:val="Funotenzeichen"/>
        </w:rPr>
        <w:footnoteRef/>
      </w:r>
      <w:r>
        <w:rPr/>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746">
    <w:p>
      <w:pPr>
        <w:pStyle w:val="Funote"/>
        <w:rPr/>
      </w:pPr>
      <w:r>
        <w:rPr>
          <w:rStyle w:val="Funotenzeichen"/>
        </w:rPr>
        <w:footnoteRef/>
      </w:r>
      <w:r>
        <w:rPr/>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 xml:space="preserve">“-Verbindungen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 </w:t>
      </w:r>
    </w:p>
  </w:footnote>
  <w:footnote w:id="5747">
    <w:p>
      <w:pPr>
        <w:pStyle w:val="Funote"/>
        <w:rPr/>
      </w:pPr>
      <w:r>
        <w:rPr>
          <w:rStyle w:val="Funotenzeichen"/>
        </w:rPr>
        <w:footnoteRef/>
      </w:r>
      <w:r>
        <w:rPr/>
        <w:tab/>
        <w:t xml:space="preserve">Wilckens: „zuvor erwählt“. Moo 1996, 532f. betont dagegen, dass es hier um ein persönliches Kennen, nicht um ein unbeteiligtes vorher von ihrem Glauben Wissen geht. </w:t>
      </w:r>
    </w:p>
  </w:footnote>
  <w:footnote w:id="5748">
    <w:p>
      <w:pPr>
        <w:pStyle w:val="Funote"/>
        <w:rPr/>
      </w:pPr>
      <w:r>
        <w:rPr>
          <w:rStyle w:val="Funotenzeichen"/>
        </w:rPr>
        <w:footnoteRef/>
      </w:r>
      <w:r>
        <w:rPr/>
        <w:tab/>
        <w:t xml:space="preserve">Christus ist nicht visuell das Abbild Gottes, sondern in seinem Wesen, er ist Gottes „Wesenserscheinung“ (Wilckens, </w:t>
      </w:r>
      <w:r>
        <w:rPr>
          <w:position w:val="7"/>
          <w:sz w:val="16"/>
        </w:rPr>
        <w:t>2</w:t>
      </w:r>
      <w:r>
        <w:rPr/>
        <w:t>1987, 163).</w:t>
      </w:r>
    </w:p>
  </w:footnote>
  <w:footnote w:id="5749">
    <w:p>
      <w:pPr>
        <w:pStyle w:val="Funote"/>
        <w:rPr/>
      </w:pPr>
      <w:r>
        <w:rPr>
          <w:rStyle w:val="Funotenzeichen"/>
        </w:rPr>
        <w:footnoteRef/>
      </w:r>
      <w:r>
        <w:rPr/>
        <w:tab/>
        <w:t>[Status: Ungeprüft]</w:t>
      </w:r>
    </w:p>
  </w:footnote>
  <w:footnote w:id="5750">
    <w:p>
      <w:pPr>
        <w:pStyle w:val="Funote"/>
        <w:rPr/>
      </w:pPr>
      <w:r>
        <w:rPr>
          <w:rStyle w:val="Funotenzeichen"/>
        </w:rPr>
        <w:footnoteRef/>
      </w:r>
      <w:r>
        <w:rPr/>
        <w:tab/>
        <w:t>Gen. abs.; bezieht sich auf die vorhergehende Aussage Paulis.</w:t>
      </w:r>
    </w:p>
  </w:footnote>
  <w:footnote w:id="5751">
    <w:p>
      <w:pPr>
        <w:pStyle w:val="Funote"/>
        <w:rPr/>
      </w:pPr>
      <w:r>
        <w:rPr>
          <w:rStyle w:val="Funotenzeichen"/>
        </w:rPr>
        <w:footnoteRef/>
      </w:r>
      <w:r>
        <w:rPr/>
        <w:tab/>
        <w:t>wenn die Worte anders angeordnet werden, kommt es zu erheblichen Bedeutungsverschiebungen: z. Bsp. „Christus, der über allem Gott ist, gelobt [sei er] in Ewigkeit. Amen.“ &gt; Dies dürfte nicht ganz in paulinische Theologie passen.</w:t>
      </w:r>
    </w:p>
  </w:footnote>
  <w:footnote w:id="5752">
    <w:p>
      <w:pPr>
        <w:pStyle w:val="Funote"/>
        <w:rPr/>
      </w:pPr>
      <w:r>
        <w:rPr>
          <w:rStyle w:val="Funotenzeichen"/>
        </w:rPr>
        <w:footnoteRef/>
      </w:r>
      <w:r>
        <w:rPr/>
        <w:tab/>
        <w:t>Perf.3.Sg.Akt.; andere Ü. umschreiben es im Konj. wie LuthÜ., Elb, Schl 2000, NGÜ.</w:t>
      </w:r>
    </w:p>
  </w:footnote>
  <w:footnote w:id="5753">
    <w:p>
      <w:pPr>
        <w:pStyle w:val="Funote"/>
        <w:rPr/>
      </w:pPr>
      <w:r>
        <w:rPr>
          <w:rStyle w:val="Funotenzeichen"/>
        </w:rPr>
        <w:footnoteRef/>
      </w:r>
      <w:r>
        <w:rPr/>
        <w:tab/>
        <w:t>vgl. Schl 2000: „die aus Israel abstammen“</w:t>
      </w:r>
    </w:p>
  </w:footnote>
  <w:footnote w:id="5754">
    <w:p>
      <w:pPr>
        <w:pStyle w:val="Funote"/>
        <w:rPr/>
      </w:pPr>
      <w:r>
        <w:rPr>
          <w:rStyle w:val="Funotenzeichen"/>
        </w:rPr>
        <w:footnoteRef/>
      </w:r>
      <w:r>
        <w:rPr/>
        <w:tab/>
        <w:t>Kann auch als rhetorische Frage wie die erste verstanden werden: „Sind denn [etwa] nicht alle, die aus Israel stammen, diese [auch richtige] Israeliten?“ &gt; Verwiesen wird hier auf den gesetzesgebunden Glauben des israelitischen Volkes.</w:t>
      </w:r>
    </w:p>
  </w:footnote>
  <w:footnote w:id="5755">
    <w:p>
      <w:pPr>
        <w:pStyle w:val="Funote"/>
        <w:rPr/>
      </w:pPr>
      <w:r>
        <w:rPr>
          <w:rStyle w:val="Funotenzeichen"/>
        </w:rPr>
        <w:footnoteRef/>
      </w:r>
      <w:r>
        <w:rPr/>
        <w:tab/>
        <w:t>Gen 21,12.</w:t>
      </w:r>
    </w:p>
  </w:footnote>
  <w:footnote w:id="5756">
    <w:p>
      <w:pPr>
        <w:pStyle w:val="Funote"/>
        <w:rPr/>
      </w:pPr>
      <w:r>
        <w:rPr>
          <w:rStyle w:val="Funotenzeichen"/>
        </w:rPr>
        <w:footnoteRef/>
      </w:r>
      <w:r>
        <w:rPr/>
        <w:tab/>
        <w:t>Gen 18,10.</w:t>
      </w:r>
    </w:p>
  </w:footnote>
  <w:footnote w:id="5757">
    <w:p>
      <w:pPr>
        <w:pStyle w:val="Funote"/>
        <w:rPr/>
      </w:pPr>
      <w:r>
        <w:rPr>
          <w:rStyle w:val="Funotenzeichen"/>
        </w:rPr>
        <w:footnoteRef/>
      </w:r>
      <w:r>
        <w:rPr/>
        <w:tab/>
        <w:t>Vgl. Bauer/Aland,S.894; andere Ü. mit „schwanger sein“.</w:t>
      </w:r>
    </w:p>
  </w:footnote>
  <w:footnote w:id="5758">
    <w:p>
      <w:pPr>
        <w:pStyle w:val="Funote"/>
        <w:rPr/>
      </w:pPr>
      <w:r>
        <w:rPr>
          <w:rStyle w:val="Funotenzeichen"/>
        </w:rPr>
        <w:footnoteRef/>
      </w:r>
      <w:r>
        <w:rPr/>
        <w:tab/>
        <w:t>2x Gen.abs.: Part.Aor.Ps.Gen.Pl.</w:t>
      </w:r>
    </w:p>
  </w:footnote>
  <w:footnote w:id="5759">
    <w:p>
      <w:pPr>
        <w:pStyle w:val="Funote"/>
        <w:rPr/>
      </w:pPr>
      <w:r>
        <w:rPr>
          <w:rStyle w:val="Funotenzeichen"/>
        </w:rPr>
        <w:footnoteRef/>
      </w:r>
      <w:r>
        <w:rPr/>
        <w:tab/>
        <w:t>Präs.3.Sg.Akt.Konj.; viele Übersetzung bieten an dieser Stelle ein konträres Bild: z.Bsp.: EinÜ erweitert mit um „Vorherbestimmung“; LuthÜ; Elbü, Schl 2000 ergänzen mit „freier Wahl“; und noch einiges mehr.</w:t>
      </w:r>
    </w:p>
  </w:footnote>
  <w:footnote w:id="5760">
    <w:p>
      <w:pPr>
        <w:pStyle w:val="Funote"/>
        <w:rPr/>
      </w:pPr>
      <w:r>
        <w:rPr>
          <w:rStyle w:val="Funotenzeichen"/>
        </w:rPr>
        <w:footnoteRef/>
      </w:r>
      <w:r>
        <w:rPr/>
        <w:tab/>
        <w:t>Präs. Ptz.Akt.Gen.Sg.</w:t>
      </w:r>
    </w:p>
  </w:footnote>
  <w:footnote w:id="5761">
    <w:p>
      <w:pPr>
        <w:pStyle w:val="Funote"/>
        <w:rPr/>
      </w:pPr>
      <w:r>
        <w:rPr>
          <w:rStyle w:val="Funotenzeichen"/>
        </w:rPr>
        <w:footnoteRef/>
      </w:r>
      <w:r>
        <w:rPr/>
        <w:tab/>
        <w:t>Gen 25,23; im übertragenen Sinne: „Der Ältere soll dem Jüngeren dienen“.</w:t>
      </w:r>
    </w:p>
  </w:footnote>
  <w:footnote w:id="5762">
    <w:p>
      <w:pPr>
        <w:pStyle w:val="Funote"/>
        <w:rPr/>
      </w:pPr>
      <w:r>
        <w:rPr>
          <w:rStyle w:val="Funotenzeichen"/>
        </w:rPr>
        <w:footnoteRef/>
      </w:r>
      <w:r>
        <w:rPr/>
        <w:tab/>
        <w:t>Mal 1,2f.</w:t>
      </w:r>
    </w:p>
  </w:footnote>
  <w:footnote w:id="5763">
    <w:p>
      <w:pPr>
        <w:pStyle w:val="Funote"/>
        <w:rPr/>
      </w:pPr>
      <w:r>
        <w:rPr>
          <w:rStyle w:val="Funotenzeichen"/>
        </w:rPr>
        <w:footnoteRef/>
      </w:r>
      <w:r>
        <w:rPr/>
        <w:tab/>
        <w:t>Fut.1.Pl.Akt.</w:t>
      </w:r>
    </w:p>
  </w:footnote>
  <w:footnote w:id="5764">
    <w:p>
      <w:pPr>
        <w:pStyle w:val="Funote"/>
        <w:rPr/>
      </w:pPr>
      <w:r>
        <w:rPr>
          <w:rStyle w:val="Funotenzeichen"/>
        </w:rPr>
        <w:footnoteRef/>
      </w:r>
      <w:r>
        <w:rPr/>
        <w:tab/>
        <w:t>oder: „Auf keinen Fall!“;„Das sei Ferne“ (LuthÜ.; Schl 2000; ElbÜ)</w:t>
      </w:r>
    </w:p>
  </w:footnote>
  <w:footnote w:id="5765">
    <w:p>
      <w:pPr>
        <w:pStyle w:val="Funote"/>
        <w:rPr/>
      </w:pPr>
      <w:r>
        <w:rPr>
          <w:rStyle w:val="Funotenzeichen"/>
        </w:rPr>
        <w:footnoteRef/>
      </w:r>
      <w:r>
        <w:rPr/>
        <w:tab/>
        <w:t>Ex 33,19; die beiden hier benutzten Verben haben einen ähnlichen Sinn von „sich erbarmen“, „Mitleid haben“, „gnädig sein“; viele Ü. bieten je eigene Auffassungen der Worte an, geben sie aber meist sinngemäß wieder.</w:t>
      </w:r>
    </w:p>
  </w:footnote>
  <w:footnote w:id="5766">
    <w:p>
      <w:pPr>
        <w:pStyle w:val="Funote"/>
        <w:rPr/>
      </w:pPr>
      <w:r>
        <w:rPr>
          <w:rStyle w:val="Funotenzeichen"/>
        </w:rPr>
        <w:footnoteRef/>
      </w:r>
      <w:r>
        <w:rPr/>
        <w:tab/>
        <w:t>Wörtl.: „angestrengt Laufenden“</w:t>
      </w:r>
    </w:p>
  </w:footnote>
  <w:footnote w:id="5767">
    <w:p>
      <w:pPr>
        <w:pStyle w:val="Funote"/>
        <w:rPr/>
      </w:pPr>
      <w:r>
        <w:rPr>
          <w:rStyle w:val="Funotenzeichen"/>
        </w:rPr>
        <w:footnoteRef/>
      </w:r>
      <w:r>
        <w:rPr/>
        <w:tab/>
        <w:t>vgl. ElbÜ.; die Ü. sehen die ersten beide Verben als Aktionen des Menschen an; vgl. EinÜ, LuthÜ, Schl 2000, NGÜ.</w:t>
      </w:r>
    </w:p>
  </w:footnote>
  <w:footnote w:id="5768">
    <w:p>
      <w:pPr>
        <w:pStyle w:val="Funote"/>
        <w:rPr/>
      </w:pPr>
      <w:r>
        <w:rPr>
          <w:rStyle w:val="Funotenzeichen"/>
        </w:rPr>
        <w:footnoteRef/>
      </w:r>
      <w:r>
        <w:rPr/>
        <w:tab/>
        <w:t>wörtl.: „Zum (in) selbigen diesen“ &gt; „Aus diesem Grund“, könnte man noch sagen; vgl. EinÜ; ElbÜ, LuthÜ, Schl 2000.</w:t>
      </w:r>
    </w:p>
  </w:footnote>
  <w:footnote w:id="5769">
    <w:p>
      <w:pPr>
        <w:pStyle w:val="Funote"/>
        <w:rPr/>
      </w:pPr>
      <w:r>
        <w:rPr>
          <w:rStyle w:val="Funotenzeichen"/>
        </w:rPr>
        <w:footnoteRef/>
      </w:r>
      <w:r>
        <w:rPr/>
        <w:tab/>
        <w:t>Vgl. Bauer/Aland,S.553.</w:t>
      </w:r>
    </w:p>
  </w:footnote>
  <w:footnote w:id="5770">
    <w:p>
      <w:pPr>
        <w:pStyle w:val="Funote"/>
        <w:rPr/>
      </w:pPr>
      <w:r>
        <w:rPr>
          <w:rStyle w:val="Funotenzeichen"/>
        </w:rPr>
        <w:footnoteRef/>
      </w:r>
      <w:r>
        <w:rPr/>
        <w:tab/>
        <w:t>Ex 9,16</w:t>
      </w:r>
    </w:p>
  </w:footnote>
  <w:footnote w:id="5771">
    <w:p>
      <w:pPr>
        <w:pStyle w:val="Funote"/>
        <w:rPr/>
      </w:pPr>
      <w:r>
        <w:rPr>
          <w:rStyle w:val="Funotenzeichen"/>
        </w:rPr>
        <w:footnoteRef/>
      </w:r>
      <w:r>
        <w:rPr/>
        <w:tab/>
        <w:t>Bezeichnet einen Schlusspunkt in einer Argumentation.</w:t>
      </w:r>
    </w:p>
  </w:footnote>
  <w:footnote w:id="5772">
    <w:p>
      <w:pPr>
        <w:pStyle w:val="Funote"/>
        <w:rPr/>
      </w:pPr>
      <w:r>
        <w:rPr>
          <w:rStyle w:val="Funotenzeichen"/>
        </w:rPr>
        <w:footnoteRef/>
      </w:r>
      <w:r>
        <w:rPr/>
        <w:tab/>
        <w:t>Wörtl.: „sagen“.</w:t>
      </w:r>
    </w:p>
  </w:footnote>
  <w:footnote w:id="5773">
    <w:p>
      <w:pPr>
        <w:pStyle w:val="Funote"/>
        <w:rPr/>
      </w:pPr>
      <w:r>
        <w:rPr>
          <w:rStyle w:val="Funotenzeichen"/>
        </w:rPr>
        <w:footnoteRef/>
      </w:r>
      <w:r>
        <w:rPr/>
        <w:tab/>
        <w:t>Perf.3.Sg.Akt.</w:t>
      </w:r>
    </w:p>
  </w:footnote>
  <w:footnote w:id="5774">
    <w:p>
      <w:pPr>
        <w:pStyle w:val="Funote"/>
        <w:rPr/>
      </w:pPr>
      <w:r>
        <w:rPr>
          <w:rStyle w:val="Funotenzeichen"/>
        </w:rPr>
        <w:footnoteRef/>
      </w:r>
      <w:r>
        <w:rPr/>
        <w:tab/>
        <w:t>Eine Verstärkungspartikel, um Affekte auszudrücken; vgl. Bauer/Aland,S.1785; andere Ü.: „Ja“ (ElbÜ; LuthÜ).</w:t>
      </w:r>
    </w:p>
  </w:footnote>
  <w:footnote w:id="5775">
    <w:p>
      <w:pPr>
        <w:pStyle w:val="Funote"/>
        <w:rPr/>
      </w:pPr>
      <w:r>
        <w:rPr>
          <w:rStyle w:val="Funotenzeichen"/>
        </w:rPr>
        <w:footnoteRef/>
      </w:r>
      <w:r>
        <w:rPr/>
        <w:tab/>
        <w:t>Vokativ; vgl. Schl 2000.</w:t>
      </w:r>
    </w:p>
  </w:footnote>
  <w:footnote w:id="5776">
    <w:p>
      <w:pPr>
        <w:pStyle w:val="Funote"/>
        <w:rPr/>
      </w:pPr>
      <w:r>
        <w:rPr>
          <w:rStyle w:val="Funotenzeichen"/>
        </w:rPr>
        <w:footnoteRef/>
      </w:r>
      <w:r>
        <w:rPr/>
        <w:tab/>
        <w:t>Verstärkungspartikel.</w:t>
      </w:r>
    </w:p>
  </w:footnote>
  <w:footnote w:id="5777">
    <w:p>
      <w:pPr>
        <w:pStyle w:val="Funote"/>
        <w:rPr/>
      </w:pPr>
      <w:r>
        <w:rPr>
          <w:rStyle w:val="Funotenzeichen"/>
        </w:rPr>
        <w:footnoteRef/>
      </w:r>
      <w:r>
        <w:rPr/>
        <w:tab/>
        <w:t>Part.Präs.MedPs.Nom.Sg.</w:t>
      </w:r>
    </w:p>
  </w:footnote>
  <w:footnote w:id="5778">
    <w:p>
      <w:pPr>
        <w:pStyle w:val="Funote"/>
        <w:rPr/>
      </w:pPr>
      <w:r>
        <w:rPr>
          <w:rStyle w:val="Funotenzeichen"/>
        </w:rPr>
        <w:footnoteRef/>
      </w:r>
      <w:r>
        <w:rPr/>
        <w:tab/>
        <w:t>Part.Aor.Akt.Dat.Sg</w:t>
      </w:r>
    </w:p>
  </w:footnote>
  <w:footnote w:id="5779">
    <w:p>
      <w:pPr>
        <w:pStyle w:val="Funote"/>
        <w:rPr/>
      </w:pPr>
      <w:r>
        <w:rPr>
          <w:rStyle w:val="Funotenzeichen"/>
        </w:rPr>
        <w:footnoteRef/>
      </w:r>
      <w:r>
        <w:rPr/>
        <w:tab/>
        <w:t>Part.Präs.Akt.Sg.Nom.</w:t>
      </w:r>
    </w:p>
  </w:footnote>
  <w:footnote w:id="5780">
    <w:p>
      <w:pPr>
        <w:pStyle w:val="Funote"/>
        <w:rPr/>
      </w:pPr>
      <w:r>
        <w:rPr>
          <w:rStyle w:val="Funotenzeichen"/>
        </w:rPr>
        <w:footnoteRef/>
      </w:r>
      <w:r>
        <w:rPr/>
        <w:tab/>
        <w:t>Part.Perf.Ps.Pl.Akku.Ntr.</w:t>
      </w:r>
    </w:p>
  </w:footnote>
  <w:footnote w:id="5781">
    <w:p>
      <w:pPr>
        <w:pStyle w:val="Funote"/>
        <w:rPr/>
      </w:pPr>
      <w:r>
        <w:rPr>
          <w:rStyle w:val="Funotenzeichen"/>
        </w:rPr>
        <w:footnoteRef/>
      </w:r>
      <w:r>
        <w:rPr/>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782">
    <w:p>
      <w:pPr>
        <w:pStyle w:val="Funote"/>
        <w:rPr/>
      </w:pPr>
      <w:r>
        <w:rPr>
          <w:rStyle w:val="Funotenzeichen"/>
        </w:rPr>
        <w:footnoteRef/>
      </w:r>
      <w:r>
        <w:rPr/>
        <w:tab/>
        <w:t>Wörtl.: „allein“.</w:t>
      </w:r>
    </w:p>
  </w:footnote>
  <w:footnote w:id="5783">
    <w:p>
      <w:pPr>
        <w:pStyle w:val="Funote"/>
        <w:rPr/>
      </w:pPr>
      <w:r>
        <w:rPr>
          <w:rStyle w:val="Funotenzeichen"/>
        </w:rPr>
        <w:footnoteRef/>
      </w:r>
      <w:r>
        <w:rPr/>
        <w:tab/>
        <w:t>Part.</w:t>
      </w:r>
    </w:p>
  </w:footnote>
  <w:footnote w:id="5784">
    <w:p>
      <w:pPr>
        <w:pStyle w:val="Funote"/>
        <w:rPr/>
      </w:pPr>
      <w:r>
        <w:rPr>
          <w:rStyle w:val="Funotenzeichen"/>
        </w:rPr>
        <w:footnoteRef/>
      </w:r>
      <w:r>
        <w:rPr/>
        <w:tab/>
        <w:t>2x Part.Perf.Ps.Akku.fem.Sg.</w:t>
      </w:r>
    </w:p>
  </w:footnote>
  <w:footnote w:id="5785">
    <w:p>
      <w:pPr>
        <w:pStyle w:val="Funote"/>
        <w:rPr/>
      </w:pPr>
      <w:r>
        <w:rPr>
          <w:rStyle w:val="Funotenzeichen"/>
        </w:rPr>
        <w:footnoteRef/>
      </w:r>
      <w:r>
        <w:rPr/>
        <w:tab/>
        <w:t>Vgl. ElbÜ.</w:t>
      </w:r>
    </w:p>
  </w:footnote>
  <w:footnote w:id="5786">
    <w:p>
      <w:pPr>
        <w:pStyle w:val="Funote"/>
        <w:rPr/>
      </w:pPr>
      <w:r>
        <w:rPr>
          <w:rStyle w:val="Funotenzeichen"/>
        </w:rPr>
        <w:footnoteRef/>
      </w:r>
      <w:r>
        <w:rPr/>
        <w:tab/>
        <w:t>Part.Präs.Akt.Gen.Sg.mask.</w:t>
      </w:r>
    </w:p>
  </w:footnote>
  <w:footnote w:id="5787">
    <w:p>
      <w:pPr>
        <w:pStyle w:val="Funote"/>
        <w:rPr/>
      </w:pPr>
      <w:r>
        <w:rPr>
          <w:rStyle w:val="Funotenzeichen"/>
        </w:rPr>
        <w:footnoteRef/>
      </w:r>
      <w:r>
        <w:rPr/>
        <w:tab/>
        <w:t>Fut.Ps.3.Pl.</w:t>
      </w:r>
    </w:p>
  </w:footnote>
  <w:footnote w:id="5788">
    <w:p>
      <w:pPr>
        <w:pStyle w:val="Funote"/>
        <w:rPr/>
      </w:pPr>
      <w:r>
        <w:rPr>
          <w:rStyle w:val="Funotenzeichen"/>
        </w:rPr>
        <w:footnoteRef/>
      </w:r>
      <w:r>
        <w:rPr/>
        <w:tab/>
        <w:t>Hos 2,1.25.</w:t>
      </w:r>
    </w:p>
  </w:footnote>
  <w:footnote w:id="5789">
    <w:p>
      <w:pPr>
        <w:pStyle w:val="Funote"/>
        <w:rPr/>
      </w:pPr>
      <w:r>
        <w:rPr>
          <w:rStyle w:val="Funotenzeichen"/>
        </w:rPr>
        <w:footnoteRef/>
      </w:r>
      <w:r>
        <w:rPr/>
        <w:tab/>
        <w:t>Fut.Ps.3.Sg.; andere Ü.: „[nur] der Rest wird …“ (EinÜ; ElbÜ)</w:t>
      </w:r>
    </w:p>
  </w:footnote>
  <w:footnote w:id="5790">
    <w:p>
      <w:pPr>
        <w:pStyle w:val="Funote"/>
        <w:rPr/>
      </w:pPr>
      <w:r>
        <w:rPr>
          <w:rStyle w:val="Funotenzeichen"/>
        </w:rPr>
        <w:footnoteRef/>
      </w:r>
      <w:r>
        <w:rPr/>
        <w:tab/>
        <w:t>2x Part.Präs.Akt.Nom.Sg.mask.; andere Ü.: EinÜ: »erfüllt und durchsetzt«, LuthÜ: »vollendet und ausrichtet«; NGÜ: »ohne Einschränkung und ohne Verzögerung«.</w:t>
      </w:r>
    </w:p>
  </w:footnote>
  <w:footnote w:id="5791">
    <w:p>
      <w:pPr>
        <w:pStyle w:val="Funote"/>
        <w:rPr/>
      </w:pPr>
      <w:r>
        <w:rPr>
          <w:rStyle w:val="Funotenzeichen"/>
        </w:rPr>
        <w:footnoteRef/>
      </w:r>
      <w:r>
        <w:rPr/>
        <w:tab/>
        <w:t>Jes 10,22f.</w:t>
      </w:r>
    </w:p>
  </w:footnote>
  <w:footnote w:id="5792">
    <w:p>
      <w:pPr>
        <w:pStyle w:val="Funote"/>
        <w:rPr/>
      </w:pPr>
      <w:r>
        <w:rPr>
          <w:rStyle w:val="Funotenzeichen"/>
        </w:rPr>
        <w:footnoteRef/>
      </w:r>
      <w:r>
        <w:rPr/>
        <w:tab/>
        <w:t>Irrealis; Jes 1,9.</w:t>
      </w:r>
    </w:p>
  </w:footnote>
  <w:footnote w:id="5793">
    <w:p>
      <w:pPr>
        <w:pStyle w:val="Funote"/>
        <w:rPr/>
      </w:pPr>
      <w:r>
        <w:rPr>
          <w:rStyle w:val="Funotenzeichen"/>
        </w:rPr>
        <w:footnoteRef/>
      </w:r>
      <w:r>
        <w:rPr/>
        <w:tab/>
        <w:t>Part.Präs.Akt.Nom/Akku.Pl.Ntr.</w:t>
      </w:r>
    </w:p>
  </w:footnote>
  <w:footnote w:id="5794">
    <w:p>
      <w:pPr>
        <w:pStyle w:val="Funote"/>
        <w:rPr/>
      </w:pPr>
      <w:r>
        <w:rPr>
          <w:rStyle w:val="Funotenzeichen"/>
        </w:rPr>
        <w:footnoteRef/>
      </w:r>
      <w:r>
        <w:rPr/>
        <w:tab/>
        <w:t>Part.Präs.Nom.Sg.mask.</w:t>
      </w:r>
    </w:p>
  </w:footnote>
  <w:footnote w:id="5795">
    <w:p>
      <w:pPr>
        <w:pStyle w:val="Funote"/>
        <w:rPr/>
      </w:pPr>
      <w:r>
        <w:rPr>
          <w:rStyle w:val="Funotenzeichen"/>
        </w:rPr>
        <w:footnoteRef/>
      </w:r>
      <w:r>
        <w:rPr/>
        <w:tab/>
        <w:t>Andere Ü.: „Sie haben sich am Stein des Anstoßes gestoßen“; gemeint ist der Unglaube.</w:t>
      </w:r>
    </w:p>
  </w:footnote>
  <w:footnote w:id="5796">
    <w:p>
      <w:pPr>
        <w:pStyle w:val="Funote"/>
        <w:rPr/>
      </w:pPr>
      <w:r>
        <w:rPr>
          <w:rStyle w:val="Funotenzeichen"/>
        </w:rPr>
        <w:footnoteRef/>
      </w:r>
      <w:r>
        <w:rPr/>
        <w:tab/>
        <w:t>ElbÜ: „des Strauchelns“.</w:t>
      </w:r>
    </w:p>
  </w:footnote>
  <w:footnote w:id="5797">
    <w:p>
      <w:pPr>
        <w:pStyle w:val="Funote"/>
        <w:rPr/>
      </w:pPr>
      <w:r>
        <w:rPr>
          <w:rStyle w:val="Funotenzeichen"/>
        </w:rPr>
        <w:footnoteRef/>
      </w:r>
      <w:r>
        <w:rPr/>
        <w:tab/>
        <w:t>Part.Präs.Nom.Sg.mask.</w:t>
      </w:r>
    </w:p>
  </w:footnote>
  <w:footnote w:id="5798">
    <w:p>
      <w:pPr>
        <w:pStyle w:val="Funote"/>
        <w:rPr/>
      </w:pPr>
      <w:r>
        <w:rPr>
          <w:rStyle w:val="Funotenzeichen"/>
        </w:rPr>
        <w:footnoteRef/>
      </w:r>
      <w:r>
        <w:rPr/>
        <w:tab/>
        <w:t>Lev 18,5b. (Abgesehen von einer Anpassung an den grammatikalischen Kontext entspricht das Zitat dem Septuagintatext.)</w:t>
      </w:r>
    </w:p>
  </w:footnote>
  <w:footnote w:id="5799">
    <w:p>
      <w:pPr>
        <w:pStyle w:val="Funote"/>
        <w:rPr/>
      </w:pPr>
      <w:r>
        <w:rPr>
          <w:rStyle w:val="Funotenzeichen"/>
        </w:rPr>
        <w:footnoteRef/>
      </w:r>
      <w:r>
        <w:rPr/>
        <w:tab/>
        <w:t>Exakte Übereinstimmung mit dem Beginn von Dtn 9,4 in der Septuaginta.</w:t>
      </w:r>
    </w:p>
  </w:footnote>
  <w:footnote w:id="5800">
    <w:p>
      <w:pPr>
        <w:pStyle w:val="Funote"/>
        <w:rPr/>
      </w:pPr>
      <w:r>
        <w:rPr>
          <w:rStyle w:val="Funotenzeichen"/>
        </w:rPr>
        <w:footnoteRef/>
      </w:r>
      <w:r>
        <w:rPr/>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801">
    <w:p>
      <w:pPr>
        <w:pStyle w:val="Funote"/>
        <w:rPr/>
      </w:pPr>
      <w:r>
        <w:rPr>
          <w:rStyle w:val="Funotenzeichen"/>
        </w:rPr>
        <w:footnoteRef/>
      </w:r>
      <w:r>
        <w:rPr/>
        <w:tab/>
        <w:t>Es gibt keine exakte Entsprechung im Alten Testament. In Dtn 30,13 findet sich: „Wer wird für uns hinüberfahren auf die andere Seite des Meers?“</w:t>
      </w:r>
    </w:p>
  </w:footnote>
  <w:footnote w:id="5802">
    <w:p>
      <w:pPr>
        <w:pStyle w:val="Funote"/>
        <w:rPr/>
      </w:pPr>
      <w:r>
        <w:rPr>
          <w:rStyle w:val="Funotenzeichen"/>
        </w:rPr>
        <w:footnoteRef/>
      </w:r>
      <w:r>
        <w:rPr/>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803">
    <w:p>
      <w:pPr>
        <w:pStyle w:val="Funote"/>
        <w:rPr/>
      </w:pPr>
      <w:r>
        <w:rPr>
          <w:rStyle w:val="Funotenzeichen"/>
        </w:rPr>
        <w:footnoteRef/>
      </w:r>
      <w:r>
        <w:rPr/>
        <w:tab/>
        <w:t>Fast wörtliche Wiedergabe von Dtn 30,14a in der Septuaginta.</w:t>
      </w:r>
    </w:p>
  </w:footnote>
  <w:footnote w:id="5804">
    <w:p>
      <w:pPr>
        <w:pStyle w:val="Funote"/>
        <w:rPr/>
      </w:pPr>
      <w:r>
        <w:rPr>
          <w:rStyle w:val="Funotenzeichen"/>
        </w:rPr>
        <w:footnoteRef/>
      </w:r>
      <w:r>
        <w:rPr/>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805">
    <w:p>
      <w:pPr>
        <w:pStyle w:val="Funote"/>
        <w:rPr/>
      </w:pPr>
      <w:r>
        <w:rPr>
          <w:rStyle w:val="Funotenzeichen"/>
        </w:rPr>
        <w:footnoteRef/>
      </w:r>
      <w:r>
        <w:rPr/>
        <w:tab/>
        <w:t>Exakte Wiedergabe von Joel 3,5 (Göttinger Septuaginta 2,32) in der Septuagintafassung.</w:t>
      </w:r>
    </w:p>
  </w:footnote>
  <w:footnote w:id="5806">
    <w:p>
      <w:pPr>
        <w:pStyle w:val="Funote"/>
        <w:rPr/>
      </w:pPr>
      <w:r>
        <w:rPr>
          <w:rStyle w:val="Funotenzeichen"/>
        </w:rPr>
        <w:footnoteRef/>
      </w:r>
      <w:r>
        <w:rPr/>
        <w:tab/>
        <w:t>[Status: Ungeprüft]</w:t>
      </w:r>
    </w:p>
  </w:footnote>
  <w:footnote w:id="5807">
    <w:p>
      <w:pPr>
        <w:pStyle w:val="Funote"/>
        <w:rPr/>
      </w:pPr>
      <w:r>
        <w:rPr>
          <w:rStyle w:val="Funotenzeichen"/>
        </w:rPr>
        <w:footnoteRef/>
      </w:r>
      <w:r>
        <w:rPr/>
        <w:tab/>
        <w:t>Imp. pass.; wörtlich „werde nicht … besiegt“.</w:t>
      </w:r>
    </w:p>
  </w:footnote>
  <w:footnote w:id="5808">
    <w:p>
      <w:pPr>
        <w:pStyle w:val="Funote"/>
        <w:rPr/>
      </w:pPr>
      <w:r>
        <w:rPr>
          <w:rStyle w:val="Funotenzeichen"/>
        </w:rPr>
        <w:footnoteRef/>
      </w:r>
      <w:r>
        <w:rPr/>
        <w:tab/>
        <w:t>Part. akt.</w:t>
      </w:r>
    </w:p>
  </w:footnote>
  <w:footnote w:id="5809">
    <w:p>
      <w:pPr>
        <w:pStyle w:val="Funote"/>
        <w:rPr/>
      </w:pPr>
      <w:r>
        <w:rPr>
          <w:rStyle w:val="Funotenzeichen"/>
        </w:rPr>
        <w:footnoteRef/>
      </w:r>
      <w:r>
        <w:rPr/>
        <w:tab/>
        <w:t>Partizip, kausal aufgelöst</w:t>
      </w:r>
    </w:p>
  </w:footnote>
  <w:footnote w:id="5810">
    <w:p>
      <w:pPr>
        <w:pStyle w:val="Funote"/>
        <w:rPr/>
      </w:pPr>
      <w:r>
        <w:rPr>
          <w:rStyle w:val="Funotenzeichen"/>
        </w:rPr>
        <w:footnoteRef/>
      </w:r>
      <w:r>
        <w:rPr/>
        <w:tab/>
        <w:t>Partizip, kausal aufgelöst</w:t>
      </w:r>
    </w:p>
  </w:footnote>
  <w:footnote w:id="5811">
    <w:p>
      <w:pPr>
        <w:pStyle w:val="Funote"/>
        <w:rPr/>
      </w:pPr>
      <w:r>
        <w:rPr>
          <w:rStyle w:val="Funotenzeichen"/>
        </w:rPr>
        <w:footnoteRef/>
      </w:r>
      <w:r>
        <w:rPr/>
        <w:tab/>
        <w:t>Partizip</w:t>
      </w:r>
    </w:p>
  </w:footnote>
  <w:footnote w:id="5812">
    <w:p>
      <w:pPr>
        <w:pStyle w:val="Funote"/>
        <w:rPr/>
      </w:pPr>
      <w:r>
        <w:rPr>
          <w:rStyle w:val="Funotenzeichen"/>
        </w:rPr>
        <w:footnoteRef/>
      </w:r>
      <w:r>
        <w:rPr/>
        <w:tab/>
        <w:t>Partizip</w:t>
      </w:r>
    </w:p>
  </w:footnote>
  <w:footnote w:id="5813">
    <w:p>
      <w:pPr>
        <w:pStyle w:val="Funote"/>
        <w:rPr/>
      </w:pPr>
      <w:r>
        <w:rPr>
          <w:rStyle w:val="Funotenzeichen"/>
        </w:rPr>
        <w:footnoteRef/>
      </w:r>
      <w:r>
        <w:rPr/>
        <w:tab/>
        <w:t>Partizip</w:t>
      </w:r>
    </w:p>
  </w:footnote>
  <w:footnote w:id="5814">
    <w:p>
      <w:pPr>
        <w:pStyle w:val="Funote"/>
        <w:rPr/>
      </w:pPr>
      <w:r>
        <w:rPr>
          <w:rStyle w:val="Funotenzeichen"/>
        </w:rPr>
        <w:footnoteRef/>
      </w:r>
      <w:r>
        <w:rPr/>
        <w:tab/>
        <w:t>Partizip</w:t>
      </w:r>
    </w:p>
  </w:footnote>
  <w:footnote w:id="5815">
    <w:p>
      <w:pPr>
        <w:pStyle w:val="Funote"/>
        <w:rPr/>
      </w:pPr>
      <w:r>
        <w:rPr>
          <w:rStyle w:val="Funotenzeichen"/>
        </w:rPr>
        <w:footnoteRef/>
      </w:r>
      <w:r>
        <w:rPr/>
        <w:tab/>
        <w:t>Partizip</w:t>
      </w:r>
    </w:p>
  </w:footnote>
  <w:footnote w:id="5816">
    <w:p>
      <w:pPr>
        <w:pStyle w:val="Funote"/>
        <w:rPr/>
      </w:pPr>
      <w:r>
        <w:rPr>
          <w:rStyle w:val="Funotenzeichen"/>
        </w:rPr>
        <w:footnoteRef/>
      </w:r>
      <w:r>
        <w:rPr/>
        <w:tab/>
        <w:t>Partizip</w:t>
      </w:r>
    </w:p>
  </w:footnote>
  <w:footnote w:id="5817">
    <w:p>
      <w:pPr>
        <w:pStyle w:val="Funote"/>
        <w:rPr/>
      </w:pPr>
      <w:r>
        <w:rPr>
          <w:rStyle w:val="Funotenzeichen"/>
        </w:rPr>
        <w:footnoteRef/>
      </w:r>
      <w:r>
        <w:rPr/>
        <w:tab/>
        <w:t>Partizip</w:t>
      </w:r>
    </w:p>
  </w:footnote>
  <w:footnote w:id="5818">
    <w:p>
      <w:pPr>
        <w:pStyle w:val="Funote"/>
        <w:rPr/>
      </w:pPr>
      <w:r>
        <w:rPr>
          <w:rStyle w:val="Funotenzeichen"/>
        </w:rPr>
        <w:footnoteRef/>
      </w:r>
      <w:r>
        <w:rPr/>
        <w:tab/>
        <w:t>[Status: Ungeprüft]</w:t>
      </w:r>
    </w:p>
  </w:footnote>
  <w:footnote w:id="5819">
    <w:p>
      <w:pPr>
        <w:pStyle w:val="Funote"/>
        <w:rPr/>
      </w:pPr>
      <w:r>
        <w:rPr>
          <w:rStyle w:val="Funotenzeichen"/>
        </w:rPr>
        <w:footnoteRef/>
      </w:r>
      <w:r>
        <w:rPr/>
        <w:tab/>
        <w:t>Präskript (Adresse) des Briefes. Im Präskript steht der Absender im Nominativ, der Adressat (s. Vers 2) im Dativ.</w:t>
      </w:r>
    </w:p>
  </w:footnote>
  <w:footnote w:id="5820">
    <w:p>
      <w:pPr>
        <w:pStyle w:val="Funote"/>
        <w:rPr/>
      </w:pPr>
      <w:r>
        <w:rPr>
          <w:rStyle w:val="Funotenzeichen"/>
        </w:rPr>
        <w:footnoteRef/>
      </w:r>
      <w:r>
        <w:rPr/>
        <w:tab/>
        <w:t>Hier wird der Adressat genannt, daher wäre im Deutschen mit „an“ wiederzugeben, auch wenn die Präposition im Griechischen nicht da steht.</w:t>
      </w:r>
    </w:p>
  </w:footnote>
  <w:footnote w:id="5821">
    <w:p>
      <w:pPr>
        <w:pStyle w:val="Funote"/>
        <w:rPr/>
      </w:pPr>
      <w:r>
        <w:rPr>
          <w:rStyle w:val="Funotenzeichen"/>
        </w:rPr>
        <w:footnoteRef/>
      </w:r>
      <w:r>
        <w:rPr/>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822">
    <w:p>
      <w:pPr>
        <w:pStyle w:val="Funote"/>
        <w:rPr/>
      </w:pPr>
      <w:r>
        <w:rPr>
          <w:rStyle w:val="Funotenzeichen"/>
        </w:rPr>
        <w:footnoteRef/>
      </w:r>
      <w:r>
        <w:rPr/>
        <w:tab/>
        <w:t>Partizip</w:t>
      </w:r>
    </w:p>
  </w:footnote>
  <w:footnote w:id="5823">
    <w:p>
      <w:pPr>
        <w:pStyle w:val="Funote"/>
        <w:rPr/>
      </w:pPr>
      <w:r>
        <w:rPr>
          <w:rStyle w:val="Funotenzeichen"/>
        </w:rPr>
        <w:footnoteRef/>
      </w:r>
      <w:r>
        <w:rPr/>
        <w:tab/>
        <w:t>Partizip</w:t>
      </w:r>
    </w:p>
  </w:footnote>
  <w:footnote w:id="5824">
    <w:p>
      <w:pPr>
        <w:pStyle w:val="Funote"/>
        <w:rPr/>
      </w:pPr>
      <w:r>
        <w:rPr>
          <w:rStyle w:val="Funotenzeichen"/>
        </w:rPr>
        <w:footnoteRef/>
      </w:r>
      <w:r>
        <w:rPr/>
        <w:tab/>
        <w:t>Man könnte die Possessivpronomina auch auf „Herr“ beziehen, dann würde man übersetzen: ihres und unseres Herrn, vgl. H.Conzelmann, Kommentar z.St.</w:t>
      </w:r>
    </w:p>
  </w:footnote>
  <w:footnote w:id="5825">
    <w:p>
      <w:pPr>
        <w:pStyle w:val="Funote"/>
        <w:rPr/>
      </w:pPr>
      <w:r>
        <w:rPr>
          <w:rStyle w:val="Funotenzeichen"/>
        </w:rPr>
        <w:footnoteRef/>
      </w:r>
      <w:r>
        <w:rPr/>
        <w:tab/>
        <w:t xml:space="preserve">Das Hilfsverb „eiä“, sei, ist hier zu ergänzen, vgl. Blass-Debrunner-Rehkopf, Grammatik des ntl. Griechisch, 16.Aufl. 1984, §128, Anm. 8. </w:t>
      </w:r>
    </w:p>
  </w:footnote>
  <w:footnote w:id="5826">
    <w:p>
      <w:pPr>
        <w:pStyle w:val="Funote"/>
        <w:rPr/>
      </w:pPr>
      <w:r>
        <w:rPr>
          <w:rStyle w:val="Funotenzeichen"/>
        </w:rPr>
        <w:footnoteRef/>
      </w:r>
      <w:r>
        <w:rPr/>
        <w:tab/>
        <w:t xml:space="preserve">D.h. die Bezeugung durch einen Zeugen. </w:t>
      </w:r>
    </w:p>
  </w:footnote>
  <w:footnote w:id="5827">
    <w:p>
      <w:pPr>
        <w:pStyle w:val="Funote"/>
        <w:rPr/>
      </w:pPr>
      <w:r>
        <w:rPr>
          <w:rStyle w:val="Funotenzeichen"/>
        </w:rPr>
        <w:footnoteRef/>
      </w:r>
      <w:r>
        <w:rPr/>
        <w:tab/>
        <w:t xml:space="preserve">Es handelt sich um von Gott geschenkte besondere Fähigkeiten: Charismen. Man kann den Begriff „charisma“ hier als terminus technicus ansehen. </w:t>
      </w:r>
    </w:p>
  </w:footnote>
  <w:footnote w:id="5828">
    <w:p>
      <w:pPr>
        <w:pStyle w:val="Funote"/>
        <w:rPr/>
      </w:pPr>
      <w:r>
        <w:rPr>
          <w:rStyle w:val="Funotenzeichen"/>
        </w:rPr>
        <w:footnoteRef/>
      </w:r>
      <w:r>
        <w:rPr/>
        <w:tab/>
        <w:t>Partizip</w:t>
      </w:r>
    </w:p>
  </w:footnote>
  <w:footnote w:id="5829">
    <w:p>
      <w:pPr>
        <w:pStyle w:val="Funote"/>
        <w:rPr/>
      </w:pPr>
      <w:r>
        <w:rPr>
          <w:rStyle w:val="Funotenzeichen"/>
        </w:rPr>
        <w:footnoteRef/>
      </w:r>
      <w:r>
        <w:rPr/>
        <w:tab/>
        <w:t>Partizip Passiv</w:t>
      </w:r>
    </w:p>
  </w:footnote>
  <w:footnote w:id="5830">
    <w:p>
      <w:pPr>
        <w:pStyle w:val="Funote"/>
        <w:rPr/>
      </w:pPr>
      <w:r>
        <w:rPr>
          <w:rStyle w:val="Funotenzeichen"/>
        </w:rPr>
        <w:footnoteRef/>
      </w:r>
      <w:r>
        <w:rPr/>
        <w:tab/>
        <w:t>Sg. Bruder, der Pl. kann Geschwister verschiedenen Geschlechtes bedeuten, Bauer, Wörterbuch, 5.Aufl. 1971, Sp. 31</w:t>
      </w:r>
    </w:p>
  </w:footnote>
  <w:footnote w:id="5831">
    <w:p>
      <w:pPr>
        <w:pStyle w:val="Funote"/>
        <w:rPr/>
      </w:pPr>
      <w:r>
        <w:rPr>
          <w:rStyle w:val="Funotenzeichen"/>
        </w:rPr>
        <w:footnoteRef/>
      </w:r>
      <w:r>
        <w:rPr/>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832">
    <w:p>
      <w:pPr>
        <w:pStyle w:val="Funote"/>
        <w:rPr/>
      </w:pPr>
      <w:r>
        <w:rPr>
          <w:rStyle w:val="Funotenzeichen"/>
        </w:rPr>
        <w:footnoteRef/>
      </w:r>
      <w:r>
        <w:rPr/>
        <w:tab/>
        <w:t>Partizip Medium.</w:t>
      </w:r>
    </w:p>
  </w:footnote>
  <w:footnote w:id="5833">
    <w:p>
      <w:pPr>
        <w:pStyle w:val="Funote"/>
        <w:rPr/>
      </w:pPr>
      <w:r>
        <w:rPr>
          <w:rStyle w:val="Funotenzeichen"/>
        </w:rPr>
        <w:footnoteRef/>
      </w:r>
      <w:r>
        <w:rPr/>
        <w:tab/>
        <w:t>Partizip</w:t>
      </w:r>
    </w:p>
  </w:footnote>
  <w:footnote w:id="5834">
    <w:p>
      <w:pPr>
        <w:pStyle w:val="Funote"/>
        <w:rPr/>
      </w:pPr>
      <w:r>
        <w:rPr>
          <w:rStyle w:val="Funotenzeichen"/>
        </w:rPr>
        <w:footnoteRef/>
      </w:r>
      <w:r>
        <w:rPr/>
        <w:tab/>
        <w:t>S. Diskussion.</w:t>
      </w:r>
    </w:p>
  </w:footnote>
  <w:footnote w:id="5835">
    <w:p>
      <w:pPr>
        <w:pStyle w:val="Funote"/>
        <w:rPr/>
      </w:pPr>
      <w:r>
        <w:rPr>
          <w:rStyle w:val="Funotenzeichen"/>
        </w:rPr>
        <w:footnoteRef/>
      </w:r>
      <w:r>
        <w:rPr/>
        <w:tab/>
        <w:t>Partizip</w:t>
      </w:r>
    </w:p>
  </w:footnote>
  <w:footnote w:id="5836">
    <w:p>
      <w:pPr>
        <w:pStyle w:val="Funote"/>
        <w:rPr/>
      </w:pPr>
      <w:r>
        <w:rPr>
          <w:rStyle w:val="Funotenzeichen"/>
        </w:rPr>
        <w:footnoteRef/>
      </w:r>
      <w:r>
        <w:rPr/>
        <w:tab/>
        <w:t xml:space="preserve">'kai' … 'kai' steht hier in Korrelation, vgl. Blass-Debrunner-Rehkopf, Grammatik § 444, Anm. 4. </w:t>
      </w:r>
    </w:p>
  </w:footnote>
  <w:footnote w:id="5837">
    <w:p>
      <w:pPr>
        <w:pStyle w:val="Funote"/>
        <w:rPr/>
      </w:pPr>
      <w:r>
        <w:rPr>
          <w:rStyle w:val="Funotenzeichen"/>
        </w:rPr>
        <w:footnoteRef/>
      </w:r>
      <w:r>
        <w:rPr/>
        <w:tab/>
        <w:t xml:space="preserve">Partizip passiv. </w:t>
      </w:r>
    </w:p>
  </w:footnote>
  <w:footnote w:id="5838">
    <w:p>
      <w:pPr>
        <w:pStyle w:val="Funote"/>
        <w:rPr/>
      </w:pPr>
      <w:r>
        <w:rPr>
          <w:rStyle w:val="Funotenzeichen"/>
        </w:rPr>
        <w:footnoteRef/>
      </w:r>
      <w:r>
        <w:rPr/>
        <w:tab/>
        <w:t xml:space="preserve">'skandalon' ist der Stolperstein, durch den man zu Fall kommt. </w:t>
      </w:r>
    </w:p>
  </w:footnote>
  <w:footnote w:id="5839">
    <w:p>
      <w:pPr>
        <w:pStyle w:val="Funote"/>
        <w:rPr/>
      </w:pPr>
      <w:r>
        <w:rPr>
          <w:rStyle w:val="Funotenzeichen"/>
        </w:rPr>
        <w:footnoteRef/>
      </w:r>
      <w:r>
        <w:rPr/>
        <w:tab/>
        <w:t xml:space="preserve">'ethne' bezeichnet die nichtjüdischen Völker, oft synonym mit 'Griechen' gebraucht. </w:t>
      </w:r>
    </w:p>
  </w:footnote>
  <w:footnote w:id="5840">
    <w:p>
      <w:pPr>
        <w:pStyle w:val="Funote"/>
        <w:rPr/>
      </w:pPr>
      <w:r>
        <w:rPr>
          <w:rStyle w:val="Funotenzeichen"/>
        </w:rPr>
        <w:footnoteRef/>
      </w:r>
      <w:r>
        <w:rPr/>
        <w:tab/>
        <w:t>D.h. „Was an Gott töricht erscheint“.</w:t>
      </w:r>
    </w:p>
  </w:footnote>
  <w:footnote w:id="5841">
    <w:p>
      <w:pPr>
        <w:pStyle w:val="Funote"/>
        <w:rPr/>
      </w:pPr>
      <w:r>
        <w:rPr>
          <w:rStyle w:val="Funotenzeichen"/>
        </w:rPr>
        <w:footnoteRef/>
      </w:r>
      <w:r>
        <w:rPr/>
        <w:tab/>
        <w:t>S. Diskussion.</w:t>
      </w:r>
    </w:p>
  </w:footnote>
  <w:footnote w:id="5842">
    <w:p>
      <w:pPr>
        <w:pStyle w:val="Funote"/>
        <w:rPr/>
      </w:pPr>
      <w:r>
        <w:rPr>
          <w:rStyle w:val="Funotenzeichen"/>
        </w:rPr>
        <w:footnoteRef/>
      </w:r>
      <w:r>
        <w:rPr/>
        <w:tab/>
        <w:t>Neutrum Pl. und Genitiv bezieht sich auf eine Mehrzahl von Erscheinungen, hier: Personen, vgl. Blass-Debrunner-Rehkopf, Grammatik § 263,4.</w:t>
      </w:r>
    </w:p>
  </w:footnote>
  <w:footnote w:id="5843">
    <w:p>
      <w:pPr>
        <w:pStyle w:val="Funote"/>
        <w:rPr/>
      </w:pPr>
      <w:r>
        <w:rPr>
          <w:rStyle w:val="Funotenzeichen"/>
        </w:rPr>
        <w:footnoteRef/>
      </w:r>
      <w:r>
        <w:rPr/>
        <w:tab/>
        <w:t>S. Diskussion.</w:t>
      </w:r>
    </w:p>
  </w:footnote>
  <w:footnote w:id="5844">
    <w:p>
      <w:pPr>
        <w:pStyle w:val="Funote"/>
        <w:rPr/>
      </w:pPr>
      <w:r>
        <w:rPr>
          <w:rStyle w:val="Funotenzeichen"/>
        </w:rPr>
        <w:footnoteRef/>
      </w:r>
      <w:r>
        <w:rPr/>
        <w:tab/>
        <w:t>Gott, d.h. „aufgrund eurer Erwählung“.</w:t>
      </w:r>
    </w:p>
  </w:footnote>
  <w:footnote w:id="5845">
    <w:p>
      <w:pPr>
        <w:pStyle w:val="Funote"/>
        <w:rPr/>
      </w:pPr>
      <w:r>
        <w:rPr>
          <w:rStyle w:val="Funotenzeichen"/>
        </w:rPr>
        <w:footnoteRef/>
      </w:r>
      <w:r>
        <w:rPr/>
        <w:tab/>
        <w:t>Partizip</w:t>
      </w:r>
    </w:p>
  </w:footnote>
  <w:footnote w:id="5846">
    <w:p>
      <w:pPr>
        <w:pStyle w:val="Funote"/>
        <w:rPr/>
      </w:pPr>
      <w:r>
        <w:rPr>
          <w:rStyle w:val="Funotenzeichen"/>
        </w:rPr>
        <w:footnoteRef/>
      </w:r>
      <w:r>
        <w:rPr/>
        <w:tab/>
        <w:t>[Status: Ungeprüft]</w:t>
      </w:r>
    </w:p>
  </w:footnote>
  <w:footnote w:id="5847">
    <w:p>
      <w:pPr>
        <w:pStyle w:val="Funote"/>
        <w:rPr/>
      </w:pPr>
      <w:r>
        <w:rPr>
          <w:rStyle w:val="Funotenzeichen"/>
        </w:rPr>
        <w:footnoteRef/>
      </w:r>
      <w:r>
        <w:rPr>
          <w:lang w:val="el-GR"/>
        </w:rPr>
        <w:tab/>
        <w:t>κατά</w:t>
      </w:r>
      <w:r>
        <w:rPr/>
        <w:t xml:space="preserve"> zur Bezeichnung der Art und Weise, Bauer Wörterbuch Sp. 1665</w:t>
      </w:r>
    </w:p>
  </w:footnote>
  <w:footnote w:id="5848">
    <w:p>
      <w:pPr>
        <w:pStyle w:val="Funote"/>
        <w:rPr/>
      </w:pPr>
      <w:r>
        <w:rPr>
          <w:rStyle w:val="Funotenzeichen"/>
        </w:rPr>
        <w:footnoteRef/>
      </w:r>
      <w:r>
        <w:rPr/>
        <w:tab/>
        <w:t>Partizip Aorist</w:t>
      </w:r>
    </w:p>
  </w:footnote>
  <w:footnote w:id="5849">
    <w:p>
      <w:pPr>
        <w:pStyle w:val="Funote"/>
        <w:rPr/>
      </w:pPr>
      <w:r>
        <w:rPr>
          <w:rStyle w:val="Funotenzeichen"/>
        </w:rPr>
        <w:footnoteRef/>
      </w:r>
      <w:r>
        <w:rPr>
          <w:lang w:val="el-GR"/>
        </w:rPr>
        <w:tab/>
        <w:t>λόγος</w:t>
      </w:r>
      <w:r>
        <w:rPr/>
        <w:t xml:space="preserve"> (hier Sg.) hat eine breites Bedeutungsfeld: Sprechen, Ausspruch, Aussage, Rede, Gegenstand (der Rede) usw.</w:t>
      </w:r>
    </w:p>
  </w:footnote>
  <w:footnote w:id="5850">
    <w:p>
      <w:pPr>
        <w:pStyle w:val="Funote"/>
        <w:rPr/>
      </w:pPr>
      <w:r>
        <w:rPr>
          <w:rStyle w:val="Funotenzeichen"/>
        </w:rPr>
        <w:footnoteRef/>
      </w:r>
      <w:r>
        <w:rPr/>
        <w:tab/>
        <w:t xml:space="preserve">der Satz ist noch abhängig vom Verb </w:t>
      </w:r>
      <w:r>
        <w:rPr>
          <w:lang w:val="el-GR"/>
        </w:rPr>
        <w:t>ἐγενόμην</w:t>
      </w:r>
      <w:r>
        <w:rPr/>
        <w:t xml:space="preserve"> Vers 3</w:t>
      </w:r>
    </w:p>
  </w:footnote>
  <w:footnote w:id="5851">
    <w:p>
      <w:pPr>
        <w:pStyle w:val="Funote"/>
        <w:rPr/>
      </w:pPr>
      <w:r>
        <w:rPr>
          <w:rStyle w:val="Funotenzeichen"/>
        </w:rPr>
        <w:footnoteRef/>
      </w:r>
      <w:r>
        <w:rPr/>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852">
    <w:p>
      <w:pPr>
        <w:pStyle w:val="Funote"/>
        <w:rPr/>
      </w:pPr>
      <w:r>
        <w:rPr>
          <w:rStyle w:val="Funotenzeichen"/>
        </w:rPr>
        <w:footnoteRef/>
      </w:r>
      <w:r>
        <w:rPr/>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853">
    <w:p>
      <w:pPr>
        <w:pStyle w:val="Funote"/>
        <w:rPr/>
      </w:pPr>
      <w:r>
        <w:rPr>
          <w:rStyle w:val="Funotenzeichen"/>
        </w:rPr>
        <w:footnoteRef/>
      </w:r>
      <w:r>
        <w:rPr/>
        <w:tab/>
        <w:t>Irrealis der Vergangenheit</w:t>
      </w:r>
    </w:p>
  </w:footnote>
  <w:footnote w:id="5854">
    <w:p>
      <w:pPr>
        <w:pStyle w:val="Funote"/>
        <w:rPr/>
      </w:pPr>
      <w:r>
        <w:rPr>
          <w:rStyle w:val="Funotenzeichen"/>
        </w:rPr>
        <w:footnoteRef/>
      </w:r>
      <w:r>
        <w:rPr/>
        <w:tab/>
        <w:t>"Das Zitat kann weder im AT noch im außerkanonischen jüdischen Schrifttum nachgewiesen werden. Nach Origenes stammt es aus der Elia-Apokalypse", Conzelmann, S. 81 und Anm. 70</w:t>
      </w:r>
    </w:p>
  </w:footnote>
  <w:footnote w:id="5855">
    <w:p>
      <w:pPr>
        <w:pStyle w:val="Funote"/>
        <w:rPr/>
      </w:pPr>
      <w:r>
        <w:rPr>
          <w:rStyle w:val="Funotenzeichen"/>
        </w:rPr>
        <w:footnoteRef/>
      </w:r>
      <w:r>
        <w:rPr>
          <w:lang w:val="el-GR"/>
        </w:rPr>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856">
    <w:p>
      <w:pPr>
        <w:pStyle w:val="Funote"/>
        <w:rPr/>
      </w:pPr>
      <w:r>
        <w:rPr>
          <w:rStyle w:val="Funotenzeichen"/>
        </w:rPr>
        <w:footnoteRef/>
      </w:r>
      <w:r>
        <w:rPr/>
        <w:tab/>
        <w:t>gemeint ist: ein Gedanke steigt in uns auf, weil das Herz als Sitz des Denkens galt, Bauer, Wörterbuch Sp. 100</w:t>
      </w:r>
    </w:p>
  </w:footnote>
  <w:footnote w:id="5857">
    <w:p>
      <w:pPr>
        <w:pStyle w:val="Funote"/>
        <w:rPr/>
      </w:pPr>
      <w:r>
        <w:rPr>
          <w:rStyle w:val="Funotenzeichen"/>
        </w:rPr>
        <w:footnoteRef/>
      </w:r>
      <w:r>
        <w:rPr/>
        <w:tab/>
        <w:t>Partizip</w:t>
      </w:r>
    </w:p>
  </w:footnote>
  <w:footnote w:id="5858">
    <w:p>
      <w:pPr>
        <w:pStyle w:val="Funote"/>
        <w:rPr/>
      </w:pPr>
      <w:r>
        <w:rPr>
          <w:rStyle w:val="Funotenzeichen"/>
        </w:rPr>
        <w:footnoteRef/>
      </w:r>
      <w:r>
        <w:rPr/>
        <w:tab/>
        <w:t>Bauer, Wörterbuch Sp. 259: "Die Abgründe des göttlichen Wesens"</w:t>
      </w:r>
    </w:p>
  </w:footnote>
  <w:footnote w:id="5859">
    <w:p>
      <w:pPr>
        <w:pStyle w:val="Funote"/>
        <w:rPr/>
      </w:pPr>
      <w:r>
        <w:rPr>
          <w:rStyle w:val="Funotenzeichen"/>
        </w:rPr>
        <w:footnoteRef/>
      </w:r>
      <w:r>
        <w:rPr/>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860">
    <w:p>
      <w:pPr>
        <w:pStyle w:val="Funote"/>
        <w:rPr/>
      </w:pPr>
      <w:r>
        <w:rPr>
          <w:rStyle w:val="Funotenzeichen"/>
        </w:rPr>
        <w:footnoteRef/>
      </w:r>
      <w:r>
        <w:rPr/>
        <w:tab/>
        <w:t xml:space="preserve">Relativpronomen, schließt an </w:t>
      </w:r>
      <w:r>
        <w:rPr>
          <w:lang w:val="el-GR"/>
        </w:rPr>
        <w:t>τὰ χαρισθέντα</w:t>
      </w:r>
      <w:r>
        <w:rPr/>
        <w:t xml:space="preserve"> = das [von Gott] Geschenkte Vers 12 an</w:t>
      </w:r>
    </w:p>
  </w:footnote>
  <w:footnote w:id="5861">
    <w:p>
      <w:pPr>
        <w:pStyle w:val="Funote"/>
        <w:rPr/>
      </w:pPr>
      <w:r>
        <w:rPr>
          <w:rStyle w:val="Funotenzeichen"/>
        </w:rPr>
        <w:footnoteRef/>
      </w:r>
      <w:r>
        <w:rPr>
          <w:lang w:val="el-GR"/>
        </w:rPr>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862">
    <w:p>
      <w:pPr>
        <w:pStyle w:val="Funote"/>
        <w:rPr/>
      </w:pPr>
      <w:r>
        <w:rPr>
          <w:rStyle w:val="Funotenzeichen"/>
        </w:rPr>
        <w:footnoteRef/>
      </w:r>
      <w:r>
        <w:rPr/>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863">
    <w:p>
      <w:pPr>
        <w:pStyle w:val="Funote"/>
        <w:rPr/>
      </w:pPr>
      <w:r>
        <w:rPr>
          <w:rStyle w:val="Funotenzeichen"/>
        </w:rPr>
        <w:footnoteRef/>
      </w:r>
      <w:r>
        <w:rPr/>
        <w:tab/>
        <w:t>Adverb</w:t>
      </w:r>
    </w:p>
  </w:footnote>
  <w:footnote w:id="5864">
    <w:p>
      <w:pPr>
        <w:pStyle w:val="Funote"/>
        <w:rPr/>
      </w:pPr>
      <w:r>
        <w:rPr>
          <w:rStyle w:val="Funotenzeichen"/>
        </w:rPr>
        <w:footnoteRef/>
      </w:r>
      <w:r>
        <w:rPr/>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865">
    <w:p>
      <w:pPr>
        <w:pStyle w:val="Funote"/>
        <w:rPr/>
      </w:pPr>
      <w:r>
        <w:rPr>
          <w:rStyle w:val="Funotenzeichen"/>
        </w:rPr>
        <w:footnoteRef/>
      </w:r>
      <w:r>
        <w:rPr/>
        <w:tab/>
        <w:t xml:space="preserve">wie im atl. Zitat steht hier </w:t>
      </w:r>
      <w:r>
        <w:rPr>
          <w:lang w:val="el-GR"/>
        </w:rPr>
        <w:t>νοῦς</w:t>
      </w:r>
      <w:r>
        <w:rPr/>
        <w:t>, man kann es aber m.E. nicht mit der gleichen Vokabel übersetzen</w:t>
      </w:r>
    </w:p>
  </w:footnote>
  <w:footnote w:id="5866">
    <w:p>
      <w:pPr>
        <w:pStyle w:val="Funote"/>
        <w:rPr/>
      </w:pPr>
      <w:r>
        <w:rPr>
          <w:rStyle w:val="Funotenzeichen"/>
        </w:rPr>
        <w:footnoteRef/>
      </w:r>
      <w:r>
        <w:rPr/>
        <w:tab/>
        <w:t>[Status: Ungeprüft]</w:t>
      </w:r>
    </w:p>
  </w:footnote>
  <w:footnote w:id="5867">
    <w:p>
      <w:pPr>
        <w:pStyle w:val="Funote"/>
        <w:rPr/>
      </w:pPr>
      <w:r>
        <w:rPr>
          <w:rStyle w:val="Funotenzeichen"/>
        </w:rPr>
        <w:footnoteRef/>
      </w:r>
      <w:r>
        <w:rPr/>
        <w:tab/>
        <w:t>gemeint sind natürlich nicht kirchliche Amtsträger, sondern solche, die den Hl. Geist haben</w:t>
      </w:r>
    </w:p>
  </w:footnote>
  <w:footnote w:id="5868">
    <w:p>
      <w:pPr>
        <w:pStyle w:val="Funote"/>
        <w:rPr/>
      </w:pPr>
      <w:r>
        <w:rPr>
          <w:rStyle w:val="Funotenzeichen"/>
        </w:rPr>
        <w:footnoteRef/>
      </w:r>
      <w:r>
        <w:rPr/>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869">
    <w:p>
      <w:pPr>
        <w:pStyle w:val="Funote"/>
        <w:rPr/>
      </w:pPr>
      <w:r>
        <w:rPr>
          <w:rStyle w:val="Funotenzeichen"/>
        </w:rPr>
        <w:footnoteRef/>
      </w:r>
      <w:r>
        <w:rPr>
          <w:lang w:val="el-GR"/>
        </w:rPr>
        <w:tab/>
        <w:t>ὅπου</w:t>
      </w:r>
      <w:r>
        <w:rPr/>
        <w:t xml:space="preserve"> kausal = </w:t>
      </w:r>
      <w:r>
        <w:rPr>
          <w:lang w:val="el-GR"/>
        </w:rPr>
        <w:t>ἐπεί</w:t>
      </w:r>
      <w:r>
        <w:rPr/>
        <w:t>, Conzelmann S. 88 Anm. 7</w:t>
      </w:r>
    </w:p>
  </w:footnote>
  <w:footnote w:id="5870">
    <w:p>
      <w:pPr>
        <w:pStyle w:val="Funote"/>
        <w:rPr/>
      </w:pPr>
      <w:r>
        <w:rPr>
          <w:rStyle w:val="Funotenzeichen"/>
        </w:rPr>
        <w:footnoteRef/>
      </w:r>
      <w:r>
        <w:rPr/>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871">
    <w:p>
      <w:pPr>
        <w:pStyle w:val="Funote"/>
        <w:rPr/>
      </w:pPr>
      <w:r>
        <w:rPr>
          <w:rStyle w:val="Funotenzeichen"/>
        </w:rPr>
        <w:footnoteRef/>
      </w:r>
      <w:r>
        <w:rPr/>
        <w:tab/>
        <w:t>wörtl.: des Paulus - es geht um verschiedene "Parteien", die sich nach den Personen benennen, die sie getauft haben</w:t>
      </w:r>
    </w:p>
  </w:footnote>
  <w:footnote w:id="5872">
    <w:p>
      <w:pPr>
        <w:pStyle w:val="Funote"/>
        <w:rPr/>
      </w:pPr>
      <w:r>
        <w:rPr>
          <w:rStyle w:val="Funotenzeichen"/>
        </w:rPr>
        <w:footnoteRef/>
      </w:r>
      <w:r>
        <w:rPr/>
        <w:tab/>
        <w:t>als Baustoff, z.B. Grashütte</w:t>
      </w:r>
    </w:p>
  </w:footnote>
  <w:footnote w:id="5873">
    <w:p>
      <w:pPr>
        <w:pStyle w:val="Funote"/>
        <w:rPr/>
      </w:pPr>
      <w:r>
        <w:rPr>
          <w:rStyle w:val="Funotenzeichen"/>
        </w:rPr>
        <w:footnoteRef/>
      </w:r>
      <w:r>
        <w:rPr/>
        <w:tab/>
        <w:t>Paulus meint den "Tag des Herrn", nicht wie im Sprichwort: "Die Sonne bringt es an den Tag"</w:t>
      </w:r>
    </w:p>
  </w:footnote>
  <w:footnote w:id="5874">
    <w:p>
      <w:pPr>
        <w:pStyle w:val="Funote"/>
        <w:rPr/>
      </w:pPr>
      <w:r>
        <w:rPr>
          <w:rStyle w:val="Funotenzeichen"/>
        </w:rPr>
        <w:footnoteRef/>
      </w:r>
      <w:r>
        <w:rPr/>
        <w:tab/>
        <w:t>[Status: Ungeprüft]</w:t>
      </w:r>
    </w:p>
  </w:footnote>
  <w:footnote w:id="5875">
    <w:p>
      <w:pPr>
        <w:pStyle w:val="Funote"/>
        <w:rPr/>
      </w:pPr>
      <w:r>
        <w:rPr>
          <w:rStyle w:val="Funotenzeichen"/>
        </w:rPr>
        <w:footnoteRef/>
      </w:r>
      <w:r>
        <w:rPr>
          <w:lang w:val="el-GR"/>
        </w:rPr>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876">
    <w:p>
      <w:pPr>
        <w:pStyle w:val="Funote"/>
        <w:rPr/>
      </w:pPr>
      <w:r>
        <w:rPr>
          <w:rStyle w:val="Funotenzeichen"/>
        </w:rPr>
        <w:footnoteRef/>
      </w:r>
      <w:r>
        <w:rPr/>
        <w:tab/>
        <w:t>wörtl.: mir wird es zu etwas ganz Geringfügigem</w:t>
      </w:r>
    </w:p>
  </w:footnote>
  <w:footnote w:id="5877">
    <w:p>
      <w:pPr>
        <w:pStyle w:val="Funote"/>
        <w:rPr/>
      </w:pPr>
      <w:r>
        <w:rPr>
          <w:rStyle w:val="Funotenzeichen"/>
        </w:rPr>
        <w:footnoteRef/>
      </w:r>
      <w:r>
        <w:rPr>
          <w:lang w:val="el-GR"/>
        </w:rPr>
        <w:tab/>
        <w:t>ἳνα</w:t>
      </w:r>
      <w:r>
        <w:rPr/>
        <w:t xml:space="preserve"> hier nicht final; es vertritt den Infinitiv, Blass-Debrunner-Rehkopf § 393</w:t>
      </w:r>
    </w:p>
  </w:footnote>
  <w:footnote w:id="5878">
    <w:p>
      <w:pPr>
        <w:pStyle w:val="Funote"/>
        <w:rPr/>
      </w:pPr>
      <w:r>
        <w:rPr>
          <w:rStyle w:val="Funotenzeichen"/>
        </w:rPr>
        <w:footnoteRef/>
      </w:r>
      <w:r>
        <w:rPr>
          <w:lang w:val="el-GR"/>
        </w:rPr>
        <w:tab/>
        <w:t>ἀλλά</w:t>
      </w:r>
      <w:r>
        <w:rPr/>
        <w:t xml:space="preserve"> führt Hinzukommends stark ein, Blass-Debrunner-Rehkopf § 448,6</w:t>
      </w:r>
    </w:p>
  </w:footnote>
  <w:footnote w:id="5879">
    <w:p>
      <w:pPr>
        <w:pStyle w:val="Funote"/>
        <w:rPr/>
      </w:pPr>
      <w:r>
        <w:rPr>
          <w:rStyle w:val="Funotenzeichen"/>
        </w:rPr>
        <w:footnoteRef/>
      </w:r>
      <w:r>
        <w:rPr/>
        <w:tab/>
        <w:t>i.S. von: keiner Schuld</w:t>
      </w:r>
    </w:p>
  </w:footnote>
  <w:footnote w:id="5880">
    <w:p>
      <w:pPr>
        <w:pStyle w:val="Funote"/>
        <w:rPr/>
      </w:pPr>
      <w:r>
        <w:rPr>
          <w:rStyle w:val="Funotenzeichen"/>
        </w:rPr>
        <w:footnoteRef/>
      </w:r>
      <w:r>
        <w:rPr>
          <w:lang w:val="el-GR"/>
        </w:rPr>
        <w:tab/>
        <w:t>καιρός</w:t>
      </w:r>
      <w:r>
        <w:rPr/>
        <w:t xml:space="preserve"> = die Endzeit, die mit dem Kommen Jesu das Gericht bringt</w:t>
      </w:r>
    </w:p>
  </w:footnote>
  <w:footnote w:id="5881">
    <w:p>
      <w:pPr>
        <w:pStyle w:val="Funote"/>
        <w:rPr/>
      </w:pPr>
      <w:r>
        <w:rPr>
          <w:rStyle w:val="Funotenzeichen"/>
        </w:rPr>
        <w:footnoteRef/>
      </w:r>
      <w:r>
        <w:rPr/>
        <w:tab/>
        <w:t>das Herz als Sitz des Willens und der Gedanken</w:t>
      </w:r>
    </w:p>
  </w:footnote>
  <w:footnote w:id="5882">
    <w:p>
      <w:pPr>
        <w:pStyle w:val="Funote"/>
        <w:rPr/>
      </w:pPr>
      <w:r>
        <w:rPr>
          <w:rStyle w:val="Funotenzeichen"/>
        </w:rPr>
        <w:footnoteRef/>
      </w:r>
      <w:r>
        <w:rPr>
          <w:lang w:val="el-GR"/>
        </w:rPr>
        <w:tab/>
        <w:t>τὸ</w:t>
      </w:r>
      <w:r>
        <w:rPr/>
        <w:t xml:space="preserve"> weist auf einen anerkannten Grundsatz hin. Was der aber bedeutet, ist unverständlich. Handelt es sich evtl. um eine Glosse (i.S. von: du sollst nicht über die Spalte hinaus schreiben)? vgl. Conzelmann, S. 105</w:t>
      </w:r>
    </w:p>
  </w:footnote>
  <w:footnote w:id="5883">
    <w:p>
      <w:pPr>
        <w:pStyle w:val="Funote"/>
        <w:rPr/>
      </w:pPr>
      <w:r>
        <w:rPr>
          <w:rStyle w:val="Funotenzeichen"/>
        </w:rPr>
        <w:footnoteRef/>
      </w:r>
      <w:r>
        <w:rPr/>
        <w:tab/>
        <w:t>i.S. von hochmütig sein</w:t>
      </w:r>
    </w:p>
  </w:footnote>
  <w:footnote w:id="5884">
    <w:p>
      <w:pPr>
        <w:pStyle w:val="Funote"/>
        <w:rPr/>
      </w:pPr>
      <w:r>
        <w:rPr>
          <w:rStyle w:val="Funotenzeichen"/>
        </w:rPr>
        <w:footnoteRef/>
      </w:r>
      <w:r>
        <w:rPr/>
        <w:tab/>
        <w:t>gemeint ist: damit ihr euch nicht aufbläht, der einzelne (Korinther) für den einen (Apostel, dem er anhängt, und damit) gegen den anderen, Bauer, Wörterbuch Sp. 1719</w:t>
      </w:r>
    </w:p>
  </w:footnote>
  <w:footnote w:id="5885">
    <w:p>
      <w:pPr>
        <w:pStyle w:val="Funote"/>
        <w:rPr/>
      </w:pPr>
      <w:r>
        <w:rPr>
          <w:rStyle w:val="Funotenzeichen"/>
        </w:rPr>
        <w:footnoteRef/>
      </w:r>
      <w:r>
        <w:rPr/>
        <w:tab/>
        <w:t>ergänze: sondern dir selbst erworben</w:t>
      </w:r>
    </w:p>
  </w:footnote>
  <w:footnote w:id="5886">
    <w:p>
      <w:pPr>
        <w:pStyle w:val="Funote"/>
        <w:rPr/>
      </w:pPr>
      <w:r>
        <w:rPr>
          <w:rStyle w:val="Funotenzeichen"/>
        </w:rPr>
        <w:footnoteRef/>
      </w:r>
      <w:r>
        <w:rPr/>
        <w:tab/>
        <w:t>ihr glaubt, nichts mehr an geistlicher Nahrung nötig zu haben, Bauer, Wörterbuch Sp. 879. Es handelt sich um ironische Feststellungen</w:t>
      </w:r>
    </w:p>
  </w:footnote>
  <w:footnote w:id="5887">
    <w:p>
      <w:pPr>
        <w:pStyle w:val="Funote"/>
        <w:rPr/>
      </w:pPr>
      <w:r>
        <w:rPr>
          <w:rStyle w:val="Funotenzeichen"/>
        </w:rPr>
        <w:footnoteRef/>
      </w:r>
      <w:r>
        <w:rPr/>
        <w:tab/>
        <w:t>Bild aus dem Gladiatorenkampf</w:t>
      </w:r>
    </w:p>
  </w:footnote>
  <w:footnote w:id="5888">
    <w:p>
      <w:pPr>
        <w:pStyle w:val="Funote"/>
        <w:rPr/>
      </w:pPr>
      <w:r>
        <w:rPr>
          <w:rStyle w:val="Funotenzeichen"/>
        </w:rPr>
        <w:footnoteRef/>
      </w:r>
      <w:r>
        <w:rPr/>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889">
    <w:p>
      <w:pPr>
        <w:pStyle w:val="Funote"/>
        <w:rPr/>
      </w:pPr>
      <w:r>
        <w:rPr>
          <w:rStyle w:val="Funotenzeichen"/>
        </w:rPr>
        <w:footnoteRef/>
      </w:r>
      <w:r>
        <w:rPr/>
        <w:tab/>
        <w:t>die selbe Bedeutung wie das vorige Wort: das, was beim Reinigungsprozess abgeht</w:t>
      </w:r>
    </w:p>
  </w:footnote>
  <w:footnote w:id="5890">
    <w:p>
      <w:pPr>
        <w:pStyle w:val="Funote"/>
        <w:rPr/>
      </w:pPr>
      <w:r>
        <w:rPr>
          <w:rStyle w:val="Funotenzeichen"/>
        </w:rPr>
        <w:footnoteRef/>
      </w:r>
      <w:r>
        <w:rPr/>
        <w:tab/>
        <w:t>Nestle-Aland hat das Partizip; einige gewichtige Handschriften bezeugen aber auch die 1.Sg.</w:t>
      </w:r>
    </w:p>
  </w:footnote>
  <w:footnote w:id="5891">
    <w:p>
      <w:pPr>
        <w:pStyle w:val="Funote"/>
        <w:rPr/>
      </w:pPr>
      <w:r>
        <w:rPr>
          <w:rStyle w:val="Funotenzeichen"/>
        </w:rPr>
        <w:footnoteRef/>
      </w:r>
      <w:r>
        <w:rPr/>
        <w:tab/>
        <w:t>nicht zu verwechseln mit dem Lehrer! Den Pädagogen unterstand die äußere Erziehung der Knaben und Jünglinge, nicht jedoch der eigentliche Unterricht, Bauer, Wörterbuch Sp. 1195f</w:t>
      </w:r>
    </w:p>
  </w:footnote>
  <w:footnote w:id="5892">
    <w:p>
      <w:pPr>
        <w:pStyle w:val="Funote"/>
        <w:rPr/>
      </w:pPr>
      <w:r>
        <w:rPr>
          <w:rStyle w:val="Funotenzeichen"/>
        </w:rPr>
        <w:footnoteRef/>
      </w:r>
      <w:r>
        <w:rPr/>
        <w:tab/>
        <w:t>Iterativus der Gegenwart: so oft = wenn</w:t>
      </w:r>
    </w:p>
  </w:footnote>
  <w:footnote w:id="5893">
    <w:p>
      <w:pPr>
        <w:pStyle w:val="Funote"/>
        <w:rPr/>
      </w:pPr>
      <w:r>
        <w:rPr>
          <w:rStyle w:val="Funotenzeichen"/>
        </w:rPr>
        <w:footnoteRef/>
      </w:r>
      <w:r>
        <w:rPr/>
        <w:tab/>
        <w:t>Futuralis</w:t>
      </w:r>
    </w:p>
  </w:footnote>
  <w:footnote w:id="5894">
    <w:p>
      <w:pPr>
        <w:pStyle w:val="Funote"/>
        <w:rPr/>
      </w:pPr>
      <w:r>
        <w:rPr>
          <w:rStyle w:val="Funotenzeichen"/>
        </w:rPr>
        <w:footnoteRef/>
      </w:r>
      <w:r>
        <w:rPr/>
        <w:tab/>
        <w:t>oder: beruht auf dem Wort</w:t>
      </w:r>
    </w:p>
  </w:footnote>
  <w:footnote w:id="5895">
    <w:p>
      <w:pPr>
        <w:pStyle w:val="Funote"/>
        <w:rPr/>
      </w:pPr>
      <w:r>
        <w:rPr>
          <w:rStyle w:val="Funotenzeichen"/>
        </w:rPr>
        <w:footnoteRef/>
      </w:r>
      <w:r>
        <w:rPr/>
        <w:tab/>
        <w:t>[Status: Ungeprüft]</w:t>
      </w:r>
    </w:p>
  </w:footnote>
  <w:footnote w:id="5896">
    <w:p>
      <w:pPr>
        <w:pStyle w:val="Funote"/>
        <w:rPr/>
      </w:pPr>
      <w:r>
        <w:rPr>
          <w:rStyle w:val="Funotenzeichen"/>
        </w:rPr>
        <w:footnoteRef/>
      </w:r>
      <w:r>
        <w:rPr/>
        <w:tab/>
        <w:t>Paulus bezieht sich hier zum ersten Mal auf Fragen der Korinther, die ihm von den Korinthern in einem Brief gestellt wurden. Weitere Stellen: 7,25; 8,1; 12,1.</w:t>
      </w:r>
    </w:p>
  </w:footnote>
  <w:footnote w:id="5897">
    <w:p>
      <w:pPr>
        <w:pStyle w:val="Funote"/>
        <w:rPr/>
      </w:pPr>
      <w:r>
        <w:rPr>
          <w:rStyle w:val="Funotenzeichen"/>
        </w:rPr>
        <w:footnoteRef/>
      </w:r>
      <w:r>
        <w:rPr/>
        <w:tab/>
        <w:t>Wörtl.: Menschen</w:t>
      </w:r>
    </w:p>
  </w:footnote>
  <w:footnote w:id="5898">
    <w:p>
      <w:pPr>
        <w:pStyle w:val="Funote"/>
        <w:rPr/>
      </w:pPr>
      <w:r>
        <w:rPr>
          <w:rStyle w:val="Funotenzeichen"/>
        </w:rPr>
        <w:footnoteRef/>
      </w:r>
      <w:r>
        <w:rPr/>
        <w:tab/>
        <w:t xml:space="preserve">Das griechische Verb </w:t>
      </w:r>
      <w:r>
        <w:rPr>
          <w:lang w:val="el-GR"/>
        </w:rPr>
        <w:t>απτομαι</w:t>
      </w:r>
      <w:r>
        <w:rPr/>
        <w:t xml:space="preserve"> (haptomai) meint nicht eine spezielle, z.B. sexuelle Form der Berührung, sondern das Berühren (= Anfassen) überhaupt.</w:t>
      </w:r>
    </w:p>
  </w:footnote>
  <w:footnote w:id="5899">
    <w:p>
      <w:pPr>
        <w:pStyle w:val="Funote"/>
        <w:rPr/>
      </w:pPr>
      <w:r>
        <w:rPr>
          <w:rStyle w:val="Funotenzeichen"/>
        </w:rPr>
        <w:footnoteRef/>
      </w:r>
      <w:r>
        <w:rPr/>
        <w:tab/>
        <w:t>Gemeint ist: außerehelicher Geschlechtsverkehr</w:t>
      </w:r>
    </w:p>
  </w:footnote>
  <w:footnote w:id="5900">
    <w:p>
      <w:pPr>
        <w:pStyle w:val="Funote"/>
        <w:rPr/>
      </w:pPr>
      <w:r>
        <w:rPr>
          <w:rStyle w:val="Funotenzeichen"/>
        </w:rPr>
        <w:footnoteRef/>
      </w:r>
      <w:r>
        <w:rPr/>
        <w:tab/>
        <w:t>Der Ausdruck "seine Pflicht erfüllen" bezieht sich nicht auf eine spezifische Pflicht, z.B. die sog. "ehelichen Pflichten", d.h. die Bereitschaft zum Geschlechtsverkehr, könnte aber im Zusammenhang hier gemeint sein.</w:t>
      </w:r>
    </w:p>
  </w:footnote>
  <w:footnote w:id="5901">
    <w:p>
      <w:pPr>
        <w:pStyle w:val="Funote"/>
        <w:rPr/>
      </w:pPr>
      <w:r>
        <w:rPr>
          <w:rStyle w:val="Funotenzeichen"/>
        </w:rPr>
        <w:footnoteRef/>
      </w:r>
      <w:r>
        <w:rPr/>
        <w:tab/>
        <w:t>Wörtlich: beraubt nicht</w:t>
      </w:r>
    </w:p>
  </w:footnote>
  <w:footnote w:id="5902">
    <w:p>
      <w:pPr>
        <w:pStyle w:val="Funote"/>
        <w:rPr/>
      </w:pPr>
      <w:r>
        <w:rPr>
          <w:rStyle w:val="Funotenzeichen"/>
        </w:rPr>
        <w:footnoteRef/>
      </w:r>
      <w:r>
        <w:rPr/>
        <w:tab/>
        <w:t>Auch: Geschiedenen</w:t>
      </w:r>
    </w:p>
  </w:footnote>
  <w:footnote w:id="5903">
    <w:p>
      <w:pPr>
        <w:pStyle w:val="Funote"/>
        <w:rPr/>
      </w:pPr>
      <w:r>
        <w:rPr>
          <w:rStyle w:val="Funotenzeichen"/>
        </w:rPr>
        <w:footnoteRef/>
      </w:r>
      <w:r>
        <w:rPr/>
        <w:tab/>
        <w:t>Gemeint ist: vor Lust.</w:t>
      </w:r>
    </w:p>
  </w:footnote>
  <w:footnote w:id="5904">
    <w:p>
      <w:pPr>
        <w:pStyle w:val="Funote"/>
        <w:rPr/>
      </w:pPr>
      <w:r>
        <w:rPr>
          <w:rStyle w:val="Funotenzeichen"/>
        </w:rPr>
        <w:footnoteRef/>
      </w:r>
      <w:r>
        <w:rPr/>
        <w:tab/>
        <w:t>Eine der wenigen Stellen, an denen Paulus ein Jesuswort ("Herrenwort") überliefert, vgl. 9,14 und 1.Thessalonicher 4,15.</w:t>
      </w:r>
    </w:p>
  </w:footnote>
  <w:footnote w:id="5905">
    <w:p>
      <w:pPr>
        <w:pStyle w:val="Funote"/>
        <w:rPr/>
      </w:pPr>
      <w:r>
        <w:rPr>
          <w:rStyle w:val="Funotenzeichen"/>
        </w:rPr>
        <w:footnoteRef/>
      </w:r>
      <w:r>
        <w:rPr/>
        <w:tab/>
        <w:t xml:space="preserve">Nicht Einräumung einer Ausnahme ("falls sie sich doch scheidet"), </w:t>
      </w:r>
      <w:hyperlink r:id="rId629">
        <w:r>
          <w:rPr>
            <w:rStyle w:val="Internetverknpfung"/>
          </w:rPr>
          <w:t>BDR</w:t>
        </w:r>
      </w:hyperlink>
      <w:r>
        <w:rPr/>
        <w:t xml:space="preserve"> § 373.</w:t>
      </w:r>
    </w:p>
  </w:footnote>
  <w:footnote w:id="5906">
    <w:p>
      <w:pPr>
        <w:pStyle w:val="Funote"/>
        <w:rPr/>
      </w:pPr>
      <w:r>
        <w:rPr>
          <w:rStyle w:val="Funotenzeichen"/>
        </w:rPr>
        <w:footnoteRef/>
      </w:r>
      <w:r>
        <w:rPr/>
        <w:tab/>
        <w:t>(Aus einem Rechtsverhältnis entlassen) Hier zeigt sich die Gleichstellung der Geschlechter bei Paulus, so auch in den Versen 13 und 15; das entspricht dem griechischen und römischen Recht, im Gegensatz dazu das jüdische Recht (Conzelmann, S. 145).</w:t>
      </w:r>
    </w:p>
  </w:footnote>
  <w:footnote w:id="5907">
    <w:p>
      <w:pPr>
        <w:pStyle w:val="Funote"/>
        <w:rPr/>
      </w:pPr>
      <w:r>
        <w:rPr>
          <w:rStyle w:val="Funotenzeichen"/>
        </w:rPr>
        <w:footnoteRef/>
      </w:r>
      <w:r>
        <w:rPr/>
        <w:tab/>
        <w:t>Nämlich denen, die in christlich-heidnischer Mischehe leben.</w:t>
      </w:r>
    </w:p>
  </w:footnote>
  <w:footnote w:id="5908">
    <w:p>
      <w:pPr>
        <w:pStyle w:val="Funote"/>
        <w:rPr/>
      </w:pPr>
      <w:r>
        <w:rPr>
          <w:rStyle w:val="Funotenzeichen"/>
        </w:rPr>
        <w:footnoteRef/>
      </w:r>
      <w:r>
        <w:rPr/>
        <w:tab/>
        <w:t>Im kultischen Sinn unrein ist, was mit der Gottheit nicht in Berührung gebracht werden darf.</w:t>
      </w:r>
    </w:p>
  </w:footnote>
  <w:footnote w:id="5909">
    <w:p>
      <w:pPr>
        <w:pStyle w:val="Funote"/>
        <w:rPr/>
      </w:pPr>
      <w:r>
        <w:rPr>
          <w:rStyle w:val="Funotenzeichen"/>
        </w:rPr>
        <w:footnoteRef/>
      </w:r>
      <w:r>
        <w:rPr/>
        <w:tab/>
        <w:t>Kann sowohl das Bisherige zusammenfassen (= doch) als auch einen Neueinsatz einleiten (= sondern), Conzelmann, S. 150.</w:t>
      </w:r>
    </w:p>
  </w:footnote>
  <w:footnote w:id="5910">
    <w:p>
      <w:pPr>
        <w:pStyle w:val="Funote"/>
        <w:rPr/>
      </w:pPr>
      <w:r>
        <w:rPr>
          <w:rStyle w:val="Funotenzeichen"/>
        </w:rPr>
        <w:footnoteRef/>
      </w:r>
      <w:r>
        <w:rPr/>
        <w:tab/>
        <w:t>Um die Beschneidung zu verdecken.</w:t>
      </w:r>
    </w:p>
  </w:footnote>
  <w:footnote w:id="5911">
    <w:p>
      <w:pPr>
        <w:pStyle w:val="Funote"/>
        <w:rPr/>
      </w:pPr>
      <w:r>
        <w:rPr>
          <w:rStyle w:val="Funotenzeichen"/>
        </w:rPr>
        <w:footnoteRef/>
      </w:r>
      <w:r>
        <w:rPr/>
        <w:tab/>
        <w:t>Es handelt sich um bürgerliche Freiheit, die in der Gemeinde keinen Wert darstellt, da dort nicht zwischen frei und unfrei unterschieden wird.</w:t>
      </w:r>
    </w:p>
  </w:footnote>
  <w:footnote w:id="5912">
    <w:p>
      <w:pPr>
        <w:pStyle w:val="Funote"/>
        <w:rPr/>
      </w:pPr>
      <w:r>
        <w:rPr>
          <w:rStyle w:val="Funotenzeichen"/>
        </w:rPr>
        <w:footnoteRef/>
      </w:r>
      <w:r>
        <w:rPr/>
        <w:tab/>
        <w:t>Bezieht sich "sie" auf die Sklaverei oder die Freiheit? Im Griechischen fehlt das Bezugswort, sodass beides möglich wäre. Conzelmann, S. 153, meint, dass "die Sklaverei" gemeint ist, weil es sich um ein Trostwort handelt und wegen einer Parallele bei Epiktet (II,6,18): "Was kümmert es dich, welchen Weg zum Hades du nimmst? Alle sind gleich".</w:t>
      </w:r>
    </w:p>
  </w:footnote>
  <w:footnote w:id="5913">
    <w:p>
      <w:pPr>
        <w:pStyle w:val="Funote"/>
        <w:rPr/>
      </w:pPr>
      <w:r>
        <w:rPr>
          <w:rStyle w:val="Funotenzeichen"/>
        </w:rPr>
        <w:footnoteRef/>
      </w:r>
      <w:r>
        <w:rPr/>
        <w:tab/>
        <w:t>Vgl. Römer 6,18; 8,2;Galater 5,1.</w:t>
      </w:r>
    </w:p>
  </w:footnote>
  <w:footnote w:id="5914">
    <w:p>
      <w:pPr>
        <w:pStyle w:val="Funote"/>
        <w:rPr/>
      </w:pPr>
      <w:r>
        <w:rPr>
          <w:rStyle w:val="Funotenzeichen"/>
        </w:rPr>
        <w:footnoteRef/>
      </w:r>
      <w:r>
        <w:rPr/>
        <w:tab/>
        <w:t>Der Begriff bezeichnet Männer und Frauen, die Jungfräulichkeit gelobt haben.</w:t>
      </w:r>
    </w:p>
  </w:footnote>
  <w:footnote w:id="5915">
    <w:p>
      <w:pPr>
        <w:pStyle w:val="Funote"/>
        <w:rPr/>
      </w:pPr>
      <w:r>
        <w:rPr>
          <w:rStyle w:val="Funotenzeichen"/>
        </w:rPr>
        <w:footnoteRef/>
      </w:r>
      <w:r>
        <w:rPr/>
        <w:tab/>
        <w:t>Wörtl.: Die Meinung "abgeben".</w:t>
      </w:r>
    </w:p>
  </w:footnote>
  <w:footnote w:id="5916">
    <w:p>
      <w:pPr>
        <w:pStyle w:val="Funote"/>
        <w:rPr/>
      </w:pPr>
      <w:r>
        <w:rPr>
          <w:rStyle w:val="Funotenzeichen"/>
        </w:rPr>
        <w:footnoteRef/>
      </w:r>
      <w:r>
        <w:rPr>
          <w:lang w:val="el-GR"/>
        </w:rPr>
        <w:tab/>
        <w:t>πιστος</w:t>
      </w:r>
      <w:r>
        <w:rPr/>
        <w:t xml:space="preserve"> heißt hier schwerlich "gläubig", sondern der Apostel Paulus fühlt sich in besonderer Weise vom Herrn berufen und beauftragt, das Adjektiv ist also hier eher ein Titel: "Vertrauensmann", vgl. 1.Thessalonicher 2,4, "Beauftragter" - oft in Inschriften </w:t>
      </w:r>
      <w:hyperlink r:id="rId630">
        <w:r>
          <w:rPr>
            <w:rStyle w:val="Internetverknpfung"/>
          </w:rPr>
          <w:t>BW</w:t>
        </w:r>
      </w:hyperlink>
      <w:r>
        <w:rPr/>
        <w:t xml:space="preserve"> Sp. 1318.</w:t>
      </w:r>
    </w:p>
  </w:footnote>
  <w:footnote w:id="5917">
    <w:p>
      <w:pPr>
        <w:pStyle w:val="Funote"/>
        <w:rPr/>
      </w:pPr>
      <w:r>
        <w:rPr>
          <w:rStyle w:val="Funotenzeichen"/>
        </w:rPr>
        <w:footnoteRef/>
      </w:r>
      <w:hyperlink r:id="rId631">
        <w:r>
          <w:rPr>
            <w:rStyle w:val="Internetverknpfung"/>
          </w:rPr>
          <w:tab/>
          <w:t>Part. coni.</w:t>
        </w:r>
      </w:hyperlink>
      <w:r>
        <w:rPr/>
        <w:t>, kausal aufgelöst.</w:t>
      </w:r>
    </w:p>
  </w:footnote>
  <w:footnote w:id="5918">
    <w:p>
      <w:pPr>
        <w:pStyle w:val="Funote"/>
        <w:rPr/>
      </w:pPr>
      <w:r>
        <w:rPr>
          <w:rStyle w:val="Funotenzeichen"/>
        </w:rPr>
        <w:footnoteRef/>
      </w:r>
      <w:r>
        <w:rPr/>
        <w:tab/>
        <w:t>Die Endzeit, die Paulus als unmittelbar bevorstehend annahm.</w:t>
      </w:r>
    </w:p>
  </w:footnote>
  <w:footnote w:id="5919">
    <w:p>
      <w:pPr>
        <w:pStyle w:val="Funote"/>
        <w:rPr/>
      </w:pPr>
      <w:r>
        <w:rPr>
          <w:rStyle w:val="Funotenzeichen"/>
        </w:rPr>
        <w:footnoteRef/>
      </w:r>
      <w:r>
        <w:rPr/>
        <w:tab/>
        <w:t>Im oben V. 25 gemeinten Sinn</w:t>
      </w:r>
    </w:p>
  </w:footnote>
  <w:footnote w:id="5920">
    <w:p>
      <w:pPr>
        <w:pStyle w:val="Funote"/>
        <w:rPr/>
      </w:pPr>
      <w:r>
        <w:rPr>
          <w:rStyle w:val="Funotenzeichen"/>
        </w:rPr>
        <w:footnoteRef/>
      </w:r>
      <w:r>
        <w:rPr>
          <w:lang w:val="el-GR"/>
        </w:rPr>
        <w:tab/>
        <w:t>ινα</w:t>
      </w:r>
      <w:r>
        <w:rPr/>
        <w:t xml:space="preserve"> mit Konjunktiv ersetzt den Imperativ, </w:t>
      </w:r>
      <w:hyperlink r:id="rId632">
        <w:r>
          <w:rPr>
            <w:rStyle w:val="Internetverknpfung"/>
          </w:rPr>
          <w:t>BDR</w:t>
        </w:r>
      </w:hyperlink>
      <w:r>
        <w:rPr/>
        <w:t xml:space="preserve"> § 387,3a.</w:t>
      </w:r>
    </w:p>
  </w:footnote>
  <w:footnote w:id="5921">
    <w:p>
      <w:pPr>
        <w:pStyle w:val="Funote"/>
        <w:rPr/>
      </w:pPr>
      <w:r>
        <w:rPr>
          <w:rStyle w:val="Funotenzeichen"/>
        </w:rPr>
        <w:footnoteRef/>
      </w:r>
      <w:r>
        <w:rPr/>
        <w:tab/>
        <w:t xml:space="preserve">Die Präposition </w:t>
      </w:r>
      <w:r>
        <w:rPr>
          <w:lang w:val="el-GR"/>
        </w:rPr>
        <w:t>κατα</w:t>
      </w:r>
      <w:r>
        <w:rPr/>
        <w:t xml:space="preserve"> gibt dem Verb </w:t>
      </w:r>
      <w:r>
        <w:rPr>
          <w:lang w:val="el-GR"/>
        </w:rPr>
        <w:t>χραομαι</w:t>
      </w:r>
      <w:r>
        <w:rPr/>
        <w:t xml:space="preserve"> (gebrauchen) eine besondere Färbung im Sinne von "ganz und gar verbrauchen", "missbrauchen", "ausnutzen".</w:t>
      </w:r>
    </w:p>
  </w:footnote>
  <w:footnote w:id="5922">
    <w:p>
      <w:pPr>
        <w:pStyle w:val="Funote"/>
        <w:rPr/>
      </w:pPr>
      <w:r>
        <w:rPr>
          <w:rStyle w:val="Funotenzeichen"/>
        </w:rPr>
        <w:footnoteRef/>
      </w:r>
      <w:r>
        <w:rPr/>
        <w:tab/>
        <w:t>Vgl. 1.Korinther 1,13</w:t>
      </w:r>
    </w:p>
  </w:footnote>
  <w:footnote w:id="5923">
    <w:p>
      <w:pPr>
        <w:pStyle w:val="Funote"/>
        <w:rPr/>
      </w:pPr>
      <w:r>
        <w:rPr>
          <w:rStyle w:val="Funotenzeichen"/>
        </w:rPr>
        <w:footnoteRef/>
      </w:r>
      <w:r>
        <w:rPr/>
        <w:tab/>
        <w:t>Gemeint ist die Verlobte eines Bräutigams, Conzelmann S. 160</w:t>
      </w:r>
    </w:p>
  </w:footnote>
  <w:footnote w:id="5924">
    <w:p>
      <w:pPr>
        <w:pStyle w:val="Funote"/>
        <w:rPr/>
      </w:pPr>
      <w:r>
        <w:rPr>
          <w:rStyle w:val="Funotenzeichen"/>
        </w:rPr>
        <w:footnoteRef/>
      </w:r>
      <w:r>
        <w:rPr/>
        <w:tab/>
        <w:t xml:space="preserve">Ein zusammengesetztes Verb; </w:t>
      </w:r>
      <w:r>
        <w:rPr>
          <w:lang w:val="el-GR"/>
        </w:rPr>
        <w:t>ακμος</w:t>
      </w:r>
      <w:r>
        <w:rPr/>
        <w:t xml:space="preserve"> bezeichnet den Höhepunkt einer Entwicklung; </w:t>
      </w:r>
      <w:r>
        <w:rPr>
          <w:lang w:val="el-GR"/>
        </w:rPr>
        <w:t>υπερακμος</w:t>
      </w:r>
      <w:r>
        <w:rPr/>
        <w:t xml:space="preserve"> ist also ein Überschreiten dieses Höhepunktes. Ist hier auf das Begehren angespielt, also UGS "spitz, scharf sein"?</w:t>
      </w:r>
    </w:p>
  </w:footnote>
  <w:footnote w:id="5925">
    <w:p>
      <w:pPr>
        <w:pStyle w:val="Funote"/>
        <w:rPr/>
      </w:pPr>
      <w:r>
        <w:rPr>
          <w:rStyle w:val="Funotenzeichen"/>
        </w:rPr>
        <w:footnoteRef/>
      </w:r>
      <w:r>
        <w:rPr/>
        <w:tab/>
        <w:t>D.h. unter der Voraussetzung, dass</w:t>
      </w:r>
    </w:p>
  </w:footnote>
  <w:footnote w:id="5926">
    <w:p>
      <w:pPr>
        <w:pStyle w:val="Funote"/>
        <w:rPr/>
      </w:pPr>
      <w:r>
        <w:rPr>
          <w:rStyle w:val="Funotenzeichen"/>
        </w:rPr>
        <w:footnoteRef/>
      </w:r>
      <w:r>
        <w:rPr/>
        <w:tab/>
        <w:t>D.h. unverheiratet</w:t>
      </w:r>
    </w:p>
  </w:footnote>
  <w:footnote w:id="5927">
    <w:p>
      <w:pPr>
        <w:pStyle w:val="Funote"/>
        <w:rPr/>
      </w:pPr>
      <w:r>
        <w:rPr>
          <w:rStyle w:val="Funotenzeichen"/>
        </w:rPr>
        <w:footnoteRef/>
      </w:r>
      <w:r>
        <w:rPr/>
        <w:tab/>
        <w:t>Hier wird eine Ptz.-Konstruktion aufgelöst. Hier wird kausal übersetzt: nur ein freier Mensch kann sich zum Sklaven machen (vgl. Schnabel 2010, S. 500; Wolff 1996, S. 201). ELB, NGÜ, SCHL2000, LUT2017 übersetzen alle konzessiv („obwohl“, „doch“), vermutlich da „frei“ und „Sklave“ ein antithetisches Begriffspaar darstellt.</w:t>
      </w:r>
    </w:p>
  </w:footnote>
  <w:footnote w:id="5928">
    <w:p>
      <w:pPr>
        <w:pStyle w:val="Funote"/>
        <w:rPr/>
      </w:pPr>
      <w:r>
        <w:rPr>
          <w:rStyle w:val="Funotenzeichen"/>
        </w:rPr>
        <w:footnoteRef/>
      </w:r>
      <w:r>
        <w:rPr/>
        <w:tab/>
        <w:t>w. "im Stadium laufen". Das (</w:t>
      </w:r>
      <w:r>
        <w:rPr>
          <w:lang w:val="el-GR"/>
        </w:rPr>
        <w:t>τρέχω ἐν σταδίῳ</w:t>
      </w:r>
      <w:r>
        <w:rPr/>
        <w:t>) war ein terminus technikus für Kurzstreckenlauf: bis zu 12 Läufer liefen gegeneinander eine Runde (ca. 200m) vor bis zu 21 000 Zuschauern (Schnabel 2010, S. 511f)</w:t>
      </w:r>
    </w:p>
  </w:footnote>
  <w:footnote w:id="5929">
    <w:p>
      <w:pPr>
        <w:pStyle w:val="Funote"/>
        <w:rPr/>
      </w:pPr>
      <w:r>
        <w:rPr>
          <w:rStyle w:val="Funotenzeichen"/>
        </w:rPr>
        <w:footnoteRef/>
      </w:r>
      <w:r>
        <w:rPr/>
        <w:tab/>
        <w:t>Der Sieger bekam einen Siegeskranz aus Fichtenholz oder Eppich (so ähnlich wie Sellerie), und wurde zusätzlich von seiner Heimatstadt materiell und durch ein einflussreiches politisches Amt belohnt (Schnabel 2010, S. 512, 514)</w:t>
      </w:r>
    </w:p>
  </w:footnote>
  <w:footnote w:id="5930">
    <w:p>
      <w:pPr>
        <w:pStyle w:val="Funote"/>
        <w:rPr/>
      </w:pPr>
      <w:r>
        <w:rPr>
          <w:rStyle w:val="Funotenzeichen"/>
        </w:rPr>
        <w:footnoteRef/>
      </w:r>
      <w:r>
        <w:rPr/>
        <w:tab/>
        <w:t>Verzicht/Selbstbeherrschung (</w:t>
      </w:r>
      <w:r>
        <w:rPr>
          <w:lang w:val="el-GR"/>
        </w:rPr>
        <w:t>ἐγκράτεια</w:t>
      </w:r>
      <w:r>
        <w:rPr/>
        <w:t>) ist ein Teil der Frucht des Geistes (Gal 5,23). Sein Wortstamm enthält den Begriff "Askese": Die griechischen Stoiker sahen die Bezähmung ihrer Leidenschaften als Lebensziel an. Jesus und Paulus dagegen fordern diese Selbstbeherrschung nicht als „allg. gültige asketische Verhaltensethik“, sondern als Mittel der Nachfolge (Baltensweiler &amp; Wibbing 1997, 408). In unserem Kontext handelt es sich also um einen „Verzicht auf eigentliche berechtigte Ansprüche.“ (Wolff 1996, 206)</w:t>
      </w:r>
    </w:p>
  </w:footnote>
  <w:footnote w:id="5931">
    <w:p>
      <w:pPr>
        <w:pStyle w:val="Funote"/>
        <w:rPr/>
      </w:pPr>
      <w:r>
        <w:rPr>
          <w:rStyle w:val="Funotenzeichen"/>
        </w:rPr>
        <w:footnoteRef/>
      </w:r>
      <w:r>
        <w:rPr/>
        <w:tab/>
        <w:t>Wenn der Siegeskranz aus Sellerie ist (s.o.), verwelkt er recht schnell. Selbst wenn es sich um Fichtenholz handelt, vergeht der Ruhm in kurzer Zeit.</w:t>
      </w:r>
    </w:p>
  </w:footnote>
  <w:footnote w:id="5932">
    <w:p>
      <w:pPr>
        <w:pStyle w:val="Funote"/>
        <w:rPr/>
      </w:pPr>
      <w:r>
        <w:rPr>
          <w:rStyle w:val="Funotenzeichen"/>
        </w:rPr>
        <w:footnoteRef/>
      </w:r>
      <w:r>
        <w:rPr/>
        <w:tab/>
        <w:t xml:space="preserve">Durch das </w:t>
      </w:r>
      <w:r>
        <w:rPr>
          <w:lang w:val="el-GR"/>
        </w:rPr>
        <w:t>ἐγὼ τοίνυν</w:t>
      </w:r>
      <w:r>
        <w:rPr/>
        <w:t xml:space="preserve"> wird ein Perspektivwechsel eingeleitet: jetzt geht es wieder um das Vorbild Paulus (vgl. 11,1).</w:t>
      </w:r>
    </w:p>
  </w:footnote>
  <w:footnote w:id="5933">
    <w:p>
      <w:pPr>
        <w:pStyle w:val="Funote"/>
        <w:rPr/>
      </w:pPr>
      <w:r>
        <w:rPr>
          <w:rStyle w:val="Funotenzeichen"/>
        </w:rPr>
        <w:footnoteRef/>
      </w:r>
      <w:r>
        <w:rPr/>
        <w:tab/>
        <w:t xml:space="preserve">Der Begriff </w:t>
      </w:r>
      <w:r>
        <w:rPr>
          <w:lang w:val="el-GR"/>
        </w:rPr>
        <w:t>δέρω</w:t>
      </w:r>
      <w:r>
        <w:rPr/>
        <w:t xml:space="preserve"> wird hier bewusst mit dem etwas saloppen Wort „hauen“ wiedergegeben: Es handelt sich hier nicht um einen terminus technicus, sondern bedeutet eher umgangsprachlich „prügeln“ (Schnabel 2010, S. 516)</w:t>
      </w:r>
    </w:p>
  </w:footnote>
  <w:footnote w:id="5934">
    <w:p>
      <w:pPr>
        <w:pStyle w:val="Funote"/>
        <w:rPr/>
      </w:pPr>
      <w:r>
        <w:rPr>
          <w:rStyle w:val="Funotenzeichen"/>
        </w:rPr>
        <w:footnoteRef/>
      </w:r>
      <w:r>
        <w:rPr/>
        <w:tab/>
        <w:t>w. „unter das Auge schlagen“: also brutal und effektiv kämpfen (Haubeck &amp; Siebenthal 2007, 976)</w:t>
      </w:r>
    </w:p>
  </w:footnote>
  <w:footnote w:id="5935">
    <w:p>
      <w:pPr>
        <w:pStyle w:val="Funote"/>
        <w:rPr/>
      </w:pPr>
      <w:r>
        <w:rPr>
          <w:rStyle w:val="Funotenzeichen"/>
        </w:rPr>
        <w:footnoteRef/>
      </w:r>
      <w:r>
        <w:rPr/>
        <w:tab/>
        <w:t>w. versklave meinen Körper</w:t>
      </w:r>
    </w:p>
  </w:footnote>
  <w:footnote w:id="5936">
    <w:p>
      <w:pPr>
        <w:pStyle w:val="Funote"/>
        <w:rPr/>
      </w:pPr>
      <w:r>
        <w:rPr>
          <w:rStyle w:val="Funotenzeichen"/>
        </w:rPr>
        <w:footnoteRef/>
      </w:r>
      <w:r>
        <w:rPr/>
        <w:tab/>
        <w:t>eig.: Volk</w:t>
      </w:r>
    </w:p>
  </w:footnote>
  <w:footnote w:id="5937">
    <w:p>
      <w:pPr>
        <w:pStyle w:val="Funote"/>
        <w:rPr/>
      </w:pPr>
      <w:r>
        <w:rPr>
          <w:rStyle w:val="Funotenzeichen"/>
        </w:rPr>
        <w:footnoteRef/>
      </w:r>
      <w:r>
        <w:rPr/>
        <w:tab/>
        <w:t>Wörtlich: »Fluch, Bann«</w:t>
      </w:r>
    </w:p>
  </w:footnote>
  <w:footnote w:id="5938">
    <w:p>
      <w:pPr>
        <w:pStyle w:val="Funote"/>
        <w:rPr/>
      </w:pPr>
      <w:r>
        <w:rPr>
          <w:rStyle w:val="Funotenzeichen"/>
        </w:rPr>
        <w:footnoteRef/>
      </w:r>
      <w:r>
        <w:rPr/>
        <w:tab/>
        <w:t>[Status: Ungeprüft]</w:t>
      </w:r>
    </w:p>
  </w:footnote>
  <w:footnote w:id="5939">
    <w:p>
      <w:pPr>
        <w:pStyle w:val="Funote"/>
        <w:rPr/>
      </w:pPr>
      <w:r>
        <w:rPr>
          <w:rStyle w:val="Funotenzeichen"/>
        </w:rPr>
        <w:footnoteRef/>
      </w:r>
      <w:r>
        <w:rPr/>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940">
    <w:p>
      <w:pPr>
        <w:pStyle w:val="Funote"/>
        <w:rPr/>
      </w:pPr>
      <w:r>
        <w:rPr>
          <w:rStyle w:val="Funotenzeichen"/>
        </w:rPr>
        <w:footnoteRef/>
      </w:r>
      <w:r>
        <w:rPr/>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941">
    <w:p>
      <w:pPr>
        <w:pStyle w:val="Funote"/>
        <w:rPr/>
      </w:pPr>
      <w:r>
        <w:rPr>
          <w:rStyle w:val="Funotenzeichen"/>
        </w:rPr>
        <w:footnoteRef/>
      </w:r>
      <w:r>
        <w:rPr/>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942">
    <w:p>
      <w:pPr>
        <w:pStyle w:val="Funote"/>
        <w:rPr/>
      </w:pPr>
      <w:r>
        <w:rPr>
          <w:rStyle w:val="Funotenzeichen"/>
        </w:rPr>
        <w:footnoteRef/>
      </w:r>
      <w:r>
        <w:rPr/>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943">
    <w:p>
      <w:pPr>
        <w:pStyle w:val="Funote"/>
        <w:rPr/>
      </w:pPr>
      <w:r>
        <w:rPr>
          <w:rStyle w:val="Funotenzeichen"/>
        </w:rPr>
        <w:footnoteRef/>
      </w:r>
      <w:r>
        <w:rPr/>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944">
    <w:p>
      <w:pPr>
        <w:pStyle w:val="Funote"/>
        <w:rPr/>
      </w:pPr>
      <w:r>
        <w:rPr>
          <w:rStyle w:val="Funotenzeichen"/>
        </w:rPr>
        <w:footnoteRef/>
      </w:r>
      <w:r>
        <w:rPr/>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945">
    <w:p>
      <w:pPr>
        <w:pStyle w:val="Funote"/>
        <w:rPr/>
      </w:pPr>
      <w:r>
        <w:rPr>
          <w:rStyle w:val="Funotenzeichen"/>
        </w:rPr>
        <w:footnoteRef/>
      </w:r>
      <w:r>
        <w:rPr/>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946">
    <w:p>
      <w:pPr>
        <w:pStyle w:val="Funote"/>
        <w:rPr/>
      </w:pPr>
      <w:r>
        <w:rPr>
          <w:rStyle w:val="Funotenzeichen"/>
        </w:rPr>
        <w:footnoteRef/>
      </w:r>
      <w:r>
        <w:rPr>
          <w:i/>
        </w:rPr>
        <w:tab/>
        <w:t>Zimbel</w:t>
      </w:r>
      <w:r>
        <w:rPr/>
        <w:t xml:space="preserve"> - metallene Handbecken, s. </w:t>
      </w:r>
      <w:hyperlink r:id="rId633">
        <w:r>
          <w:rPr>
            <w:rStyle w:val="Internetverknpfung"/>
          </w:rPr>
          <w:t>Wikipedia/Zimbel</w:t>
        </w:r>
      </w:hyperlink>
      <w:r>
        <w:rPr/>
        <w:t>.</w:t>
      </w:r>
    </w:p>
  </w:footnote>
  <w:footnote w:id="5947">
    <w:p>
      <w:pPr>
        <w:pStyle w:val="Funote"/>
        <w:rPr/>
      </w:pPr>
      <w:r>
        <w:rPr>
          <w:rStyle w:val="Funotenzeichen"/>
        </w:rPr>
        <w:footnoteRef/>
      </w:r>
      <w:r>
        <w:rPr/>
        <w:tab/>
        <w:t>{geworden} - nicht: „wäre geworden“: das Perfekt markiert hier keinen Tempus, sd. markiert den Satz als hypothetisch (vgl. BDR §344).</w:t>
      </w:r>
    </w:p>
  </w:footnote>
  <w:footnote w:id="5948">
    <w:p>
      <w:pPr>
        <w:pStyle w:val="Funote"/>
        <w:rPr/>
      </w:pPr>
      <w:r>
        <w:rPr>
          <w:rStyle w:val="Funotenzeichen"/>
        </w:rPr>
        <w:footnoteRef/>
      </w:r>
      <w:r>
        <w:rPr/>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949">
    <w:p>
      <w:pPr>
        <w:pStyle w:val="Funote"/>
        <w:rPr/>
      </w:pPr>
      <w:r>
        <w:rPr>
          <w:rStyle w:val="Funotenzeichen"/>
        </w:rPr>
        <w:footnoteRef/>
      </w:r>
      <w:r>
        <w:rPr/>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950">
    <w:p>
      <w:pPr>
        <w:pStyle w:val="Funote"/>
        <w:rPr/>
      </w:pPr>
      <w:r>
        <w:rPr>
          <w:rStyle w:val="Funotenzeichen"/>
        </w:rPr>
        <w:footnoteRef/>
      </w:r>
      <w:r>
        <w:rPr/>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951">
    <w:p>
      <w:pPr>
        <w:pStyle w:val="Funote"/>
        <w:rPr/>
      </w:pPr>
      <w:r>
        <w:rPr>
          <w:rStyle w:val="Funotenzeichen"/>
        </w:rPr>
        <w:footnoteRef/>
      </w:r>
      <w:r>
        <w:rPr/>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952">
    <w:p>
      <w:pPr>
        <w:pStyle w:val="Funote"/>
        <w:rPr/>
      </w:pPr>
      <w:r>
        <w:rPr>
          <w:rStyle w:val="Funotenzeichen"/>
        </w:rPr>
        <w:footnoteRef/>
      </w:r>
      <w:r>
        <w:rPr/>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953">
    <w:p>
      <w:pPr>
        <w:pStyle w:val="Funote"/>
        <w:rPr/>
      </w:pPr>
      <w:r>
        <w:rPr>
          <w:rStyle w:val="Funotenzeichen"/>
        </w:rPr>
        <w:footnoteRef/>
      </w:r>
      <w:r>
        <w:rPr/>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954">
    <w:p>
      <w:pPr>
        <w:pStyle w:val="Funote"/>
        <w:rPr/>
      </w:pPr>
      <w:r>
        <w:rPr>
          <w:rStyle w:val="Funotenzeichen"/>
        </w:rPr>
        <w:footnoteRef/>
      </w:r>
      <w:r>
        <w:rPr>
          <w:i/>
        </w:rPr>
        <w:tab/>
        <w:t>strebt nicht nach dem Ihrigen</w:t>
      </w:r>
      <w:r>
        <w:rPr/>
        <w:t xml:space="preserve">, d.h. sie „verfolgt nicht ihre eigenen Interessen“, „ist nicht selbstsüchtig“ (s. </w:t>
      </w:r>
      <w:r>
        <w:fldChar w:fldCharType="begin"/>
      </w:r>
      <w:r>
        <w:rPr>
          <w:rStyle w:val="Internetverknpfung"/>
        </w:rPr>
        <w:instrText> HYPERLINK "../../../../../../../../../wiki/1_Korinther_10" \l "s24"</w:instrText>
      </w:r>
      <w:r>
        <w:rPr>
          <w:rStyle w:val="Internetverknpfung"/>
        </w:rPr>
        <w:fldChar w:fldCharType="separate"/>
      </w:r>
      <w:r>
        <w:rPr>
          <w:rStyle w:val="Internetverknpfung"/>
        </w:rPr>
        <w:t>1 Kor 10,24</w:t>
      </w:r>
      <w:r>
        <w:rPr>
          <w:rStyle w:val="Internetverknpfung"/>
        </w:rPr>
        <w:fldChar w:fldCharType="end"/>
      </w:r>
      <w:r>
        <w:rPr/>
        <w:t xml:space="preserve">; </w:t>
      </w:r>
      <w:r>
        <w:fldChar w:fldCharType="begin"/>
      </w:r>
      <w:r>
        <w:rPr>
          <w:rStyle w:val="Internetverknpfung"/>
        </w:rPr>
        <w:instrText> HYPERLINK "../../../../../../../../../wiki/Philipper_2" \l "s4"</w:instrText>
      </w:r>
      <w:r>
        <w:rPr>
          <w:rStyle w:val="Internetverknpfung"/>
        </w:rPr>
        <w:fldChar w:fldCharType="separate"/>
      </w:r>
      <w:r>
        <w:rPr>
          <w:rStyle w:val="Internetverknpfung"/>
        </w:rPr>
        <w:t>Phil 2,4</w:t>
      </w:r>
      <w:r>
        <w:rPr>
          <w:rStyle w:val="Internetverknpfung"/>
        </w:rPr>
        <w:fldChar w:fldCharType="end"/>
      </w:r>
      <w:r>
        <w:rPr/>
        <w:t>).</w:t>
      </w:r>
    </w:p>
  </w:footnote>
  <w:footnote w:id="5955">
    <w:p>
      <w:pPr>
        <w:pStyle w:val="Funote"/>
        <w:rPr/>
      </w:pPr>
      <w:r>
        <w:rPr>
          <w:rStyle w:val="Funotenzeichen"/>
        </w:rPr>
        <w:footnoteRef/>
      </w:r>
      <w:r>
        <w:rPr/>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956">
    <w:p>
      <w:pPr>
        <w:pStyle w:val="Funote"/>
        <w:rPr/>
      </w:pPr>
      <w:r>
        <w:rPr>
          <w:rStyle w:val="Funotenzeichen"/>
        </w:rPr>
        <w:footnoteRef/>
      </w:r>
      <w:r>
        <w:rPr/>
        <w:tab/>
        <w:t>Litotes: Nicht i.S.v. „sie ist nicht gerade ein Sadist“, sd. von „Ungerechtigkeit ist ihr absolut verhasst“ (Fee 1987, S. 639: „Love absolutely rejects that most pernicious form of rejoicing over evil...“</w:t>
      </w:r>
    </w:p>
  </w:footnote>
  <w:footnote w:id="5957">
    <w:p>
      <w:pPr>
        <w:pStyle w:val="Funote"/>
        <w:rPr/>
      </w:pPr>
      <w:r>
        <w:rPr>
          <w:rStyle w:val="Funotenzeichen"/>
        </w:rPr>
        <w:footnoteRef/>
      </w:r>
      <w:r>
        <w:rPr>
          <w:i/>
        </w:rPr>
        <w:tab/>
        <w:t>über</w:t>
      </w:r>
      <w:r>
        <w:rPr/>
        <w:t xml:space="preserve"> - nicht: „freut sich </w:t>
      </w:r>
      <w:r>
        <w:rPr>
          <w:i/>
        </w:rPr>
        <w:t>mit</w:t>
      </w:r>
      <w:r>
        <w:rPr/>
        <w:t xml:space="preserve"> der Wahrheit“; s. BDAG: „In this case the compound has the same mng. as the simple verb [...:] </w:t>
      </w:r>
      <w:r>
        <w:rPr>
          <w:i/>
        </w:rPr>
        <w:t>it does not rejoice over injustice, but rejoices in the truth</w:t>
      </w:r>
      <w:r>
        <w:rPr/>
        <w:t xml:space="preserve"> 1 Cor 13:6 [...]“.</w:t>
      </w:r>
    </w:p>
  </w:footnote>
  <w:footnote w:id="5958">
    <w:p>
      <w:pPr>
        <w:pStyle w:val="Funote"/>
        <w:rPr/>
      </w:pPr>
      <w:r>
        <w:rPr>
          <w:rStyle w:val="Funotenzeichen"/>
        </w:rPr>
        <w:footnoteRef/>
      </w:r>
      <w:r>
        <w:rPr/>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959">
    <w:p>
      <w:pPr>
        <w:pStyle w:val="Funote"/>
        <w:rPr/>
      </w:pPr>
      <w:r>
        <w:rPr>
          <w:rStyle w:val="Funotenzeichen"/>
        </w:rPr>
        <w:footnoteRef/>
      </w:r>
      <w:r>
        <w:rPr/>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960">
    <w:p>
      <w:pPr>
        <w:pStyle w:val="Funote"/>
        <w:rPr/>
      </w:pPr>
      <w:r>
        <w:rPr>
          <w:rStyle w:val="Funotenzeichen"/>
        </w:rPr>
        <w:footnoteRef/>
      </w:r>
      <w:r>
        <w:rPr/>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961">
    <w:p>
      <w:pPr>
        <w:pStyle w:val="Funote"/>
        <w:rPr/>
      </w:pPr>
      <w:r>
        <w:rPr>
          <w:rStyle w:val="Funotenzeichen"/>
        </w:rPr>
        <w:footnoteRef/>
      </w:r>
      <w:r>
        <w:rPr/>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962">
    <w:p>
      <w:pPr>
        <w:pStyle w:val="Funote"/>
        <w:rPr/>
      </w:pPr>
      <w:r>
        <w:rPr>
          <w:rStyle w:val="Funotenzeichen"/>
        </w:rPr>
        <w:footnoteRef/>
      </w:r>
      <w:r>
        <w:rPr>
          <w:i/>
        </w:rPr>
        <w:tab/>
        <w:t>Kind</w:t>
      </w:r>
      <w:r>
        <w:rPr/>
        <w:t xml:space="preserve"> - W. „kindlich“; das Kind steht im NT häufiger übertragen für Unwissenheit und meint ursprünglich den, der noch nicht in der Lage war, zu sprechen. Zusammen mit „sprechen wie ein </w:t>
      </w:r>
      <w:r>
        <w:rPr>
          <w:i/>
        </w:rPr>
        <w:t>nepios</w:t>
      </w:r>
      <w:r>
        <w:rPr/>
        <w:t xml:space="preserve">“ und „urteilen/argumentieren wie ein </w:t>
      </w:r>
      <w:r>
        <w:rPr>
          <w:i/>
        </w:rPr>
        <w:t>nepios</w:t>
      </w:r>
      <w:r>
        <w:rPr/>
        <w:t>“ weckt das Wort in einem griechischen Leser also die Assoziation eines lallenden Kleinkinds, das Unsinn von sich gibt.</w:t>
      </w:r>
    </w:p>
  </w:footnote>
  <w:footnote w:id="5963">
    <w:p>
      <w:pPr>
        <w:pStyle w:val="Funote"/>
        <w:rPr/>
      </w:pPr>
      <w:r>
        <w:rPr>
          <w:rStyle w:val="Funotenzeichen"/>
        </w:rPr>
        <w:footnoteRef/>
      </w:r>
      <w:r>
        <w:rPr>
          <w:i/>
        </w:rPr>
        <w:tab/>
        <w:t>die [Dinge] des</w:t>
      </w:r>
      <w:r>
        <w:rPr/>
        <w:t xml:space="preserve"> - W.: „das des Kindes“ = „diese kindlichen Eigenschaften“.</w:t>
      </w:r>
    </w:p>
  </w:footnote>
  <w:footnote w:id="5964">
    <w:p>
      <w:pPr>
        <w:pStyle w:val="Funote"/>
        <w:rPr/>
      </w:pPr>
      <w:r>
        <w:rPr>
          <w:rStyle w:val="Funotenzeichen"/>
        </w:rPr>
        <w:footnoteRef/>
      </w:r>
      <w:r>
        <w:rPr>
          <w:i/>
        </w:rPr>
        <w:tab/>
        <w:t>in einem Rätsel (indirekt, undeutlich)</w:t>
      </w:r>
      <w:r>
        <w:rPr/>
        <w:t xml:space="preserve">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965">
    <w:p>
      <w:pPr>
        <w:pStyle w:val="Funote"/>
        <w:rPr/>
      </w:pPr>
      <w:r>
        <w:rPr>
          <w:rStyle w:val="Funotenzeichen"/>
        </w:rPr>
        <w:footnoteRef/>
      </w:r>
      <w:r>
        <w:rPr>
          <w:i/>
        </w:rPr>
        <w:tab/>
        <w:t>durch einen (in einem)</w:t>
      </w:r>
      <w:r>
        <w:rPr/>
        <w:t xml:space="preserve"> - Gr. Idiom; im Gr. sieht man etwas nicht „in einem“, sd. „durch einen“ Spiegel. Übersetze „in einem Spiegel“.</w:t>
      </w:r>
    </w:p>
  </w:footnote>
  <w:footnote w:id="5966">
    <w:p>
      <w:pPr>
        <w:pStyle w:val="Funote"/>
        <w:rPr/>
      </w:pPr>
      <w:r>
        <w:rPr>
          <w:rStyle w:val="Funotenzeichen"/>
        </w:rPr>
        <w:footnoteRef/>
      </w:r>
      <w:r>
        <w:rPr/>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967">
    <w:p>
      <w:pPr>
        <w:pStyle w:val="Funote"/>
        <w:rPr/>
      </w:pPr>
      <w:r>
        <w:rPr>
          <w:rStyle w:val="Funotenzeichen"/>
        </w:rPr>
        <w:footnoteRef/>
      </w:r>
      <w:r>
        <w:rPr/>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968">
    <w:p>
      <w:pPr>
        <w:pStyle w:val="Funote"/>
        <w:rPr/>
      </w:pPr>
      <w:r>
        <w:rPr>
          <w:rStyle w:val="Funotenzeichen"/>
        </w:rPr>
        <w:footnoteRef/>
      </w:r>
      <w:r>
        <w:rPr/>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969">
    <w:p>
      <w:pPr>
        <w:pStyle w:val="Funote"/>
        <w:rPr/>
      </w:pPr>
      <w:r>
        <w:rPr>
          <w:rStyle w:val="Funotenzeichen"/>
        </w:rPr>
        <w:footnoteRef/>
      </w:r>
      <w:r>
        <w:rPr/>
        <w:tab/>
        <w:t xml:space="preserve">Im Griech. steht hier zweimal </w:t>
      </w:r>
      <w:r>
        <w:rPr>
          <w:lang w:val="el-GR"/>
        </w:rPr>
        <w:t>χάρις</w:t>
      </w:r>
      <w:r>
        <w:rPr/>
        <w:t>, das sowohl „Dank“ als auch „Gnadengabe“, „Gnade“ sein kann.</w:t>
      </w:r>
    </w:p>
  </w:footnote>
  <w:footnote w:id="5970">
    <w:p>
      <w:pPr>
        <w:pStyle w:val="Funote"/>
        <w:rPr/>
      </w:pPr>
      <w:r>
        <w:rPr>
          <w:rStyle w:val="Funotenzeichen"/>
        </w:rPr>
        <w:footnoteRef/>
      </w:r>
      <w:r>
        <w:rPr/>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971">
    <w:p>
      <w:pPr>
        <w:pStyle w:val="Funote"/>
        <w:rPr/>
      </w:pPr>
      <w:r>
        <w:rPr>
          <w:rStyle w:val="Funotenzeichen"/>
        </w:rPr>
        <w:footnoteRef/>
      </w:r>
      <w:r>
        <w:rPr/>
        <w:tab/>
        <w:t>Hier und 1.Korinther 15,16.29.32 fehlt im Griech. der Artikel, weil es auf den Begriff, nicht die Vollzahl ankommt; im Dt. steht der Artikel, BDR § 254.7</w:t>
      </w:r>
    </w:p>
  </w:footnote>
  <w:footnote w:id="5972">
    <w:p>
      <w:pPr>
        <w:pStyle w:val="Funote"/>
        <w:rPr/>
      </w:pPr>
      <w:r>
        <w:rPr>
          <w:rStyle w:val="Funotenzeichen"/>
        </w:rPr>
        <w:footnoteRef/>
      </w:r>
      <w:r>
        <w:rPr/>
        <w:tab/>
        <w:t>Paulus verwendet „Auferweckung“ und „Auferstehung“ synonym, Conzelmann, S. 313.</w:t>
      </w:r>
    </w:p>
  </w:footnote>
  <w:footnote w:id="5973">
    <w:p>
      <w:pPr>
        <w:pStyle w:val="Funote"/>
        <w:rPr/>
      </w:pPr>
      <w:r>
        <w:rPr>
          <w:rStyle w:val="Funotenzeichen"/>
        </w:rPr>
        <w:footnoteRef/>
      </w:r>
      <w:hyperlink r:id="rId634">
        <w:r>
          <w:rPr>
            <w:rStyle w:val="Internetverknpfung"/>
          </w:rPr>
          <w:tab/>
          <w:t>Ὅτι citativum (Seite nicht vorhanden)"&gt;</w:t>
        </w:r>
        <w:r>
          <w:rPr>
            <w:rStyle w:val="Internetverknpfung"/>
            <w:lang w:val="el-GR"/>
          </w:rPr>
          <w:t>ὅτι</w:t>
        </w:r>
        <w:r>
          <w:rPr>
            <w:rStyle w:val="Internetverknpfung"/>
          </w:rPr>
          <w:t xml:space="preserve"> citativum</w:t>
        </w:r>
      </w:hyperlink>
    </w:p>
  </w:footnote>
  <w:footnote w:id="5974">
    <w:p>
      <w:pPr>
        <w:pStyle w:val="Funote"/>
        <w:rPr/>
      </w:pPr>
      <w:r>
        <w:rPr>
          <w:rStyle w:val="Funotenzeichen"/>
        </w:rPr>
        <w:footnoteRef/>
      </w:r>
      <w:r>
        <w:rPr/>
        <w:tab/>
        <w:t>Hypothetische Konstruktion, BDR § 454.2 und § 451,2</w:t>
      </w:r>
    </w:p>
  </w:footnote>
  <w:footnote w:id="5975">
    <w:p>
      <w:pPr>
        <w:pStyle w:val="Funote"/>
        <w:rPr/>
      </w:pPr>
      <w:r>
        <w:rPr>
          <w:rStyle w:val="Funotenzeichen"/>
        </w:rPr>
        <w:footnoteRef/>
      </w:r>
      <w:r>
        <w:rPr/>
        <w:tab/>
        <w:t>nichtig = ohne Inhalt, oder eitel = ohne Wahrheit</w:t>
      </w:r>
    </w:p>
  </w:footnote>
  <w:footnote w:id="5976">
    <w:p>
      <w:pPr>
        <w:pStyle w:val="Funote"/>
        <w:rPr/>
      </w:pPr>
      <w:r>
        <w:rPr>
          <w:rStyle w:val="Funotenzeichen"/>
        </w:rPr>
        <w:footnoteRef/>
      </w:r>
      <w:r>
        <w:rPr/>
        <w:tab/>
        <w:t>Ptz., substantiviert</w:t>
      </w:r>
    </w:p>
  </w:footnote>
  <w:footnote w:id="5977">
    <w:p>
      <w:pPr>
        <w:pStyle w:val="Funote"/>
        <w:rPr/>
      </w:pPr>
      <w:r>
        <w:rPr>
          <w:rStyle w:val="Funotenzeichen"/>
        </w:rPr>
        <w:footnoteRef/>
      </w:r>
      <w:r>
        <w:rPr/>
        <w:tab/>
        <w:t>Ptz., wörtlich: Hoffende sind.</w:t>
      </w:r>
    </w:p>
  </w:footnote>
  <w:footnote w:id="5978">
    <w:p>
      <w:pPr>
        <w:pStyle w:val="Funote"/>
        <w:rPr/>
      </w:pPr>
      <w:r>
        <w:rPr>
          <w:rStyle w:val="Funotenzeichen"/>
        </w:rPr>
        <w:footnoteRef/>
      </w:r>
      <w:r>
        <w:rPr/>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979">
    <w:p>
      <w:pPr>
        <w:pStyle w:val="Funote"/>
        <w:rPr/>
      </w:pPr>
      <w:r>
        <w:rPr>
          <w:rStyle w:val="Funotenzeichen"/>
        </w:rPr>
        <w:footnoteRef/>
      </w:r>
      <w:r>
        <w:rPr/>
        <w:tab/>
        <w:t>[Status: Ungeprüft]</w:t>
      </w:r>
    </w:p>
  </w:footnote>
  <w:footnote w:id="5980">
    <w:p>
      <w:pPr>
        <w:pStyle w:val="Funote"/>
        <w:rPr/>
      </w:pPr>
      <w:r>
        <w:rPr>
          <w:rStyle w:val="Funotenzeichen"/>
        </w:rPr>
        <w:footnoteRef/>
      </w:r>
      <w:r>
        <w:rPr/>
        <w:tab/>
        <w:t xml:space="preserve">Apostel: Siehe </w:t>
      </w:r>
      <w:hyperlink r:id="rId635">
        <w:r>
          <w:rPr>
            <w:rStyle w:val="Internetverknpfung"/>
          </w:rPr>
          <w:t>Lexikon:Apostel</w:t>
        </w:r>
      </w:hyperlink>
    </w:p>
  </w:footnote>
  <w:footnote w:id="5981">
    <w:p>
      <w:pPr>
        <w:pStyle w:val="Funote"/>
        <w:rPr/>
      </w:pPr>
      <w:r>
        <w:rPr>
          <w:rStyle w:val="Funotenzeichen"/>
        </w:rPr>
        <w:footnoteRef/>
      </w:r>
      <w:r>
        <w:rPr/>
        <w:tab/>
        <w:t xml:space="preserve">Gnade: Siehe </w:t>
      </w:r>
      <w:hyperlink r:id="rId636">
        <w:r>
          <w:rPr>
            <w:rStyle w:val="Internetverknpfung"/>
          </w:rPr>
          <w:t>Lexikon:Gnade</w:t>
        </w:r>
      </w:hyperlink>
    </w:p>
  </w:footnote>
  <w:footnote w:id="5982">
    <w:p>
      <w:pPr>
        <w:pStyle w:val="Funote"/>
        <w:rPr/>
      </w:pPr>
      <w:r>
        <w:rPr>
          <w:rStyle w:val="Funotenzeichen"/>
        </w:rPr>
        <w:footnoteRef/>
      </w:r>
      <w:r>
        <w:rPr/>
        <w:tab/>
        <w:t xml:space="preserve">Friede:Siehe </w:t>
      </w:r>
      <w:hyperlink r:id="rId637">
        <w:r>
          <w:rPr>
            <w:rStyle w:val="Internetverknpfung"/>
          </w:rPr>
          <w:t>Lexikon:Friede</w:t>
        </w:r>
      </w:hyperlink>
    </w:p>
  </w:footnote>
  <w:footnote w:id="5983">
    <w:p>
      <w:pPr>
        <w:pStyle w:val="Funote"/>
        <w:rPr/>
      </w:pPr>
      <w:r>
        <w:rPr>
          <w:rStyle w:val="Funotenzeichen"/>
        </w:rPr>
        <w:footnoteRef/>
      </w:r>
      <w:hyperlink r:id="rId638">
        <w:r>
          <w:rPr>
            <w:rStyle w:val="Internetverknpfung"/>
          </w:rPr>
          <w:tab/>
          <w:t>Part. coni.</w:t>
        </w:r>
      </w:hyperlink>
      <w:r>
        <w:rPr/>
        <w:t>, kausal aufgelöst</w:t>
      </w:r>
    </w:p>
  </w:footnote>
  <w:footnote w:id="5984">
    <w:p>
      <w:pPr>
        <w:pStyle w:val="Funote"/>
        <w:rPr/>
      </w:pPr>
      <w:r>
        <w:rPr>
          <w:rStyle w:val="Funotenzeichen"/>
        </w:rPr>
        <w:footnoteRef/>
      </w:r>
      <w:r>
        <w:rPr/>
        <w:tab/>
        <w:t xml:space="preserve">Der Begriff </w:t>
      </w:r>
      <w:r>
        <w:rPr>
          <w:lang w:val="el-GR"/>
        </w:rPr>
        <w:t>σαρξ</w:t>
      </w:r>
      <w:r>
        <w:rPr/>
        <w:t xml:space="preserve"> (sarx) bedeutet wörtlich „Fleisch, Körper“ und bezeichnet bei Paulus die menschliche Natur im Gegensatz zu Gott, vgl. </w:t>
      </w:r>
      <w:hyperlink r:id="rId639">
        <w:r>
          <w:rPr>
            <w:rStyle w:val="Internetverknpfung"/>
          </w:rPr>
          <w:t>Lexikon:Fleisch</w:t>
        </w:r>
      </w:hyperlink>
      <w:r>
        <w:rPr/>
        <w:t>.</w:t>
      </w:r>
    </w:p>
  </w:footnote>
  <w:footnote w:id="5985">
    <w:p>
      <w:pPr>
        <w:pStyle w:val="Funote"/>
        <w:rPr/>
      </w:pPr>
      <w:r>
        <w:rPr>
          <w:rStyle w:val="Funotenzeichen"/>
        </w:rPr>
        <w:footnoteRef/>
      </w:r>
      <w:r>
        <w:rPr/>
        <w:tab/>
        <w:t xml:space="preserve">Gnade: Siehe </w:t>
      </w:r>
      <w:hyperlink r:id="rId640">
        <w:r>
          <w:rPr>
            <w:rStyle w:val="Internetverknpfung"/>
          </w:rPr>
          <w:t>Lexikon:Gnade</w:t>
        </w:r>
      </w:hyperlink>
    </w:p>
  </w:footnote>
  <w:footnote w:id="5986">
    <w:p>
      <w:pPr>
        <w:pStyle w:val="Funote"/>
        <w:rPr/>
      </w:pPr>
      <w:r>
        <w:rPr>
          <w:rStyle w:val="Funotenzeichen"/>
        </w:rPr>
        <w:footnoteRef/>
      </w:r>
      <w:hyperlink r:id="rId641">
        <w:r>
          <w:rPr>
            <w:rStyle w:val="Internetverknpfung"/>
          </w:rPr>
          <w:tab/>
          <w:t>Part. coni.</w:t>
        </w:r>
      </w:hyperlink>
      <w:r>
        <w:rPr/>
        <w:t>, kausal aufgelöst</w:t>
      </w:r>
    </w:p>
  </w:footnote>
  <w:footnote w:id="5987">
    <w:p>
      <w:pPr>
        <w:pStyle w:val="Funote"/>
        <w:rPr/>
      </w:pPr>
      <w:r>
        <w:rPr>
          <w:rStyle w:val="Funotenzeichen"/>
        </w:rPr>
        <w:footnoteRef/>
      </w:r>
      <w:r>
        <w:rPr/>
        <w:tab/>
        <w:t>Wörtlich: In der [mir vorgeworfenen] Leichtfertigkeit, so Bultmann, KEK, S. 43</w:t>
      </w:r>
    </w:p>
  </w:footnote>
  <w:footnote w:id="5988">
    <w:p>
      <w:pPr>
        <w:pStyle w:val="Funote"/>
        <w:rPr/>
      </w:pPr>
      <w:r>
        <w:rPr>
          <w:rStyle w:val="Funotenzeichen"/>
        </w:rPr>
        <w:footnoteRef/>
      </w:r>
      <w:r>
        <w:rPr/>
        <w:tab/>
        <w:t>Wörtlich: das, was ich will, will ich das „fleischlich“ (kata sarka), d.h. unaufrichtig - Synonym zu „leichtfertig“, so Bultmann a.a.O.</w:t>
      </w:r>
    </w:p>
  </w:footnote>
  <w:footnote w:id="5989">
    <w:p>
      <w:pPr>
        <w:pStyle w:val="Funote"/>
        <w:rPr/>
      </w:pPr>
      <w:r>
        <w:rPr>
          <w:rStyle w:val="Funotenzeichen"/>
        </w:rPr>
        <w:footnoteRef/>
      </w:r>
      <w:r>
        <w:rPr/>
        <w:tab/>
        <w:t>Konsekutiv bzw. expexegetisch: so dass, Bultmann ebd.</w:t>
      </w:r>
    </w:p>
  </w:footnote>
  <w:footnote w:id="5990">
    <w:p>
      <w:pPr>
        <w:pStyle w:val="Funote"/>
        <w:rPr/>
      </w:pPr>
      <w:r>
        <w:rPr>
          <w:rStyle w:val="Funotenzeichen"/>
        </w:rPr>
        <w:footnoteRef/>
      </w:r>
      <w:r>
        <w:rPr/>
        <w:tab/>
        <w:t>Schwurformel, Bultmann, KEK S. 43</w:t>
      </w:r>
    </w:p>
  </w:footnote>
  <w:footnote w:id="5991">
    <w:p>
      <w:pPr>
        <w:pStyle w:val="Funote"/>
        <w:rPr/>
      </w:pPr>
      <w:r>
        <w:rPr>
          <w:rStyle w:val="Funotenzeichen"/>
        </w:rPr>
        <w:footnoteRef/>
      </w:r>
      <w:r>
        <w:rPr/>
        <w:tab/>
        <w:t xml:space="preserve">Amen: Siehe </w:t>
      </w:r>
      <w:hyperlink r:id="rId642">
        <w:r>
          <w:rPr>
            <w:rStyle w:val="Internetverknpfung"/>
          </w:rPr>
          <w:t>Lexikon:Amen</w:t>
        </w:r>
      </w:hyperlink>
    </w:p>
  </w:footnote>
  <w:footnote w:id="5992">
    <w:p>
      <w:pPr>
        <w:pStyle w:val="Funote"/>
        <w:rPr/>
      </w:pPr>
      <w:r>
        <w:rPr>
          <w:rStyle w:val="Funotenzeichen"/>
        </w:rPr>
        <w:footnoteRef/>
      </w:r>
      <w:r>
        <w:rPr/>
        <w:tab/>
        <w:t>Das Verb ist juristischer t.t. und bedeutet dort quittieren, Bultmann, KEK, S. 45</w:t>
      </w:r>
    </w:p>
  </w:footnote>
  <w:footnote w:id="5993">
    <w:p>
      <w:pPr>
        <w:pStyle w:val="Funote"/>
        <w:rPr/>
      </w:pPr>
      <w:r>
        <w:rPr>
          <w:rStyle w:val="Funotenzeichen"/>
        </w:rPr>
        <w:footnoteRef/>
      </w:r>
      <w:r>
        <w:rPr/>
        <w:tab/>
        <w:t xml:space="preserve">Es geht um ein Besitzzeichen, wie das Brandzeichen bei Tieren, </w:t>
      </w:r>
      <w:hyperlink r:id="rId643">
        <w:r>
          <w:rPr>
            <w:rStyle w:val="Internetverknpfung"/>
          </w:rPr>
          <w:t>BW</w:t>
        </w:r>
      </w:hyperlink>
      <w:r>
        <w:rPr/>
        <w:t xml:space="preserve"> Sp. 1576</w:t>
      </w:r>
    </w:p>
  </w:footnote>
  <w:footnote w:id="5994">
    <w:p>
      <w:pPr>
        <w:pStyle w:val="Funote"/>
        <w:rPr/>
      </w:pPr>
      <w:r>
        <w:rPr>
          <w:rStyle w:val="Funotenzeichen"/>
        </w:rPr>
        <w:footnoteRef/>
      </w:r>
      <w:r>
        <w:rPr/>
        <w:tab/>
        <w:t xml:space="preserve">Seele: Siehe </w:t>
      </w:r>
      <w:hyperlink r:id="rId644">
        <w:r>
          <w:rPr>
            <w:rStyle w:val="Internetverknpfung"/>
          </w:rPr>
          <w:t>Lexikon:Seele</w:t>
        </w:r>
      </w:hyperlink>
    </w:p>
  </w:footnote>
  <w:footnote w:id="5995">
    <w:p>
      <w:pPr>
        <w:pStyle w:val="Funote"/>
        <w:rPr/>
      </w:pPr>
      <w:r>
        <w:rPr>
          <w:rStyle w:val="Funotenzeichen"/>
        </w:rPr>
        <w:footnoteRef/>
      </w:r>
      <w:r>
        <w:rPr/>
        <w:tab/>
        <w:t>Part. coni., final aufgelöst.</w:t>
      </w:r>
    </w:p>
  </w:footnote>
  <w:footnote w:id="5996">
    <w:p>
      <w:pPr>
        <w:pStyle w:val="Funote"/>
        <w:rPr/>
      </w:pPr>
      <w:r>
        <w:rPr>
          <w:rStyle w:val="Funotenzeichen"/>
        </w:rPr>
        <w:footnoteRef/>
      </w:r>
      <w:r>
        <w:rPr/>
        <w:tab/>
        <w:t>[Status: Zuverlässig]</w:t>
      </w:r>
    </w:p>
  </w:footnote>
  <w:footnote w:id="5997">
    <w:p>
      <w:pPr>
        <w:pStyle w:val="Funote"/>
        <w:rPr/>
      </w:pPr>
      <w:r>
        <w:rPr>
          <w:rStyle w:val="Funotenzeichen"/>
        </w:rPr>
        <w:footnoteRef/>
      </w:r>
      <w:r>
        <w:rPr/>
        <w:tab/>
        <w:t>Wörtlich mehr in Richtung „jedes Mal, wenn...“, „bei jeder Gelegenheit“, was hier aber missverständlich wäre.</w:t>
      </w:r>
    </w:p>
  </w:footnote>
  <w:footnote w:id="5998">
    <w:p>
      <w:pPr>
        <w:pStyle w:val="Funote"/>
        <w:rPr/>
      </w:pPr>
      <w:r>
        <w:rPr>
          <w:rStyle w:val="Funotenzeichen"/>
        </w:rPr>
        <w:footnoteRef/>
      </w:r>
      <w:r>
        <w:rPr/>
        <w:tab/>
        <w:t>Gen. epexegeticus.</w:t>
      </w:r>
    </w:p>
  </w:footnote>
  <w:footnote w:id="5999">
    <w:p>
      <w:pPr>
        <w:pStyle w:val="Funote"/>
        <w:rPr/>
      </w:pPr>
      <w:r>
        <w:rPr>
          <w:rStyle w:val="Funotenzeichen"/>
        </w:rPr>
        <w:footnoteRef/>
      </w:r>
      <w:r>
        <w:rPr>
          <w:i/>
        </w:rPr>
        <w:tab/>
        <w:t>der herumführt</w:t>
      </w:r>
      <w:r>
        <w:rPr/>
        <w:t xml:space="preserve"> und </w:t>
      </w:r>
      <w:r>
        <w:rPr>
          <w:i/>
        </w:rPr>
        <w:t>bekannt macht</w:t>
      </w:r>
      <w:r>
        <w:rPr/>
        <w:t xml:space="preserve"> Auflösung zweier attr. </w:t>
      </w:r>
      <w:hyperlink r:id="rId645">
        <w:r>
          <w:rPr>
            <w:rStyle w:val="Internetverknpfung"/>
          </w:rPr>
          <w:t>Ptz</w:t>
        </w:r>
      </w:hyperlink>
      <w:r>
        <w:rPr/>
        <w:t>.</w:t>
      </w:r>
    </w:p>
  </w:footnote>
  <w:footnote w:id="6000">
    <w:p>
      <w:pPr>
        <w:pStyle w:val="Funote"/>
        <w:rPr/>
      </w:pPr>
      <w:r>
        <w:rPr>
          <w:rStyle w:val="Funotenzeichen"/>
        </w:rPr>
        <w:footnoteRef/>
      </w:r>
      <w:r>
        <w:rPr/>
        <w:tab/>
        <w:t>Duft ist in der Regel nicht sichtbar, deshalb wurde das Wort in einem allgemeineren Sinn übersetzt. „Sichtbar machen“ ist allerdings ebenso denkbar, weil Paulus hier vielleicht an Weihrauch denkt.</w:t>
      </w:r>
    </w:p>
  </w:footnote>
  <w:footnote w:id="6001">
    <w:p>
      <w:pPr>
        <w:pStyle w:val="Funote"/>
        <w:rPr/>
      </w:pPr>
      <w:r>
        <w:rPr>
          <w:rStyle w:val="Funotenzeichen"/>
        </w:rPr>
        <w:footnoteRef/>
      </w:r>
      <w:r>
        <w:rPr/>
        <w:tab/>
        <w:t xml:space="preserve">Oder als </w:t>
      </w:r>
      <w:hyperlink r:id="rId646">
        <w:r>
          <w:rPr>
            <w:rStyle w:val="Internetverknpfung"/>
          </w:rPr>
          <w:t>Dativus commodi</w:t>
        </w:r>
      </w:hyperlink>
      <w:r>
        <w:rPr/>
        <w:t>: „für Gott“; eine mögliche Übersetzung der Stelle wäre dann „wir leben für Gott als Wohlgeruch Christi“ (nach Mofatt bei Harris).</w:t>
      </w:r>
    </w:p>
  </w:footnote>
  <w:footnote w:id="6002">
    <w:p>
      <w:pPr>
        <w:pStyle w:val="Funote"/>
        <w:rPr/>
      </w:pPr>
      <w:r>
        <w:rPr>
          <w:rStyle w:val="Funotenzeichen"/>
        </w:rPr>
        <w:footnoteRef/>
      </w:r>
      <w:r>
        <w:rPr/>
        <w:tab/>
        <w:t xml:space="preserve">Auflösung zweier subst. </w:t>
      </w:r>
      <w:hyperlink r:id="rId647">
        <w:r>
          <w:rPr>
            <w:rStyle w:val="Internetverknpfung"/>
          </w:rPr>
          <w:t>Ptz</w:t>
        </w:r>
      </w:hyperlink>
      <w:r>
        <w:rPr/>
        <w:t>.</w:t>
      </w:r>
    </w:p>
  </w:footnote>
  <w:footnote w:id="6003">
    <w:p>
      <w:pPr>
        <w:pStyle w:val="Funote"/>
        <w:rPr/>
      </w:pPr>
      <w:r>
        <w:rPr>
          <w:rStyle w:val="Funotenzeichen"/>
        </w:rPr>
        <w:footnoteRef/>
      </w:r>
      <w:r>
        <w:rPr/>
        <w:tab/>
        <w:t xml:space="preserve">Auflösung eines subst. </w:t>
      </w:r>
      <w:hyperlink r:id="rId648">
        <w:r>
          <w:rPr>
            <w:rStyle w:val="Internetverknpfung"/>
          </w:rPr>
          <w:t>Ptz</w:t>
        </w:r>
      </w:hyperlink>
      <w:r>
        <w:rPr/>
        <w:t>. Alternativ nach Harris periphrastisches Verständnis durch direkten Bezug auf „wir sind“. Die Übersetzung lautete dann „wir machen nicht, wie so viele, Geschäfte...“</w:t>
      </w:r>
    </w:p>
  </w:footnote>
  <w:footnote w:id="6004">
    <w:p>
      <w:pPr>
        <w:pStyle w:val="Funote"/>
        <w:rPr/>
      </w:pPr>
      <w:r>
        <w:rPr>
          <w:rStyle w:val="Funotenzeichen"/>
        </w:rPr>
        <w:footnoteRef/>
      </w:r>
      <w:r>
        <w:rPr/>
        <w:tab/>
        <w:t>D.h. wohl „von Gott [Beauftragte]“</w:t>
      </w:r>
    </w:p>
  </w:footnote>
  <w:footnote w:id="6005">
    <w:p>
      <w:pPr>
        <w:pStyle w:val="Funote"/>
        <w:rPr/>
      </w:pPr>
      <w:r>
        <w:rPr>
          <w:rStyle w:val="Funotenzeichen"/>
        </w:rPr>
        <w:footnoteRef/>
      </w:r>
      <w:r>
        <w:rPr/>
        <w:tab/>
        <w:t>D.h. wohl „[in der Verantwortung] vor Gott“</w:t>
      </w:r>
    </w:p>
  </w:footnote>
  <w:footnote w:id="6006">
    <w:p>
      <w:pPr>
        <w:pStyle w:val="Funote"/>
        <w:rPr/>
      </w:pPr>
      <w:r>
        <w:rPr>
          <w:rStyle w:val="Funotenzeichen"/>
        </w:rPr>
        <w:footnoteRef/>
      </w:r>
      <w:r>
        <w:rPr/>
        <w:tab/>
        <w:t>So wörtlich. Der semantische Bezug zum „Wort Gottes“ ist im Griechischen wohl zumindest andeutungsweise vorhanden, wird bei wörtlicher Übersetzung (als „sprechen wir“) aber unberücksichtigt gelassen.</w:t>
      </w:r>
    </w:p>
  </w:footnote>
  <w:footnote w:id="6007">
    <w:p>
      <w:pPr>
        <w:pStyle w:val="Funote"/>
        <w:rPr/>
      </w:pPr>
      <w:r>
        <w:rPr>
          <w:rStyle w:val="Funotenzeichen"/>
        </w:rPr>
        <w:footnoteRef/>
      </w:r>
      <w:r>
        <w:rPr/>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6008">
    <w:p>
      <w:pPr>
        <w:pStyle w:val="Funote"/>
        <w:rPr/>
      </w:pPr>
      <w:r>
        <w:rPr>
          <w:rStyle w:val="Funotenzeichen"/>
        </w:rPr>
        <w:footnoteRef/>
      </w:r>
      <w:r>
        <w:rPr/>
        <w:tab/>
        <w:t xml:space="preserve">Wieder eine andere Form des Adjektivs aus Vers 5, diesmal das Verb: </w:t>
      </w:r>
      <w:r>
        <w:rPr>
          <w:lang w:val="el-GR"/>
        </w:rPr>
        <w:t>ἱκάνόω</w:t>
      </w:r>
      <w:r>
        <w:rPr/>
        <w:t xml:space="preserve"> = geschickt/fähig/tüchtig machen.</w:t>
      </w:r>
    </w:p>
  </w:footnote>
  <w:footnote w:id="6009">
    <w:p>
      <w:pPr>
        <w:pStyle w:val="Funote"/>
        <w:rPr/>
      </w:pPr>
      <w:r>
        <w:rPr>
          <w:rStyle w:val="Funotenzeichen"/>
        </w:rPr>
        <w:footnoteRef/>
      </w:r>
      <w:r>
        <w:rPr/>
        <w:tab/>
        <w:t>[Status: Ungeprüft]</w:t>
      </w:r>
    </w:p>
  </w:footnote>
  <w:footnote w:id="6010">
    <w:p>
      <w:pPr>
        <w:pStyle w:val="Funote"/>
        <w:rPr/>
      </w:pPr>
      <w:r>
        <w:rPr>
          <w:rStyle w:val="Funotenzeichen"/>
        </w:rPr>
        <w:footnoteRef/>
      </w:r>
      <w:hyperlink r:id="rId649">
        <w:r>
          <w:rPr>
            <w:rStyle w:val="Internetverknpfung"/>
          </w:rPr>
          <w:tab/>
          <w:t>Ptz. coni.</w:t>
        </w:r>
      </w:hyperlink>
      <w:r>
        <w:rPr/>
        <w:t>, kausal aufgelöst.</w:t>
      </w:r>
    </w:p>
  </w:footnote>
  <w:footnote w:id="6011">
    <w:p>
      <w:pPr>
        <w:pStyle w:val="Funote"/>
        <w:rPr/>
      </w:pPr>
      <w:r>
        <w:rPr>
          <w:rStyle w:val="Funotenzeichen"/>
        </w:rPr>
        <w:footnoteRef/>
      </w:r>
      <w:r>
        <w:rPr/>
        <w:tab/>
        <w:t xml:space="preserve">Evangelium: Siehe </w:t>
      </w:r>
      <w:hyperlink r:id="rId650">
        <w:r>
          <w:rPr>
            <w:rStyle w:val="Internetverknpfung"/>
          </w:rPr>
          <w:t>Lexikon:Evangelium</w:t>
        </w:r>
      </w:hyperlink>
    </w:p>
  </w:footnote>
  <w:footnote w:id="6012">
    <w:p>
      <w:pPr>
        <w:pStyle w:val="Funote"/>
        <w:rPr/>
      </w:pPr>
      <w:r>
        <w:rPr>
          <w:rStyle w:val="Funotenzeichen"/>
        </w:rPr>
        <w:footnoteRef/>
      </w:r>
      <w:hyperlink r:id="rId651">
        <w:r>
          <w:rPr>
            <w:rStyle w:val="Internetverknpfung"/>
          </w:rPr>
          <w:tab/>
          <w:t>Ptz. coni.</w:t>
        </w:r>
      </w:hyperlink>
      <w:r>
        <w:rPr/>
        <w:t>, relativisch aufgelöst</w:t>
      </w:r>
    </w:p>
  </w:footnote>
  <w:footnote w:id="6013">
    <w:p>
      <w:pPr>
        <w:pStyle w:val="Funote"/>
        <w:rPr/>
      </w:pPr>
      <w:r>
        <w:rPr>
          <w:rStyle w:val="Funotenzeichen"/>
        </w:rPr>
        <w:footnoteRef/>
      </w:r>
      <w:r>
        <w:rPr/>
        <w:tab/>
        <w:t>= Beliar, siehe 2.Korinther 6,15</w:t>
      </w:r>
    </w:p>
  </w:footnote>
  <w:footnote w:id="6014">
    <w:p>
      <w:pPr>
        <w:pStyle w:val="Funote"/>
        <w:rPr/>
      </w:pPr>
      <w:r>
        <w:rPr>
          <w:rStyle w:val="Funotenzeichen"/>
        </w:rPr>
        <w:footnoteRef/>
      </w:r>
      <w:r>
        <w:rPr/>
        <w:tab/>
        <w:t xml:space="preserve">Herrlichkeit (griech.: doxa), siehe: </w:t>
      </w:r>
      <w:hyperlink r:id="rId652">
        <w:r>
          <w:rPr>
            <w:rStyle w:val="Internetverknpfung"/>
          </w:rPr>
          <w:t>Lexikon:Herrlichkeit</w:t>
        </w:r>
      </w:hyperlink>
    </w:p>
  </w:footnote>
  <w:footnote w:id="6015">
    <w:p>
      <w:pPr>
        <w:pStyle w:val="Funote"/>
        <w:rPr/>
      </w:pPr>
      <w:r>
        <w:rPr>
          <w:rStyle w:val="Funotenzeichen"/>
        </w:rPr>
        <w:footnoteRef/>
      </w:r>
      <w:r>
        <w:rPr/>
        <w:tab/>
        <w:t>Wörtlich: Gottes sei und nicht von uns</w:t>
      </w:r>
    </w:p>
  </w:footnote>
  <w:footnote w:id="6016">
    <w:p>
      <w:pPr>
        <w:pStyle w:val="Funote"/>
        <w:rPr/>
      </w:pPr>
      <w:r>
        <w:rPr>
          <w:rStyle w:val="Funotenzeichen"/>
        </w:rPr>
        <w:footnoteRef/>
      </w:r>
      <w:hyperlink r:id="rId653">
        <w:r>
          <w:rPr>
            <w:rStyle w:val="Internetverknpfung"/>
          </w:rPr>
          <w:tab/>
          <w:t>Ptz. coni.</w:t>
        </w:r>
      </w:hyperlink>
      <w:r>
        <w:rPr/>
        <w:t>, relativisch aufgelöst</w:t>
      </w:r>
    </w:p>
  </w:footnote>
  <w:footnote w:id="6017">
    <w:p>
      <w:pPr>
        <w:pStyle w:val="Funote"/>
        <w:rPr/>
      </w:pPr>
      <w:r>
        <w:rPr>
          <w:rStyle w:val="Funotenzeichen"/>
        </w:rPr>
        <w:footnoteRef/>
      </w:r>
      <w:r>
        <w:rPr/>
        <w:tab/>
        <w:t xml:space="preserve">Heiliger Geist (Griechisch: pneuma): Siehe </w:t>
      </w:r>
      <w:hyperlink r:id="rId654">
        <w:r>
          <w:rPr>
            <w:rStyle w:val="Internetverknpfung"/>
          </w:rPr>
          <w:t>Lexikon:Geist</w:t>
        </w:r>
      </w:hyperlink>
    </w:p>
  </w:footnote>
  <w:footnote w:id="6018">
    <w:p>
      <w:pPr>
        <w:pStyle w:val="Funote"/>
        <w:rPr/>
      </w:pPr>
      <w:r>
        <w:rPr>
          <w:rStyle w:val="Funotenzeichen"/>
        </w:rPr>
        <w:footnoteRef/>
      </w:r>
      <w:r>
        <w:rPr/>
        <w:tab/>
        <w:t>Wörtlich: Gemäß dem Geschriebenen</w:t>
      </w:r>
    </w:p>
  </w:footnote>
  <w:footnote w:id="6019">
    <w:p>
      <w:pPr>
        <w:pStyle w:val="Funote"/>
        <w:rPr/>
      </w:pPr>
      <w:r>
        <w:rPr>
          <w:rStyle w:val="Funotenzeichen"/>
        </w:rPr>
        <w:footnoteRef/>
      </w:r>
      <w:hyperlink r:id="rId655">
        <w:r>
          <w:rPr>
            <w:rStyle w:val="Internetverknpfung"/>
          </w:rPr>
          <w:tab/>
          <w:t>Ptz. coni</w:t>
        </w:r>
      </w:hyperlink>
      <w:r>
        <w:rPr/>
        <w:t>, beiordnend aufgelöst.</w:t>
      </w:r>
    </w:p>
  </w:footnote>
  <w:footnote w:id="6020">
    <w:p>
      <w:pPr>
        <w:pStyle w:val="Funote"/>
        <w:rPr/>
      </w:pPr>
      <w:r>
        <w:rPr>
          <w:rStyle w:val="Funotenzeichen"/>
        </w:rPr>
        <w:footnoteRef/>
      </w:r>
      <w:r>
        <w:rPr/>
        <w:tab/>
        <w:t xml:space="preserve">Ein t.t. der Gerichtssprache: Vor den Richterstuhl stellen, doch hier ohne forensische Bedeutung: vor Gott bringen, nahebringen, </w:t>
      </w:r>
      <w:hyperlink r:id="rId656">
        <w:r>
          <w:rPr>
            <w:rStyle w:val="Internetverknpfung"/>
          </w:rPr>
          <w:t>BW</w:t>
        </w:r>
      </w:hyperlink>
      <w:r>
        <w:rPr/>
        <w:t xml:space="preserve"> Sp. 1245.</w:t>
      </w:r>
    </w:p>
  </w:footnote>
  <w:footnote w:id="6021">
    <w:p>
      <w:pPr>
        <w:pStyle w:val="Funote"/>
        <w:rPr/>
      </w:pPr>
      <w:r>
        <w:rPr>
          <w:rStyle w:val="Funotenzeichen"/>
        </w:rPr>
        <w:footnoteRef/>
      </w:r>
      <w:r>
        <w:rPr/>
        <w:tab/>
        <w:t xml:space="preserve">Gnade, griech.: charis, siehe: </w:t>
      </w:r>
      <w:hyperlink r:id="rId657">
        <w:r>
          <w:rPr>
            <w:rStyle w:val="Internetverknpfung"/>
          </w:rPr>
          <w:t>Lexikon:Gnade</w:t>
        </w:r>
      </w:hyperlink>
      <w:r>
        <w:rPr/>
        <w:t>.</w:t>
      </w:r>
    </w:p>
  </w:footnote>
  <w:footnote w:id="6022">
    <w:p>
      <w:pPr>
        <w:pStyle w:val="Funote"/>
        <w:rPr/>
      </w:pPr>
      <w:r>
        <w:rPr>
          <w:rStyle w:val="Funotenzeichen"/>
        </w:rPr>
        <w:footnoteRef/>
      </w:r>
      <w:hyperlink r:id="rId658">
        <w:r>
          <w:rPr>
            <w:rStyle w:val="Internetverknpfung"/>
          </w:rPr>
          <w:tab/>
          <w:t>Ptz. coni.</w:t>
        </w:r>
      </w:hyperlink>
      <w:r>
        <w:rPr/>
        <w:t>, relativisch aufgelöst</w:t>
      </w:r>
    </w:p>
  </w:footnote>
  <w:footnote w:id="6023">
    <w:p>
      <w:pPr>
        <w:pStyle w:val="Funote"/>
        <w:rPr/>
      </w:pPr>
      <w:r>
        <w:rPr>
          <w:rStyle w:val="Funotenzeichen"/>
        </w:rPr>
        <w:footnoteRef/>
      </w:r>
      <w:hyperlink r:id="rId659">
        <w:r>
          <w:rPr>
            <w:rStyle w:val="Internetverknpfung"/>
          </w:rPr>
          <w:tab/>
          <w:t>Ptz. coni.</w:t>
        </w:r>
      </w:hyperlink>
      <w:r>
        <w:rPr/>
        <w:t>, kausal aufgelöst.</w:t>
      </w:r>
    </w:p>
  </w:footnote>
  <w:footnote w:id="6024">
    <w:p>
      <w:pPr>
        <w:pStyle w:val="Funote"/>
        <w:rPr/>
      </w:pPr>
      <w:r>
        <w:rPr>
          <w:rStyle w:val="Funotenzeichen"/>
        </w:rPr>
        <w:footnoteRef/>
      </w:r>
      <w:r>
        <w:rPr/>
        <w:tab/>
        <w:t>[Status: Ungeprüft]</w:t>
      </w:r>
    </w:p>
  </w:footnote>
  <w:footnote w:id="6025">
    <w:p>
      <w:pPr>
        <w:pStyle w:val="Funote"/>
        <w:rPr/>
      </w:pPr>
      <w:r>
        <w:rPr>
          <w:rStyle w:val="Funotenzeichen"/>
        </w:rPr>
        <w:footnoteRef/>
      </w:r>
      <w:r>
        <w:rPr/>
        <w:tab/>
        <w:t>Futuralis</w:t>
      </w:r>
    </w:p>
  </w:footnote>
  <w:footnote w:id="6026">
    <w:p>
      <w:pPr>
        <w:pStyle w:val="Funote"/>
        <w:rPr/>
      </w:pPr>
      <w:r>
        <w:rPr>
          <w:rStyle w:val="Funotenzeichen"/>
        </w:rPr>
        <w:footnoteRef/>
      </w:r>
      <w:r>
        <w:rPr/>
        <w:tab/>
        <w:t>Genitivus appositivus, BDR § 176.2</w:t>
      </w:r>
    </w:p>
  </w:footnote>
  <w:footnote w:id="6027">
    <w:p>
      <w:pPr>
        <w:pStyle w:val="Funote"/>
        <w:rPr/>
      </w:pPr>
      <w:r>
        <w:rPr>
          <w:rStyle w:val="Funotenzeichen"/>
        </w:rPr>
        <w:footnoteRef/>
      </w:r>
      <w:hyperlink r:id="rId660">
        <w:r>
          <w:rPr>
            <w:rStyle w:val="Internetverknpfung"/>
          </w:rPr>
          <w:tab/>
          <w:t>Ptz. coni.</w:t>
        </w:r>
      </w:hyperlink>
      <w:r>
        <w:rPr/>
        <w:t>, kausal aufgelöst</w:t>
      </w:r>
    </w:p>
  </w:footnote>
  <w:footnote w:id="6028">
    <w:p>
      <w:pPr>
        <w:pStyle w:val="Funote"/>
        <w:rPr/>
      </w:pPr>
      <w:r>
        <w:rPr>
          <w:rStyle w:val="Funotenzeichen"/>
        </w:rPr>
        <w:footnoteRef/>
      </w:r>
      <w:hyperlink r:id="rId661">
        <w:r>
          <w:rPr>
            <w:rStyle w:val="Internetverknpfung"/>
          </w:rPr>
          <w:tab/>
          <w:t>Ptz. coni.</w:t>
        </w:r>
      </w:hyperlink>
      <w:r>
        <w:rPr/>
        <w:t>, temporal aufgelöst</w:t>
      </w:r>
    </w:p>
  </w:footnote>
  <w:footnote w:id="6029">
    <w:p>
      <w:pPr>
        <w:pStyle w:val="Funote"/>
        <w:rPr/>
      </w:pPr>
      <w:r>
        <w:rPr>
          <w:rStyle w:val="Funotenzeichen"/>
        </w:rPr>
        <w:footnoteRef/>
      </w:r>
      <w:r>
        <w:rPr/>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6030">
    <w:p>
      <w:pPr>
        <w:pStyle w:val="Funote"/>
        <w:rPr/>
      </w:pPr>
      <w:r>
        <w:rPr>
          <w:rStyle w:val="Funotenzeichen"/>
        </w:rPr>
        <w:footnoteRef/>
      </w:r>
      <w:hyperlink r:id="rId662">
        <w:r>
          <w:rPr>
            <w:rStyle w:val="Internetverknpfung"/>
          </w:rPr>
          <w:tab/>
          <w:t>Ptz. coni.</w:t>
        </w:r>
      </w:hyperlink>
      <w:r>
        <w:rPr/>
        <w:t>, relativisch aufgelöst</w:t>
      </w:r>
    </w:p>
  </w:footnote>
  <w:footnote w:id="6031">
    <w:p>
      <w:pPr>
        <w:pStyle w:val="Funote"/>
        <w:rPr/>
      </w:pPr>
      <w:r>
        <w:rPr>
          <w:rStyle w:val="Funotenzeichen"/>
        </w:rPr>
        <w:footnoteRef/>
      </w:r>
      <w:hyperlink r:id="rId663">
        <w:r>
          <w:rPr>
            <w:rStyle w:val="Internetverknpfung"/>
          </w:rPr>
          <w:tab/>
          <w:t>Ptz. coni.</w:t>
        </w:r>
      </w:hyperlink>
      <w:r>
        <w:rPr/>
        <w:t>, kausal aufgelöst</w:t>
      </w:r>
    </w:p>
  </w:footnote>
  <w:footnote w:id="6032">
    <w:p>
      <w:pPr>
        <w:pStyle w:val="Funote"/>
        <w:rPr/>
      </w:pPr>
      <w:r>
        <w:rPr>
          <w:rStyle w:val="Funotenzeichen"/>
        </w:rPr>
        <w:footnoteRef/>
      </w:r>
      <w:r>
        <w:rPr/>
        <w:tab/>
        <w:t>Bultmann hat „beklommen“</w:t>
      </w:r>
    </w:p>
  </w:footnote>
  <w:footnote w:id="6033">
    <w:p>
      <w:pPr>
        <w:pStyle w:val="Funote"/>
        <w:rPr/>
      </w:pPr>
      <w:r>
        <w:rPr>
          <w:rStyle w:val="Funotenzeichen"/>
        </w:rPr>
        <w:footnoteRef/>
      </w:r>
      <w:hyperlink r:id="rId664">
        <w:r>
          <w:rPr>
            <w:rStyle w:val="Internetverknpfung"/>
          </w:rPr>
          <w:tab/>
          <w:t>Ptz. coni.</w:t>
        </w:r>
      </w:hyperlink>
      <w:r>
        <w:rPr/>
        <w:t>, relativisch aufgelöst</w:t>
      </w:r>
    </w:p>
  </w:footnote>
  <w:footnote w:id="6034">
    <w:p>
      <w:pPr>
        <w:pStyle w:val="Funote"/>
        <w:rPr/>
      </w:pPr>
      <w:r>
        <w:rPr>
          <w:rStyle w:val="Funotenzeichen"/>
        </w:rPr>
        <w:footnoteRef/>
      </w:r>
      <w:r>
        <w:rPr/>
        <w:tab/>
        <w:t>Ein terminus technicus der Geschäftssprache</w:t>
      </w:r>
    </w:p>
  </w:footnote>
  <w:footnote w:id="6035">
    <w:p>
      <w:pPr>
        <w:pStyle w:val="Funote"/>
        <w:rPr/>
      </w:pPr>
      <w:r>
        <w:rPr>
          <w:rStyle w:val="Funotenzeichen"/>
        </w:rPr>
        <w:footnoteRef/>
      </w:r>
      <w:hyperlink r:id="rId665">
        <w:r>
          <w:rPr>
            <w:rStyle w:val="Internetverknpfung"/>
          </w:rPr>
          <w:tab/>
          <w:t>Ptz. coni.</w:t>
        </w:r>
      </w:hyperlink>
      <w:r>
        <w:rPr/>
        <w:t>, modal übersetzt</w:t>
      </w:r>
    </w:p>
  </w:footnote>
  <w:footnote w:id="6036">
    <w:p>
      <w:pPr>
        <w:pStyle w:val="Funote"/>
        <w:rPr/>
      </w:pPr>
      <w:r>
        <w:rPr>
          <w:rStyle w:val="Funotenzeichen"/>
        </w:rPr>
        <w:footnoteRef/>
      </w:r>
      <w:r>
        <w:rPr/>
        <w:tab/>
        <w:t>oder: in der Fremde sein</w:t>
      </w:r>
    </w:p>
  </w:footnote>
  <w:footnote w:id="6037">
    <w:p>
      <w:pPr>
        <w:pStyle w:val="Funote"/>
        <w:rPr/>
      </w:pPr>
      <w:r>
        <w:rPr>
          <w:rStyle w:val="Funotenzeichen"/>
        </w:rPr>
        <w:footnoteRef/>
      </w:r>
      <w:r>
        <w:rPr/>
        <w:tab/>
        <w:t>Hier steht das selbe Verb wie Vers 6: fern/ in der Fremde sein; das griechische Wortspiel lässt sich leider im Deutschen nicht wiedergeben</w:t>
      </w:r>
    </w:p>
  </w:footnote>
  <w:footnote w:id="6038">
    <w:p>
      <w:pPr>
        <w:pStyle w:val="Funote"/>
        <w:rPr/>
      </w:pPr>
      <w:r>
        <w:rPr>
          <w:rStyle w:val="Funotenzeichen"/>
        </w:rPr>
        <w:footnoteRef/>
      </w:r>
      <w:r>
        <w:rPr/>
        <w:tab/>
        <w:t>Im Griech. stehen hier zwei Partizipien, man könnte auch (etwas umständlicher) übersetzen: Sei es, dass wir in der Fremde, sei es, dass wir Zuhause sind</w:t>
      </w:r>
    </w:p>
  </w:footnote>
  <w:footnote w:id="6039">
    <w:p>
      <w:pPr>
        <w:pStyle w:val="Funote"/>
        <w:rPr/>
      </w:pPr>
      <w:r>
        <w:rPr>
          <w:rStyle w:val="Funotenzeichen"/>
        </w:rPr>
        <w:footnoteRef/>
      </w:r>
      <w:r>
        <w:rPr/>
        <w:tab/>
        <w:t xml:space="preserve">Bultmann: bei Leibesleben, eine wörtlichere Wiedergabe von </w:t>
      </w:r>
      <w:r>
        <w:rPr>
          <w:lang w:val="el-GR"/>
        </w:rPr>
        <w:t>διὰ τοῦ σώματος</w:t>
      </w:r>
    </w:p>
  </w:footnote>
  <w:footnote w:id="6040">
    <w:p>
      <w:pPr>
        <w:pStyle w:val="Funote"/>
        <w:rPr/>
      </w:pPr>
      <w:r>
        <w:rPr>
          <w:rStyle w:val="Funotenzeichen"/>
        </w:rPr>
        <w:footnoteRef/>
      </w:r>
      <w:hyperlink r:id="rId666">
        <w:r>
          <w:rPr>
            <w:rStyle w:val="Internetverknpfung"/>
          </w:rPr>
          <w:tab/>
          <w:t>Ptz. coni.</w:t>
        </w:r>
      </w:hyperlink>
      <w:r>
        <w:rPr/>
        <w:t>, kausal übersetzt</w:t>
      </w:r>
    </w:p>
  </w:footnote>
  <w:footnote w:id="6041">
    <w:p>
      <w:pPr>
        <w:pStyle w:val="Funote"/>
        <w:rPr/>
      </w:pPr>
      <w:r>
        <w:rPr>
          <w:rStyle w:val="Funotenzeichen"/>
        </w:rPr>
        <w:footnoteRef/>
      </w:r>
      <w:r>
        <w:rPr/>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 </w:t>
      </w:r>
    </w:p>
  </w:footnote>
  <w:footnote w:id="6042">
    <w:p>
      <w:pPr>
        <w:pStyle w:val="Funote"/>
        <w:rPr/>
      </w:pPr>
      <w:r>
        <w:rPr>
          <w:rStyle w:val="Funotenzeichen"/>
        </w:rPr>
        <w:footnoteRef/>
      </w:r>
      <w:r>
        <w:rPr/>
        <w:tab/>
        <w:t>Hier nimmt Paulus wohl einen Vorwurf seiner Gegner auf, deshalb steht das Wort in Anführungszeichen, vgl. Bultmann, S. 148</w:t>
      </w:r>
    </w:p>
  </w:footnote>
  <w:footnote w:id="6043">
    <w:p>
      <w:pPr>
        <w:pStyle w:val="Funote"/>
        <w:rPr/>
      </w:pPr>
      <w:r>
        <w:rPr>
          <w:rStyle w:val="Funotenzeichen"/>
        </w:rPr>
        <w:footnoteRef/>
      </w:r>
      <w:r>
        <w:rPr/>
        <w:tab/>
        <w:t>Etwas freier: ein Loblied über uns zu singen</w:t>
      </w:r>
    </w:p>
  </w:footnote>
  <w:footnote w:id="6044">
    <w:p>
      <w:pPr>
        <w:pStyle w:val="Funote"/>
        <w:rPr/>
      </w:pPr>
      <w:r>
        <w:rPr>
          <w:rStyle w:val="Funotenzeichen"/>
        </w:rPr>
        <w:footnoteRef/>
      </w:r>
      <w:hyperlink r:id="rId667">
        <w:r>
          <w:rPr>
            <w:rStyle w:val="Internetverknpfung"/>
          </w:rPr>
          <w:tab/>
          <w:t>Ptz. coni.</w:t>
        </w:r>
      </w:hyperlink>
      <w:r>
        <w:rPr/>
        <w:t>, relativisch aufgelöst</w:t>
      </w:r>
    </w:p>
  </w:footnote>
  <w:footnote w:id="6045">
    <w:p>
      <w:pPr>
        <w:pStyle w:val="Funote"/>
        <w:rPr/>
      </w:pPr>
      <w:r>
        <w:rPr>
          <w:rStyle w:val="Funotenzeichen"/>
        </w:rPr>
        <w:footnoteRef/>
      </w:r>
      <w:r>
        <w:rPr/>
        <w:tab/>
        <w:t>So Bultmann, S. 152. BW Sp. 1562 hat ‚in Schranken halten‘.</w:t>
      </w:r>
    </w:p>
  </w:footnote>
  <w:footnote w:id="6046">
    <w:p>
      <w:pPr>
        <w:pStyle w:val="Funote"/>
        <w:rPr/>
      </w:pPr>
      <w:r>
        <w:rPr>
          <w:rStyle w:val="Funotenzeichen"/>
        </w:rPr>
        <w:footnoteRef/>
      </w:r>
      <w:hyperlink r:id="rId668">
        <w:r>
          <w:rPr>
            <w:rStyle w:val="Internetverknpfung"/>
          </w:rPr>
          <w:tab/>
          <w:t>Ptz. coni.</w:t>
        </w:r>
      </w:hyperlink>
      <w:r>
        <w:rPr/>
        <w:t>, beiordnend aufgelöst</w:t>
      </w:r>
    </w:p>
  </w:footnote>
  <w:footnote w:id="6047">
    <w:p>
      <w:pPr>
        <w:pStyle w:val="Funote"/>
        <w:rPr/>
      </w:pPr>
      <w:r>
        <w:rPr>
          <w:rStyle w:val="Funotenzeichen"/>
        </w:rPr>
        <w:footnoteRef/>
      </w:r>
      <w:r>
        <w:rPr/>
        <w:tab/>
        <w:t>Hier liegt ein juristischer Stellvertretungsgedanke vor, Bultmann, S. 153</w:t>
      </w:r>
    </w:p>
  </w:footnote>
  <w:footnote w:id="6048">
    <w:p>
      <w:pPr>
        <w:pStyle w:val="Funote"/>
        <w:rPr/>
      </w:pPr>
      <w:r>
        <w:rPr>
          <w:rStyle w:val="Funotenzeichen"/>
        </w:rPr>
        <w:footnoteRef/>
      </w:r>
      <w:r>
        <w:rPr/>
        <w:tab/>
        <w:t>Im Griech. Partizip: Die Lebenden, Plural, so auch im Folgenden</w:t>
      </w:r>
    </w:p>
  </w:footnote>
  <w:footnote w:id="6049">
    <w:p>
      <w:pPr>
        <w:pStyle w:val="Funote"/>
        <w:rPr/>
      </w:pPr>
      <w:r>
        <w:rPr>
          <w:rStyle w:val="Funotenzeichen"/>
        </w:rPr>
        <w:footnoteRef/>
      </w:r>
      <w:r>
        <w:rPr/>
        <w:tab/>
        <w:t xml:space="preserve">Bultmann: </w:t>
      </w:r>
      <w:r>
        <w:rPr>
          <w:lang w:val="el-GR"/>
        </w:rPr>
        <w:t>σάρξ</w:t>
      </w:r>
      <w:r>
        <w:rPr/>
        <w:t xml:space="preserve"> ist die Sphäre des Vorfindlichen, S. 155</w:t>
      </w:r>
    </w:p>
  </w:footnote>
  <w:footnote w:id="6050">
    <w:p>
      <w:pPr>
        <w:pStyle w:val="Funote"/>
        <w:rPr/>
      </w:pPr>
      <w:r>
        <w:rPr>
          <w:rStyle w:val="Funotenzeichen"/>
        </w:rPr>
        <w:footnoteRef/>
      </w:r>
      <w:r>
        <w:rPr/>
        <w:tab/>
        <w:t>Ein hypothetischer Fall, Irrealis, vgl. Bultmann, S. 156</w:t>
      </w:r>
    </w:p>
  </w:footnote>
  <w:footnote w:id="6051">
    <w:p>
      <w:pPr>
        <w:pStyle w:val="Funote"/>
        <w:rPr/>
      </w:pPr>
      <w:r>
        <w:rPr>
          <w:rStyle w:val="Funotenzeichen"/>
        </w:rPr>
        <w:footnoteRef/>
      </w:r>
      <w:r>
        <w:rPr/>
        <w:tab/>
        <w:t>Durch die Taufe in die Gemeinde aufgenommen</w:t>
      </w:r>
    </w:p>
  </w:footnote>
  <w:footnote w:id="6052">
    <w:p>
      <w:pPr>
        <w:pStyle w:val="Funote"/>
        <w:rPr/>
      </w:pPr>
      <w:r>
        <w:rPr>
          <w:rStyle w:val="Funotenzeichen"/>
        </w:rPr>
        <w:footnoteRef/>
      </w:r>
      <w:hyperlink r:id="rId669">
        <w:r>
          <w:rPr>
            <w:rStyle w:val="Internetverknpfung"/>
          </w:rPr>
          <w:tab/>
          <w:t>Ptz. coni.</w:t>
        </w:r>
      </w:hyperlink>
      <w:r>
        <w:rPr/>
        <w:t>, relativisch aufgelöst</w:t>
      </w:r>
    </w:p>
  </w:footnote>
  <w:footnote w:id="6053">
    <w:p>
      <w:pPr>
        <w:pStyle w:val="Funote"/>
        <w:rPr/>
      </w:pPr>
      <w:r>
        <w:rPr>
          <w:rStyle w:val="Funotenzeichen"/>
        </w:rPr>
        <w:footnoteRef/>
      </w:r>
      <w:hyperlink r:id="rId670">
        <w:r>
          <w:rPr>
            <w:rStyle w:val="Internetverknpfung"/>
          </w:rPr>
          <w:tab/>
          <w:t>Ptz. coni.</w:t>
        </w:r>
      </w:hyperlink>
      <w:r>
        <w:rPr/>
        <w:t>, beiordnend aufgelöst. Im Griechischen ist der Satz mit Komma abgetrennt</w:t>
      </w:r>
    </w:p>
  </w:footnote>
  <w:footnote w:id="6054">
    <w:p>
      <w:pPr>
        <w:pStyle w:val="Funote"/>
        <w:rPr/>
      </w:pPr>
      <w:r>
        <w:rPr>
          <w:rStyle w:val="Funotenzeichen"/>
        </w:rPr>
        <w:footnoteRef/>
      </w:r>
      <w:r>
        <w:rPr/>
        <w:tab/>
        <w:t>BDR § 425,3</w:t>
      </w:r>
    </w:p>
  </w:footnote>
  <w:footnote w:id="6055">
    <w:p>
      <w:pPr>
        <w:pStyle w:val="Funote"/>
        <w:rPr/>
      </w:pPr>
      <w:r>
        <w:rPr>
          <w:rStyle w:val="Funotenzeichen"/>
        </w:rPr>
        <w:footnoteRef/>
      </w:r>
      <w:r>
        <w:rPr/>
        <w:tab/>
        <w:t>[Status: Ungeprüft]</w:t>
      </w:r>
    </w:p>
  </w:footnote>
  <w:footnote w:id="6056">
    <w:p>
      <w:pPr>
        <w:pStyle w:val="Funote"/>
        <w:rPr/>
      </w:pPr>
      <w:r>
        <w:rPr>
          <w:rStyle w:val="Funotenzeichen"/>
        </w:rPr>
        <w:footnoteRef/>
      </w:r>
      <w:hyperlink r:id="rId671">
        <w:r>
          <w:rPr>
            <w:rStyle w:val="Internetverknpfung"/>
          </w:rPr>
          <w:tab/>
          <w:t>Ptz. coni.</w:t>
        </w:r>
      </w:hyperlink>
      <w:r>
        <w:rPr/>
        <w:t xml:space="preserve"> - wessen? Gottes? Der Korinther?</w:t>
      </w:r>
    </w:p>
  </w:footnote>
  <w:footnote w:id="6057">
    <w:p>
      <w:pPr>
        <w:pStyle w:val="Funote"/>
        <w:rPr/>
      </w:pPr>
      <w:r>
        <w:rPr>
          <w:rStyle w:val="Funotenzeichen"/>
        </w:rPr>
        <w:footnoteRef/>
      </w:r>
      <w:r>
        <w:rPr/>
        <w:tab/>
        <w:t xml:space="preserve">Gnade (Griech.: </w:t>
      </w:r>
      <w:r>
        <w:rPr>
          <w:i/>
        </w:rPr>
        <w:t>charis</w:t>
      </w:r>
      <w:r>
        <w:rPr/>
        <w:t xml:space="preserve">) siehe: </w:t>
      </w:r>
      <w:hyperlink r:id="rId672">
        <w:r>
          <w:rPr>
            <w:rStyle w:val="Internetverknpfung"/>
          </w:rPr>
          <w:t>Lexikon:Gnade</w:t>
        </w:r>
      </w:hyperlink>
    </w:p>
  </w:footnote>
  <w:footnote w:id="6058">
    <w:p>
      <w:pPr>
        <w:pStyle w:val="Funote"/>
        <w:rPr/>
      </w:pPr>
      <w:r>
        <w:rPr>
          <w:rStyle w:val="Funotenzeichen"/>
        </w:rPr>
        <w:footnoteRef/>
      </w:r>
      <w:r>
        <w:rPr/>
        <w:tab/>
        <w:t>Wörtlich: angenehm =&gt; günstig</w:t>
      </w:r>
    </w:p>
  </w:footnote>
  <w:footnote w:id="6059">
    <w:p>
      <w:pPr>
        <w:pStyle w:val="Funote"/>
        <w:rPr/>
      </w:pPr>
      <w:r>
        <w:rPr>
          <w:rStyle w:val="Funotenzeichen"/>
        </w:rPr>
        <w:footnoteRef/>
      </w:r>
      <w:r>
        <w:rPr/>
        <w:tab/>
        <w:t xml:space="preserve">Die Präposition </w:t>
      </w:r>
      <w:r>
        <w:rPr>
          <w:i/>
        </w:rPr>
        <w:t>en</w:t>
      </w:r>
      <w:r>
        <w:rPr/>
        <w:t xml:space="preserve"> mit Dativ kann auch instrumentale Bedeutung haben = „durch“; entsprechend kann in diesem und in den Versen 5-7 „in“ immer mit „durch“ ersetzt werden.</w:t>
      </w:r>
    </w:p>
  </w:footnote>
  <w:footnote w:id="6060">
    <w:p>
      <w:pPr>
        <w:pStyle w:val="Funote"/>
        <w:rPr/>
      </w:pPr>
      <w:r>
        <w:rPr>
          <w:rStyle w:val="Funotenzeichen"/>
        </w:rPr>
        <w:footnoteRef/>
      </w:r>
      <w:r>
        <w:rPr/>
        <w:tab/>
        <w:t xml:space="preserve">Außerbiblisch selten: unter Druck geraten, vgl. </w:t>
      </w:r>
      <w:r>
        <w:rPr>
          <w:i/>
        </w:rPr>
        <w:t xml:space="preserve">Queen: 'Under pressure' </w:t>
      </w:r>
      <w:r>
        <w:rPr/>
        <w:t>.</w:t>
      </w:r>
    </w:p>
  </w:footnote>
  <w:footnote w:id="6061">
    <w:p>
      <w:pPr>
        <w:pStyle w:val="Funote"/>
        <w:rPr/>
      </w:pPr>
      <w:r>
        <w:rPr>
          <w:rStyle w:val="Funotenzeichen"/>
        </w:rPr>
        <w:footnoteRef/>
      </w:r>
      <w:r>
        <w:rPr/>
        <w:tab/>
        <w:t xml:space="preserve">Das griechische Wort </w:t>
      </w:r>
      <w:r>
        <w:rPr>
          <w:i/>
        </w:rPr>
        <w:t>stenochoria</w:t>
      </w:r>
      <w:r>
        <w:rPr/>
        <w:t xml:space="preserve"> setzt sich zusammen aus </w:t>
      </w:r>
      <w:r>
        <w:rPr>
          <w:i/>
        </w:rPr>
        <w:t>stenos</w:t>
      </w:r>
      <w:r>
        <w:rPr/>
        <w:t xml:space="preserve">, eng und </w:t>
      </w:r>
      <w:r>
        <w:rPr>
          <w:i/>
        </w:rPr>
        <w:t>chora</w:t>
      </w:r>
      <w:r>
        <w:rPr/>
        <w:t>, Land, Ort. Insofern ist unser umgangssprachlicher Ausdruck „es wird eng“ eine wörtliche und inhaltlich angemessene Wiedergabe der beiden Wortbestandteile.</w:t>
      </w:r>
    </w:p>
  </w:footnote>
  <w:footnote w:id="6062">
    <w:p>
      <w:pPr>
        <w:pStyle w:val="Funote"/>
        <w:rPr/>
      </w:pPr>
      <w:r>
        <w:rPr>
          <w:rStyle w:val="Funotenzeichen"/>
        </w:rPr>
        <w:footnoteRef/>
      </w:r>
      <w:r>
        <w:rPr/>
        <w:tab/>
        <w:t>im Griech. steht hier wie bei allen anderen Begriffen der Plural; wir verwenden im Dt. für das Kollektivum den Singular.</w:t>
      </w:r>
    </w:p>
  </w:footnote>
  <w:footnote w:id="6063">
    <w:p>
      <w:pPr>
        <w:pStyle w:val="Funote"/>
        <w:rPr/>
      </w:pPr>
      <w:r>
        <w:rPr>
          <w:rStyle w:val="Funotenzeichen"/>
        </w:rPr>
        <w:footnoteRef/>
      </w:r>
      <w:r>
        <w:rPr/>
        <w:tab/>
        <w:t>Wörtl.: Nachtwachen od. Schlaflosigkeit</w:t>
      </w:r>
    </w:p>
  </w:footnote>
  <w:footnote w:id="6064">
    <w:p>
      <w:pPr>
        <w:pStyle w:val="Funote"/>
        <w:rPr/>
      </w:pPr>
      <w:r>
        <w:rPr>
          <w:rStyle w:val="Funotenzeichen"/>
        </w:rPr>
        <w:footnoteRef/>
      </w:r>
      <w:r>
        <w:rPr/>
        <w:tab/>
        <w:t xml:space="preserve">Gerechtigkeit (Griech.: </w:t>
      </w:r>
      <w:r>
        <w:rPr>
          <w:i/>
        </w:rPr>
        <w:t>dikaiosyne</w:t>
      </w:r>
      <w:r>
        <w:rPr/>
        <w:t xml:space="preserve">), siehe: </w:t>
      </w:r>
      <w:hyperlink r:id="rId673">
        <w:r>
          <w:rPr>
            <w:rStyle w:val="Internetverknpfung"/>
          </w:rPr>
          <w:t>Lexikon:Gerechtigkeit</w:t>
        </w:r>
      </w:hyperlink>
    </w:p>
  </w:footnote>
  <w:footnote w:id="6065">
    <w:p>
      <w:pPr>
        <w:pStyle w:val="Funote"/>
        <w:rPr/>
      </w:pPr>
      <w:r>
        <w:rPr>
          <w:rStyle w:val="Funotenzeichen"/>
        </w:rPr>
        <w:footnoteRef/>
      </w:r>
      <w:r>
        <w:rPr/>
        <w:tab/>
        <w:t>D.h. Angriffs- (zur Rechten) und Verteidigungswaffen, d.h. Schild (links) und Schwert des Legionssoldaten. Paulus greift hier auf eine Waffenmetaphorik zurück, die Kyniker und Stoiker verwenden. Paulus hat das Ideal der Gerechtigkeit internalisiert; sie steht daher als Waffe zur Verfügung, Ebner S. 268f.</w:t>
      </w:r>
    </w:p>
  </w:footnote>
  <w:footnote w:id="6066">
    <w:p>
      <w:pPr>
        <w:pStyle w:val="Funote"/>
        <w:rPr/>
      </w:pPr>
      <w:r>
        <w:rPr>
          <w:rStyle w:val="Funotenzeichen"/>
        </w:rPr>
        <w:footnoteRef/>
      </w:r>
      <w:r>
        <w:rPr/>
        <w:tab/>
        <w:t xml:space="preserve">Diese Begriffe in Vers 9 und 10 sind alles konjunkte Partizipien, siehe: </w:t>
      </w:r>
      <w:hyperlink r:id="rId674">
        <w:r>
          <w:rPr>
            <w:rStyle w:val="Internetverknpfung"/>
          </w:rPr>
          <w:t>Part. coni.</w:t>
        </w:r>
      </w:hyperlink>
      <w:r>
        <w:rPr/>
        <w:t>, die man entsprechend auflösen könnte - also z.B. obwohl wir verkannt werden, sind wir doch erkannt.</w:t>
      </w:r>
    </w:p>
  </w:footnote>
  <w:footnote w:id="6067">
    <w:p>
      <w:pPr>
        <w:pStyle w:val="Funote"/>
        <w:rPr/>
      </w:pPr>
      <w:r>
        <w:rPr>
          <w:rStyle w:val="Funotenzeichen"/>
        </w:rPr>
        <w:footnoteRef/>
      </w:r>
      <w:r>
        <w:rPr/>
        <w:tab/>
        <w:t>Paulus spielt hier wahrscheinlich auf Psalm 118,18 an, in dem Gott der Züchtigende ist.</w:t>
      </w:r>
    </w:p>
  </w:footnote>
  <w:footnote w:id="6068">
    <w:p>
      <w:pPr>
        <w:pStyle w:val="Funote"/>
        <w:rPr/>
      </w:pPr>
      <w:r>
        <w:rPr>
          <w:rStyle w:val="Funotenzeichen"/>
        </w:rPr>
        <w:footnoteRef/>
      </w:r>
      <w:r>
        <w:rPr>
          <w:i/>
        </w:rPr>
        <w:tab/>
        <w:t>ginomai</w:t>
      </w:r>
      <w:r>
        <w:rPr/>
        <w:t xml:space="preserve"> mit Partizip Präsens drückt den Anfang des Seins aus =&gt; gebt euch nicht dazu her, </w:t>
      </w:r>
      <w:hyperlink r:id="rId675">
        <w:r>
          <w:rPr>
            <w:rStyle w:val="Internetverknpfung"/>
          </w:rPr>
          <w:t>BDR § 354,1</w:t>
        </w:r>
      </w:hyperlink>
      <w:r>
        <w:rPr/>
        <w:t>; wörtlich: Werdet nicht solche, die unter fremdartigem Joch gehen, vgl. 3.Mose 19,19.</w:t>
      </w:r>
    </w:p>
  </w:footnote>
  <w:footnote w:id="6069">
    <w:p>
      <w:pPr>
        <w:pStyle w:val="Funote"/>
        <w:rPr/>
      </w:pPr>
      <w:r>
        <w:rPr>
          <w:rStyle w:val="Funotenzeichen"/>
        </w:rPr>
        <w:footnoteRef/>
      </w:r>
      <w:r>
        <w:rPr/>
        <w:tab/>
        <w:t xml:space="preserve">Gerechtigkeit (Griech.: </w:t>
      </w:r>
      <w:r>
        <w:rPr>
          <w:i/>
        </w:rPr>
        <w:t>dikaiosyne</w:t>
      </w:r>
      <w:r>
        <w:rPr/>
        <w:t xml:space="preserve">), siehe: </w:t>
      </w:r>
      <w:hyperlink r:id="rId676">
        <w:r>
          <w:rPr>
            <w:rStyle w:val="Internetverknpfung"/>
          </w:rPr>
          <w:t>Lexikon:Gerechtigkeit</w:t>
        </w:r>
      </w:hyperlink>
    </w:p>
  </w:footnote>
  <w:footnote w:id="6070">
    <w:p>
      <w:pPr>
        <w:pStyle w:val="Funote"/>
        <w:rPr/>
      </w:pPr>
      <w:r>
        <w:rPr>
          <w:rStyle w:val="Funotenzeichen"/>
        </w:rPr>
        <w:footnoteRef/>
      </w:r>
      <w:r>
        <w:rPr>
          <w:i/>
        </w:rPr>
        <w:tab/>
        <w:t>Belial</w:t>
      </w:r>
      <w:r>
        <w:rPr/>
        <w:t>, hebräisch der Teufel, der Antimessias</w:t>
      </w:r>
    </w:p>
  </w:footnote>
  <w:footnote w:id="6071">
    <w:p>
      <w:pPr>
        <w:pStyle w:val="Funote"/>
        <w:rPr/>
      </w:pPr>
      <w:r>
        <w:rPr>
          <w:rStyle w:val="Funotenzeichen"/>
        </w:rPr>
        <w:footnoteRef/>
      </w:r>
      <w:r>
        <w:rPr/>
        <w:tab/>
        <w:t xml:space="preserve">Sog. </w:t>
      </w:r>
      <w:r>
        <w:rPr>
          <w:i/>
        </w:rPr>
        <w:t>oti citativum</w:t>
      </w:r>
      <w:r>
        <w:rPr/>
        <w:t>, im Dt. durch einen Doppelpunkt wiedergegeben.</w:t>
      </w:r>
    </w:p>
  </w:footnote>
  <w:footnote w:id="6072">
    <w:p>
      <w:pPr>
        <w:pStyle w:val="Funote"/>
        <w:rPr/>
      </w:pPr>
      <w:r>
        <w:rPr>
          <w:rStyle w:val="Funotenzeichen"/>
        </w:rPr>
        <w:footnoteRef/>
      </w:r>
      <w:r>
        <w:rPr/>
        <w:tab/>
        <w:t>Wörtl.: Geht heraus aus ihrer Mitte.</w:t>
      </w:r>
    </w:p>
  </w:footnote>
  <w:footnote w:id="6073">
    <w:p>
      <w:pPr>
        <w:pStyle w:val="Funote"/>
        <w:rPr/>
      </w:pPr>
      <w:r>
        <w:rPr>
          <w:rStyle w:val="Funotenzeichen"/>
        </w:rPr>
        <w:footnoteRef/>
      </w:r>
      <w:r>
        <w:rPr/>
        <w:tab/>
        <w:t>[Status: Ungeprüft]</w:t>
      </w:r>
    </w:p>
  </w:footnote>
  <w:footnote w:id="6074">
    <w:p>
      <w:pPr>
        <w:pStyle w:val="Funote"/>
        <w:rPr/>
      </w:pPr>
      <w:r>
        <w:rPr>
          <w:rStyle w:val="Funotenzeichen"/>
        </w:rPr>
        <w:footnoteRef/>
      </w:r>
      <w:r>
        <w:rPr/>
        <w:tab/>
        <w:t>I.S.v.:Ein Opfer darbringen-</w:t>
      </w:r>
    </w:p>
  </w:footnote>
  <w:footnote w:id="6075">
    <w:p>
      <w:pPr>
        <w:pStyle w:val="Funote"/>
        <w:rPr/>
      </w:pPr>
      <w:r>
        <w:rPr>
          <w:rStyle w:val="Funotenzeichen"/>
        </w:rPr>
        <w:footnoteRef/>
      </w:r>
      <w:hyperlink r:id="rId677">
        <w:r>
          <w:rPr>
            <w:rStyle w:val="Internetverknpfung"/>
          </w:rPr>
          <w:tab/>
          <w:t>Ptz. coni.</w:t>
        </w:r>
      </w:hyperlink>
      <w:r>
        <w:rPr/>
        <w:t>, beiordnend aufgelöst.</w:t>
      </w:r>
    </w:p>
  </w:footnote>
  <w:footnote w:id="6076">
    <w:p>
      <w:pPr>
        <w:pStyle w:val="Funote"/>
        <w:rPr/>
      </w:pPr>
      <w:r>
        <w:rPr>
          <w:rStyle w:val="Funotenzeichen"/>
        </w:rPr>
        <w:footnoteRef/>
      </w:r>
      <w:r>
        <w:rPr/>
        <w:tab/>
        <w:t>Offenbar sind in Paulus' Abwesenheit in Korinth Apostel aufgetreten, die sich besonderer Fähigkeiten gerühmt haben, wie Paulus im Folgenden ausgführt. Der Begriff "Überapostel" ist ironisch gemeint.</w:t>
      </w:r>
    </w:p>
  </w:footnote>
  <w:footnote w:id="6077">
    <w:p>
      <w:pPr>
        <w:pStyle w:val="Funote"/>
        <w:rPr/>
      </w:pPr>
      <w:r>
        <w:rPr>
          <w:rStyle w:val="Funotenzeichen"/>
        </w:rPr>
        <w:footnoteRef/>
      </w:r>
      <w:r>
        <w:rPr/>
        <w:tab/>
        <w:t>Auf die Redekunst (Rhetorik) wurde in der Antike großen Wert gelegt. Paulus wird vorgeworfen, gut formulieren zu können, aber ein miserabler Redner zu sein, vgl. 2.Korinther 10,10.</w:t>
      </w:r>
    </w:p>
  </w:footnote>
  <w:footnote w:id="6078">
    <w:p>
      <w:pPr>
        <w:pStyle w:val="Funote"/>
        <w:rPr/>
      </w:pPr>
      <w:r>
        <w:rPr>
          <w:rStyle w:val="Funotenzeichen"/>
        </w:rPr>
        <w:footnoteRef/>
      </w:r>
      <w:hyperlink r:id="rId678">
        <w:r>
          <w:rPr>
            <w:rStyle w:val="Internetverknpfung"/>
          </w:rPr>
          <w:tab/>
          <w:t>Ptz. coni.</w:t>
        </w:r>
      </w:hyperlink>
      <w:r>
        <w:rPr/>
        <w:t>, temporal aufgelöst.</w:t>
      </w:r>
    </w:p>
  </w:footnote>
  <w:footnote w:id="6079">
    <w:p>
      <w:pPr>
        <w:pStyle w:val="Funote"/>
        <w:rPr/>
      </w:pPr>
      <w:r>
        <w:rPr>
          <w:rStyle w:val="Funotenzeichen"/>
        </w:rPr>
        <w:footnoteRef/>
      </w:r>
      <w:hyperlink r:id="rId679">
        <w:r>
          <w:rPr>
            <w:rStyle w:val="Internetverknpfung"/>
          </w:rPr>
          <w:tab/>
          <w:t>Ptz. coni.</w:t>
        </w:r>
      </w:hyperlink>
      <w:r>
        <w:rPr/>
        <w:t>, modal aufgelöst.</w:t>
      </w:r>
    </w:p>
  </w:footnote>
  <w:footnote w:id="6080">
    <w:p>
      <w:pPr>
        <w:pStyle w:val="Funote"/>
        <w:rPr/>
      </w:pPr>
      <w:r>
        <w:rPr>
          <w:rStyle w:val="Funotenzeichen"/>
        </w:rPr>
        <w:footnoteRef/>
      </w:r>
      <w:hyperlink r:id="rId680">
        <w:r>
          <w:rPr>
            <w:rStyle w:val="Internetverknpfung"/>
          </w:rPr>
          <w:tab/>
          <w:t>Ptz. coni.</w:t>
        </w:r>
      </w:hyperlink>
      <w:r>
        <w:rPr/>
        <w:t>, temporal aufgelöst.</w:t>
      </w:r>
    </w:p>
  </w:footnote>
  <w:footnote w:id="6081">
    <w:p>
      <w:pPr>
        <w:pStyle w:val="Funote"/>
        <w:rPr/>
      </w:pPr>
      <w:r>
        <w:rPr>
          <w:rStyle w:val="Funotenzeichen"/>
        </w:rPr>
        <w:footnoteRef/>
      </w:r>
      <w:hyperlink r:id="rId681">
        <w:r>
          <w:rPr>
            <w:rStyle w:val="Internetverknpfung"/>
          </w:rPr>
          <w:tab/>
          <w:t>Ptz. coni.</w:t>
        </w:r>
      </w:hyperlink>
      <w:r>
        <w:rPr/>
        <w:t>, relativisch aufgelöst.</w:t>
      </w:r>
    </w:p>
  </w:footnote>
  <w:footnote w:id="6082">
    <w:p>
      <w:pPr>
        <w:pStyle w:val="Funote"/>
        <w:rPr/>
      </w:pPr>
      <w:r>
        <w:rPr>
          <w:rStyle w:val="Funotenzeichen"/>
        </w:rPr>
        <w:footnoteRef/>
      </w:r>
      <w:r>
        <w:rPr/>
        <w:tab/>
        <w:t>Andere Übersetzungen (Luther 2017, NGÜ) fassen diesen Satz als Schwurformel auf: "So gewiss die Wahrheit Christi in mir ist"</w:t>
      </w:r>
    </w:p>
  </w:footnote>
  <w:footnote w:id="6083">
    <w:p>
      <w:pPr>
        <w:pStyle w:val="Funote"/>
        <w:rPr/>
      </w:pPr>
      <w:r>
        <w:rPr>
          <w:rStyle w:val="Funotenzeichen"/>
        </w:rPr>
        <w:footnoteRef/>
      </w:r>
      <w:r>
        <w:rPr/>
        <w:tab/>
        <w:t>Wörtl.: wollen.</w:t>
      </w:r>
    </w:p>
  </w:footnote>
  <w:footnote w:id="6084">
    <w:p>
      <w:pPr>
        <w:pStyle w:val="Funote"/>
        <w:rPr/>
      </w:pPr>
      <w:r>
        <w:rPr>
          <w:rStyle w:val="Funotenzeichen"/>
        </w:rPr>
        <w:footnoteRef/>
      </w:r>
      <w:r>
        <w:rPr/>
        <w:tab/>
        <w:t xml:space="preserve">Wörtl.:Arbeiter. Griech. </w:t>
      </w:r>
      <w:r>
        <w:rPr>
          <w:i/>
        </w:rPr>
        <w:t>ergazo</w:t>
      </w:r>
      <w:r>
        <w:rPr/>
        <w:t xml:space="preserve"> heißt arbeiten, lat. </w:t>
      </w:r>
      <w:r>
        <w:rPr>
          <w:i/>
        </w:rPr>
        <w:t>agere</w:t>
      </w:r>
      <w:r>
        <w:rPr/>
        <w:t>, daher: Agent.</w:t>
      </w:r>
    </w:p>
  </w:footnote>
  <w:footnote w:id="6085">
    <w:p>
      <w:pPr>
        <w:pStyle w:val="Funote"/>
        <w:rPr/>
      </w:pPr>
      <w:r>
        <w:rPr>
          <w:rStyle w:val="Funotenzeichen"/>
        </w:rPr>
        <w:footnoteRef/>
      </w:r>
      <w:hyperlink r:id="rId682">
        <w:r>
          <w:rPr>
            <w:rStyle w:val="Internetverknpfung"/>
          </w:rPr>
          <w:tab/>
          <w:t>Ptz. coni.</w:t>
        </w:r>
      </w:hyperlink>
      <w:r>
        <w:rPr/>
        <w:t>, relativisch aufgelöst.</w:t>
      </w:r>
    </w:p>
  </w:footnote>
  <w:footnote w:id="6086">
    <w:p>
      <w:pPr>
        <w:pStyle w:val="Funote"/>
        <w:rPr/>
      </w:pPr>
      <w:r>
        <w:rPr>
          <w:rStyle w:val="Funotenzeichen"/>
        </w:rPr>
        <w:footnoteRef/>
      </w:r>
      <w:r>
        <w:rPr/>
        <w:tab/>
        <w:t>Also etwa: Wie es sich für einen Christen gehören würde.</w:t>
      </w:r>
    </w:p>
  </w:footnote>
  <w:footnote w:id="6087">
    <w:p>
      <w:pPr>
        <w:pStyle w:val="Funote"/>
        <w:rPr/>
      </w:pPr>
      <w:r>
        <w:rPr>
          <w:rStyle w:val="Funotenzeichen"/>
        </w:rPr>
        <w:footnoteRef/>
      </w:r>
      <w:r>
        <w:rPr/>
        <w:tab/>
        <w:t xml:space="preserve">Im Text steht </w:t>
      </w:r>
      <w:r>
        <w:rPr>
          <w:i/>
        </w:rPr>
        <w:t>kata sarka</w:t>
      </w:r>
      <w:r>
        <w:rPr/>
        <w:t xml:space="preserve">, wörtl.: "nach dem Fleisch". </w:t>
      </w:r>
      <w:r>
        <w:rPr>
          <w:i/>
        </w:rPr>
        <w:t>sarx</w:t>
      </w:r>
      <w:r>
        <w:rPr/>
        <w:t xml:space="preserve"> ist bei Paulus das Menschliche im Gegensatz zum Göttlichen, das er </w:t>
      </w:r>
      <w:r>
        <w:rPr>
          <w:i/>
        </w:rPr>
        <w:t>pneuma</w:t>
      </w:r>
      <w:r>
        <w:rPr/>
        <w:t>, Geist, nennt. Es geht hier also um das, wessen sich ein Mensch rühmen könnte - die Vorzüge, oder eben die "Leistungen", wie der folgende Peristasenkatalog zeigt.</w:t>
      </w:r>
    </w:p>
  </w:footnote>
  <w:footnote w:id="6088">
    <w:p>
      <w:pPr>
        <w:pStyle w:val="Funote"/>
        <w:rPr/>
      </w:pPr>
      <w:r>
        <w:rPr>
          <w:rStyle w:val="Funotenzeichen"/>
        </w:rPr>
        <w:footnoteRef/>
      </w:r>
      <w:r>
        <w:rPr/>
        <w:tab/>
        <w:t>Die Anrede "Kluge" ist ironisch gemeint.</w:t>
      </w:r>
    </w:p>
  </w:footnote>
  <w:footnote w:id="6089">
    <w:p>
      <w:pPr>
        <w:pStyle w:val="Funote"/>
        <w:rPr/>
      </w:pPr>
      <w:r>
        <w:rPr>
          <w:rStyle w:val="Funotenzeichen"/>
        </w:rPr>
        <w:footnoteRef/>
      </w:r>
      <w:r>
        <w:rPr/>
        <w:tab/>
        <w:t>I.S.d. Aneignung von Besitz.</w:t>
      </w:r>
    </w:p>
  </w:footnote>
  <w:footnote w:id="6090">
    <w:p>
      <w:pPr>
        <w:pStyle w:val="Funote"/>
        <w:rPr/>
      </w:pPr>
      <w:r>
        <w:rPr>
          <w:rStyle w:val="Funotenzeichen"/>
        </w:rPr>
        <w:footnoteRef/>
      </w:r>
      <w:r>
        <w:rPr/>
        <w:tab/>
        <w:t>Wörtlich: An Mühen mehr.</w:t>
      </w:r>
    </w:p>
  </w:footnote>
  <w:footnote w:id="6091">
    <w:p>
      <w:pPr>
        <w:pStyle w:val="Funote"/>
        <w:rPr/>
      </w:pPr>
      <w:r>
        <w:rPr>
          <w:rStyle w:val="Funotenzeichen"/>
        </w:rPr>
        <w:footnoteRef/>
      </w:r>
      <w:r>
        <w:rPr/>
        <w:tab/>
        <w:t>Wörtl.: in Gefängnissen mehr.</w:t>
      </w:r>
    </w:p>
  </w:footnote>
  <w:footnote w:id="6092">
    <w:p>
      <w:pPr>
        <w:pStyle w:val="Funote"/>
        <w:rPr/>
      </w:pPr>
      <w:r>
        <w:rPr>
          <w:rStyle w:val="Funotenzeichen"/>
        </w:rPr>
        <w:footnoteRef/>
      </w:r>
      <w:r>
        <w:rPr/>
        <w:tab/>
        <w:t>Wörtl.: an Schlägen übermäßig.</w:t>
      </w:r>
    </w:p>
  </w:footnote>
  <w:footnote w:id="6093">
    <w:p>
      <w:pPr>
        <w:pStyle w:val="Funote"/>
        <w:rPr/>
      </w:pPr>
      <w:r>
        <w:rPr>
          <w:rStyle w:val="Funotenzeichen"/>
        </w:rPr>
        <w:footnoteRef/>
      </w:r>
      <w:r>
        <w:rPr/>
        <w:tab/>
        <w:t>Es handelt sich um die Prügelstrafe, und zwar lt. 5.Mose 25,3 um die Höchststrafe: Erlaubt waren max. 40 Schläge; üblich war, einen Schlag weniger zu verabreichen, vgl. Ebner S. 134.</w:t>
      </w:r>
    </w:p>
  </w:footnote>
  <w:footnote w:id="6094">
    <w:p>
      <w:pPr>
        <w:pStyle w:val="Funote"/>
        <w:rPr/>
      </w:pPr>
      <w:r>
        <w:rPr>
          <w:rStyle w:val="Funotenzeichen"/>
        </w:rPr>
        <w:footnoteRef/>
      </w:r>
      <w:r>
        <w:rPr/>
        <w:tab/>
        <w:t xml:space="preserve">D.i. die </w:t>
      </w:r>
      <w:r>
        <w:rPr>
          <w:i/>
        </w:rPr>
        <w:t>verberatio</w:t>
      </w:r>
      <w:r>
        <w:rPr/>
        <w:t xml:space="preserve"> durch die römischen Behörden, die von den </w:t>
      </w:r>
      <w:r>
        <w:rPr>
          <w:i/>
        </w:rPr>
        <w:t>Liktoren</w:t>
      </w:r>
      <w:r>
        <w:rPr/>
        <w:t xml:space="preserve"> mit deren Rutenbündel (</w:t>
      </w:r>
      <w:r>
        <w:rPr>
          <w:i/>
        </w:rPr>
        <w:t>fasces</w:t>
      </w:r>
      <w:r>
        <w:rPr/>
        <w:t>) ausgeführt wurde.</w:t>
      </w:r>
    </w:p>
  </w:footnote>
  <w:footnote w:id="6095">
    <w:p>
      <w:pPr>
        <w:pStyle w:val="Funote"/>
        <w:rPr/>
      </w:pPr>
      <w:r>
        <w:rPr>
          <w:rStyle w:val="Funotenzeichen"/>
        </w:rPr>
        <w:footnoteRef/>
      </w:r>
      <w:r>
        <w:rPr/>
        <w:tab/>
        <w:t>Wörtl.: Oft in durchwachten Nächten; dabei könnte es sich um bewussten Verzicht auf Schlaf handeln, meint Ebner S. 148f.</w:t>
      </w:r>
    </w:p>
  </w:footnote>
  <w:footnote w:id="6096">
    <w:p>
      <w:pPr>
        <w:pStyle w:val="Funote"/>
        <w:rPr/>
      </w:pPr>
      <w:r>
        <w:rPr>
          <w:rStyle w:val="Funotenzeichen"/>
        </w:rPr>
        <w:footnoteRef/>
      </w:r>
      <w:r>
        <w:rPr/>
        <w:tab/>
        <w:t>Wörtl.:draußen</w:t>
      </w:r>
    </w:p>
  </w:footnote>
  <w:footnote w:id="6097">
    <w:p>
      <w:pPr>
        <w:pStyle w:val="Funote"/>
        <w:rPr/>
      </w:pPr>
      <w:r>
        <w:rPr>
          <w:rStyle w:val="Funotenzeichen"/>
        </w:rPr>
        <w:footnoteRef/>
      </w:r>
      <w:r>
        <w:rPr/>
        <w:tab/>
        <w:t>Gemeint ist:Vor Mitgefühl brennen.</w:t>
      </w:r>
    </w:p>
  </w:footnote>
  <w:footnote w:id="6098">
    <w:p>
      <w:pPr>
        <w:pStyle w:val="Funote"/>
        <w:rPr/>
      </w:pPr>
      <w:r>
        <w:rPr>
          <w:rStyle w:val="Funotenzeichen"/>
        </w:rPr>
        <w:footnoteRef/>
      </w:r>
      <w:r>
        <w:rPr/>
        <w:tab/>
        <w:t>Das Perfekt betont die abschließende Antwort (M.Thrall 2000, 821).</w:t>
      </w:r>
    </w:p>
  </w:footnote>
  <w:footnote w:id="6099">
    <w:p>
      <w:pPr>
        <w:pStyle w:val="Funote"/>
        <w:rPr/>
      </w:pPr>
      <w:r>
        <w:rPr>
          <w:rStyle w:val="Funotenzeichen"/>
        </w:rPr>
        <w:footnoteRef/>
      </w:r>
      <w:r>
        <w:rPr/>
        <w:tab/>
        <w:t>Andere Handschriften: „… wird zur Vollendung kommen.“</w:t>
      </w:r>
    </w:p>
  </w:footnote>
  <w:footnote w:id="6100">
    <w:p>
      <w:pPr>
        <w:pStyle w:val="Funote"/>
        <w:rPr/>
      </w:pPr>
      <w:r>
        <w:rPr>
          <w:rStyle w:val="Funotenzeichen"/>
        </w:rPr>
        <w:footnoteRef/>
      </w:r>
      <w:r>
        <w:rPr/>
        <w:tab/>
        <w:t>Das „meine“ steht nicht in allen Handschriften.</w:t>
      </w:r>
    </w:p>
  </w:footnote>
  <w:footnote w:id="6101">
    <w:p>
      <w:pPr>
        <w:pStyle w:val="Funote"/>
        <w:rPr/>
      </w:pPr>
      <w:r>
        <w:rPr>
          <w:rStyle w:val="Funotenzeichen"/>
        </w:rPr>
        <w:footnoteRef/>
      </w:r>
      <w:r>
        <w:rPr/>
        <w:tab/>
        <w:t>Das „lieber“ kann verschieden bezogen werden: auf „meine Schwächen“ (M.Thrall 2000, 826) oder auf den ganzen Satz (V.Furnish 1984, 531).</w:t>
      </w:r>
    </w:p>
  </w:footnote>
  <w:footnote w:id="6102">
    <w:p>
      <w:pPr>
        <w:pStyle w:val="Funote"/>
        <w:rPr/>
      </w:pPr>
      <w:r>
        <w:rPr>
          <w:rStyle w:val="Funotenzeichen"/>
        </w:rPr>
        <w:footnoteRef/>
      </w:r>
      <w:r>
        <w:rPr/>
        <w:tab/>
        <w:t>Mögliche Deutungen: „meine Schwächen, die die Kraft Christi in mir wohnen lassen“ oder „damit sichtbar wird, dass die Kraft Christi als in mir wohnt“ (M.Thrall 2000, 826–829).</w:t>
      </w:r>
    </w:p>
  </w:footnote>
  <w:footnote w:id="6103">
    <w:p>
      <w:pPr>
        <w:pStyle w:val="Funote"/>
        <w:rPr/>
      </w:pPr>
      <w:r>
        <w:rPr>
          <w:rStyle w:val="Funotenzeichen"/>
        </w:rPr>
        <w:footnoteRef/>
      </w:r>
      <w:r>
        <w:rPr/>
        <w:tab/>
        <w:t xml:space="preserve">Andere Handschriften: „über Verfolgungen, </w:t>
      </w:r>
      <w:r>
        <w:rPr>
          <w:i/>
        </w:rPr>
        <w:t>über</w:t>
      </w:r>
      <w:r>
        <w:rPr/>
        <w:t xml:space="preserve"> Bedrängnisse“ oder „</w:t>
      </w:r>
      <w:r>
        <w:rPr>
          <w:i/>
        </w:rPr>
        <w:t>und</w:t>
      </w:r>
      <w:r>
        <w:rPr/>
        <w:t xml:space="preserve"> Verfolgungen und Bedrängnisse“</w:t>
      </w:r>
    </w:p>
  </w:footnote>
  <w:footnote w:id="6104">
    <w:p>
      <w:pPr>
        <w:pStyle w:val="Funote"/>
        <w:rPr/>
      </w:pPr>
      <w:r>
        <w:rPr>
          <w:rStyle w:val="Funotenzeichen"/>
        </w:rPr>
        <w:footnoteRef/>
      </w:r>
      <w:r>
        <w:rPr/>
        <w:tab/>
        <w:t>Das „wegen Christus“ bezieht sich vermutlich auf den ganzen Satz (V.Furnish 1984, 531, und M.Thrall 2000, 829–830).</w:t>
      </w:r>
    </w:p>
  </w:footnote>
  <w:footnote w:id="6105">
    <w:p>
      <w:pPr>
        <w:pStyle w:val="Funote"/>
        <w:rPr/>
      </w:pPr>
      <w:r>
        <w:rPr>
          <w:rStyle w:val="Funotenzeichen"/>
        </w:rPr>
        <w:footnoteRef/>
      </w:r>
      <w:r>
        <w:rPr/>
        <w:tab/>
        <w:t>[Status: Ungeprüft]</w:t>
      </w:r>
    </w:p>
  </w:footnote>
  <w:footnote w:id="6106">
    <w:p>
      <w:pPr>
        <w:pStyle w:val="Funote"/>
        <w:rPr/>
      </w:pPr>
      <w:r>
        <w:rPr>
          <w:rStyle w:val="Funotenzeichen"/>
        </w:rPr>
        <w:footnoteRef/>
      </w:r>
      <w:r>
        <w:rPr/>
        <w:tab/>
        <w:t>D.h. „die bei mir sind“.</w:t>
      </w:r>
    </w:p>
  </w:footnote>
  <w:footnote w:id="6107">
    <w:p>
      <w:pPr>
        <w:pStyle w:val="Funote"/>
        <w:rPr/>
      </w:pPr>
      <w:r>
        <w:rPr>
          <w:rStyle w:val="Funotenzeichen"/>
        </w:rPr>
        <w:footnoteRef/>
      </w:r>
      <w:r>
        <w:rPr/>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6108">
    <w:p>
      <w:pPr>
        <w:pStyle w:val="Funote"/>
        <w:rPr/>
      </w:pPr>
      <w:r>
        <w:rPr>
          <w:rStyle w:val="Funotenzeichen"/>
        </w:rPr>
        <w:footnoteRef/>
      </w:r>
      <w:r>
        <w:rPr/>
        <w:tab/>
        <w:t>oder: außer es gibt irgendwelche</w:t>
      </w:r>
    </w:p>
  </w:footnote>
  <w:footnote w:id="6109">
    <w:p>
      <w:pPr>
        <w:pStyle w:val="Funote"/>
        <w:rPr/>
      </w:pPr>
      <w:r>
        <w:rPr>
          <w:rStyle w:val="Funotenzeichen"/>
        </w:rPr>
        <w:footnoteRef/>
      </w:r>
      <w:r>
        <w:rPr/>
        <w:tab/>
        <w:t>Umstrittene Lesart.</w:t>
      </w:r>
    </w:p>
  </w:footnote>
  <w:footnote w:id="6110">
    <w:p>
      <w:pPr>
        <w:pStyle w:val="Funote"/>
        <w:rPr/>
      </w:pPr>
      <w:r>
        <w:rPr>
          <w:rStyle w:val="Funotenzeichen"/>
        </w:rPr>
        <w:footnoteRef/>
      </w:r>
      <w:r>
        <w:rPr/>
        <w:tab/>
        <w:t>Eigtl. ein Sg.</w:t>
      </w:r>
    </w:p>
  </w:footnote>
  <w:footnote w:id="6111">
    <w:p>
      <w:pPr>
        <w:pStyle w:val="Funote"/>
        <w:rPr/>
      </w:pPr>
      <w:r>
        <w:rPr>
          <w:rStyle w:val="Funotenzeichen"/>
        </w:rPr>
        <w:footnoteRef/>
      </w:r>
      <w:r>
        <w:rPr/>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6112">
    <w:p>
      <w:pPr>
        <w:pStyle w:val="Funote"/>
        <w:rPr/>
      </w:pPr>
      <w:r>
        <w:rPr>
          <w:rStyle w:val="Funotenzeichen"/>
        </w:rPr>
        <w:footnoteRef/>
      </w:r>
      <w:r>
        <w:rPr/>
        <w:tab/>
        <w:t>Oder wörtlicher Satzbau: „…so wäre ich Christi Sklave nicht.“</w:t>
      </w:r>
    </w:p>
  </w:footnote>
  <w:footnote w:id="6113">
    <w:p>
      <w:pPr>
        <w:pStyle w:val="Funote"/>
        <w:rPr/>
      </w:pPr>
      <w:r>
        <w:rPr>
          <w:rStyle w:val="Funotenzeichen"/>
        </w:rPr>
        <w:footnoteRef/>
      </w:r>
      <w:r>
        <w:rPr/>
        <w:tab/>
        <w:t>Wörtlich: „dass“. „Nämlich“ ergänzend eingefügt, um die Funktion als Einleitewort eines erklärenden Satzes zu unterstreichen (s. Louw/Nida 91.15).</w:t>
      </w:r>
    </w:p>
  </w:footnote>
  <w:footnote w:id="6114">
    <w:p>
      <w:pPr>
        <w:pStyle w:val="Funote"/>
        <w:rPr/>
      </w:pPr>
      <w:r>
        <w:rPr>
          <w:rStyle w:val="Funotenzeichen"/>
        </w:rPr>
        <w:footnoteRef/>
      </w:r>
      <w:r>
        <w:rPr/>
        <w:tab/>
        <w:t>D.h. „vom Vater stammenden“.</w:t>
      </w:r>
    </w:p>
  </w:footnote>
  <w:footnote w:id="6115">
    <w:p>
      <w:pPr>
        <w:pStyle w:val="Funote"/>
        <w:rPr/>
      </w:pPr>
      <w:r>
        <w:rPr>
          <w:rStyle w:val="Funotenzeichen"/>
        </w:rPr>
        <w:footnoteRef/>
      </w:r>
      <w:r>
        <w:rPr/>
        <w:tab/>
        <w:t>Wörtlich: „zu den Aposteln vor mir“.</w:t>
      </w:r>
    </w:p>
  </w:footnote>
  <w:footnote w:id="6116">
    <w:p>
      <w:pPr>
        <w:pStyle w:val="Funote"/>
        <w:rPr/>
      </w:pPr>
      <w:r>
        <w:rPr>
          <w:rStyle w:val="Funotenzeichen"/>
        </w:rPr>
        <w:footnoteRef/>
      </w:r>
      <w:r>
        <w:rPr/>
        <w:tab/>
        <w:t>Aramäischer Beiname des Simon (griech. Petrus).</w:t>
      </w:r>
    </w:p>
  </w:footnote>
  <w:footnote w:id="6117">
    <w:p>
      <w:pPr>
        <w:pStyle w:val="Funote"/>
        <w:rPr/>
      </w:pPr>
      <w:r>
        <w:rPr>
          <w:rStyle w:val="Funotenzeichen"/>
        </w:rPr>
        <w:footnoteRef/>
      </w:r>
      <w:r>
        <w:rPr/>
        <w:tab/>
        <w:t>D.h. persönlich nicht bekannt.</w:t>
      </w:r>
    </w:p>
  </w:footnote>
  <w:footnote w:id="6118">
    <w:p>
      <w:pPr>
        <w:pStyle w:val="Funote"/>
        <w:rPr/>
      </w:pPr>
      <w:r>
        <w:rPr>
          <w:rStyle w:val="Funotenzeichen"/>
        </w:rPr>
        <w:footnoteRef/>
      </w:r>
      <w:r>
        <w:rPr/>
        <w:tab/>
        <w:t>Oder „die in Christus sind“.</w:t>
      </w:r>
    </w:p>
  </w:footnote>
  <w:footnote w:id="6119">
    <w:p>
      <w:pPr>
        <w:pStyle w:val="Funote"/>
        <w:rPr/>
      </w:pPr>
      <w:r>
        <w:rPr>
          <w:rStyle w:val="Funotenzeichen"/>
        </w:rPr>
        <w:footnoteRef/>
      </w:r>
      <w:r>
        <w:rPr/>
        <w:tab/>
        <w:t>Imperfekt (konativ).</w:t>
      </w:r>
    </w:p>
  </w:footnote>
  <w:footnote w:id="6120">
    <w:p>
      <w:pPr>
        <w:pStyle w:val="Funote"/>
        <w:rPr/>
      </w:pPr>
      <w:r>
        <w:rPr>
          <w:rStyle w:val="Funotenzeichen"/>
        </w:rPr>
        <w:footnoteRef/>
      </w:r>
      <w:r>
        <w:rPr/>
        <w:tab/>
        <w:t>Imperfekt.</w:t>
      </w:r>
    </w:p>
  </w:footnote>
  <w:footnote w:id="6121">
    <w:p>
      <w:pPr>
        <w:pStyle w:val="Funote"/>
        <w:rPr/>
      </w:pPr>
      <w:r>
        <w:rPr>
          <w:rStyle w:val="Funotenzeichen"/>
        </w:rPr>
        <w:footnoteRef/>
      </w:r>
      <w:r>
        <w:rPr/>
        <w:tab/>
        <w:t>Wörtlich: „in mir“ (kausal). So NSS nach BDR §219,2.</w:t>
      </w:r>
    </w:p>
  </w:footnote>
  <w:footnote w:id="6122">
    <w:p>
      <w:pPr>
        <w:pStyle w:val="Funote"/>
        <w:rPr/>
      </w:pPr>
      <w:r>
        <w:rPr>
          <w:rStyle w:val="Funotenzeichen"/>
        </w:rPr>
        <w:footnoteRef/>
      </w:r>
      <w:r>
        <w:rPr/>
        <w:tab/>
        <w:t>[Status: Ungeprüft]</w:t>
      </w:r>
    </w:p>
  </w:footnote>
  <w:footnote w:id="6123">
    <w:p>
      <w:pPr>
        <w:pStyle w:val="Funote"/>
        <w:rPr/>
      </w:pPr>
      <w:r>
        <w:rPr>
          <w:rStyle w:val="Funotenzeichen"/>
        </w:rPr>
        <w:footnoteRef/>
      </w:r>
      <w:r>
        <w:rPr/>
        <w:tab/>
        <w:t>So NSS. Wörtlich: „ins Leere“.</w:t>
      </w:r>
    </w:p>
  </w:footnote>
  <w:footnote w:id="6124">
    <w:p>
      <w:pPr>
        <w:pStyle w:val="Funote"/>
        <w:rPr/>
      </w:pPr>
      <w:r>
        <w:rPr>
          <w:rStyle w:val="Funotenzeichen"/>
        </w:rPr>
        <w:footnoteRef/>
      </w:r>
      <w:r>
        <w:rPr/>
        <w:tab/>
        <w:t>Auch: „ist mir aber gleichgültig“.</w:t>
      </w:r>
    </w:p>
  </w:footnote>
  <w:footnote w:id="6125">
    <w:p>
      <w:pPr>
        <w:pStyle w:val="Funote"/>
        <w:rPr/>
      </w:pPr>
      <w:r>
        <w:rPr>
          <w:rStyle w:val="Funotenzeichen"/>
        </w:rPr>
        <w:footnoteRef/>
      </w:r>
      <w:r>
        <w:rPr/>
        <w:tab/>
        <w:t>Im Sinne von unparteiisch sein.</w:t>
      </w:r>
    </w:p>
  </w:footnote>
  <w:footnote w:id="6126">
    <w:p>
      <w:pPr>
        <w:pStyle w:val="Funote"/>
        <w:rPr/>
      </w:pPr>
      <w:r>
        <w:rPr>
          <w:rStyle w:val="Funotenzeichen"/>
        </w:rPr>
        <w:footnoteRef/>
      </w:r>
      <w:r>
        <w:rPr/>
        <w:tab/>
        <w:t>D.h. das Evangelium der Unbeschnittenheit, also für die Heiden.</w:t>
      </w:r>
    </w:p>
  </w:footnote>
  <w:footnote w:id="6127">
    <w:p>
      <w:pPr>
        <w:pStyle w:val="Funote"/>
        <w:rPr/>
      </w:pPr>
      <w:r>
        <w:rPr>
          <w:rStyle w:val="Funotenzeichen"/>
        </w:rPr>
        <w:footnoteRef/>
      </w:r>
      <w:r>
        <w:rPr/>
        <w:tab/>
        <w:t>Im Sinne von: „von Angesicht zu Angesicht“.</w:t>
      </w:r>
    </w:p>
  </w:footnote>
  <w:footnote w:id="6128">
    <w:p>
      <w:pPr>
        <w:pStyle w:val="Funote"/>
        <w:rPr/>
      </w:pPr>
      <w:r>
        <w:rPr>
          <w:rStyle w:val="Funotenzeichen"/>
        </w:rPr>
        <w:footnoteRef/>
      </w:r>
      <w:r>
        <w:rPr/>
        <w:tab/>
        <w:t xml:space="preserve">P 46 u.a. lassen gegenüber der Mehrheitslesart das </w:t>
      </w:r>
      <w:r>
        <w:rPr>
          <w:lang w:val="el-GR"/>
        </w:rPr>
        <w:t>δὲ</w:t>
      </w:r>
      <w:r>
        <w:rPr/>
        <w:t xml:space="preserve"> weg.</w:t>
      </w:r>
    </w:p>
  </w:footnote>
  <w:footnote w:id="6129">
    <w:p>
      <w:pPr>
        <w:pStyle w:val="Funote"/>
        <w:rPr/>
      </w:pPr>
      <w:r>
        <w:rPr>
          <w:rStyle w:val="Funotenzeichen"/>
        </w:rPr>
        <w:footnoteRef/>
      </w:r>
      <w:r>
        <w:rPr/>
        <w:tab/>
        <w:t>Gemeint sind hier die Judenchristen.</w:t>
      </w:r>
    </w:p>
  </w:footnote>
  <w:footnote w:id="6130">
    <w:p>
      <w:pPr>
        <w:pStyle w:val="Funote"/>
        <w:rPr/>
      </w:pPr>
      <w:r>
        <w:rPr>
          <w:rStyle w:val="Funotenzeichen"/>
        </w:rPr>
        <w:footnoteRef/>
      </w:r>
      <w:r>
        <w:rPr/>
        <w:tab/>
        <w:t xml:space="preserve">Wörtlicher Sinn von </w:t>
      </w:r>
      <w:r>
        <w:rPr>
          <w:lang w:val="el-GR"/>
        </w:rPr>
        <w:t>ὀρθοποδοῦσιν</w:t>
      </w:r>
      <w:r>
        <w:rPr/>
        <w:t>: „mit geraden Füßen laufen“.</w:t>
      </w:r>
    </w:p>
  </w:footnote>
  <w:footnote w:id="6131">
    <w:p>
      <w:pPr>
        <w:pStyle w:val="Funote"/>
        <w:rPr/>
      </w:pPr>
      <w:r>
        <w:rPr>
          <w:rStyle w:val="Funotenzeichen"/>
        </w:rPr>
        <w:footnoteRef/>
      </w:r>
      <w:r>
        <w:rPr/>
        <w:tab/>
        <w:t xml:space="preserve">P 46 u.a. lassen gegenüber der Mehrheitslesart das </w:t>
      </w:r>
      <w:r>
        <w:rPr>
          <w:lang w:val="el-GR"/>
        </w:rPr>
        <w:t>δὲ</w:t>
      </w:r>
      <w:r>
        <w:rPr/>
        <w:t xml:space="preserve"> weg.</w:t>
      </w:r>
    </w:p>
  </w:footnote>
  <w:footnote w:id="6132">
    <w:p>
      <w:pPr>
        <w:pStyle w:val="Funote"/>
        <w:rPr/>
      </w:pPr>
      <w:r>
        <w:rPr>
          <w:rStyle w:val="Funotenzeichen"/>
        </w:rPr>
        <w:footnoteRef/>
      </w:r>
      <w:r>
        <w:rPr/>
        <w:tab/>
        <w:t>Adv. Ptz., hier kausal (NSS)</w:t>
      </w:r>
    </w:p>
  </w:footnote>
  <w:footnote w:id="6133">
    <w:p>
      <w:pPr>
        <w:pStyle w:val="Funote"/>
        <w:rPr/>
      </w:pPr>
      <w:r>
        <w:rPr>
          <w:rStyle w:val="Funotenzeichen"/>
        </w:rPr>
        <w:footnoteRef/>
      </w:r>
      <w:r>
        <w:rPr/>
        <w:tab/>
        <w:t>Der hier verwendete Genitiv ist wahrscheinlich ein Genitivus obiectivus, obwohl er auch als subiectivus gedeutet werden kann. Sinn dann: „Glaube, den Jesus Christus zeigte“.</w:t>
      </w:r>
    </w:p>
  </w:footnote>
  <w:footnote w:id="6134">
    <w:p>
      <w:pPr>
        <w:pStyle w:val="Funote"/>
        <w:rPr/>
      </w:pPr>
      <w:r>
        <w:rPr>
          <w:rStyle w:val="Funotenzeichen"/>
        </w:rPr>
        <w:footnoteRef/>
      </w:r>
      <w:r>
        <w:rPr/>
        <w:tab/>
        <w:t>Siehe weiter oben im Vers.</w:t>
      </w:r>
    </w:p>
  </w:footnote>
  <w:footnote w:id="6135">
    <w:p>
      <w:pPr>
        <w:pStyle w:val="Funote"/>
        <w:rPr/>
      </w:pPr>
      <w:r>
        <w:rPr>
          <w:rStyle w:val="Funotenzeichen"/>
        </w:rPr>
        <w:footnoteRef/>
      </w:r>
      <w:r>
        <w:rPr/>
        <w:tab/>
        <w:t>Wörtlich: „wird alles Fleisch nicht gerechtfertigt werden“.</w:t>
      </w:r>
    </w:p>
  </w:footnote>
  <w:footnote w:id="6136">
    <w:p>
      <w:pPr>
        <w:pStyle w:val="Funote"/>
        <w:rPr/>
      </w:pPr>
      <w:r>
        <w:rPr>
          <w:rStyle w:val="Funotenzeichen"/>
        </w:rPr>
        <w:footnoteRef/>
      </w:r>
      <w:r>
        <w:rPr/>
        <w:tab/>
        <w:t>Starke Verneinung nach rhetorischen Fragen. Martin Luther übersetzte hier „Das sei ferne!“.</w:t>
      </w:r>
    </w:p>
  </w:footnote>
  <w:footnote w:id="6137">
    <w:p>
      <w:pPr>
        <w:pStyle w:val="Funote"/>
        <w:rPr/>
      </w:pPr>
      <w:r>
        <w:rPr>
          <w:rStyle w:val="Funotenzeichen"/>
        </w:rPr>
        <w:footnoteRef/>
      </w:r>
      <w:r>
        <w:rPr/>
        <w:tab/>
        <w:t>[Status: Ungeprüft]</w:t>
      </w:r>
    </w:p>
  </w:footnote>
  <w:footnote w:id="6138">
    <w:p>
      <w:pPr>
        <w:pStyle w:val="Funote"/>
        <w:rPr/>
      </w:pPr>
      <w:r>
        <w:rPr>
          <w:rStyle w:val="Funotenzeichen"/>
        </w:rPr>
        <w:footnoteRef/>
      </w:r>
      <w:r>
        <w:rPr>
          <w:lang w:val="el-GR"/>
        </w:rPr>
        <w:tab/>
        <w:t>ἐσταυρωμένος</w:t>
      </w:r>
      <w:r>
        <w:rPr/>
        <w:t xml:space="preserve"> (Part. perf. pass.) steht im Griechischen in hervorgehobener Satzendstellung. Das Geschehen der Kreuzigung in der Vergangenheit wirkt bis ins heute hinein.</w:t>
      </w:r>
    </w:p>
  </w:footnote>
  <w:footnote w:id="6139">
    <w:p>
      <w:pPr>
        <w:pStyle w:val="Funote"/>
        <w:rPr/>
      </w:pPr>
      <w:r>
        <w:rPr>
          <w:rStyle w:val="Funotenzeichen"/>
        </w:rPr>
        <w:footnoteRef/>
      </w:r>
      <w:r>
        <w:rPr/>
        <w:tab/>
        <w:t>oder: Begonnen [habt ihr] im Geist und im Fleisch wollt ihr enden?</w:t>
      </w:r>
    </w:p>
  </w:footnote>
  <w:footnote w:id="6140">
    <w:p>
      <w:pPr>
        <w:pStyle w:val="Funote"/>
        <w:rPr/>
      </w:pPr>
      <w:r>
        <w:rPr>
          <w:rStyle w:val="Funotenzeichen"/>
        </w:rPr>
        <w:footnoteRef/>
      </w:r>
      <w:r>
        <w:rPr/>
        <w:tab/>
        <w:t>Gemeint sind Männer und Frauen (</w:t>
      </w:r>
      <w:hyperlink r:id="rId683">
        <w:r>
          <w:rPr>
            <w:rStyle w:val="Internetverknpfung"/>
          </w:rPr>
          <w:t>generisches Maskulinum</w:t>
        </w:r>
      </w:hyperlink>
      <w:r>
        <w:rPr/>
        <w:t>)</w:t>
      </w:r>
    </w:p>
  </w:footnote>
  <w:footnote w:id="6141">
    <w:p>
      <w:pPr>
        <w:pStyle w:val="Funote"/>
        <w:rPr/>
      </w:pPr>
      <w:r>
        <w:rPr>
          <w:rStyle w:val="Funotenzeichen"/>
        </w:rPr>
        <w:footnoteRef/>
      </w:r>
      <w:r>
        <w:rPr/>
        <w:tab/>
        <w:t>NGÜ, NIW und andere gehen einen Schritt weiter und übersetzen in etwa: „Abraham, dem Mann des Glaubens“</w:t>
      </w:r>
    </w:p>
  </w:footnote>
  <w:footnote w:id="6142">
    <w:p>
      <w:pPr>
        <w:pStyle w:val="Funote"/>
        <w:rPr/>
      </w:pPr>
      <w:r>
        <w:rPr>
          <w:rStyle w:val="Funotenzeichen"/>
        </w:rPr>
        <w:footnoteRef/>
      </w:r>
      <w:r>
        <w:rPr/>
        <w:tab/>
        <w:t>oder: der nicht verharrt in allen Dingen, was geschrieben …, um sie (d.h. alle Dinge) zu tun.</w:t>
      </w:r>
    </w:p>
  </w:footnote>
  <w:footnote w:id="6143">
    <w:p>
      <w:pPr>
        <w:pStyle w:val="Funote"/>
        <w:rPr/>
      </w:pPr>
      <w:r>
        <w:rPr>
          <w:rStyle w:val="Funotenzeichen"/>
        </w:rPr>
        <w:footnoteRef/>
      </w:r>
      <w:r>
        <w:rPr/>
        <w:tab/>
        <w:t>Grammatisch ist ebenfalls denkbar: Aber da sich im (durch das) Gesetz niemand rechtfertigen kann, ist vor Gott offenkundig, dass der Gerechte aus Glauben leben wird.</w:t>
      </w:r>
    </w:p>
  </w:footnote>
  <w:footnote w:id="6144">
    <w:p>
      <w:pPr>
        <w:pStyle w:val="Funote"/>
        <w:rPr/>
      </w:pPr>
      <w:r>
        <w:rPr>
          <w:rStyle w:val="Funotenzeichen"/>
        </w:rPr>
        <w:footnoteRef/>
      </w:r>
      <w:r>
        <w:rPr/>
        <w:tab/>
        <w:t>Eigentlich steht hier der Plural, da der Bezug zu „den Werken des Gesetzes“ aber im Deutschen nicht deutlich wird, wurde hier der Singular bewählt. Dasselbe gilt für das nachfolgende „aus ihm“, was eigentlich „aus ihnen“ heißen müsste.</w:t>
      </w:r>
    </w:p>
  </w:footnote>
  <w:footnote w:id="6145">
    <w:p>
      <w:pPr>
        <w:pStyle w:val="Funote"/>
        <w:rPr/>
      </w:pPr>
      <w:r>
        <w:rPr>
          <w:rStyle w:val="Funotenzeichen"/>
        </w:rPr>
        <w:footnoteRef/>
      </w:r>
      <w:r>
        <w:rPr/>
        <w:tab/>
        <w:t>Modal aufgelöstes Ptz.</w:t>
      </w:r>
    </w:p>
  </w:footnote>
  <w:footnote w:id="6146">
    <w:p>
      <w:pPr>
        <w:pStyle w:val="Funote"/>
        <w:rPr/>
      </w:pPr>
      <w:r>
        <w:rPr>
          <w:rStyle w:val="Funotenzeichen"/>
        </w:rPr>
        <w:footnoteRef/>
      </w:r>
      <w:r>
        <w:rPr/>
        <w:tab/>
        <w:t>Substantiviertes Ptz.</w:t>
      </w:r>
    </w:p>
  </w:footnote>
  <w:footnote w:id="6147">
    <w:p>
      <w:pPr>
        <w:pStyle w:val="Funote"/>
        <w:rPr/>
      </w:pPr>
      <w:r>
        <w:rPr>
          <w:rStyle w:val="Funotenzeichen"/>
        </w:rPr>
        <w:footnoteRef/>
      </w:r>
      <w:r>
        <w:rPr/>
        <w:tab/>
        <w:t>vorzeitig und punktuelle Übersetzung möglich</w:t>
      </w:r>
    </w:p>
  </w:footnote>
  <w:footnote w:id="6148">
    <w:p>
      <w:pPr>
        <w:pStyle w:val="Funote"/>
        <w:rPr/>
      </w:pPr>
      <w:r>
        <w:rPr>
          <w:rStyle w:val="Funotenzeichen"/>
        </w:rPr>
        <w:footnoteRef/>
      </w:r>
      <w:r>
        <w:rPr/>
        <w:tab/>
        <w:t>Im Sinne von „nach Menschenart“.</w:t>
      </w:r>
    </w:p>
  </w:footnote>
  <w:footnote w:id="6149">
    <w:p>
      <w:pPr>
        <w:pStyle w:val="Funote"/>
        <w:rPr/>
      </w:pPr>
      <w:r>
        <w:rPr>
          <w:rStyle w:val="Funotenzeichen"/>
        </w:rPr>
        <w:footnoteRef/>
      </w:r>
      <w:r>
        <w:rPr/>
        <w:tab/>
        <w:t>Im Akkusativ, meint: „In Bezug auf ein Testament“.</w:t>
      </w:r>
    </w:p>
  </w:footnote>
  <w:footnote w:id="6150">
    <w:p>
      <w:pPr>
        <w:pStyle w:val="Funote"/>
        <w:rPr/>
      </w:pPr>
      <w:r>
        <w:rPr>
          <w:rStyle w:val="Funotenzeichen"/>
        </w:rPr>
        <w:footnoteRef/>
      </w:r>
      <w:r>
        <w:rPr/>
        <w:tab/>
        <w:t>Oder: „…durch Engel angeordnet in der Hand eines Mittlers.“</w:t>
      </w:r>
    </w:p>
  </w:footnote>
  <w:footnote w:id="6151">
    <w:p>
      <w:pPr>
        <w:pStyle w:val="Funote"/>
        <w:rPr/>
      </w:pPr>
      <w:r>
        <w:rPr>
          <w:rStyle w:val="Funotenzeichen"/>
        </w:rPr>
        <w:footnoteRef/>
      </w:r>
      <w:r>
        <w:rPr/>
        <w:tab/>
        <w:t xml:space="preserve">P 46 u.a. lassen gegenüber der Mehrheitslesart das </w:t>
      </w:r>
      <w:r>
        <w:rPr>
          <w:lang w:val="el-GR"/>
        </w:rPr>
        <w:t>τοῦ θεοῦ</w:t>
      </w:r>
      <w:r>
        <w:rPr/>
        <w:t xml:space="preserve"> weg.</w:t>
      </w:r>
    </w:p>
  </w:footnote>
  <w:footnote w:id="6152">
    <w:p>
      <w:pPr>
        <w:pStyle w:val="Funote"/>
        <w:rPr/>
      </w:pPr>
      <w:r>
        <w:rPr>
          <w:rStyle w:val="Funotenzeichen"/>
        </w:rPr>
        <w:footnoteRef/>
      </w:r>
      <w:r>
        <w:rPr/>
        <w:tab/>
        <w:t>Siehe: Gal 2,17.</w:t>
      </w:r>
    </w:p>
  </w:footnote>
  <w:footnote w:id="6153">
    <w:p>
      <w:pPr>
        <w:pStyle w:val="Funote"/>
        <w:rPr/>
      </w:pPr>
      <w:r>
        <w:rPr>
          <w:rStyle w:val="Funotenzeichen"/>
        </w:rPr>
        <w:footnoteRef/>
      </w:r>
      <w:r>
        <w:rPr/>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6154">
    <w:p>
      <w:pPr>
        <w:pStyle w:val="Funote"/>
        <w:rPr/>
      </w:pPr>
      <w:r>
        <w:rPr>
          <w:rStyle w:val="Funotenzeichen"/>
        </w:rPr>
        <w:footnoteRef/>
      </w:r>
      <w:r>
        <w:rPr/>
        <w:tab/>
        <w:t>Gemeint sind Männer und Frauen (</w:t>
      </w:r>
      <w:hyperlink r:id="rId684">
        <w:r>
          <w:rPr>
            <w:rStyle w:val="Internetverknpfung"/>
          </w:rPr>
          <w:t>generisches Maskulinum</w:t>
        </w:r>
      </w:hyperlink>
      <w:r>
        <w:rPr/>
        <w:t>)</w:t>
      </w:r>
    </w:p>
  </w:footnote>
  <w:footnote w:id="6155">
    <w:p>
      <w:pPr>
        <w:pStyle w:val="Funote"/>
        <w:rPr/>
      </w:pPr>
      <w:r>
        <w:rPr>
          <w:rStyle w:val="Funotenzeichen"/>
        </w:rPr>
        <w:footnoteRef/>
      </w:r>
      <w:r>
        <w:rPr/>
        <w:tab/>
        <w:t>[Status: Ungeprüft]</w:t>
      </w:r>
    </w:p>
  </w:footnote>
  <w:footnote w:id="6156">
    <w:p>
      <w:pPr>
        <w:pStyle w:val="Funote"/>
        <w:rPr/>
      </w:pPr>
      <w:r>
        <w:rPr>
          <w:rStyle w:val="Funotenzeichen"/>
        </w:rPr>
        <w:footnoteRef/>
      </w:r>
      <w:r>
        <w:rPr>
          <w:lang w:val="el-GR"/>
        </w:rPr>
        <w:tab/>
        <w:t>τὸ πλήρωμα τοῦ χρόνου</w:t>
      </w:r>
      <w:r>
        <w:rPr/>
        <w:t>, d.h. „Zeit der Erfüllung“.</w:t>
      </w:r>
    </w:p>
  </w:footnote>
  <w:footnote w:id="6157">
    <w:p>
      <w:pPr>
        <w:pStyle w:val="Funote"/>
        <w:rPr/>
      </w:pPr>
      <w:r>
        <w:rPr>
          <w:rStyle w:val="Funotenzeichen"/>
        </w:rPr>
        <w:footnoteRef/>
      </w:r>
      <w:r>
        <w:rPr/>
        <w:tab/>
        <w:t>Die Annahme der Menschen durch Gott als seine Kinder.</w:t>
      </w:r>
    </w:p>
  </w:footnote>
  <w:footnote w:id="6158">
    <w:p>
      <w:pPr>
        <w:pStyle w:val="Funote"/>
        <w:rPr/>
      </w:pPr>
      <w:r>
        <w:rPr>
          <w:rStyle w:val="Funotenzeichen"/>
        </w:rPr>
        <w:footnoteRef/>
      </w:r>
      <w:r>
        <w:rPr/>
        <w:tab/>
        <w:t>Es könnten hier bestimmte festliche Jahrestage (z.B. Neujahrsfest) oder eine Anspielung auf das Sabbatjahr gemeint sein.</w:t>
      </w:r>
    </w:p>
  </w:footnote>
  <w:footnote w:id="6159">
    <w:p>
      <w:pPr>
        <w:pStyle w:val="Funote"/>
        <w:rPr/>
      </w:pPr>
      <w:r>
        <w:rPr>
          <w:rStyle w:val="Funotenzeichen"/>
        </w:rPr>
        <w:footnoteRef/>
      </w:r>
      <w:r>
        <w:rPr/>
        <w:tab/>
        <w:t>Im Sinne einer apotropäischen Geste: Ausspucken zur Abwehr von Bösem oder Krankheit.</w:t>
      </w:r>
    </w:p>
  </w:footnote>
  <w:footnote w:id="6160">
    <w:p>
      <w:pPr>
        <w:pStyle w:val="Funote"/>
        <w:rPr/>
      </w:pPr>
      <w:r>
        <w:rPr>
          <w:rStyle w:val="Funotenzeichen"/>
        </w:rPr>
        <w:footnoteRef/>
      </w:r>
      <w:r>
        <w:rPr/>
        <w:tab/>
        <w:t>Mit der dt. Bedeutung von: „einen anderen Ton anschlagen“.</w:t>
      </w:r>
    </w:p>
  </w:footnote>
  <w:footnote w:id="6161">
    <w:p>
      <w:pPr>
        <w:pStyle w:val="Funote"/>
        <w:rPr/>
      </w:pPr>
      <w:r>
        <w:rPr>
          <w:rStyle w:val="Funotenzeichen"/>
        </w:rPr>
        <w:footnoteRef/>
      </w:r>
      <w:r>
        <w:rPr/>
        <w:tab/>
        <w:t>Im Sinne von „himmlisch“, „künftig“.</w:t>
      </w:r>
    </w:p>
  </w:footnote>
  <w:footnote w:id="6162">
    <w:p>
      <w:pPr>
        <w:pStyle w:val="Funote"/>
        <w:rPr/>
      </w:pPr>
      <w:r>
        <w:rPr>
          <w:rStyle w:val="Funotenzeichen"/>
        </w:rPr>
        <w:footnoteRef/>
      </w:r>
      <w:r>
        <w:rPr/>
        <w:tab/>
        <w:t>[Status: Ungeprüft]</w:t>
      </w:r>
    </w:p>
  </w:footnote>
  <w:footnote w:id="6163">
    <w:p>
      <w:pPr>
        <w:pStyle w:val="Funote"/>
        <w:rPr/>
      </w:pPr>
      <w:r>
        <w:rPr>
          <w:rStyle w:val="Funotenzeichen"/>
        </w:rPr>
        <w:footnoteRef/>
      </w:r>
      <w:r>
        <w:rPr/>
        <w:tab/>
        <w:t>Oder: „… lasst euch nicht mit dem Joch der Sklaverei belasten.“</w:t>
      </w:r>
    </w:p>
  </w:footnote>
  <w:footnote w:id="6164">
    <w:p>
      <w:pPr>
        <w:pStyle w:val="Funote"/>
        <w:rPr/>
      </w:pPr>
      <w:r>
        <w:rPr>
          <w:rStyle w:val="Funotenzeichen"/>
        </w:rPr>
        <w:footnoteRef/>
      </w:r>
      <w:r>
        <w:rPr/>
        <w:tab/>
        <w:t>Wörtlich: „dass [er] ein Verpflichteter (Schuldner) ist, das …“.</w:t>
      </w:r>
    </w:p>
  </w:footnote>
  <w:footnote w:id="6165">
    <w:p>
      <w:pPr>
        <w:pStyle w:val="Funote"/>
        <w:rPr/>
      </w:pPr>
      <w:r>
        <w:rPr>
          <w:rStyle w:val="Funotenzeichen"/>
        </w:rPr>
        <w:footnoteRef/>
      </w:r>
      <w:r>
        <w:rPr/>
        <w:tab/>
        <w:t>Vgl. Gal 2,7.</w:t>
      </w:r>
    </w:p>
  </w:footnote>
  <w:footnote w:id="6166">
    <w:p>
      <w:pPr>
        <w:pStyle w:val="Funote"/>
        <w:rPr/>
      </w:pPr>
      <w:r>
        <w:rPr>
          <w:rStyle w:val="Funotenzeichen"/>
        </w:rPr>
        <w:footnoteRef/>
      </w:r>
      <w:r>
        <w:rPr/>
        <w:tab/>
        <w:t>Das meint „Vorhaut abtrennen“ oder auch im Sinne von „kastrieren“, „verschneiden“.</w:t>
      </w:r>
    </w:p>
  </w:footnote>
  <w:footnote w:id="6167">
    <w:p>
      <w:pPr>
        <w:pStyle w:val="Funote"/>
        <w:rPr/>
      </w:pPr>
      <w:r>
        <w:rPr>
          <w:rStyle w:val="Funotenzeichen"/>
        </w:rPr>
        <w:footnoteRef/>
      </w:r>
      <w:r>
        <w:rPr/>
        <w:tab/>
        <w:t>GN: Freibrief</w:t>
      </w:r>
    </w:p>
  </w:footnote>
  <w:footnote w:id="6168">
    <w:p>
      <w:pPr>
        <w:pStyle w:val="Funote"/>
        <w:rPr/>
      </w:pPr>
      <w:r>
        <w:rPr>
          <w:rStyle w:val="Funotenzeichen"/>
        </w:rPr>
        <w:footnoteRef/>
      </w:r>
      <w:r>
        <w:rPr/>
        <w:tab/>
        <w:t>Das Gesetz als Ganzes, als Einheit</w:t>
      </w:r>
    </w:p>
  </w:footnote>
  <w:footnote w:id="6169">
    <w:p>
      <w:pPr>
        <w:pStyle w:val="Funote"/>
        <w:rPr/>
      </w:pPr>
      <w:r>
        <w:rPr>
          <w:rStyle w:val="Funotenzeichen"/>
        </w:rPr>
        <w:footnoteRef/>
      </w:r>
      <w:r>
        <w:rPr/>
        <w:tab/>
        <w:t>Eigentlich Passiv, aber ich weiß nicht wie man das deutsch ausdrücken kann. "dass ihr nicht von den anderen vernichtet werdet", nur das "die anderen" die gleiche Gruppe bezeichnet wie vorher "ihr".</w:t>
      </w:r>
    </w:p>
  </w:footnote>
  <w:footnote w:id="6170">
    <w:p>
      <w:pPr>
        <w:pStyle w:val="Funote"/>
        <w:rPr/>
      </w:pPr>
      <w:r>
        <w:rPr>
          <w:rStyle w:val="Funotenzeichen"/>
        </w:rPr>
        <w:footnoteRef/>
      </w:r>
      <w:r>
        <w:rPr/>
        <w:tab/>
        <w:t xml:space="preserve">Hier ist zu klären, wer hier etwas "will": Geist, Fleisch, oder beide Anteile in uns? Alternative Übersetzungen: o. damit ihr nicht [einfach] das tut, was ihr wollt, o. so dass ihr nicht das tun könnt, was ihr wollt. (Vgl. Moo2013, 355f) </w:t>
      </w:r>
    </w:p>
  </w:footnote>
  <w:footnote w:id="6171">
    <w:p>
      <w:pPr>
        <w:pStyle w:val="Funote"/>
        <w:rPr/>
      </w:pPr>
      <w:r>
        <w:rPr>
          <w:rStyle w:val="Funotenzeichen"/>
        </w:rPr>
        <w:footnoteRef/>
      </w:r>
      <w:r>
        <w:rPr/>
        <w:tab/>
        <w:t>Sexuell gemeint? Gegenteil von Heiligkeit (Rö 6,19; 1Thess 4,7)</w:t>
      </w:r>
    </w:p>
  </w:footnote>
  <w:footnote w:id="6172">
    <w:p>
      <w:pPr>
        <w:pStyle w:val="Funote"/>
        <w:rPr/>
      </w:pPr>
      <w:r>
        <w:rPr>
          <w:rStyle w:val="Funotenzeichen"/>
        </w:rPr>
        <w:footnoteRef/>
      </w:r>
      <w:r>
        <w:rPr/>
        <w:tab/>
        <w:t>ohne Maßen, ohne Limit, oft auch sexuell</w:t>
      </w:r>
    </w:p>
  </w:footnote>
  <w:footnote w:id="6173">
    <w:p>
      <w:pPr>
        <w:pStyle w:val="Funote"/>
        <w:rPr/>
      </w:pPr>
      <w:r>
        <w:rPr>
          <w:rStyle w:val="Funotenzeichen"/>
        </w:rPr>
        <w:footnoteRef/>
      </w:r>
      <w:r>
        <w:rPr/>
        <w:tab/>
        <w:t>(Fehlende Einheit, verschiedene Meinungen -&gt; Sekten, Häresien)</w:t>
      </w:r>
    </w:p>
  </w:footnote>
  <w:footnote w:id="6174">
    <w:p>
      <w:pPr>
        <w:pStyle w:val="Funote"/>
        <w:rPr/>
      </w:pPr>
      <w:r>
        <w:rPr>
          <w:rStyle w:val="Funotenzeichen"/>
        </w:rPr>
        <w:footnoteRef/>
      </w:r>
      <w:r>
        <w:rPr/>
        <w:tab/>
        <w:t>[Status: Ungeprüft]</w:t>
      </w:r>
    </w:p>
  </w:footnote>
  <w:footnote w:id="6175">
    <w:p>
      <w:pPr>
        <w:pStyle w:val="Funote"/>
        <w:rPr/>
      </w:pPr>
      <w:r>
        <w:rPr>
          <w:rStyle w:val="Funotenzeichen"/>
        </w:rPr>
        <w:footnoteRef/>
      </w:r>
      <w:r>
        <w:rPr/>
        <w:tab/>
        <w:t>„</w:t>
      </w:r>
      <w:r>
        <w:rPr/>
        <w:t>tun“ ist hier ein Partizip Pl. und kann auch para- bzw. hypotaktisch übersetzt werden.</w:t>
      </w:r>
    </w:p>
  </w:footnote>
  <w:footnote w:id="6176">
    <w:p>
      <w:pPr>
        <w:pStyle w:val="Funote"/>
        <w:rPr/>
      </w:pPr>
      <w:r>
        <w:rPr>
          <w:rStyle w:val="Funotenzeichen"/>
        </w:rPr>
        <w:footnoteRef/>
      </w:r>
      <w:r>
        <w:rPr>
          <w:lang w:val="el-GR"/>
        </w:rPr>
        <w:tab/>
        <w:t>καιρῷ γὰρ ἰδίῳ</w:t>
      </w:r>
      <w:r>
        <w:rPr/>
        <w:t>.</w:t>
      </w:r>
    </w:p>
  </w:footnote>
  <w:footnote w:id="6177">
    <w:p>
      <w:pPr>
        <w:pStyle w:val="Funote"/>
        <w:rPr/>
      </w:pPr>
      <w:r>
        <w:rPr>
          <w:rStyle w:val="Funotenzeichen"/>
        </w:rPr>
        <w:footnoteRef/>
      </w:r>
      <w:r>
        <w:rPr/>
        <w:tab/>
        <w:t>[Status: Ungeprüft]</w:t>
      </w:r>
    </w:p>
  </w:footnote>
  <w:footnote w:id="6178">
    <w:p>
      <w:pPr>
        <w:pStyle w:val="Funote"/>
        <w:rPr/>
      </w:pPr>
      <w:r>
        <w:rPr>
          <w:rStyle w:val="Funotenzeichen"/>
        </w:rPr>
        <w:footnoteRef/>
      </w:r>
      <w:r>
        <w:rPr/>
        <w:tab/>
        <w:t xml:space="preserve">Die Ortsangabe„in Ephesus“ ist in einigen wenigen wichtigen Manuskripten des NT nicht enthalten (𝔓46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6179">
    <w:p>
      <w:pPr>
        <w:pStyle w:val="Funote"/>
        <w:rPr/>
      </w:pPr>
      <w:r>
        <w:rPr>
          <w:rStyle w:val="Funotenzeichen"/>
        </w:rPr>
        <w:footnoteRef/>
      </w:r>
      <w:r>
        <w:rPr/>
        <w:tab/>
        <w:t xml:space="preserve">Auflösung eines attr. Ptz. präs. als Relativsatz. </w:t>
      </w:r>
    </w:p>
  </w:footnote>
  <w:footnote w:id="6180">
    <w:p>
      <w:pPr>
        <w:pStyle w:val="Funote"/>
        <w:rPr/>
      </w:pPr>
      <w:r>
        <w:rPr>
          <w:rStyle w:val="Funotenzeichen"/>
        </w:rPr>
        <w:footnoteRef/>
      </w:r>
      <w:r>
        <w:rPr>
          <w:i/>
        </w:rPr>
        <w:tab/>
        <w:t>die Gläubigen (Treuen) in (durch, an) Christus Jesus</w:t>
      </w:r>
      <w:r>
        <w:rPr/>
        <w:t xml:space="preserve">, d.h. „in der Gemeinschaft mit Christus Jesus Stehenden“ (TWNT, </w:t>
      </w:r>
      <w:r>
        <w:rPr>
          <w:lang w:val="el-GR"/>
        </w:rPr>
        <w:t>ἒν</w:t>
      </w:r>
      <w:r>
        <w:rPr/>
        <w:t>, B.3.); oder: „die an Christus Jesus Glaubenden“ (</w:t>
      </w:r>
      <w:r>
        <w:fldChar w:fldCharType="begin"/>
      </w:r>
      <w:r>
        <w:rPr>
          <w:rStyle w:val="Internetverknpfung"/>
        </w:rPr>
        <w:instrText> HYPERLINK "http://books.google.com/books?id=uu4IJ8cccqAC&amp;lpg=PP1&amp;hl=de&amp;pg=PA177" \l "v=onepage&amp;q&amp;f=false"</w:instrText>
      </w:r>
      <w:r>
        <w:rPr>
          <w:rStyle w:val="Internetverknpfung"/>
        </w:rPr>
        <w:fldChar w:fldCharType="separate"/>
      </w:r>
      <w:r>
        <w:rPr>
          <w:rStyle w:val="Internetverknpfung"/>
        </w:rPr>
        <w:t>Sellin, Adresse und Intention des Eph, in: Trowitzsch (Hg.), Paulus, Apostel Jesu Christi. FS Günter Klein, 177</w:t>
      </w:r>
      <w:r>
        <w:rPr>
          <w:rStyle w:val="Internetverknpfung"/>
        </w:rPr>
        <w:fldChar w:fldCharType="end"/>
      </w:r>
      <w:r>
        <w:rPr/>
        <w:t xml:space="preserve">) doch dann würde man eher </w:t>
      </w:r>
      <w:r>
        <w:rPr>
          <w:lang w:val="el-GR"/>
        </w:rPr>
        <w:t>ἒις</w:t>
      </w:r>
      <w:r>
        <w:rPr/>
        <w:t xml:space="preserve"> erwarten. „in Christus Jesus“ deutet hier auf Gemeinschaft und Zugehörigkeit (</w:t>
      </w:r>
      <w:r>
        <w:fldChar w:fldCharType="begin"/>
      </w:r>
      <w:r>
        <w:rPr>
          <w:rStyle w:val="Internetverknpfung"/>
        </w:rPr>
        <w:instrText> HYPERLINK "http://books.google.de/books?id=cz-3LzhHIrIC&amp;lpg=PP1&amp;pg=PA103" \l "v=onepage&amp;q&amp;f=false"</w:instrText>
      </w:r>
      <w:r>
        <w:rPr>
          <w:rStyle w:val="Internetverknpfung"/>
        </w:rPr>
        <w:fldChar w:fldCharType="separate"/>
      </w:r>
      <w:r>
        <w:rPr>
          <w:rStyle w:val="Internetverknpfung"/>
        </w:rPr>
        <w:t>Simojoki, In Christus. Epheser 1,1-14, in Dahl (Hg.), Kurze Auslegung des Epheserbriefs, 103</w:t>
      </w:r>
      <w:r>
        <w:rPr>
          <w:rStyle w:val="Internetverknpfung"/>
        </w:rPr>
        <w:fldChar w:fldCharType="end"/>
      </w:r>
      <w:r>
        <w:rPr/>
        <w:t xml:space="preserve">). Alternativ könnte sich „in Christus Jesus“ auch auf Paulus' Gruß selbst beziehen. </w:t>
      </w:r>
    </w:p>
  </w:footnote>
  <w:footnote w:id="6181">
    <w:p>
      <w:pPr>
        <w:pStyle w:val="Funote"/>
        <w:rPr/>
      </w:pPr>
      <w:r>
        <w:rPr>
          <w:rStyle w:val="Funotenzeichen"/>
        </w:rPr>
        <w:footnoteRef/>
      </w:r>
      <w:r>
        <w:rPr/>
        <w:tab/>
        <w:t xml:space="preserve">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w:t>
      </w:r>
      <w:r>
        <w:fldChar w:fldCharType="begin"/>
      </w:r>
      <w:r>
        <w:rPr>
          <w:rStyle w:val="Internetverknpfung"/>
        </w:rPr>
        <w:instrText> HYPERLINK "http://books.google.com/books?id=WfQKPH3-dysC&amp;lpg=PP1&amp;hl=de&amp;pg=PA98" \l "v=onepage&amp;q&amp;f=true"</w:instrText>
      </w:r>
      <w:r>
        <w:rPr>
          <w:rStyle w:val="Internetverknpfung"/>
        </w:rPr>
        <w:fldChar w:fldCharType="separate"/>
      </w:r>
      <w:r>
        <w:rPr>
          <w:rStyle w:val="Internetverknpfung"/>
        </w:rPr>
        <w:t>Best 1998, 98</w:t>
      </w:r>
      <w:r>
        <w:rPr>
          <w:rStyle w:val="Internetverknpfung"/>
        </w:rPr>
        <w:fldChar w:fldCharType="end"/>
      </w:r>
      <w:r>
        <w:rPr/>
        <w:t>).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6182">
    <w:p>
      <w:pPr>
        <w:pStyle w:val="Funote"/>
        <w:rPr/>
      </w:pPr>
      <w:r>
        <w:rPr>
          <w:rStyle w:val="Funotenzeichen"/>
        </w:rPr>
        <w:footnoteRef/>
      </w:r>
      <w:r>
        <w:rPr/>
        <w:tab/>
        <w:t xml:space="preserve">Theoretisch auch möglich: „...Gott, dem Vater von euch und von Jesus Christus“. </w:t>
      </w:r>
    </w:p>
  </w:footnote>
  <w:footnote w:id="6183">
    <w:p>
      <w:pPr>
        <w:pStyle w:val="Funote"/>
        <w:rPr/>
      </w:pPr>
      <w:r>
        <w:rPr>
          <w:rStyle w:val="Funotenzeichen"/>
        </w:rPr>
        <w:footnoteRef/>
      </w:r>
      <w:r>
        <w:rPr/>
        <w:tab/>
        <w:t>Subst. Ptz. als Relativsatz aufgelöst.</w:t>
      </w:r>
    </w:p>
  </w:footnote>
  <w:footnote w:id="6184">
    <w:p>
      <w:pPr>
        <w:pStyle w:val="Funote"/>
        <w:rPr/>
      </w:pPr>
      <w:r>
        <w:rPr>
          <w:rStyle w:val="Funotenzeichen"/>
        </w:rPr>
        <w:footnoteRef/>
      </w:r>
      <w:r>
        <w:rPr/>
        <w:tab/>
        <w:t xml:space="preserve">Das Wort kann hier neben „wie“ auch „weil“ (so Hoehner </w:t>
      </w:r>
      <w:r>
        <w:rPr>
          <w:position w:val="7"/>
          <w:sz w:val="16"/>
        </w:rPr>
        <w:t>4</w:t>
      </w:r>
      <w:r>
        <w:rPr/>
        <w:t xml:space="preserve">2006, 175) bedeuten oder leitet hier vielleicht ein Zitat unbekannten Ursprungs ein (Barth, </w:t>
      </w:r>
      <w:r>
        <w:rPr>
          <w:position w:val="7"/>
          <w:sz w:val="16"/>
        </w:rPr>
        <w:t>6</w:t>
      </w:r>
      <w:r>
        <w:rPr/>
        <w:t xml:space="preserve">1981, 79). </w:t>
      </w:r>
    </w:p>
  </w:footnote>
  <w:footnote w:id="6185">
    <w:p>
      <w:pPr>
        <w:pStyle w:val="Funote"/>
        <w:rPr/>
      </w:pPr>
      <w:r>
        <w:rPr>
          <w:rStyle w:val="Funotenzeichen"/>
        </w:rPr>
        <w:footnoteRef/>
      </w:r>
      <w:r>
        <w:rPr/>
        <w:tab/>
        <w:t xml:space="preserve">Das Wort, das strikt als so etwas wie „Hinwerfung“ übersetzt werden kann, bedeutet im klassischen Griechisch je nach Kontext u.a. Aussaat oder Grundsteinlegung. Im NT bezeichnet es mit Ausnahme von </w:t>
      </w:r>
      <w:r>
        <w:fldChar w:fldCharType="begin"/>
      </w:r>
      <w:r>
        <w:rPr>
          <w:rStyle w:val="Internetverknpfung"/>
        </w:rPr>
        <w:instrText> HYPERLINK "../../../../../../../../../wiki/Hebr%C3%A4er_11" \l "s11"</w:instrText>
      </w:r>
      <w:r>
        <w:rPr>
          <w:rStyle w:val="Internetverknpfung"/>
        </w:rPr>
        <w:fldChar w:fldCharType="separate"/>
      </w:r>
      <w:r>
        <w:rPr>
          <w:rStyle w:val="Internetverknpfung"/>
        </w:rPr>
        <w:t>Hebr 11,11</w:t>
      </w:r>
      <w:r>
        <w:rPr>
          <w:rStyle w:val="Internetverknpfung"/>
        </w:rPr>
        <w:fldChar w:fldCharType="end"/>
      </w:r>
      <w:r>
        <w:rPr/>
        <w:t xml:space="preserve"> die Erschaffung der Welt und steht in einem heilsgeschichtlichen Zusammenhang (</w:t>
      </w:r>
      <w:r>
        <w:fldChar w:fldCharType="begin"/>
      </w:r>
      <w:r>
        <w:rPr>
          <w:rStyle w:val="Internetverknpfung"/>
        </w:rPr>
        <w:instrText> HYPERLINK "../../../../../../../../../wiki/Matth%C3%A4us_13" \l "s35"</w:instrText>
      </w:r>
      <w:r>
        <w:rPr>
          <w:rStyle w:val="Internetverknpfung"/>
        </w:rPr>
        <w:fldChar w:fldCharType="separate"/>
      </w:r>
      <w:r>
        <w:rPr>
          <w:rStyle w:val="Internetverknpfung"/>
        </w:rPr>
        <w:t>Mt 13,35</w:t>
      </w:r>
      <w:r>
        <w:rPr>
          <w:rStyle w:val="Internetverknpfung"/>
        </w:rPr>
        <w:fldChar w:fldCharType="end"/>
      </w:r>
      <w:r>
        <w:rPr/>
        <w:t xml:space="preserve">; </w:t>
      </w:r>
      <w:r>
        <w:fldChar w:fldCharType="begin"/>
      </w:r>
      <w:r>
        <w:rPr>
          <w:rStyle w:val="Internetverknpfung"/>
        </w:rPr>
        <w:instrText> HYPERLINK "../../../../../../../../../wiki/Matth%C3%A4us_25" \l "s34"</w:instrText>
      </w:r>
      <w:r>
        <w:rPr>
          <w:rStyle w:val="Internetverknpfung"/>
        </w:rPr>
        <w:fldChar w:fldCharType="separate"/>
      </w:r>
      <w:r>
        <w:rPr>
          <w:rStyle w:val="Internetverknpfung"/>
        </w:rPr>
        <w:t>25,34</w:t>
      </w:r>
      <w:r>
        <w:rPr>
          <w:rStyle w:val="Internetverknpfung"/>
        </w:rPr>
        <w:fldChar w:fldCharType="end"/>
      </w:r>
      <w:r>
        <w:rPr/>
        <w:t xml:space="preserve">; </w:t>
      </w:r>
      <w:r>
        <w:fldChar w:fldCharType="begin"/>
      </w:r>
      <w:r>
        <w:rPr>
          <w:rStyle w:val="Internetverknpfung"/>
        </w:rPr>
        <w:instrText> HYPERLINK "../../../../../../../../../wiki/Lukas_11" \l "s50"</w:instrText>
      </w:r>
      <w:r>
        <w:rPr>
          <w:rStyle w:val="Internetverknpfung"/>
        </w:rPr>
        <w:fldChar w:fldCharType="separate"/>
      </w:r>
      <w:r>
        <w:rPr>
          <w:rStyle w:val="Internetverknpfung"/>
        </w:rPr>
        <w:t>Lk 11,50</w:t>
      </w:r>
      <w:r>
        <w:rPr>
          <w:rStyle w:val="Internetverknpfung"/>
        </w:rPr>
        <w:fldChar w:fldCharType="end"/>
      </w:r>
      <w:r>
        <w:rPr/>
        <w:t xml:space="preserve">; </w:t>
      </w:r>
      <w:r>
        <w:fldChar w:fldCharType="begin"/>
      </w:r>
      <w:r>
        <w:rPr>
          <w:rStyle w:val="Internetverknpfung"/>
        </w:rPr>
        <w:instrText> HYPERLINK "../../../../../../../../../wiki/Johannes_17" \l "s24"</w:instrText>
      </w:r>
      <w:r>
        <w:rPr>
          <w:rStyle w:val="Internetverknpfung"/>
        </w:rPr>
        <w:fldChar w:fldCharType="separate"/>
      </w:r>
      <w:r>
        <w:rPr>
          <w:rStyle w:val="Internetverknpfung"/>
        </w:rPr>
        <w:t>Jh 17,24</w:t>
      </w:r>
      <w:r>
        <w:rPr>
          <w:rStyle w:val="Internetverknpfung"/>
        </w:rPr>
        <w:fldChar w:fldCharType="end"/>
      </w:r>
      <w:r>
        <w:rPr/>
        <w:t xml:space="preserve">; </w:t>
      </w:r>
      <w:r>
        <w:fldChar w:fldCharType="begin"/>
      </w:r>
      <w:r>
        <w:rPr>
          <w:rStyle w:val="Internetverknpfung"/>
        </w:rPr>
        <w:instrText> HYPERLINK "../../../../../../../../../wiki/Hebr%C3%A4er_4" \l "s3"</w:instrText>
      </w:r>
      <w:r>
        <w:rPr>
          <w:rStyle w:val="Internetverknpfung"/>
        </w:rPr>
        <w:fldChar w:fldCharType="separate"/>
      </w:r>
      <w:r>
        <w:rPr>
          <w:rStyle w:val="Internetverknpfung"/>
        </w:rPr>
        <w:t>Hebr 4,3</w:t>
      </w:r>
      <w:r>
        <w:rPr>
          <w:rStyle w:val="Internetverknpfung"/>
        </w:rPr>
        <w:fldChar w:fldCharType="end"/>
      </w:r>
      <w:r>
        <w:rPr/>
        <w:t xml:space="preserve">; </w:t>
      </w:r>
      <w:r>
        <w:fldChar w:fldCharType="begin"/>
      </w:r>
      <w:r>
        <w:rPr>
          <w:rStyle w:val="Internetverknpfung"/>
        </w:rPr>
        <w:instrText> HYPERLINK "../../../../../../../../../wiki/Hebr%C3%A4er_9" \l "s26"</w:instrText>
      </w:r>
      <w:r>
        <w:rPr>
          <w:rStyle w:val="Internetverknpfung"/>
        </w:rPr>
        <w:fldChar w:fldCharType="separate"/>
      </w:r>
      <w:r>
        <w:rPr>
          <w:rStyle w:val="Internetverknpfung"/>
        </w:rPr>
        <w:t>9,26</w:t>
      </w:r>
      <w:r>
        <w:rPr>
          <w:rStyle w:val="Internetverknpfung"/>
        </w:rPr>
        <w:fldChar w:fldCharType="end"/>
      </w:r>
      <w:r>
        <w:rPr/>
        <w:t xml:space="preserve">; </w:t>
      </w:r>
      <w:r>
        <w:fldChar w:fldCharType="begin"/>
      </w:r>
      <w:r>
        <w:rPr>
          <w:rStyle w:val="Internetverknpfung"/>
        </w:rPr>
        <w:instrText> HYPERLINK "../../../../../../../../../wiki/1_Petrus_1" \l "s20"</w:instrText>
      </w:r>
      <w:r>
        <w:rPr>
          <w:rStyle w:val="Internetverknpfung"/>
        </w:rPr>
        <w:fldChar w:fldCharType="separate"/>
      </w:r>
      <w:r>
        <w:rPr>
          <w:rStyle w:val="Internetverknpfung"/>
        </w:rPr>
        <w:t>1Petr 1,20</w:t>
      </w:r>
      <w:r>
        <w:rPr>
          <w:rStyle w:val="Internetverknpfung"/>
        </w:rPr>
        <w:fldChar w:fldCharType="end"/>
      </w:r>
      <w:r>
        <w:rPr/>
        <w:t xml:space="preserve">; </w:t>
      </w:r>
      <w:r>
        <w:fldChar w:fldCharType="begin"/>
      </w:r>
      <w:r>
        <w:rPr>
          <w:rStyle w:val="Internetverknpfung"/>
        </w:rPr>
        <w:instrText> HYPERLINK "../../../../../../../../../wiki/Offenbarung_13" \l "s8"</w:instrText>
      </w:r>
      <w:r>
        <w:rPr>
          <w:rStyle w:val="Internetverknpfung"/>
        </w:rPr>
        <w:fldChar w:fldCharType="separate"/>
      </w:r>
      <w:r>
        <w:rPr>
          <w:rStyle w:val="Internetverknpfung"/>
        </w:rPr>
        <w:t>Offb 13,8</w:t>
      </w:r>
      <w:r>
        <w:rPr>
          <w:rStyle w:val="Internetverknpfung"/>
        </w:rPr>
        <w:fldChar w:fldCharType="end"/>
      </w:r>
      <w:r>
        <w:rPr/>
        <w:t xml:space="preserve">; </w:t>
      </w:r>
      <w:hyperlink r:id="rId685">
        <w:r>
          <w:rPr>
            <w:rStyle w:val="Internetverknpfung"/>
          </w:rPr>
          <w:t>17,8</w:t>
        </w:r>
      </w:hyperlink>
      <w:r>
        <w:rPr/>
        <w:t xml:space="preserve">; vgl. TWNT, </w:t>
      </w:r>
      <w:r>
        <w:rPr>
          <w:lang w:val="el-GR"/>
        </w:rPr>
        <w:t>καταβολή</w:t>
      </w:r>
      <w:r>
        <w:rPr/>
        <w:t xml:space="preserve">). </w:t>
      </w:r>
    </w:p>
  </w:footnote>
  <w:footnote w:id="6186">
    <w:p>
      <w:pPr>
        <w:pStyle w:val="Funote"/>
        <w:rPr/>
      </w:pPr>
      <w:r>
        <w:rPr>
          <w:rStyle w:val="Funotenzeichen"/>
        </w:rPr>
        <w:footnoteRef/>
      </w:r>
      <w:r>
        <w:rPr/>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w:t>
      </w:r>
      <w:r>
        <w:fldChar w:fldCharType="begin"/>
      </w:r>
      <w:r>
        <w:rPr>
          <w:rStyle w:val="Internetverknpfung"/>
        </w:rPr>
        <w:instrText> HYPERLINK "../../../../../../../../../wiki/Genesis_13" \l "s11"</w:instrText>
      </w:r>
      <w:r>
        <w:rPr>
          <w:rStyle w:val="Internetverknpfung"/>
        </w:rPr>
        <w:fldChar w:fldCharType="separate"/>
      </w:r>
      <w:r>
        <w:rPr>
          <w:rStyle w:val="Internetverknpfung"/>
        </w:rPr>
        <w:t>13,11</w:t>
      </w:r>
      <w:r>
        <w:rPr>
          <w:rStyle w:val="Internetverknpfung"/>
        </w:rPr>
        <w:fldChar w:fldCharType="end"/>
      </w:r>
      <w:r>
        <w:rPr/>
        <w:t xml:space="preserve">; </w:t>
      </w:r>
      <w:r>
        <w:fldChar w:fldCharType="begin"/>
      </w:r>
      <w:r>
        <w:rPr>
          <w:rStyle w:val="Internetverknpfung"/>
        </w:rPr>
        <w:instrText> HYPERLINK "../../../../../../../../../wiki/Deuteronomium_14" \l "s2"</w:instrText>
      </w:r>
      <w:r>
        <w:rPr>
          <w:rStyle w:val="Internetverknpfung"/>
        </w:rPr>
        <w:fldChar w:fldCharType="separate"/>
      </w:r>
      <w:r>
        <w:rPr>
          <w:rStyle w:val="Internetverknpfung"/>
        </w:rPr>
        <w:t>Dtn 14,2</w:t>
      </w:r>
      <w:r>
        <w:rPr>
          <w:rStyle w:val="Internetverknpfung"/>
        </w:rPr>
        <w:fldChar w:fldCharType="end"/>
      </w:r>
      <w:r>
        <w:rPr/>
        <w:t xml:space="preserve">; </w:t>
      </w:r>
      <w:hyperlink r:id="rId686">
        <w:r>
          <w:rPr>
            <w:rStyle w:val="Internetverknpfung"/>
          </w:rPr>
          <w:t>30,19</w:t>
        </w:r>
      </w:hyperlink>
      <w:hyperlink r:id="rId687">
        <w:r>
          <w:rPr>
            <w:rStyle w:val="Internetverknpfung"/>
          </w:rPr>
          <w:t>1Sam 16,1-13</w:t>
        </w:r>
      </w:hyperlink>
      <w:r>
        <w:rPr/>
        <w:t xml:space="preserve">; </w:t>
      </w:r>
      <w:r>
        <w:fldChar w:fldCharType="begin"/>
      </w:r>
      <w:r>
        <w:rPr>
          <w:rStyle w:val="Internetverknpfung"/>
        </w:rPr>
        <w:instrText> HYPERLINK "../../../../../../../../../wiki/Lukas_6" \l "s13"</w:instrText>
      </w:r>
      <w:r>
        <w:rPr>
          <w:rStyle w:val="Internetverknpfung"/>
        </w:rPr>
        <w:fldChar w:fldCharType="separate"/>
      </w:r>
      <w:r>
        <w:rPr>
          <w:rStyle w:val="Internetverknpfung"/>
        </w:rPr>
        <w:t>Lk 6,13</w:t>
      </w:r>
      <w:r>
        <w:rPr>
          <w:rStyle w:val="Internetverknpfung"/>
        </w:rPr>
        <w:fldChar w:fldCharType="end"/>
      </w:r>
      <w:r>
        <w:rPr/>
        <w:t>), ohne Verpflichtung (</w:t>
      </w:r>
      <w:hyperlink r:id="rId688">
        <w:r>
          <w:rPr>
            <w:rStyle w:val="Internetverknpfung"/>
          </w:rPr>
          <w:t>Dtn 7,6-8</w:t>
        </w:r>
      </w:hyperlink>
      <w:r>
        <w:rPr/>
        <w:t>) oder notwendigerweise vorhandene Vorzüge (</w:t>
      </w:r>
      <w:r>
        <w:fldChar w:fldCharType="begin"/>
      </w:r>
      <w:r>
        <w:rPr>
          <w:rStyle w:val="Internetverknpfung"/>
        </w:rPr>
        <w:instrText> HYPERLINK "../../../../../../../../../wiki/Jakobus_2" \l "s5"</w:instrText>
      </w:r>
      <w:r>
        <w:rPr>
          <w:rStyle w:val="Internetverknpfung"/>
        </w:rPr>
        <w:fldChar w:fldCharType="separate"/>
      </w:r>
      <w:r>
        <w:rPr>
          <w:rStyle w:val="Internetverknpfung"/>
        </w:rPr>
        <w:t>Jak 2,5</w:t>
      </w:r>
      <w:r>
        <w:rPr>
          <w:rStyle w:val="Internetverknpfung"/>
        </w:rPr>
        <w:fldChar w:fldCharType="end"/>
      </w:r>
      <w:r>
        <w:rPr/>
        <w:t xml:space="preserve">). Nie kommt Abneigung gegenüber dem nicht ausgewählten Subjekt oder Objekt zum Ausdruck. Die mediale Verbform drückt hier Gottes persönliches Interesse aus (Hoehner </w:t>
      </w:r>
      <w:r>
        <w:rPr>
          <w:position w:val="7"/>
          <w:sz w:val="16"/>
        </w:rPr>
        <w:t>4</w:t>
      </w:r>
      <w:r>
        <w:rPr/>
        <w:t>2006, 187f.).</w:t>
      </w:r>
    </w:p>
  </w:footnote>
  <w:footnote w:id="6187">
    <w:p>
      <w:pPr>
        <w:pStyle w:val="Funote"/>
        <w:rPr/>
      </w:pPr>
      <w:r>
        <w:rPr>
          <w:rStyle w:val="Funotenzeichen"/>
        </w:rPr>
        <w:footnoteRef/>
      </w:r>
      <w:r>
        <w:rPr/>
        <w:tab/>
        <w:t>„</w:t>
      </w:r>
      <w:r>
        <w:rPr/>
        <w:t xml:space="preserve">in Liebe“ steht eigentlich ganz am Ende von </w:t>
      </w:r>
      <w:r>
        <w:fldChar w:fldCharType="begin"/>
      </w:r>
      <w:r>
        <w:rPr>
          <w:rStyle w:val="Internetverknpfung"/>
        </w:rPr>
        <w:instrText> HYPERLINK "../../../../../../../../../wiki/Epheser_1" \l "s4"</w:instrText>
      </w:r>
      <w:r>
        <w:rPr>
          <w:rStyle w:val="Internetverknpfung"/>
        </w:rPr>
        <w:fldChar w:fldCharType="separate"/>
      </w:r>
      <w:r>
        <w:rPr>
          <w:rStyle w:val="Internetverknpfung"/>
        </w:rPr>
        <w:t>4</w:t>
      </w:r>
      <w:r>
        <w:rPr>
          <w:rStyle w:val="Internetverknpfung"/>
        </w:rPr>
        <w:fldChar w:fldCharType="end"/>
      </w:r>
      <w:r>
        <w:rPr/>
        <w:t>, also noch hinter „vor ihm“. Es bezieht sich entweder auf das Erwählen, auf „heilig und fehlerlos“ oder auf das Vorherbestimmen (</w:t>
      </w:r>
      <w:r>
        <w:fldChar w:fldCharType="begin"/>
      </w:r>
      <w:r>
        <w:rPr>
          <w:rStyle w:val="Internetverknpfung"/>
        </w:rPr>
        <w:instrText> HYPERLINK "../../../../../../../../../wiki/Epheser_1" \l "s5"</w:instrText>
      </w:r>
      <w:r>
        <w:rPr>
          <w:rStyle w:val="Internetverknpfung"/>
        </w:rPr>
        <w:fldChar w:fldCharType="separate"/>
      </w:r>
      <w:r>
        <w:rPr>
          <w:rStyle w:val="Internetverknpfung"/>
        </w:rPr>
        <w:t>5</w:t>
      </w:r>
      <w:r>
        <w:rPr>
          <w:rStyle w:val="Internetverknpfung"/>
        </w:rPr>
        <w:fldChar w:fldCharType="end"/>
      </w:r>
      <w:r>
        <w:rPr/>
        <w:t>). Aufgrund der sehr ähnlichen Satzstellung im Kontext der gesamten Segensformel (3-14) bildet es wohl einen Nachschub zu den Eigenschaften der „vor ihm Stehenden“ (</w:t>
      </w:r>
      <w:r>
        <w:fldChar w:fldCharType="begin"/>
      </w:r>
      <w:r>
        <w:rPr>
          <w:rStyle w:val="Internetverknpfung"/>
        </w:rPr>
        <w:instrText> HYPERLINK "../../../../../../../../../wiki/Epheser_1" \l "s4"</w:instrText>
      </w:r>
      <w:r>
        <w:rPr>
          <w:rStyle w:val="Internetverknpfung"/>
        </w:rPr>
        <w:fldChar w:fldCharType="separate"/>
      </w:r>
      <w:r>
        <w:rPr>
          <w:rStyle w:val="Internetverknpfung"/>
        </w:rPr>
        <w:t>4</w:t>
      </w:r>
      <w:r>
        <w:rPr>
          <w:rStyle w:val="Internetverknpfung"/>
        </w:rPr>
        <w:fldChar w:fldCharType="end"/>
      </w:r>
      <w:r>
        <w:rPr/>
        <w:t xml:space="preserve">) (Hoehner </w:t>
      </w:r>
      <w:r>
        <w:rPr>
          <w:position w:val="7"/>
          <w:sz w:val="16"/>
        </w:rPr>
        <w:t>4</w:t>
      </w:r>
      <w:r>
        <w:rPr/>
        <w:t xml:space="preserve">2006, 183ff.). </w:t>
      </w:r>
    </w:p>
  </w:footnote>
  <w:footnote w:id="6188">
    <w:p>
      <w:pPr>
        <w:pStyle w:val="Funote"/>
        <w:rPr/>
      </w:pPr>
      <w:r>
        <w:rPr>
          <w:rStyle w:val="Funotenzeichen"/>
        </w:rPr>
        <w:footnoteRef/>
      </w:r>
      <w:r>
        <w:rPr/>
        <w:tab/>
        <w:t xml:space="preserve">Relativischer Satzanschluss. Ursprünglich bilden die Verse 3-14 eine einzige Satzkette. </w:t>
      </w:r>
    </w:p>
  </w:footnote>
  <w:footnote w:id="6189">
    <w:p>
      <w:pPr>
        <w:pStyle w:val="Funote"/>
        <w:rPr/>
      </w:pPr>
      <w:r>
        <w:rPr>
          <w:rStyle w:val="Funotenzeichen"/>
        </w:rPr>
        <w:footnoteRef/>
      </w:r>
      <w:r>
        <w:rPr/>
        <w:tab/>
        <w:t xml:space="preserve">Eigentlich </w:t>
      </w:r>
      <w:r>
        <w:rPr>
          <w:lang w:val="el-GR"/>
        </w:rPr>
        <w:t>εἰς</w:t>
      </w:r>
      <w:r>
        <w:rPr/>
        <w:t>, also „in... hinein“.</w:t>
      </w:r>
    </w:p>
  </w:footnote>
  <w:footnote w:id="6190">
    <w:p>
      <w:pPr>
        <w:pStyle w:val="Funote"/>
        <w:rPr/>
      </w:pPr>
      <w:r>
        <w:rPr>
          <w:rStyle w:val="Funotenzeichen"/>
        </w:rPr>
        <w:footnoteRef/>
      </w:r>
      <w:r>
        <w:rPr/>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6191">
    <w:p>
      <w:pPr>
        <w:pStyle w:val="Funote"/>
        <w:rPr/>
      </w:pPr>
      <w:r>
        <w:rPr>
          <w:rStyle w:val="Funotenzeichen"/>
        </w:rPr>
        <w:footnoteRef/>
      </w:r>
      <w:r>
        <w:rPr/>
        <w:tab/>
        <w:t>Das bezieht sich auf den Plan, der das Geheimnis (</w:t>
      </w:r>
      <w:r>
        <w:rPr>
          <w:lang w:val="el-GR"/>
        </w:rPr>
        <w:t>μυστήριον</w:t>
      </w:r>
      <w:r>
        <w:rPr/>
        <w:t xml:space="preserve">) darstellt. Zur Verdeutlichung der vorangehende Doppelpunkt. Bedeutungsnuance des Verbs: „alles in/unter einer Haupteinheit zusammenfassen“. </w:t>
      </w:r>
    </w:p>
  </w:footnote>
  <w:footnote w:id="6192">
    <w:p>
      <w:pPr>
        <w:pStyle w:val="Funote"/>
        <w:rPr/>
      </w:pPr>
      <w:r>
        <w:rPr>
          <w:rStyle w:val="Funotenzeichen"/>
        </w:rPr>
        <w:footnoteRef/>
      </w:r>
      <w:r>
        <w:rPr/>
        <w:tab/>
        <w:t>Wörtlich „auf (dem)“</w:t>
      </w:r>
    </w:p>
  </w:footnote>
  <w:footnote w:id="6193">
    <w:p>
      <w:pPr>
        <w:pStyle w:val="Funote"/>
        <w:rPr/>
      </w:pPr>
      <w:r>
        <w:rPr>
          <w:rStyle w:val="Funotenzeichen"/>
        </w:rPr>
        <w:footnoteRef/>
      </w:r>
      <w:r>
        <w:rPr/>
        <w:tab/>
        <w:t>Temporal (kausal) aufgelöstes Ptz. conj.</w:t>
      </w:r>
    </w:p>
  </w:footnote>
  <w:footnote w:id="6194">
    <w:p>
      <w:pPr>
        <w:pStyle w:val="Funote"/>
        <w:rPr/>
      </w:pPr>
      <w:r>
        <w:rPr>
          <w:rStyle w:val="Funotenzeichen"/>
        </w:rPr>
        <w:footnoteRef/>
      </w:r>
      <w:r>
        <w:rPr/>
        <w:tab/>
        <w:t>Substantiviertes Ptz.</w:t>
      </w:r>
    </w:p>
  </w:footnote>
  <w:footnote w:id="6195">
    <w:p>
      <w:pPr>
        <w:pStyle w:val="Funote"/>
        <w:rPr/>
      </w:pPr>
      <w:r>
        <w:rPr>
          <w:rStyle w:val="Funotenzeichen"/>
        </w:rPr>
        <w:footnoteRef/>
      </w:r>
      <w:r>
        <w:rPr/>
        <w:tab/>
        <w:t>Prädikatives Ptz.</w:t>
      </w:r>
    </w:p>
  </w:footnote>
  <w:footnote w:id="6196">
    <w:p>
      <w:pPr>
        <w:pStyle w:val="Funote"/>
        <w:rPr/>
      </w:pPr>
      <w:r>
        <w:rPr>
          <w:rStyle w:val="Funotenzeichen"/>
        </w:rPr>
        <w:footnoteRef/>
      </w:r>
      <w:r>
        <w:rPr/>
        <w:tab/>
        <w:t>Ingressiver Aorist, temporal.</w:t>
      </w:r>
    </w:p>
  </w:footnote>
  <w:footnote w:id="6197">
    <w:p>
      <w:pPr>
        <w:pStyle w:val="Funote"/>
        <w:rPr/>
      </w:pPr>
      <w:r>
        <w:rPr>
          <w:rStyle w:val="Funotenzeichen"/>
        </w:rPr>
        <w:footnoteRef/>
      </w:r>
      <w:r>
        <w:rPr/>
        <w:tab/>
        <w:t>Wörtlich „Heiligen Geist der Verheißung“. Ein solcher Gen. qualitatis bedeutet dasselbe wie ein deutsches attributives Adjektiv.</w:t>
      </w:r>
    </w:p>
  </w:footnote>
  <w:footnote w:id="6198">
    <w:p>
      <w:pPr>
        <w:pStyle w:val="Funote"/>
        <w:rPr/>
      </w:pPr>
      <w:r>
        <w:rPr>
          <w:rStyle w:val="Funotenzeichen"/>
        </w:rPr>
        <w:footnoteRef/>
      </w:r>
      <w:r>
        <w:rPr/>
        <w:tab/>
        <w:t xml:space="preserve">Eigtl. </w:t>
      </w:r>
      <w:r>
        <w:rPr>
          <w:lang w:val="el-GR"/>
        </w:rPr>
        <w:t>καθ᾽ ὑμᾶς</w:t>
      </w:r>
      <w:r>
        <w:rPr/>
        <w:t xml:space="preserve">, hier als Entsprechung des Gen. poss. (s.a. KG §289). </w:t>
      </w:r>
    </w:p>
  </w:footnote>
  <w:footnote w:id="6199">
    <w:p>
      <w:pPr>
        <w:pStyle w:val="Funote"/>
        <w:rPr/>
      </w:pPr>
      <w:r>
        <w:rPr>
          <w:rStyle w:val="Funotenzeichen"/>
        </w:rPr>
        <w:footnoteRef/>
      </w:r>
      <w:r>
        <w:rPr/>
        <w:tab/>
        <w:t xml:space="preserve">Vgl. </w:t>
      </w:r>
      <w:r>
        <w:fldChar w:fldCharType="begin"/>
      </w:r>
      <w:r>
        <w:rPr>
          <w:rStyle w:val="Internetverknpfung"/>
        </w:rPr>
        <w:instrText> HYPERLINK "../../../../../../../../../wiki/Epheser_1" \l "note_c"</w:instrText>
      </w:r>
      <w:r>
        <w:rPr>
          <w:rStyle w:val="Internetverknpfung"/>
        </w:rPr>
        <w:fldChar w:fldCharType="separate"/>
      </w:r>
      <w:r>
        <w:rPr>
          <w:rStyle w:val="Internetverknpfung"/>
        </w:rPr>
        <w:t>Fußnote c</w:t>
      </w:r>
      <w:r>
        <w:rPr>
          <w:rStyle w:val="Internetverknpfung"/>
        </w:rPr>
        <w:fldChar w:fldCharType="end"/>
      </w:r>
      <w:r>
        <w:rPr/>
        <w:t xml:space="preserve"> zu V. 1.</w:t>
      </w:r>
    </w:p>
  </w:footnote>
  <w:footnote w:id="6200">
    <w:p>
      <w:pPr>
        <w:pStyle w:val="Funote"/>
        <w:rPr/>
      </w:pPr>
      <w:r>
        <w:rPr>
          <w:rStyle w:val="Funotenzeichen"/>
        </w:rPr>
        <w:footnoteRef/>
      </w:r>
      <w:r>
        <w:rPr/>
        <w:tab/>
        <w:t>Kausal (temporal) aufgelöstes Ptz.</w:t>
      </w:r>
    </w:p>
  </w:footnote>
  <w:footnote w:id="6201">
    <w:p>
      <w:pPr>
        <w:pStyle w:val="Funote"/>
        <w:rPr/>
      </w:pPr>
      <w:r>
        <w:rPr>
          <w:rStyle w:val="Funotenzeichen"/>
        </w:rPr>
        <w:footnoteRef/>
      </w:r>
      <w:r>
        <w:rPr/>
        <w:tab/>
        <w:t>Präd. Ptz. (s.a. KG §435). Übersetzungsvorschlag NSS: „ich danke unaufhörlich“</w:t>
      </w:r>
    </w:p>
  </w:footnote>
  <w:footnote w:id="6202">
    <w:p>
      <w:pPr>
        <w:pStyle w:val="Funote"/>
        <w:rPr/>
      </w:pPr>
      <w:r>
        <w:rPr>
          <w:rStyle w:val="Funotenzeichen"/>
        </w:rPr>
        <w:footnoteRef/>
      </w:r>
      <w:r>
        <w:rPr/>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 </w:t>
      </w:r>
    </w:p>
  </w:footnote>
  <w:footnote w:id="6203">
    <w:p>
      <w:pPr>
        <w:pStyle w:val="Funote"/>
        <w:rPr/>
      </w:pPr>
      <w:r>
        <w:rPr>
          <w:rStyle w:val="Funotenzeichen"/>
        </w:rPr>
        <w:footnoteRef/>
      </w:r>
      <w:r>
        <w:rPr/>
        <w:tab/>
        <w:t xml:space="preserve">Obwohl im vorigen Vers noch von einem Dankgebet die Rede ist, zeigt die Konjunktion </w:t>
      </w:r>
      <w:r>
        <w:rPr>
          <w:lang w:val="el-GR"/>
        </w:rPr>
        <w:t>ἵνα</w:t>
      </w:r>
      <w:r>
        <w:rPr/>
        <w:t xml:space="preserve"> an, dass der Verfasser in 17-19 seine Gebetsanliegen für die Adressaten auflistet. </w:t>
      </w:r>
    </w:p>
  </w:footnote>
  <w:footnote w:id="6204">
    <w:p>
      <w:pPr>
        <w:pStyle w:val="Funote"/>
        <w:rPr/>
      </w:pPr>
      <w:r>
        <w:rPr>
          <w:rStyle w:val="Funotenzeichen"/>
        </w:rPr>
        <w:footnoteRef/>
      </w:r>
      <w:r>
        <w:rPr/>
        <w:tab/>
        <w:t>Wohl Gen. qual.: ~„der glänzende/herrliche/ruhmreiche Vater“ (NSS)</w:t>
      </w:r>
    </w:p>
  </w:footnote>
  <w:footnote w:id="6205">
    <w:p>
      <w:pPr>
        <w:pStyle w:val="Funote"/>
        <w:rPr/>
      </w:pPr>
      <w:r>
        <w:rPr>
          <w:rStyle w:val="Funotenzeichen"/>
        </w:rPr>
        <w:footnoteRef/>
      </w:r>
      <w:r>
        <w:rPr/>
        <w:tab/>
        <w:t xml:space="preserve">Die Bedeutung des Worts unklar: Geht es um den Heiligen Geist oder „einen Geist“ als eine Art geistige Fähigkeit? Sogar eine adjektivische Deutung wäre möglich: „geistliche Weisheit und Offenbarung“ </w:t>
      </w:r>
    </w:p>
  </w:footnote>
  <w:footnote w:id="6206">
    <w:p>
      <w:pPr>
        <w:pStyle w:val="Funote"/>
        <w:rPr/>
      </w:pPr>
      <w:r>
        <w:rPr>
          <w:rStyle w:val="Funotenzeichen"/>
        </w:rPr>
        <w:footnoteRef/>
      </w:r>
      <w:r>
        <w:rPr/>
        <w:tab/>
        <w:t xml:space="preserve">S. B/A </w:t>
      </w:r>
      <w:r>
        <w:rPr>
          <w:lang w:val="el-GR"/>
        </w:rPr>
        <w:t>ἐν</w:t>
      </w:r>
      <w:r>
        <w:rPr/>
        <w:t xml:space="preserve"> II.3 (NSS).</w:t>
      </w:r>
    </w:p>
  </w:footnote>
  <w:footnote w:id="6207">
    <w:p>
      <w:pPr>
        <w:pStyle w:val="Funote"/>
        <w:rPr/>
      </w:pPr>
      <w:r>
        <w:rPr>
          <w:rStyle w:val="Funotenzeichen"/>
        </w:rPr>
        <w:footnoteRef/>
      </w:r>
      <w:r>
        <w:rPr/>
        <w:tab/>
        <w:t>Wohl Gen. obi. (NSS) – Sinn der Konstruktion wäre dann etwa: „beim Prozess der Erkenntnis Gottes“</w:t>
      </w:r>
    </w:p>
  </w:footnote>
  <w:footnote w:id="6208">
    <w:p>
      <w:pPr>
        <w:pStyle w:val="Funote"/>
        <w:rPr/>
      </w:pPr>
      <w:r>
        <w:rPr>
          <w:rStyle w:val="Funotenzeichen"/>
        </w:rPr>
        <w:footnoteRef/>
      </w:r>
      <w:r>
        <w:rPr/>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6209">
    <w:p>
      <w:pPr>
        <w:pStyle w:val="Funote"/>
        <w:rPr/>
      </w:pPr>
      <w:r>
        <w:rPr>
          <w:rStyle w:val="Funotenzeichen"/>
        </w:rPr>
        <w:footnoteRef/>
      </w:r>
      <w:r>
        <w:rPr/>
        <w:tab/>
        <w:t>Also sinngemäß „zu welcher Hoffnung er euch berufen hat“ (NSS).</w:t>
      </w:r>
    </w:p>
  </w:footnote>
  <w:footnote w:id="6210">
    <w:p>
      <w:pPr>
        <w:pStyle w:val="Funote"/>
        <w:rPr/>
      </w:pPr>
      <w:r>
        <w:rPr>
          <w:rStyle w:val="Funotenzeichen"/>
        </w:rPr>
        <w:footnoteRef/>
      </w:r>
      <w:r>
        <w:rPr/>
        <w:tab/>
        <w:t>Wörtlich: und was die</w:t>
      </w:r>
    </w:p>
  </w:footnote>
  <w:footnote w:id="6211">
    <w:p>
      <w:pPr>
        <w:pStyle w:val="Funote"/>
        <w:rPr/>
      </w:pPr>
      <w:r>
        <w:rPr>
          <w:rStyle w:val="Funotenzeichen"/>
        </w:rPr>
        <w:footnoteRef/>
      </w:r>
      <w:r>
        <w:rPr/>
        <w:tab/>
        <w:t>Genitiv aufgelöst, wörtlich: die überragende Größe seiner Macht.</w:t>
      </w:r>
    </w:p>
  </w:footnote>
  <w:footnote w:id="6212">
    <w:p>
      <w:pPr>
        <w:pStyle w:val="Funote"/>
        <w:rPr/>
      </w:pPr>
      <w:r>
        <w:rPr>
          <w:rStyle w:val="Funotenzeichen"/>
        </w:rPr>
        <w:footnoteRef/>
      </w:r>
      <w:r>
        <w:rPr/>
        <w:tab/>
        <w:t>Partizip umgewandelt, wörtlich: die glauben.</w:t>
      </w:r>
    </w:p>
  </w:footnote>
  <w:footnote w:id="6213">
    <w:p>
      <w:pPr>
        <w:pStyle w:val="Funote"/>
        <w:rPr/>
      </w:pPr>
      <w:r>
        <w:rPr>
          <w:rStyle w:val="Funotenzeichen"/>
        </w:rPr>
        <w:footnoteRef/>
      </w:r>
      <w:r>
        <w:rPr/>
        <w:tab/>
        <w:t>Oder: gemäß seiner Wirksamkeit.</w:t>
      </w:r>
    </w:p>
  </w:footnote>
  <w:footnote w:id="6214">
    <w:p>
      <w:pPr>
        <w:pStyle w:val="Funote"/>
        <w:rPr/>
      </w:pPr>
      <w:r>
        <w:rPr>
          <w:rStyle w:val="Funotenzeichen"/>
        </w:rPr>
        <w:footnoteRef/>
      </w:r>
      <w:r>
        <w:rPr/>
        <w:tab/>
        <w:t>Genitivus epexegeticus aufgelöst, wörtlich: gemäß des übernatürlichen Eingreifens (oder: gemäß der Wirkung) der Kraft seiner Stärke.</w:t>
      </w:r>
    </w:p>
  </w:footnote>
  <w:footnote w:id="6215">
    <w:p>
      <w:pPr>
        <w:pStyle w:val="Funote"/>
        <w:rPr/>
      </w:pPr>
      <w:r>
        <w:rPr>
          <w:rStyle w:val="Funotenzeichen"/>
        </w:rPr>
        <w:footnoteRef/>
      </w:r>
      <w:r>
        <w:rPr/>
        <w:tab/>
        <w:t>Wörtlich: in den himmlischen (Welten).</w:t>
      </w:r>
    </w:p>
  </w:footnote>
  <w:footnote w:id="6216">
    <w:p>
      <w:pPr>
        <w:pStyle w:val="Funote"/>
        <w:rPr/>
      </w:pPr>
      <w:r>
        <w:rPr>
          <w:rStyle w:val="Funotenzeichen"/>
        </w:rPr>
        <w:footnoteRef/>
      </w:r>
      <w:r>
        <w:rPr/>
        <w:tab/>
        <w:t>Wörtlich: der genannt ist.</w:t>
      </w:r>
    </w:p>
  </w:footnote>
  <w:footnote w:id="6217">
    <w:p>
      <w:pPr>
        <w:pStyle w:val="Funote"/>
        <w:rPr/>
      </w:pPr>
      <w:r>
        <w:rPr>
          <w:rStyle w:val="Funotenzeichen"/>
        </w:rPr>
        <w:footnoteRef/>
      </w:r>
      <w:r>
        <w:rPr/>
        <w:tab/>
        <w:t>Wörtlich: Welche ist.</w:t>
      </w:r>
    </w:p>
  </w:footnote>
  <w:footnote w:id="6218">
    <w:p>
      <w:pPr>
        <w:pStyle w:val="Funote"/>
        <w:rPr/>
      </w:pPr>
      <w:r>
        <w:rPr>
          <w:rStyle w:val="Funotenzeichen"/>
        </w:rPr>
        <w:footnoteRef/>
      </w:r>
      <w:r>
        <w:rPr/>
        <w:tab/>
        <w:t>Oder: Leib.</w:t>
      </w:r>
    </w:p>
  </w:footnote>
  <w:footnote w:id="6219">
    <w:p>
      <w:pPr>
        <w:pStyle w:val="Funote"/>
        <w:rPr/>
      </w:pPr>
      <w:r>
        <w:rPr>
          <w:rStyle w:val="Funotenzeichen"/>
        </w:rPr>
        <w:footnoteRef/>
      </w:r>
      <w:r>
        <w:rPr/>
        <w:tab/>
        <w:t>[Status: Ungeprüft]</w:t>
      </w:r>
    </w:p>
  </w:footnote>
  <w:footnote w:id="6220">
    <w:p>
      <w:pPr>
        <w:pStyle w:val="Funote"/>
        <w:rPr/>
      </w:pPr>
      <w:r>
        <w:rPr>
          <w:rStyle w:val="Funotenzeichen"/>
        </w:rPr>
        <w:footnoteRef/>
      </w:r>
      <w:r>
        <w:rPr/>
        <w:tab/>
        <w:t>wörtlich: in denen wir früher wandelten</w:t>
      </w:r>
    </w:p>
  </w:footnote>
  <w:footnote w:id="6221">
    <w:p>
      <w:pPr>
        <w:pStyle w:val="Funote"/>
        <w:rPr/>
      </w:pPr>
      <w:r>
        <w:rPr>
          <w:rStyle w:val="Funotenzeichen"/>
        </w:rPr>
        <w:footnoteRef/>
      </w:r>
      <w:r>
        <w:rPr/>
        <w:tab/>
        <w:t>= Satan oder Beliar, Strack-Billerbeck verweist auf Test Benj 3 und Philo; so auch vorgeschlagen bei Louw-Nida</w:t>
      </w:r>
    </w:p>
  </w:footnote>
  <w:footnote w:id="6222">
    <w:p>
      <w:pPr>
        <w:pStyle w:val="Funote"/>
        <w:rPr/>
      </w:pPr>
      <w:r>
        <w:rPr>
          <w:rStyle w:val="Funotenzeichen"/>
        </w:rPr>
        <w:footnoteRef/>
      </w:r>
      <w:r>
        <w:rPr/>
        <w:tab/>
        <w:t>wörtlich: des Geistes; Gen. epexegeticus wurde aufgelöst</w:t>
      </w:r>
    </w:p>
  </w:footnote>
  <w:footnote w:id="6223">
    <w:p>
      <w:pPr>
        <w:pStyle w:val="Funote"/>
        <w:rPr/>
      </w:pPr>
      <w:r>
        <w:rPr>
          <w:rStyle w:val="Funotenzeichen"/>
        </w:rPr>
        <w:footnoteRef/>
      </w:r>
      <w:r>
        <w:rPr/>
        <w:tab/>
        <w:t>wörtlich: wegen seiner großen Liebe, mit der er uns geliebt hat</w:t>
      </w:r>
    </w:p>
  </w:footnote>
  <w:footnote w:id="6224">
    <w:p>
      <w:pPr>
        <w:pStyle w:val="Funote"/>
        <w:rPr/>
      </w:pPr>
      <w:r>
        <w:rPr>
          <w:rStyle w:val="Funotenzeichen"/>
        </w:rPr>
        <w:footnoteRef/>
      </w:r>
      <w:r>
        <w:rPr/>
        <w:tab/>
        <w:t>wörtlich: , damit er den überaus großen Reichtum seiner Gnade in Güte an uns in Christus Jesus beweist</w:t>
      </w:r>
    </w:p>
  </w:footnote>
  <w:footnote w:id="6225">
    <w:p>
      <w:pPr>
        <w:pStyle w:val="Funote"/>
        <w:rPr/>
      </w:pPr>
      <w:r>
        <w:rPr>
          <w:rStyle w:val="Funotenzeichen"/>
        </w:rPr>
        <w:footnoteRef/>
      </w:r>
      <w:r>
        <w:rPr/>
        <w:tab/>
        <w:t>wörtlich: Und dieses nicht aus euch</w:t>
      </w:r>
    </w:p>
  </w:footnote>
  <w:footnote w:id="6226">
    <w:p>
      <w:pPr>
        <w:pStyle w:val="Funote"/>
        <w:rPr/>
      </w:pPr>
      <w:r>
        <w:rPr>
          <w:rStyle w:val="Funotenzeichen"/>
        </w:rPr>
        <w:footnoteRef/>
      </w:r>
      <w:r>
        <w:rPr/>
        <w:tab/>
        <w:t xml:space="preserve">Werk und Werke sind im Grundtext verschiedene Begriffe. Werk geht evtl. auf Ps 142,5 LXX zurück (das Werk deiner Hände), im NT sonst nur in Röm 1,20 verwendet, für Werke steht </w:t>
      </w:r>
      <w:r>
        <w:rPr>
          <w:lang w:val="el-GR"/>
        </w:rPr>
        <w:t>ἔργον</w:t>
      </w:r>
      <w:r>
        <w:rPr/>
        <w:t xml:space="preserve"> bzw. </w:t>
      </w:r>
      <w:r>
        <w:rPr>
          <w:lang w:val="el-GR"/>
        </w:rPr>
        <w:t>ἔργοις</w:t>
      </w:r>
      <w:r>
        <w:rPr/>
        <w:t xml:space="preserve"> (derselbe Begriff wie in Vers 9)</w:t>
      </w:r>
    </w:p>
  </w:footnote>
  <w:footnote w:id="6227">
    <w:p>
      <w:pPr>
        <w:pStyle w:val="Funote"/>
        <w:rPr/>
      </w:pPr>
      <w:r>
        <w:rPr>
          <w:rStyle w:val="Funotenzeichen"/>
        </w:rPr>
        <w:footnoteRef/>
      </w:r>
      <w:r>
        <w:rPr/>
        <w:tab/>
        <w:t xml:space="preserve">Die Formulierung "geschaffen durch Christus Jesus" deutet darauf hin, dass hier nicht von der Schöpfung in Gen 1 die Rede ist, sondern von Gottes Neu-Schöpfung in der Wiedergeburt/Bekehrung (vgl. Lincoln 1990, S. 114) </w:t>
      </w:r>
    </w:p>
  </w:footnote>
  <w:footnote w:id="6228">
    <w:p>
      <w:pPr>
        <w:pStyle w:val="Funote"/>
        <w:rPr/>
      </w:pPr>
      <w:r>
        <w:rPr>
          <w:rStyle w:val="Funotenzeichen"/>
        </w:rPr>
        <w:footnoteRef/>
      </w:r>
      <w:r>
        <w:rPr/>
        <w:tab/>
        <w:t>„</w:t>
      </w:r>
      <w:r>
        <w:rPr/>
        <w:t>stets“ trägt dem linearen Aspekt des Präsensstamms Rechnung.</w:t>
      </w:r>
    </w:p>
  </w:footnote>
  <w:footnote w:id="6229">
    <w:p>
      <w:pPr>
        <w:pStyle w:val="Funote"/>
        <w:rPr/>
      </w:pPr>
      <w:r>
        <w:rPr>
          <w:rStyle w:val="Funotenzeichen"/>
        </w:rPr>
        <w:footnoteRef/>
      </w:r>
      <w:r>
        <w:rPr/>
        <w:tab/>
        <w:t>Wörtl.: „die (Heiden)Völker im Fleisch“</w:t>
      </w:r>
    </w:p>
  </w:footnote>
  <w:footnote w:id="6230">
    <w:p>
      <w:pPr>
        <w:pStyle w:val="Funote"/>
        <w:rPr/>
      </w:pPr>
      <w:r>
        <w:rPr>
          <w:rStyle w:val="Funotenzeichen"/>
        </w:rPr>
        <w:footnoteRef/>
      </w:r>
      <w:r>
        <w:rPr/>
        <w:tab/>
        <w:t>Gen. epexegeticus aufgelöst, wörtl.: Feinde der Bundesschlüsse der Verheißung.</w:t>
      </w:r>
    </w:p>
  </w:footnote>
  <w:footnote w:id="6231">
    <w:p>
      <w:pPr>
        <w:pStyle w:val="Funote"/>
        <w:rPr/>
      </w:pPr>
      <w:r>
        <w:rPr>
          <w:rStyle w:val="Funotenzeichen"/>
        </w:rPr>
        <w:footnoteRef/>
      </w:r>
      <w:r>
        <w:rPr/>
        <w:tab/>
        <w:t>Im Grundtext stehen „fern“ und „nah“ ohne Verb.</w:t>
      </w:r>
    </w:p>
  </w:footnote>
  <w:footnote w:id="6232">
    <w:p>
      <w:pPr>
        <w:pStyle w:val="Funote"/>
        <w:rPr/>
      </w:pPr>
      <w:r>
        <w:rPr>
          <w:rStyle w:val="Funotenzeichen"/>
        </w:rPr>
        <w:footnoteRef/>
      </w:r>
      <w:r>
        <w:rPr/>
        <w:tab/>
        <w:t>Gen. epexegeticus aufgelöst, wörtl.: „die Trennwand des Zaunes“</w:t>
      </w:r>
    </w:p>
  </w:footnote>
  <w:footnote w:id="6233">
    <w:p>
      <w:pPr>
        <w:pStyle w:val="Funote"/>
        <w:rPr/>
      </w:pPr>
      <w:r>
        <w:rPr>
          <w:rStyle w:val="Funotenzeichen"/>
        </w:rPr>
        <w:footnoteRef/>
      </w:r>
      <w:r>
        <w:rPr/>
        <w:tab/>
        <w:t>Gen. epexegeticus aufgelöst, wörtl.: „das Gesetz der Gebote in Einzelsatzungen“</w:t>
      </w:r>
    </w:p>
  </w:footnote>
  <w:footnote w:id="6234">
    <w:p>
      <w:pPr>
        <w:pStyle w:val="Funote"/>
        <w:rPr/>
      </w:pPr>
      <w:r>
        <w:rPr>
          <w:rStyle w:val="Funotenzeichen"/>
        </w:rPr>
        <w:footnoteRef/>
      </w:r>
      <w:r>
        <w:rPr/>
        <w:tab/>
        <w:t>Im Grundtext steht ein Zahlwort.</w:t>
      </w:r>
    </w:p>
  </w:footnote>
  <w:footnote w:id="6235">
    <w:p>
      <w:pPr>
        <w:pStyle w:val="Funote"/>
        <w:rPr/>
      </w:pPr>
      <w:r>
        <w:rPr>
          <w:rStyle w:val="Funotenzeichen"/>
        </w:rPr>
        <w:footnoteRef/>
      </w:r>
      <w:r>
        <w:rPr/>
        <w:tab/>
        <w:t>Im Grundtext steht en auto („in ihm“). Das kann sich auch auf Gott beziehen, der Bezug zum Kreuz ist m.E. naheliegender.</w:t>
      </w:r>
    </w:p>
  </w:footnote>
  <w:footnote w:id="6236">
    <w:p>
      <w:pPr>
        <w:pStyle w:val="Funote"/>
        <w:rPr/>
      </w:pPr>
      <w:r>
        <w:rPr>
          <w:rStyle w:val="Funotenzeichen"/>
        </w:rPr>
        <w:footnoteRef/>
      </w:r>
      <w:r>
        <w:rPr/>
        <w:tab/>
        <w:t>Im Grundtext stehen „fern“ und „nah“ ohne Verb.</w:t>
      </w:r>
    </w:p>
  </w:footnote>
  <w:footnote w:id="6237">
    <w:p>
      <w:pPr>
        <w:pStyle w:val="Funote"/>
        <w:rPr/>
      </w:pPr>
      <w:r>
        <w:rPr>
          <w:rStyle w:val="Funotenzeichen"/>
        </w:rPr>
        <w:footnoteRef/>
      </w:r>
      <w:r>
        <w:rPr/>
        <w:tab/>
        <w:t>Im Grundtext steht ein Zahlwort.</w:t>
      </w:r>
    </w:p>
  </w:footnote>
  <w:footnote w:id="6238">
    <w:p>
      <w:pPr>
        <w:pStyle w:val="Funote"/>
        <w:rPr/>
      </w:pPr>
      <w:r>
        <w:rPr>
          <w:rStyle w:val="Funotenzeichen"/>
        </w:rPr>
        <w:footnoteRef/>
      </w:r>
      <w:r>
        <w:rPr/>
        <w:tab/>
        <w:t>„</w:t>
      </w:r>
      <w:r>
        <w:rPr/>
        <w:t>ständigen“ trägt dem linearen Aspekt des Präsensstamms Rechnung.</w:t>
      </w:r>
    </w:p>
  </w:footnote>
  <w:footnote w:id="6239">
    <w:p>
      <w:pPr>
        <w:pStyle w:val="Funote"/>
        <w:rPr/>
      </w:pPr>
      <w:r>
        <w:rPr>
          <w:rStyle w:val="Funotenzeichen"/>
        </w:rPr>
        <w:footnoteRef/>
      </w:r>
      <w:r>
        <w:rPr/>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6240">
    <w:p>
      <w:pPr>
        <w:pStyle w:val="Funote"/>
        <w:rPr/>
      </w:pPr>
      <w:r>
        <w:rPr>
          <w:rStyle w:val="Funotenzeichen"/>
        </w:rPr>
        <w:footnoteRef/>
      </w:r>
      <w:r>
        <w:rPr/>
        <w:tab/>
        <w:t>„</w:t>
      </w:r>
      <w:r>
        <w:rPr/>
        <w:t>beständig“ trägt dem linearen Aspekt des Präsensstamms Rechnung.</w:t>
      </w:r>
    </w:p>
  </w:footnote>
  <w:footnote w:id="6241">
    <w:p>
      <w:pPr>
        <w:pStyle w:val="Funote"/>
        <w:rPr/>
      </w:pPr>
      <w:r>
        <w:rPr>
          <w:rStyle w:val="Funotenzeichen"/>
        </w:rPr>
        <w:footnoteRef/>
      </w:r>
      <w:r>
        <w:rPr/>
        <w:tab/>
        <w:t>„</w:t>
      </w:r>
      <w:r>
        <w:rPr/>
        <w:t>stetig“ trägt dem linearen Aspekt des Präsensstamms Rechnung.</w:t>
      </w:r>
    </w:p>
  </w:footnote>
  <w:footnote w:id="6242">
    <w:p>
      <w:pPr>
        <w:pStyle w:val="Funote"/>
        <w:rPr/>
      </w:pPr>
      <w:r>
        <w:rPr>
          <w:rStyle w:val="Funotenzeichen"/>
        </w:rPr>
        <w:footnoteRef/>
      </w:r>
      <w:r>
        <w:rPr/>
        <w:tab/>
        <w:t>[Status: Ungeprüft]</w:t>
      </w:r>
    </w:p>
  </w:footnote>
  <w:footnote w:id="6243">
    <w:p>
      <w:pPr>
        <w:pStyle w:val="Funote"/>
        <w:rPr/>
      </w:pPr>
      <w:r>
        <w:rPr>
          <w:rStyle w:val="Funotenzeichen"/>
        </w:rPr>
        <w:footnoteRef/>
      </w:r>
      <w:r>
        <w:rPr/>
        <w:tab/>
        <w:t>Wörtlich: In anderen.</w:t>
      </w:r>
    </w:p>
  </w:footnote>
  <w:footnote w:id="6244">
    <w:p>
      <w:pPr>
        <w:pStyle w:val="Funote"/>
        <w:rPr/>
      </w:pPr>
      <w:r>
        <w:rPr>
          <w:rStyle w:val="Funotenzeichen"/>
        </w:rPr>
        <w:footnoteRef/>
      </w:r>
      <w:r>
        <w:rPr/>
        <w:tab/>
        <w:t>Wörtlich: den Söhnen der Menschen.</w:t>
      </w:r>
    </w:p>
  </w:footnote>
  <w:footnote w:id="6245">
    <w:p>
      <w:pPr>
        <w:pStyle w:val="Funote"/>
        <w:rPr/>
      </w:pPr>
      <w:r>
        <w:rPr>
          <w:rStyle w:val="Funotenzeichen"/>
        </w:rPr>
        <w:footnoteRef/>
      </w:r>
      <w:r>
        <w:rPr/>
        <w:tab/>
        <w:t>Wörtlich stehen hier Adjektive: miterbend und zum selben Leib gehörend und teilhabend.</w:t>
      </w:r>
    </w:p>
  </w:footnote>
  <w:footnote w:id="6246">
    <w:p>
      <w:pPr>
        <w:pStyle w:val="Funote"/>
        <w:rPr/>
      </w:pPr>
      <w:r>
        <w:rPr>
          <w:rStyle w:val="Funotenzeichen"/>
        </w:rPr>
        <w:footnoteRef/>
      </w:r>
      <w:r>
        <w:rPr/>
        <w:tab/>
        <w:t>Wörtlich: dem (Bezug nehmend auf 'Evangelium') ich ein Diener wurde.</w:t>
      </w:r>
    </w:p>
  </w:footnote>
  <w:footnote w:id="6247">
    <w:p>
      <w:pPr>
        <w:pStyle w:val="Funote"/>
        <w:rPr/>
      </w:pPr>
      <w:r>
        <w:rPr>
          <w:rStyle w:val="Funotenzeichen"/>
        </w:rPr>
        <w:footnoteRef/>
      </w:r>
      <w:r>
        <w:rPr/>
        <w:tab/>
        <w:t>Gen. epexegeticus aufgelöst, wörtlich: des Wirkens seiner Wunder</w:t>
      </w:r>
    </w:p>
  </w:footnote>
  <w:footnote w:id="6248">
    <w:p>
      <w:pPr>
        <w:pStyle w:val="Funote"/>
        <w:rPr/>
      </w:pPr>
      <w:r>
        <w:rPr>
          <w:rStyle w:val="Funotenzeichen"/>
        </w:rPr>
        <w:footnoteRef/>
      </w:r>
      <w:r>
        <w:rPr/>
        <w:tab/>
        <w:t>Wörtlich: zu evangelisieren, oder: als frohe Botschaft weiter zu geben</w:t>
      </w:r>
    </w:p>
  </w:footnote>
  <w:footnote w:id="6249">
    <w:p>
      <w:pPr>
        <w:pStyle w:val="Funote"/>
        <w:rPr/>
      </w:pPr>
      <w:r>
        <w:rPr>
          <w:rStyle w:val="Funotenzeichen"/>
        </w:rPr>
        <w:footnoteRef/>
      </w:r>
      <w:r>
        <w:rPr/>
        <w:tab/>
        <w:t>Im Grundtext derselbe Ausdruck oikonomia wie in Vers 2 (Verwaltung)</w:t>
      </w:r>
    </w:p>
  </w:footnote>
  <w:footnote w:id="6250">
    <w:p>
      <w:pPr>
        <w:pStyle w:val="Funote"/>
        <w:rPr/>
      </w:pPr>
      <w:r>
        <w:rPr>
          <w:rStyle w:val="Funotenzeichen"/>
        </w:rPr>
        <w:footnoteRef/>
      </w:r>
      <w:r>
        <w:rPr/>
        <w:tab/>
        <w:t>Gen. epexegeticus aufgelöst, wörtlich: den Heilsplan (Verantwortung, Auftrag, Haushaltsführung) des Geheimnisses.</w:t>
      </w:r>
    </w:p>
  </w:footnote>
  <w:footnote w:id="6251">
    <w:p>
      <w:pPr>
        <w:pStyle w:val="Funote"/>
        <w:rPr/>
      </w:pPr>
      <w:r>
        <w:rPr>
          <w:rStyle w:val="Funotenzeichen"/>
        </w:rPr>
        <w:footnoteRef/>
      </w:r>
      <w:r>
        <w:rPr/>
        <w:tab/>
        <w:t>Wörtlich: Ewigkeiten, Äonen.</w:t>
      </w:r>
    </w:p>
  </w:footnote>
  <w:footnote w:id="6252">
    <w:p>
      <w:pPr>
        <w:pStyle w:val="Funote"/>
        <w:rPr/>
      </w:pPr>
      <w:r>
        <w:rPr>
          <w:rStyle w:val="Funotenzeichen"/>
        </w:rPr>
        <w:footnoteRef/>
      </w:r>
      <w:r>
        <w:rPr/>
        <w:tab/>
        <w:t>Wörtlich: Damit; Auf dass.</w:t>
      </w:r>
    </w:p>
  </w:footnote>
  <w:footnote w:id="6253">
    <w:p>
      <w:pPr>
        <w:pStyle w:val="Funote"/>
        <w:rPr/>
      </w:pPr>
      <w:r>
        <w:rPr>
          <w:rStyle w:val="Funotenzeichen"/>
        </w:rPr>
        <w:footnoteRef/>
      </w:r>
      <w:r>
        <w:rPr/>
        <w:tab/>
        <w:t>Wörtlich: in den himmlisch (Welten).</w:t>
      </w:r>
    </w:p>
  </w:footnote>
  <w:footnote w:id="6254">
    <w:p>
      <w:pPr>
        <w:pStyle w:val="Funote"/>
        <w:rPr/>
      </w:pPr>
      <w:r>
        <w:rPr>
          <w:rStyle w:val="Funotenzeichen"/>
        </w:rPr>
        <w:footnoteRef/>
      </w:r>
      <w:r>
        <w:rPr/>
        <w:tab/>
        <w:t>Wörtlich: Vorsatz der Ewigkeiten.</w:t>
      </w:r>
    </w:p>
  </w:footnote>
  <w:footnote w:id="6255">
    <w:p>
      <w:pPr>
        <w:pStyle w:val="Funote"/>
        <w:rPr/>
      </w:pPr>
      <w:r>
        <w:rPr>
          <w:rStyle w:val="Funotenzeichen"/>
        </w:rPr>
        <w:footnoteRef/>
      </w:r>
      <w:r>
        <w:rPr/>
        <w:tab/>
        <w:t>Wörtlich: getan</w:t>
      </w:r>
    </w:p>
  </w:footnote>
  <w:footnote w:id="6256">
    <w:p>
      <w:pPr>
        <w:pStyle w:val="Funote"/>
        <w:rPr/>
      </w:pPr>
      <w:r>
        <w:rPr>
          <w:rStyle w:val="Funotenzeichen"/>
        </w:rPr>
        <w:footnoteRef/>
      </w:r>
      <w:r>
        <w:rPr/>
        <w:tab/>
        <w:t>Wörtlich: Freimut, Offenheit, Vertrauen</w:t>
      </w:r>
    </w:p>
  </w:footnote>
  <w:footnote w:id="6257">
    <w:p>
      <w:pPr>
        <w:pStyle w:val="Funote"/>
        <w:rPr/>
      </w:pPr>
      <w:r>
        <w:rPr>
          <w:rStyle w:val="Funotenzeichen"/>
        </w:rPr>
        <w:footnoteRef/>
      </w:r>
      <w:r>
        <w:rPr/>
        <w:tab/>
        <w:t>Wörtlich: durch seinen Glauben; Ich deute das als Gen. objectivus: der Glaube zu ihm hin.</w:t>
      </w:r>
    </w:p>
  </w:footnote>
  <w:footnote w:id="6258">
    <w:p>
      <w:pPr>
        <w:pStyle w:val="Funote"/>
        <w:rPr/>
      </w:pPr>
      <w:r>
        <w:rPr>
          <w:rStyle w:val="Funotenzeichen"/>
        </w:rPr>
        <w:footnoteRef/>
      </w:r>
      <w:r>
        <w:rPr/>
        <w:tab/>
        <w:t>Wörtlich: „immer wieder“ oder „ständig“. Die Formulierung trägt dem linearen Aspekt des Präsensstamms Rechnung.</w:t>
      </w:r>
    </w:p>
  </w:footnote>
  <w:footnote w:id="6259">
    <w:p>
      <w:pPr>
        <w:pStyle w:val="Funote"/>
        <w:rPr/>
      </w:pPr>
      <w:r>
        <w:rPr>
          <w:rStyle w:val="Funotenzeichen"/>
        </w:rPr>
        <w:footnoteRef/>
      </w:r>
      <w:r>
        <w:rPr/>
        <w:tab/>
        <w:t>Wörtlich: die euer Ruhm ist. Das Relativpronomen steht im Grundtext im Sing. f., kann sich aber nur auf „Leiden“ (Dat. pl. f.) beziehen.</w:t>
      </w:r>
    </w:p>
  </w:footnote>
  <w:footnote w:id="6260">
    <w:p>
      <w:pPr>
        <w:pStyle w:val="Funote"/>
        <w:rPr/>
      </w:pPr>
      <w:r>
        <w:rPr>
          <w:rStyle w:val="Funotenzeichen"/>
        </w:rPr>
        <w:footnoteRef/>
      </w:r>
      <w:r>
        <w:rPr/>
        <w:tab/>
        <w:t>Das Beugen des Knies ist eine Gebetsstellung, ein Zeichen religiöser Devotion. Im weltl. Bereich ein Zeichen des Respektes vor dem höher Stehenden.</w:t>
      </w:r>
    </w:p>
  </w:footnote>
  <w:footnote w:id="6261">
    <w:p>
      <w:pPr>
        <w:pStyle w:val="Funote"/>
        <w:rPr/>
      </w:pPr>
      <w:r>
        <w:rPr>
          <w:rStyle w:val="Funotenzeichen"/>
        </w:rPr>
        <w:footnoteRef/>
      </w:r>
      <w:r>
        <w:rPr>
          <w:lang w:val="el-GR"/>
        </w:rPr>
        <w:tab/>
        <w:t>πάτρια</w:t>
      </w:r>
      <w:r>
        <w:rPr/>
        <w:t xml:space="preserve"> bezeichnet die Abstammung in der Manneslinie = das Geschlecht, der Familienstamm.</w:t>
      </w:r>
    </w:p>
  </w:footnote>
  <w:footnote w:id="6262">
    <w:p>
      <w:pPr>
        <w:pStyle w:val="Funote"/>
        <w:rPr/>
      </w:pPr>
      <w:r>
        <w:rPr>
          <w:rStyle w:val="Funotenzeichen"/>
        </w:rPr>
        <w:footnoteRef/>
      </w:r>
      <w:r>
        <w:rPr/>
        <w:tab/>
        <w:t>Wörtlich: in den Himmeln.</w:t>
      </w:r>
    </w:p>
  </w:footnote>
  <w:footnote w:id="6263">
    <w:p>
      <w:pPr>
        <w:pStyle w:val="Funote"/>
        <w:rPr/>
      </w:pPr>
      <w:r>
        <w:rPr>
          <w:rStyle w:val="Funotenzeichen"/>
        </w:rPr>
        <w:footnoteRef/>
      </w:r>
      <w:r>
        <w:rPr/>
        <w:tab/>
        <w:t>Wörtlich: benannt wird, „seinen Namen hat“ trägt dem linearen Aspekt des Präsensstamms Rechnung.</w:t>
      </w:r>
    </w:p>
  </w:footnote>
  <w:footnote w:id="6264">
    <w:p>
      <w:pPr>
        <w:pStyle w:val="Funote"/>
        <w:rPr/>
      </w:pPr>
      <w:r>
        <w:rPr>
          <w:rStyle w:val="Funotenzeichen"/>
        </w:rPr>
        <w:footnoteRef/>
      </w:r>
      <w:r>
        <w:rPr/>
        <w:tab/>
        <w:t>Gen. epexegeticus aufgelöst, wörtl.: nach dem Reichtum seiner Herrlichkeit.</w:t>
      </w:r>
    </w:p>
  </w:footnote>
  <w:footnote w:id="6265">
    <w:p>
      <w:pPr>
        <w:pStyle w:val="Funote"/>
        <w:rPr/>
      </w:pPr>
      <w:r>
        <w:rPr>
          <w:rStyle w:val="Funotenzeichen"/>
        </w:rPr>
        <w:footnoteRef/>
      </w:r>
      <w:r>
        <w:rPr>
          <w:lang w:val="el-GR"/>
        </w:rPr>
        <w:tab/>
        <w:t>εἰς</w:t>
      </w:r>
      <w:r>
        <w:rPr/>
        <w:t xml:space="preserve"> steht in der Koine für </w:t>
      </w:r>
      <w:r>
        <w:rPr>
          <w:lang w:val="el-GR"/>
        </w:rPr>
        <w:t>ἐν</w:t>
      </w:r>
      <w:r>
        <w:rPr/>
        <w:t>, BDR § 205, kann aber auch mit "für" übersetzt werden, BDR § 207, Anm. 4</w:t>
      </w:r>
    </w:p>
  </w:footnote>
  <w:footnote w:id="6266">
    <w:p>
      <w:pPr>
        <w:pStyle w:val="Funote"/>
        <w:rPr/>
      </w:pPr>
      <w:r>
        <w:rPr>
          <w:rStyle w:val="Funotenzeichen"/>
        </w:rPr>
        <w:footnoteRef/>
      </w:r>
      <w:hyperlink r:id="rId689">
        <w:r>
          <w:rPr>
            <w:rStyle w:val="Internetverknpfung"/>
          </w:rPr>
          <w:tab/>
          <w:t>Ptz. coni.</w:t>
        </w:r>
      </w:hyperlink>
      <w:r>
        <w:rPr/>
        <w:t>, relativisch aufgelöst.</w:t>
      </w:r>
    </w:p>
  </w:footnote>
  <w:footnote w:id="6267">
    <w:p>
      <w:pPr>
        <w:pStyle w:val="Funote"/>
        <w:rPr/>
      </w:pPr>
      <w:r>
        <w:rPr>
          <w:rStyle w:val="Funotenzeichen"/>
        </w:rPr>
        <w:footnoteRef/>
      </w:r>
      <w:r>
        <w:rPr/>
        <w:tab/>
        <w:t>Koordinierende Partizipien nach verbum finitum, indikativ. Sinn, BDR §468, Anm. 3.</w:t>
      </w:r>
    </w:p>
  </w:footnote>
  <w:footnote w:id="6268">
    <w:p>
      <w:pPr>
        <w:pStyle w:val="Funote"/>
        <w:rPr/>
      </w:pPr>
      <w:r>
        <w:rPr>
          <w:rStyle w:val="Funotenzeichen"/>
        </w:rPr>
        <w:footnoteRef/>
      </w:r>
      <w:r>
        <w:rPr/>
        <w:tab/>
        <w:t>Infinitv als Ergänzung zum Verb, BDR § 392.</w:t>
      </w:r>
    </w:p>
  </w:footnote>
  <w:footnote w:id="6269">
    <w:p>
      <w:pPr>
        <w:pStyle w:val="Funote"/>
        <w:rPr/>
      </w:pPr>
      <w:r>
        <w:rPr>
          <w:rStyle w:val="Funotenzeichen"/>
        </w:rPr>
        <w:footnoteRef/>
      </w:r>
      <w:r>
        <w:rPr/>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6270">
    <w:p>
      <w:pPr>
        <w:pStyle w:val="Funote"/>
        <w:rPr/>
      </w:pPr>
      <w:r>
        <w:rPr>
          <w:rStyle w:val="Funotenzeichen"/>
        </w:rPr>
        <w:footnoteRef/>
      </w:r>
      <w:r>
        <w:rPr/>
        <w:tab/>
        <w:t>Genitivus subiectivus oder obiectivus?</w:t>
      </w:r>
    </w:p>
  </w:footnote>
  <w:footnote w:id="6271">
    <w:p>
      <w:pPr>
        <w:pStyle w:val="Funote"/>
        <w:rPr/>
      </w:pPr>
      <w:r>
        <w:rPr>
          <w:rStyle w:val="Funotenzeichen"/>
        </w:rPr>
        <w:footnoteRef/>
      </w:r>
      <w:r>
        <w:rPr/>
        <w:tab/>
        <w:t>Vgl. BW Sp. 1660.</w:t>
      </w:r>
    </w:p>
  </w:footnote>
  <w:footnote w:id="6272">
    <w:p>
      <w:pPr>
        <w:pStyle w:val="Funote"/>
        <w:rPr/>
      </w:pPr>
      <w:r>
        <w:rPr>
          <w:rStyle w:val="Funotenzeichen"/>
        </w:rPr>
        <w:footnoteRef/>
      </w:r>
      <w:r>
        <w:rPr/>
        <w:tab/>
        <w:t>Wörtlich: der Ewigkeit der Ewigkeiten</w:t>
      </w:r>
    </w:p>
  </w:footnote>
  <w:footnote w:id="6273">
    <w:p>
      <w:pPr>
        <w:pStyle w:val="Funote"/>
        <w:rPr/>
      </w:pPr>
      <w:r>
        <w:rPr>
          <w:rStyle w:val="Funotenzeichen"/>
        </w:rPr>
        <w:footnoteRef/>
      </w:r>
      <w:r>
        <w:rPr/>
        <w:tab/>
        <w:t>[Status: Ungeprüft]</w:t>
      </w:r>
    </w:p>
  </w:footnote>
  <w:footnote w:id="6274">
    <w:p>
      <w:pPr>
        <w:pStyle w:val="Funote"/>
        <w:rPr/>
      </w:pPr>
      <w:r>
        <w:rPr>
          <w:rStyle w:val="Funotenzeichen"/>
        </w:rPr>
        <w:footnoteRef/>
      </w:r>
      <w:r>
        <w:rPr/>
        <w:tab/>
        <w:t>Parenthese</w:t>
      </w:r>
    </w:p>
  </w:footnote>
  <w:footnote w:id="6275">
    <w:p>
      <w:pPr>
        <w:pStyle w:val="Funote"/>
        <w:rPr/>
      </w:pPr>
      <w:r>
        <w:rPr>
          <w:rStyle w:val="Funotenzeichen"/>
        </w:rPr>
        <w:footnoteRef/>
      </w:r>
      <w:r>
        <w:rPr/>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6276">
    <w:p>
      <w:pPr>
        <w:pStyle w:val="Funote"/>
        <w:rPr/>
      </w:pPr>
      <w:r>
        <w:rPr>
          <w:rStyle w:val="Funotenzeichen"/>
        </w:rPr>
        <w:footnoteRef/>
      </w:r>
      <w:r>
        <w:rPr/>
        <w:tab/>
        <w:t>Die Herkunft des Zitats ist unbekannt.</w:t>
      </w:r>
    </w:p>
  </w:footnote>
  <w:footnote w:id="6277">
    <w:p>
      <w:pPr>
        <w:pStyle w:val="Funote"/>
        <w:rPr/>
      </w:pPr>
      <w:r>
        <w:rPr>
          <w:rStyle w:val="Funotenzeichen"/>
        </w:rPr>
        <w:footnoteRef/>
      </w:r>
      <w:r>
        <w:rPr/>
        <w:tab/>
        <w:t>Partizip, wörtl.: Schlafender.</w:t>
      </w:r>
    </w:p>
  </w:footnote>
  <w:footnote w:id="6278">
    <w:p>
      <w:pPr>
        <w:pStyle w:val="Funote"/>
        <w:rPr/>
      </w:pPr>
      <w:r>
        <w:rPr>
          <w:rStyle w:val="Funotenzeichen"/>
        </w:rPr>
        <w:footnoteRef/>
      </w:r>
      <w:r>
        <w:rPr/>
        <w:tab/>
        <w:t>Imperativ, die Endung -</w:t>
      </w:r>
      <w:r>
        <w:rPr>
          <w:lang w:val="el-GR"/>
        </w:rPr>
        <w:t>στα</w:t>
      </w:r>
      <w:r>
        <w:rPr/>
        <w:t xml:space="preserve"> in der Koine statt -</w:t>
      </w:r>
      <w:r>
        <w:rPr>
          <w:lang w:val="el-GR"/>
        </w:rPr>
        <w:t>στῆτι</w:t>
      </w:r>
      <w:r>
        <w:rPr/>
        <w:t>.</w:t>
      </w:r>
    </w:p>
  </w:footnote>
  <w:footnote w:id="6279">
    <w:p>
      <w:pPr>
        <w:pStyle w:val="Funote"/>
        <w:rPr/>
      </w:pPr>
      <w:r>
        <w:rPr>
          <w:rStyle w:val="Funotenzeichen"/>
        </w:rPr>
        <w:footnoteRef/>
      </w:r>
      <w:r>
        <w:rPr/>
        <w:tab/>
        <w:t>Modales Ptc. coni.</w:t>
      </w:r>
    </w:p>
  </w:footnote>
  <w:footnote w:id="6280">
    <w:p>
      <w:pPr>
        <w:pStyle w:val="Funote"/>
        <w:rPr/>
      </w:pPr>
      <w:r>
        <w:rPr>
          <w:rStyle w:val="Funotenzeichen"/>
        </w:rPr>
        <w:footnoteRef/>
      </w:r>
      <w:r>
        <w:rPr/>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6281">
    <w:p>
      <w:pPr>
        <w:pStyle w:val="Funote"/>
        <w:rPr/>
      </w:pPr>
      <w:r>
        <w:rPr>
          <w:rStyle w:val="Funotenzeichen"/>
        </w:rPr>
        <w:footnoteRef/>
      </w:r>
      <w:r>
        <w:rPr/>
        <w:tab/>
        <w:t>Vgl. Schnackenburg</w:t>
      </w:r>
    </w:p>
  </w:footnote>
  <w:footnote w:id="6282">
    <w:p>
      <w:pPr>
        <w:pStyle w:val="Funote"/>
        <w:rPr/>
      </w:pPr>
      <w:r>
        <w:rPr>
          <w:rStyle w:val="Funotenzeichen"/>
        </w:rPr>
        <w:footnoteRef/>
      </w:r>
      <w:r>
        <w:rPr/>
        <w:tab/>
        <w:t>Instrumentaler Dativ.</w:t>
      </w:r>
    </w:p>
  </w:footnote>
  <w:footnote w:id="6283">
    <w:p>
      <w:pPr>
        <w:pStyle w:val="Funote"/>
        <w:rPr/>
      </w:pPr>
      <w:r>
        <w:rPr>
          <w:rStyle w:val="Funotenzeichen"/>
        </w:rPr>
        <w:footnoteRef/>
      </w:r>
      <w:r>
        <w:rPr/>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6284">
    <w:p>
      <w:pPr>
        <w:pStyle w:val="Funote"/>
        <w:rPr/>
      </w:pPr>
      <w:r>
        <w:rPr>
          <w:rStyle w:val="Funotenzeichen"/>
        </w:rPr>
        <w:footnoteRef/>
      </w:r>
      <w:r>
        <w:rPr/>
        <w:tab/>
        <w:t>„</w:t>
      </w:r>
      <w:r>
        <w:rPr/>
        <w:t>Durch“ wurde aus grammatischen Gründen und im Blick auf den Gesamtkontext des Epheserbriefs der Vorzug gewährt (Genaueres s. NET Eph 5,18 Fußnote 26).</w:t>
      </w:r>
    </w:p>
  </w:footnote>
  <w:footnote w:id="6285">
    <w:p>
      <w:pPr>
        <w:pStyle w:val="Funote"/>
        <w:rPr/>
      </w:pPr>
      <w:r>
        <w:rPr>
          <w:rStyle w:val="Funotenzeichen"/>
        </w:rPr>
        <w:footnoteRef/>
      </w:r>
      <w:r>
        <w:rPr/>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286">
    <w:p>
      <w:pPr>
        <w:pStyle w:val="Funote"/>
        <w:rPr/>
      </w:pPr>
      <w:r>
        <w:rPr>
          <w:rStyle w:val="Funotenzeichen"/>
        </w:rPr>
        <w:footnoteRef/>
      </w:r>
      <w:r>
        <w:rPr/>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287">
    <w:p>
      <w:pPr>
        <w:pStyle w:val="Funote"/>
        <w:rPr/>
      </w:pPr>
      <w:r>
        <w:rPr>
          <w:rStyle w:val="Funotenzeichen"/>
        </w:rPr>
        <w:footnoteRef/>
      </w:r>
      <w:r>
        <w:rPr/>
        <w:tab/>
        <w:t>Fortsetzung der Apposition aus V. 19; hier mit Komma (in V. 21 mit „und“) angeschlossen.</w:t>
      </w:r>
    </w:p>
  </w:footnote>
  <w:footnote w:id="6288">
    <w:p>
      <w:pPr>
        <w:pStyle w:val="Funote"/>
        <w:rPr/>
      </w:pPr>
      <w:r>
        <w:rPr>
          <w:rStyle w:val="Funotenzeichen"/>
        </w:rPr>
        <w:footnoteRef/>
      </w:r>
      <w:r>
        <w:rPr/>
        <w:tab/>
        <w:t xml:space="preserve">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w:t>
      </w:r>
      <w:r>
        <w:rPr>
          <w:i/>
        </w:rPr>
        <w:t>Discourse Grammar</w:t>
      </w:r>
      <w:r>
        <w:rPr/>
        <w:t xml:space="preserve">, S. 289, 313 (Beispiel 168); s.a. Fußnote in V. 22. </w:t>
      </w:r>
    </w:p>
  </w:footnote>
  <w:footnote w:id="6289">
    <w:p>
      <w:pPr>
        <w:pStyle w:val="Funote"/>
        <w:rPr/>
      </w:pPr>
      <w:r>
        <w:rPr>
          <w:rStyle w:val="Funotenzeichen"/>
        </w:rPr>
        <w:footnoteRef/>
      </w:r>
      <w:r>
        <w:rPr/>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 </w:t>
      </w:r>
    </w:p>
  </w:footnote>
  <w:footnote w:id="6290">
    <w:p>
      <w:pPr>
        <w:pStyle w:val="Funote"/>
        <w:rPr/>
      </w:pPr>
      <w:r>
        <w:rPr>
          <w:rStyle w:val="Funotenzeichen"/>
        </w:rPr>
        <w:footnoteRef/>
      </w:r>
      <w:r>
        <w:rPr/>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291">
    <w:p>
      <w:pPr>
        <w:pStyle w:val="Funote"/>
        <w:rPr/>
      </w:pPr>
      <w:r>
        <w:rPr>
          <w:rStyle w:val="Funotenzeichen"/>
        </w:rPr>
        <w:footnoteRef/>
      </w:r>
      <w:r>
        <w:rPr/>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292">
    <w:p>
      <w:pPr>
        <w:pStyle w:val="Funote"/>
        <w:rPr/>
      </w:pPr>
      <w:r>
        <w:rPr>
          <w:rStyle w:val="Funotenzeichen"/>
        </w:rPr>
        <w:footnoteRef/>
      </w:r>
      <w:r>
        <w:rPr/>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xml:space="preserve">). Der Gedanke hier ist nun, dass Jesus sich dem freiwillig ausgesetzt, sich selbst „hingegeben“ (ältere Übersetzungen), ausgeliefert oder sein Leben gegeben hat. </w:t>
      </w:r>
    </w:p>
  </w:footnote>
  <w:footnote w:id="6293">
    <w:p>
      <w:pPr>
        <w:pStyle w:val="Funote"/>
        <w:rPr/>
      </w:pPr>
      <w:r>
        <w:rPr>
          <w:rStyle w:val="Funotenzeichen"/>
        </w:rPr>
        <w:footnoteRef/>
      </w:r>
      <w:r>
        <w:rPr/>
        <w:tab/>
        <w:t xml:space="preserve">Instr. Dativ, der anzeigt, dass die Gemeinde mit dem Wasserbad gereinigt wird, nicht mit dem Wort. S.a. nächste Fußnote. </w:t>
      </w:r>
    </w:p>
  </w:footnote>
  <w:footnote w:id="6294">
    <w:p>
      <w:pPr>
        <w:pStyle w:val="Funote"/>
        <w:rPr/>
      </w:pPr>
      <w:r>
        <w:rPr>
          <w:rStyle w:val="Funotenzeichen"/>
        </w:rPr>
        <w:footnoteRef/>
      </w:r>
      <w:r>
        <w:rPr/>
        <w:tab/>
        <w:t xml:space="preserve">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 </w:t>
      </w:r>
    </w:p>
  </w:footnote>
  <w:footnote w:id="6295">
    <w:p>
      <w:pPr>
        <w:pStyle w:val="Funote"/>
        <w:rPr/>
      </w:pPr>
      <w:r>
        <w:rPr>
          <w:rStyle w:val="Funotenzeichen"/>
        </w:rPr>
        <w:footnoteRef/>
      </w:r>
      <w:r>
        <w:rPr/>
        <w:tab/>
        <w:t>„</w:t>
      </w:r>
      <w:r>
        <w:rPr/>
        <w:t xml:space="preserve">Durch das Wort“ kann sich auch auf „heiligen“ beziehen. </w:t>
      </w:r>
    </w:p>
  </w:footnote>
  <w:footnote w:id="6296">
    <w:p>
      <w:pPr>
        <w:pStyle w:val="Funote"/>
        <w:rPr/>
      </w:pPr>
      <w:r>
        <w:rPr>
          <w:rStyle w:val="Funotenzeichen"/>
        </w:rPr>
        <w:footnoteRef/>
      </w:r>
      <w:r>
        <w:rPr/>
        <w:tab/>
        <w:t xml:space="preserve">Aufgelöstes Ptz. Aor. Die modale Deutung ist wahrscheinlich, eine temporale oder kausale möglich; die genaue Bewertung hängt von der Deutung des „Wasserbads“ ab. </w:t>
      </w:r>
    </w:p>
  </w:footnote>
  <w:footnote w:id="6297">
    <w:p>
      <w:pPr>
        <w:pStyle w:val="Funote"/>
        <w:rPr/>
      </w:pPr>
      <w:r>
        <w:rPr>
          <w:rStyle w:val="Funotenzeichen"/>
        </w:rPr>
        <w:footnoteRef/>
      </w:r>
      <w:r>
        <w:rPr/>
        <w:tab/>
        <w:t xml:space="preserve">So alle deutschen Übersetzungen. </w:t>
      </w:r>
    </w:p>
  </w:footnote>
  <w:footnote w:id="6298">
    <w:p>
      <w:pPr>
        <w:pStyle w:val="Funote"/>
        <w:rPr/>
      </w:pPr>
      <w:r>
        <w:rPr>
          <w:rStyle w:val="Funotenzeichen"/>
        </w:rPr>
        <w:footnoteRef/>
      </w:r>
      <w:r>
        <w:rPr/>
        <w:tab/>
        <w:t xml:space="preserve">So alle englischen Übersetzungen. </w:t>
      </w:r>
    </w:p>
  </w:footnote>
  <w:footnote w:id="6299">
    <w:p>
      <w:pPr>
        <w:pStyle w:val="Funote"/>
        <w:rPr/>
      </w:pPr>
      <w:r>
        <w:rPr>
          <w:rStyle w:val="Funotenzeichen"/>
        </w:rPr>
        <w:footnoteRef/>
      </w:r>
      <w:r>
        <w:rPr/>
        <w:tab/>
        <w:t xml:space="preserve">So Louw/Nida; DBL Greek. </w:t>
      </w:r>
    </w:p>
  </w:footnote>
  <w:footnote w:id="6300">
    <w:p>
      <w:pPr>
        <w:pStyle w:val="Funote"/>
        <w:rPr/>
      </w:pPr>
      <w:r>
        <w:rPr>
          <w:rStyle w:val="Funotenzeichen"/>
        </w:rPr>
        <w:footnoteRef/>
      </w:r>
      <w:r>
        <w:rPr/>
        <w:tab/>
        <w:t xml:space="preserve">Auflösung eines Ptz. Präs. als Relativsatz. Auch möglich: konsekutiv/final, modal oder durch Weglassung des Verbs mit „ohne“. </w:t>
      </w:r>
    </w:p>
  </w:footnote>
  <w:footnote w:id="6301">
    <w:p>
      <w:pPr>
        <w:pStyle w:val="Funote"/>
        <w:rPr/>
      </w:pPr>
      <w:r>
        <w:rPr>
          <w:rStyle w:val="Funotenzeichen"/>
        </w:rPr>
        <w:footnoteRef/>
      </w:r>
      <w:r>
        <w:rPr/>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302">
    <w:p>
      <w:pPr>
        <w:pStyle w:val="Funote"/>
        <w:rPr/>
      </w:pPr>
      <w:r>
        <w:rPr>
          <w:rStyle w:val="Funotenzeichen"/>
        </w:rPr>
        <w:footnoteRef/>
      </w:r>
      <w:r>
        <w:rPr/>
        <w:tab/>
        <w:t xml:space="preserve">Oder: „Die Männer sollen... so lieben wie ihren“, </w:t>
      </w:r>
      <w:r>
        <w:rPr>
          <w:lang w:val="el-GR"/>
        </w:rPr>
        <w:t>οὕτως</w:t>
      </w:r>
      <w:r>
        <w:rPr/>
        <w:t xml:space="preserve"> (so) wird dann nicht zum Vergleich mit dem Vorhergehenden, sondern dem unmittelbar Folgenden interpretiert (Muddiman). </w:t>
      </w:r>
    </w:p>
  </w:footnote>
  <w:footnote w:id="6303">
    <w:p>
      <w:pPr>
        <w:pStyle w:val="Funote"/>
        <w:rPr/>
      </w:pPr>
      <w:r>
        <w:rPr>
          <w:rStyle w:val="Funotenzeichen"/>
        </w:rPr>
        <w:footnoteRef/>
      </w:r>
      <w:r>
        <w:rPr/>
        <w:tab/>
        <w:t>Auflösung eines subst. Ptz. Präs.</w:t>
      </w:r>
    </w:p>
  </w:footnote>
  <w:footnote w:id="6304">
    <w:p>
      <w:pPr>
        <w:pStyle w:val="Funote"/>
        <w:rPr/>
      </w:pPr>
      <w:r>
        <w:rPr>
          <w:rStyle w:val="Funotenzeichen"/>
        </w:rPr>
        <w:footnoteRef/>
      </w:r>
      <w:r>
        <w:rPr/>
        <w:tab/>
        <w:t xml:space="preserve">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 </w:t>
      </w:r>
    </w:p>
  </w:footnote>
  <w:footnote w:id="6305">
    <w:p>
      <w:pPr>
        <w:pStyle w:val="Funote"/>
        <w:rPr/>
      </w:pPr>
      <w:r>
        <w:rPr>
          <w:rStyle w:val="Funotenzeichen"/>
        </w:rPr>
        <w:footnoteRef/>
      </w:r>
      <w:r>
        <w:rPr/>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306">
    <w:p>
      <w:pPr>
        <w:pStyle w:val="Funote"/>
        <w:rPr/>
      </w:pPr>
      <w:r>
        <w:rPr>
          <w:rStyle w:val="Funotenzeichen"/>
        </w:rPr>
        <w:footnoteRef/>
      </w:r>
      <w:r>
        <w:rPr/>
        <w:tab/>
        <w:t xml:space="preserve">Das Futur ist in diesem Vers (alle Verben) wie das zitierte hebräische Imperfekt in Gen 2,24 gnomisch zu verstehen, markiert also eine grundsätzliche Beobachtung und keine zukünftige Handlung. </w:t>
      </w:r>
    </w:p>
  </w:footnote>
  <w:footnote w:id="6307">
    <w:p>
      <w:pPr>
        <w:pStyle w:val="Funote"/>
        <w:rPr/>
      </w:pPr>
      <w:r>
        <w:rPr>
          <w:rStyle w:val="Funotenzeichen"/>
        </w:rPr>
        <w:footnoteRef/>
      </w:r>
      <w:r>
        <w:rPr/>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308">
    <w:p>
      <w:pPr>
        <w:pStyle w:val="Funote"/>
        <w:rPr/>
      </w:pPr>
      <w:r>
        <w:rPr>
          <w:rStyle w:val="Funotenzeichen"/>
        </w:rPr>
        <w:footnoteRef/>
      </w:r>
      <w:r>
        <w:rPr/>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309">
    <w:p>
      <w:pPr>
        <w:pStyle w:val="Funote"/>
        <w:rPr/>
      </w:pPr>
      <w:r>
        <w:rPr>
          <w:rStyle w:val="Funotenzeichen"/>
        </w:rPr>
        <w:footnoteRef/>
      </w:r>
      <w:r>
        <w:rPr/>
        <w:tab/>
        <w:t>Vgl. NSS.</w:t>
      </w:r>
    </w:p>
  </w:footnote>
  <w:footnote w:id="6310">
    <w:p>
      <w:pPr>
        <w:pStyle w:val="Funote"/>
        <w:rPr/>
      </w:pPr>
      <w:r>
        <w:rPr>
          <w:rStyle w:val="Funotenzeichen"/>
        </w:rPr>
        <w:footnoteRef/>
      </w:r>
      <w:r>
        <w:rPr/>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311">
    <w:p>
      <w:pPr>
        <w:pStyle w:val="Funote"/>
        <w:rPr/>
      </w:pPr>
      <w:r>
        <w:rPr>
          <w:rStyle w:val="Funotenzeichen"/>
        </w:rPr>
        <w:footnoteRef/>
      </w:r>
      <w:r>
        <w:rPr>
          <w:lang w:val="el-GR"/>
        </w:rPr>
        <w:tab/>
        <w:t>ἵνα</w:t>
      </w:r>
      <w:r>
        <w:rPr/>
        <w:t xml:space="preserve">+Konj. entspricht dem Ipv. </w:t>
      </w:r>
    </w:p>
  </w:footnote>
  <w:footnote w:id="6312">
    <w:p>
      <w:pPr>
        <w:pStyle w:val="Funote"/>
        <w:rPr/>
      </w:pPr>
      <w:r>
        <w:rPr>
          <w:rStyle w:val="Funotenzeichen"/>
        </w:rPr>
        <w:footnoteRef/>
      </w:r>
      <w:r>
        <w:rPr/>
        <w:tab/>
        <w:t xml:space="preserve">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 </w:t>
      </w:r>
    </w:p>
  </w:footnote>
  <w:footnote w:id="6313">
    <w:p>
      <w:pPr>
        <w:pStyle w:val="Funote"/>
        <w:rPr/>
      </w:pPr>
      <w:r>
        <w:rPr>
          <w:rStyle w:val="Funotenzeichen"/>
        </w:rPr>
        <w:footnoteRef/>
      </w:r>
      <w:r>
        <w:rPr/>
        <w:tab/>
        <w:t>[Status: Ungeprüft]</w:t>
      </w:r>
    </w:p>
  </w:footnote>
  <w:footnote w:id="6314">
    <w:p>
      <w:pPr>
        <w:pStyle w:val="Funote"/>
        <w:rPr/>
      </w:pPr>
      <w:r>
        <w:rPr>
          <w:rStyle w:val="Funotenzeichen"/>
        </w:rPr>
        <w:footnoteRef/>
      </w:r>
      <w:r>
        <w:rPr/>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315">
    <w:p>
      <w:pPr>
        <w:pStyle w:val="Funote"/>
        <w:rPr/>
      </w:pPr>
      <w:r>
        <w:rPr>
          <w:rStyle w:val="Funotenzeichen"/>
        </w:rPr>
        <w:footnoteRef/>
      </w:r>
      <w:r>
        <w:rPr/>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xml:space="preserve">) beschäftigt waren. Sind die Begriffe hier nach dieser Analogie zu verstehen, so hätte man also nicht an 'geistliche' Ämter in unserem Sinn zu denken …, sondern an Ämter vorwiegend ökonomischen Charakters“ (Barth, S. 3). </w:t>
      </w:r>
    </w:p>
  </w:footnote>
  <w:footnote w:id="6316">
    <w:p>
      <w:pPr>
        <w:pStyle w:val="Funote"/>
        <w:rPr/>
      </w:pPr>
      <w:r>
        <w:rPr>
          <w:rStyle w:val="Funotenzeichen"/>
        </w:rPr>
        <w:footnoteRef/>
      </w:r>
      <w:r>
        <w:rPr/>
        <w:tab/>
        <w:t xml:space="preserve">Einige abendländische Textzeugen haben statt </w:t>
      </w:r>
      <w:r>
        <w:rPr>
          <w:lang w:val="el-GR"/>
        </w:rPr>
        <w:t>τῷ θεῷ: τῷ κυρίῳ</w:t>
      </w:r>
      <w:r>
        <w:rPr/>
        <w:t xml:space="preserve"> (vgl. Barth, S. 5). </w:t>
      </w:r>
    </w:p>
  </w:footnote>
  <w:footnote w:id="6317">
    <w:p>
      <w:pPr>
        <w:pStyle w:val="Funote"/>
        <w:rPr/>
      </w:pPr>
      <w:r>
        <w:rPr>
          <w:rStyle w:val="Funotenzeichen"/>
        </w:rPr>
        <w:footnoteRef/>
      </w:r>
      <w:r>
        <w:rPr/>
        <w:tab/>
        <w:t>Im Gebet; man könnte auch übersetzen: für all euer Gedenken [an mich], doch legt die Parallele Römer 1,9 das nicht nahe (vgl. Barth, S. 6, Anm. 1).</w:t>
      </w:r>
    </w:p>
  </w:footnote>
  <w:footnote w:id="6318">
    <w:p>
      <w:pPr>
        <w:pStyle w:val="Funote"/>
        <w:rPr/>
      </w:pPr>
      <w:r>
        <w:rPr>
          <w:rStyle w:val="Funotenzeichen"/>
        </w:rPr>
        <w:footnoteRef/>
      </w:r>
      <w:r>
        <w:rPr/>
        <w:tab/>
        <w:t xml:space="preserve">Partizip Präsens Passiv modal aufgelöst. </w:t>
      </w:r>
    </w:p>
  </w:footnote>
  <w:footnote w:id="6319">
    <w:p>
      <w:pPr>
        <w:pStyle w:val="Funote"/>
        <w:rPr/>
      </w:pPr>
      <w:r>
        <w:rPr>
          <w:rStyle w:val="Funotenzeichen"/>
        </w:rPr>
        <w:footnoteRef/>
      </w:r>
      <w:r>
        <w:rPr/>
        <w:tab/>
        <w:t xml:space="preserve">Partizip Aorist Medium relativisch aufgelöst. </w:t>
      </w:r>
    </w:p>
  </w:footnote>
  <w:footnote w:id="6320">
    <w:p>
      <w:pPr>
        <w:pStyle w:val="Funote"/>
        <w:rPr/>
      </w:pPr>
      <w:r>
        <w:rPr>
          <w:rStyle w:val="Funotenzeichen"/>
        </w:rPr>
        <w:footnoteRef/>
      </w:r>
      <w:r>
        <w:rPr/>
        <w:tab/>
        <w:t>Das Neutrum bezeichnet das, was nach irgendwelchen Rechtsforderungen gebührlich oder zu leisten ist (BA Sp. 389).</w:t>
      </w:r>
    </w:p>
  </w:footnote>
  <w:footnote w:id="6321">
    <w:p>
      <w:pPr>
        <w:pStyle w:val="Funote"/>
        <w:rPr/>
      </w:pPr>
      <w:r>
        <w:rPr>
          <w:rStyle w:val="Funotenzeichen"/>
        </w:rPr>
        <w:footnoteRef/>
      </w:r>
      <w:r>
        <w:rPr>
          <w:lang w:val="el-GR"/>
        </w:rPr>
        <w:tab/>
        <w:t>διὰ τό</w:t>
      </w:r>
      <w:r>
        <w:rPr/>
        <w:t xml:space="preserve"> zur Bezeichnung des Grundes (BDR § 402,1).</w:t>
      </w:r>
    </w:p>
  </w:footnote>
  <w:footnote w:id="6322">
    <w:p>
      <w:pPr>
        <w:pStyle w:val="Funote"/>
        <w:rPr/>
      </w:pPr>
      <w:r>
        <w:rPr>
          <w:rStyle w:val="Funotenzeichen"/>
        </w:rPr>
        <w:footnoteRef/>
      </w:r>
      <w:r>
        <w:rPr/>
        <w:tab/>
        <w:t xml:space="preserve">Oder: mit, </w:t>
      </w:r>
      <w:r>
        <w:rPr>
          <w:lang w:val="el-GR"/>
        </w:rPr>
        <w:t>ἐν</w:t>
      </w:r>
      <w:r>
        <w:rPr/>
        <w:t xml:space="preserve"> instrumental gebraucht (vgl. BDR § 219).</w:t>
      </w:r>
    </w:p>
  </w:footnote>
  <w:footnote w:id="6323">
    <w:p>
      <w:pPr>
        <w:pStyle w:val="Funote"/>
        <w:rPr/>
      </w:pPr>
      <w:r>
        <w:rPr>
          <w:rStyle w:val="Funotenzeichen"/>
        </w:rPr>
        <w:footnoteRef/>
      </w:r>
      <w:r>
        <w:rPr>
          <w:lang w:val="el-GR"/>
        </w:rPr>
        <w:tab/>
        <w:t>σπλάγχνον</w:t>
      </w:r>
      <w:r>
        <w:rPr/>
        <w:t xml:space="preserve"> bezeichnet urspr. die Eingeweide, im übertragenen Sinne den Sitz der Gefühle (in unserem Sprachgebrauch: das Herz) (BA Sp. 1511).</w:t>
      </w:r>
    </w:p>
  </w:footnote>
  <w:footnote w:id="6324">
    <w:p>
      <w:pPr>
        <w:pStyle w:val="Funote"/>
        <w:rPr/>
      </w:pPr>
      <w:r>
        <w:rPr>
          <w:rStyle w:val="Funotenzeichen"/>
        </w:rPr>
        <w:footnoteRef/>
      </w:r>
      <w:r>
        <w:rPr>
          <w:lang w:val="el-GR"/>
        </w:rPr>
        <w:tab/>
        <w:t>ἐπίγνωσις</w:t>
      </w:r>
      <w:r>
        <w:rPr/>
        <w:t xml:space="preserve"> bezeichnet das intellektuelle Erkennen, </w:t>
      </w:r>
      <w:r>
        <w:rPr>
          <w:lang w:val="el-GR"/>
        </w:rPr>
        <w:t>αἴσθησις</w:t>
      </w:r>
      <w:r>
        <w:rPr/>
        <w:t xml:space="preserve"> das sittliche Verständnis, den Takt (BA Sp. 48).</w:t>
      </w:r>
    </w:p>
  </w:footnote>
  <w:footnote w:id="6325">
    <w:p>
      <w:pPr>
        <w:pStyle w:val="Funote"/>
        <w:rPr/>
      </w:pPr>
      <w:r>
        <w:rPr>
          <w:rStyle w:val="Funotenzeichen"/>
        </w:rPr>
        <w:footnoteRef/>
      </w:r>
      <w:r>
        <w:rPr>
          <w:lang w:val="el-GR"/>
        </w:rPr>
        <w:tab/>
        <w:t>ἐις τό</w:t>
      </w:r>
      <w:r>
        <w:rPr/>
        <w:t xml:space="preserve"> bezeichnet Zweck oder Folge (BDR § 402,2).</w:t>
      </w:r>
    </w:p>
  </w:footnote>
  <w:footnote w:id="6326">
    <w:p>
      <w:pPr>
        <w:pStyle w:val="Funote"/>
        <w:rPr/>
      </w:pPr>
      <w:r>
        <w:rPr>
          <w:rStyle w:val="Funotenzeichen"/>
        </w:rPr>
        <w:footnoteRef/>
      </w:r>
      <w:r>
        <w:rPr/>
        <w:tab/>
        <w:t>Tautologie (BDR § 495 Anm. 2)</w:t>
      </w:r>
    </w:p>
  </w:footnote>
  <w:footnote w:id="6327">
    <w:p>
      <w:pPr>
        <w:pStyle w:val="Funote"/>
        <w:rPr/>
      </w:pPr>
      <w:r>
        <w:rPr>
          <w:rStyle w:val="Funotenzeichen"/>
        </w:rPr>
        <w:footnoteRef/>
      </w:r>
      <w:r>
        <w:rPr>
          <w:lang w:val="el-GR"/>
        </w:rPr>
        <w:tab/>
        <w:t>ἐις</w:t>
      </w:r>
      <w:r>
        <w:rPr/>
        <w:t xml:space="preserve"> zum Ausdruck der Bestimmung (BDR § 207,3).</w:t>
      </w:r>
    </w:p>
  </w:footnote>
  <w:footnote w:id="6328">
    <w:p>
      <w:pPr>
        <w:pStyle w:val="Funote"/>
        <w:rPr/>
      </w:pPr>
      <w:r>
        <w:rPr>
          <w:rStyle w:val="Funotenzeichen"/>
        </w:rPr>
        <w:footnoteRef/>
      </w:r>
      <w:r>
        <w:rPr/>
        <w:tab/>
        <w:t>Barth, S. 5 ergänzt das Verb.</w:t>
      </w:r>
    </w:p>
  </w:footnote>
  <w:footnote w:id="6329">
    <w:p>
      <w:pPr>
        <w:pStyle w:val="Funote"/>
        <w:rPr/>
      </w:pPr>
      <w:r>
        <w:rPr>
          <w:rStyle w:val="Funotenzeichen"/>
        </w:rPr>
        <w:footnoteRef/>
      </w:r>
      <w:r>
        <w:rPr/>
        <w:tab/>
        <w:t>wörtl.: Brüder</w:t>
      </w:r>
    </w:p>
  </w:footnote>
  <w:footnote w:id="6330">
    <w:p>
      <w:pPr>
        <w:pStyle w:val="Funote"/>
        <w:rPr/>
      </w:pPr>
      <w:r>
        <w:rPr>
          <w:rStyle w:val="Funotenzeichen"/>
        </w:rPr>
        <w:footnoteRef/>
      </w:r>
      <w:r>
        <w:rPr/>
        <w:tab/>
        <w:t>adverbieller Akkusativ, BDR § 266,4: wörtl.: "das in Bezug auf mich" - Barth übersetzt: "das, was mir widerfahren ist" - damit geht er auf Fragen seiner Adressaten ein, vgl. S. 17</w:t>
      </w:r>
    </w:p>
  </w:footnote>
  <w:footnote w:id="6331">
    <w:p>
      <w:pPr>
        <w:pStyle w:val="Funote"/>
        <w:rPr/>
      </w:pPr>
      <w:r>
        <w:rPr>
          <w:rStyle w:val="Funotenzeichen"/>
        </w:rPr>
        <w:footnoteRef/>
      </w:r>
      <w:r>
        <w:rPr/>
        <w:tab/>
        <w:t xml:space="preserve">so BW Sp. 616. Die Verbform ist Aorist von </w:t>
      </w:r>
      <w:r>
        <w:rPr>
          <w:lang w:val="el-GR"/>
        </w:rPr>
        <w:t>ἕρχομαι</w:t>
      </w:r>
      <w:r>
        <w:rPr/>
        <w:t>, kommen, gelangen</w:t>
      </w:r>
    </w:p>
  </w:footnote>
  <w:footnote w:id="6332">
    <w:p>
      <w:pPr>
        <w:pStyle w:val="Funote"/>
        <w:rPr/>
      </w:pPr>
      <w:r>
        <w:rPr>
          <w:rStyle w:val="Funotenzeichen"/>
        </w:rPr>
        <w:footnoteRef/>
      </w:r>
      <w:r>
        <w:rPr/>
        <w:tab/>
        <w:t xml:space="preserve">Konsekutivsatz: </w:t>
      </w:r>
      <w:r>
        <w:rPr>
          <w:lang w:val="el-GR"/>
        </w:rPr>
        <w:t>ὥστε</w:t>
      </w:r>
      <w:r>
        <w:rPr/>
        <w:t xml:space="preserve"> + Infinitiv = gedachte/ tatsächliche Folge, BDR § 391</w:t>
      </w:r>
    </w:p>
  </w:footnote>
  <w:footnote w:id="6333">
    <w:p>
      <w:pPr>
        <w:pStyle w:val="Funote"/>
        <w:rPr/>
      </w:pPr>
      <w:r>
        <w:rPr>
          <w:rStyle w:val="Funotenzeichen"/>
        </w:rPr>
        <w:footnoteRef/>
      </w:r>
      <w:r>
        <w:rPr/>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334">
    <w:p>
      <w:pPr>
        <w:pStyle w:val="Funote"/>
        <w:rPr/>
      </w:pPr>
      <w:r>
        <w:rPr>
          <w:rStyle w:val="Funotenzeichen"/>
        </w:rPr>
        <w:footnoteRef/>
      </w:r>
      <w:r>
        <w:rPr/>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335">
    <w:p>
      <w:pPr>
        <w:pStyle w:val="Funote"/>
        <w:rPr/>
      </w:pPr>
      <w:r>
        <w:rPr>
          <w:rStyle w:val="Funotenzeichen"/>
        </w:rPr>
        <w:footnoteRef/>
      </w:r>
      <w:r>
        <w:rPr/>
        <w:tab/>
        <w:t>Bath schlägt als freie Übersetzung vor: "Bei den Prätorianern und der ganzen Gesellschaft ist meine Gefangenschaft an der Tagesordnung", S. 20</w:t>
      </w:r>
    </w:p>
  </w:footnote>
  <w:footnote w:id="6336">
    <w:p>
      <w:pPr>
        <w:pStyle w:val="Funote"/>
        <w:rPr/>
      </w:pPr>
      <w:r>
        <w:rPr>
          <w:rStyle w:val="Funotenzeichen"/>
        </w:rPr>
        <w:footnoteRef/>
      </w:r>
      <w:r>
        <w:rPr/>
        <w:tab/>
        <w:t>wörtl.: Brüder</w:t>
      </w:r>
    </w:p>
  </w:footnote>
  <w:footnote w:id="6337">
    <w:p>
      <w:pPr>
        <w:pStyle w:val="Funote"/>
        <w:rPr/>
      </w:pPr>
      <w:r>
        <w:rPr>
          <w:rStyle w:val="Funotenzeichen"/>
        </w:rPr>
        <w:footnoteRef/>
      </w:r>
      <w:hyperlink r:id="rId690">
        <w:r>
          <w:rPr>
            <w:rStyle w:val="Internetverknpfung"/>
          </w:rPr>
          <w:tab/>
          <w:t>Ptz. coni.</w:t>
        </w:r>
      </w:hyperlink>
      <w:r>
        <w:rPr/>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338">
    <w:p>
      <w:pPr>
        <w:pStyle w:val="Funote"/>
        <w:rPr/>
      </w:pPr>
      <w:r>
        <w:rPr>
          <w:rStyle w:val="Funotenzeichen"/>
        </w:rPr>
        <w:footnoteRef/>
      </w:r>
      <w:r>
        <w:rPr/>
        <w:tab/>
        <w:t>Lohmeyer zieht zusammen: "kühnlicher es wagten …", vgl. S. 38</w:t>
      </w:r>
    </w:p>
  </w:footnote>
  <w:footnote w:id="6339">
    <w:p>
      <w:pPr>
        <w:pStyle w:val="Funote"/>
        <w:rPr/>
      </w:pPr>
      <w:r>
        <w:rPr>
          <w:rStyle w:val="Funotenzeichen"/>
        </w:rPr>
        <w:footnoteRef/>
      </w:r>
      <w:r>
        <w:rPr/>
        <w:tab/>
        <w:t>das Verb steht am Ende des Satzes, im Dt. muss es nach vorn gezogen werden</w:t>
      </w:r>
    </w:p>
  </w:footnote>
  <w:footnote w:id="6340">
    <w:p>
      <w:pPr>
        <w:pStyle w:val="Funote"/>
        <w:rPr/>
      </w:pPr>
      <w:r>
        <w:rPr>
          <w:rStyle w:val="Funotenzeichen"/>
        </w:rPr>
        <w:footnoteRef/>
      </w:r>
      <w:r>
        <w:rPr/>
        <w:tab/>
        <w:t>Das eigenartige "auch" will andeuten: Nicht NUR aus Neid und Streit, vgl. Barth, S. 23. Es geht jedenfalls nicht um inhaltliche Gegensätze, sondern um persönliche Gegnerschaft Paulus gegenüber (S. 24)</w:t>
      </w:r>
    </w:p>
  </w:footnote>
  <w:footnote w:id="6341">
    <w:p>
      <w:pPr>
        <w:pStyle w:val="Funote"/>
        <w:rPr/>
      </w:pPr>
      <w:r>
        <w:rPr>
          <w:rStyle w:val="Funotenzeichen"/>
        </w:rPr>
        <w:footnoteRef/>
      </w:r>
      <w:hyperlink r:id="rId691">
        <w:r>
          <w:rPr>
            <w:rStyle w:val="Internetverknpfung"/>
          </w:rPr>
          <w:tab/>
          <w:t>Ptz. coni.</w:t>
        </w:r>
      </w:hyperlink>
      <w:r>
        <w:rPr/>
        <w:t>, kausal aufgelöst</w:t>
      </w:r>
    </w:p>
  </w:footnote>
  <w:footnote w:id="6342">
    <w:p>
      <w:pPr>
        <w:pStyle w:val="Funote"/>
        <w:rPr/>
      </w:pPr>
      <w:r>
        <w:rPr>
          <w:rStyle w:val="Funotenzeichen"/>
        </w:rPr>
        <w:footnoteRef/>
      </w:r>
      <w:hyperlink r:id="rId692">
        <w:r>
          <w:rPr>
            <w:rStyle w:val="Internetverknpfung"/>
          </w:rPr>
          <w:tab/>
          <w:t>Ptz. coni.</w:t>
        </w:r>
      </w:hyperlink>
      <w:r>
        <w:rPr/>
        <w:t>, kausal aufgelöst</w:t>
      </w:r>
    </w:p>
  </w:footnote>
  <w:footnote w:id="6343">
    <w:p>
      <w:pPr>
        <w:pStyle w:val="Funote"/>
        <w:rPr/>
      </w:pPr>
      <w:r>
        <w:rPr>
          <w:rStyle w:val="Funotenzeichen"/>
        </w:rPr>
        <w:footnoteRef/>
      </w:r>
      <w:r>
        <w:rPr/>
        <w:tab/>
        <w:t>Barth: "Was ist dabei?" Lohmeyer: "Was tut's?"</w:t>
      </w:r>
    </w:p>
  </w:footnote>
  <w:footnote w:id="6344">
    <w:p>
      <w:pPr>
        <w:pStyle w:val="Funote"/>
        <w:rPr/>
      </w:pPr>
      <w:r>
        <w:rPr>
          <w:rStyle w:val="Funotenzeichen"/>
        </w:rPr>
        <w:footnoteRef/>
      </w:r>
      <w:r>
        <w:rPr/>
        <w:tab/>
        <w:t xml:space="preserve">Der Satz hat kein Verb; es ist das Hilfsverb </w:t>
      </w:r>
      <w:r>
        <w:rPr>
          <w:lang w:val="el-GR"/>
        </w:rPr>
        <w:t>ἐστίν</w:t>
      </w:r>
      <w:r>
        <w:rPr/>
        <w:t>, sein, zu ergänzen; die beiden Infinitive sind substantiviert. Man könnte auch ergänzen "heißt", "bedeutet"</w:t>
      </w:r>
    </w:p>
  </w:footnote>
  <w:footnote w:id="6345">
    <w:p>
      <w:pPr>
        <w:pStyle w:val="Funote"/>
        <w:rPr/>
      </w:pPr>
      <w:r>
        <w:rPr>
          <w:rStyle w:val="Funotenzeichen"/>
        </w:rPr>
        <w:footnoteRef/>
      </w:r>
      <w:r>
        <w:rPr/>
        <w:tab/>
        <w:t>vgl. Gal 2,20: "Ich lebe, aber nicht mehr ich, sondern es lebt in mir Christus"</w:t>
      </w:r>
    </w:p>
  </w:footnote>
  <w:footnote w:id="6346">
    <w:p>
      <w:pPr>
        <w:pStyle w:val="Funote"/>
        <w:rPr/>
      </w:pPr>
      <w:r>
        <w:rPr>
          <w:rStyle w:val="Funotenzeichen"/>
        </w:rPr>
        <w:footnoteRef/>
      </w:r>
      <w:r>
        <w:rPr/>
        <w:tab/>
        <w:t>substantivierter Infinitiv</w:t>
      </w:r>
    </w:p>
  </w:footnote>
  <w:footnote w:id="6347">
    <w:p>
      <w:pPr>
        <w:pStyle w:val="Funote"/>
        <w:rPr/>
      </w:pPr>
      <w:r>
        <w:rPr>
          <w:rStyle w:val="Funotenzeichen"/>
        </w:rPr>
        <w:footnoteRef/>
      </w:r>
      <w:r>
        <w:rPr/>
        <w:tab/>
        <w:t>"'Leben im Fleisch' heißt 'Ernten'. Das ist die Möglichkeit, die im Fall seines Sterbens wegfallen würde. Darum kann er auch das 'Leben im Fleisch', wenn es sein soll, bejahen." (Barth, S. 33)</w:t>
      </w:r>
    </w:p>
  </w:footnote>
  <w:footnote w:id="6348">
    <w:p>
      <w:pPr>
        <w:pStyle w:val="Funote"/>
        <w:rPr/>
      </w:pPr>
      <w:r>
        <w:rPr>
          <w:rStyle w:val="Funotenzeichen"/>
        </w:rPr>
        <w:footnoteRef/>
      </w:r>
      <w:hyperlink r:id="rId693">
        <w:r>
          <w:rPr>
            <w:rStyle w:val="Internetverknpfung"/>
          </w:rPr>
          <w:tab/>
          <w:t>Ptz. coni.</w:t>
        </w:r>
      </w:hyperlink>
    </w:p>
  </w:footnote>
  <w:footnote w:id="6349">
    <w:p>
      <w:pPr>
        <w:pStyle w:val="Funote"/>
        <w:rPr/>
      </w:pPr>
      <w:r>
        <w:rPr>
          <w:rStyle w:val="Funotenzeichen"/>
        </w:rPr>
        <w:footnoteRef/>
      </w:r>
      <w:r>
        <w:rPr/>
        <w:tab/>
        <w:t>Euphemismus für "sterben"</w:t>
      </w:r>
    </w:p>
  </w:footnote>
  <w:footnote w:id="6350">
    <w:p>
      <w:pPr>
        <w:pStyle w:val="Funote"/>
        <w:rPr/>
      </w:pPr>
      <w:r>
        <w:rPr>
          <w:rStyle w:val="Funotenzeichen"/>
        </w:rPr>
        <w:footnoteRef/>
      </w:r>
      <w:r>
        <w:rPr/>
        <w:tab/>
        <w:t>Die Häufung von Komparativen bildet einen Pleonasmus, der zu einer Verstärkung führt, BDR § 246,1. Lohmann übersetzt: das ist "weit, weit besser"</w:t>
      </w:r>
    </w:p>
  </w:footnote>
  <w:footnote w:id="6351">
    <w:p>
      <w:pPr>
        <w:pStyle w:val="Funote"/>
        <w:rPr/>
      </w:pPr>
      <w:r>
        <w:rPr>
          <w:rStyle w:val="Funotenzeichen"/>
        </w:rPr>
        <w:footnoteRef/>
      </w:r>
      <w:hyperlink r:id="rId694">
        <w:r>
          <w:rPr>
            <w:rStyle w:val="Internetverknpfung"/>
          </w:rPr>
          <w:tab/>
          <w:t>Ptz. coni.</w:t>
        </w:r>
      </w:hyperlink>
    </w:p>
  </w:footnote>
  <w:footnote w:id="6352">
    <w:p>
      <w:pPr>
        <w:pStyle w:val="Funote"/>
        <w:rPr/>
      </w:pPr>
      <w:r>
        <w:rPr>
          <w:rStyle w:val="Funotenzeichen"/>
        </w:rPr>
        <w:footnoteRef/>
      </w:r>
      <w:hyperlink r:id="rId695">
        <w:r>
          <w:rPr>
            <w:rStyle w:val="Internetverknpfung"/>
          </w:rPr>
          <w:tab/>
          <w:t>Ptz. coni.</w:t>
        </w:r>
      </w:hyperlink>
    </w:p>
  </w:footnote>
  <w:footnote w:id="6353">
    <w:p>
      <w:pPr>
        <w:pStyle w:val="Funote"/>
        <w:rPr/>
      </w:pPr>
      <w:r>
        <w:rPr>
          <w:rStyle w:val="Funotenzeichen"/>
        </w:rPr>
        <w:footnoteRef/>
      </w:r>
      <w:hyperlink r:id="rId696">
        <w:r>
          <w:rPr>
            <w:rStyle w:val="Internetverknpfung"/>
          </w:rPr>
          <w:tab/>
          <w:t>Ptz.</w:t>
        </w:r>
      </w:hyperlink>
    </w:p>
  </w:footnote>
  <w:footnote w:id="6354">
    <w:p>
      <w:pPr>
        <w:pStyle w:val="Funote"/>
        <w:rPr/>
      </w:pPr>
      <w:r>
        <w:rPr>
          <w:rStyle w:val="Funotenzeichen"/>
        </w:rPr>
        <w:footnoteRef/>
      </w:r>
      <w:hyperlink r:id="rId697">
        <w:r>
          <w:rPr>
            <w:rStyle w:val="Internetverknpfung"/>
          </w:rPr>
          <w:tab/>
          <w:t>Ptz.</w:t>
        </w:r>
      </w:hyperlink>
    </w:p>
  </w:footnote>
  <w:footnote w:id="6355">
    <w:p>
      <w:pPr>
        <w:pStyle w:val="Funote"/>
        <w:rPr/>
      </w:pPr>
      <w:r>
        <w:rPr>
          <w:rStyle w:val="Funotenzeichen"/>
        </w:rPr>
        <w:footnoteRef/>
      </w:r>
      <w:r>
        <w:rPr/>
        <w:tab/>
        <w:t>das Hilfsverb, das im Griech. am Anfang des Satzes steht, muss im Dt. nach hinten gezogen werden</w:t>
      </w:r>
    </w:p>
  </w:footnote>
  <w:footnote w:id="6356">
    <w:p>
      <w:pPr>
        <w:pStyle w:val="Funote"/>
        <w:rPr/>
      </w:pPr>
      <w:r>
        <w:rPr>
          <w:rStyle w:val="Funotenzeichen"/>
        </w:rPr>
        <w:footnoteRef/>
      </w:r>
      <w:r>
        <w:rPr/>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357">
    <w:p>
      <w:pPr>
        <w:pStyle w:val="Funote"/>
        <w:rPr/>
      </w:pPr>
      <w:r>
        <w:rPr>
          <w:rStyle w:val="Funotenzeichen"/>
        </w:rPr>
        <w:footnoteRef/>
      </w:r>
      <w:r>
        <w:rPr/>
        <w:tab/>
        <w:t>[Status: Ungeprüft]</w:t>
      </w:r>
    </w:p>
  </w:footnote>
  <w:footnote w:id="6358">
    <w:p>
      <w:pPr>
        <w:pStyle w:val="Funote"/>
        <w:rPr/>
      </w:pPr>
      <w:r>
        <w:rPr>
          <w:rStyle w:val="Funotenzeichen"/>
        </w:rPr>
        <w:footnoteRef/>
      </w:r>
      <w:r>
        <w:rPr>
          <w:lang w:val="el-GR"/>
        </w:rPr>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359">
    <w:p>
      <w:pPr>
        <w:pStyle w:val="Funote"/>
        <w:rPr/>
      </w:pPr>
      <w:r>
        <w:rPr>
          <w:rStyle w:val="Funotenzeichen"/>
        </w:rPr>
        <w:footnoteRef/>
      </w:r>
      <w:r>
        <w:rPr>
          <w:lang w:val="el-GR"/>
        </w:rPr>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360">
    <w:p>
      <w:pPr>
        <w:pStyle w:val="Funote"/>
        <w:rPr/>
      </w:pPr>
      <w:r>
        <w:rPr>
          <w:rStyle w:val="Funotenzeichen"/>
        </w:rPr>
        <w:footnoteRef/>
      </w:r>
      <w:r>
        <w:rPr/>
        <w:tab/>
        <w:t>Ptz.</w:t>
      </w:r>
    </w:p>
  </w:footnote>
  <w:footnote w:id="6361">
    <w:p>
      <w:pPr>
        <w:pStyle w:val="Funote"/>
        <w:rPr/>
      </w:pPr>
      <w:r>
        <w:rPr>
          <w:rStyle w:val="Funotenzeichen"/>
        </w:rPr>
        <w:footnoteRef/>
      </w:r>
      <w:r>
        <w:rPr/>
        <w:tab/>
        <w:t>Ptz.</w:t>
      </w:r>
    </w:p>
  </w:footnote>
  <w:footnote w:id="6362">
    <w:p>
      <w:pPr>
        <w:pStyle w:val="Funote"/>
        <w:rPr/>
      </w:pPr>
      <w:r>
        <w:rPr>
          <w:rStyle w:val="Funotenzeichen"/>
        </w:rPr>
        <w:footnoteRef/>
      </w:r>
      <w:r>
        <w:rPr/>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363">
    <w:p>
      <w:pPr>
        <w:pStyle w:val="Funote"/>
        <w:rPr/>
      </w:pPr>
      <w:r>
        <w:rPr>
          <w:rStyle w:val="Funotenzeichen"/>
        </w:rPr>
        <w:footnoteRef/>
      </w:r>
      <w:hyperlink r:id="rId698">
        <w:r>
          <w:rPr>
            <w:rStyle w:val="Internetverknpfung"/>
          </w:rPr>
          <w:tab/>
          <w:t>Ptz. coni.</w:t>
        </w:r>
      </w:hyperlink>
      <w:r>
        <w:rPr/>
        <w:t>, mit Nebensatz aufgelöst</w:t>
      </w:r>
    </w:p>
  </w:footnote>
  <w:footnote w:id="6364">
    <w:p>
      <w:pPr>
        <w:pStyle w:val="Funote"/>
        <w:rPr/>
      </w:pPr>
      <w:r>
        <w:rPr>
          <w:rStyle w:val="Funotenzeichen"/>
        </w:rPr>
        <w:footnoteRef/>
      </w:r>
      <w:r>
        <w:rPr/>
        <w:tab/>
        <w:t>Ptz.</w:t>
      </w:r>
    </w:p>
  </w:footnote>
  <w:footnote w:id="6365">
    <w:p>
      <w:pPr>
        <w:pStyle w:val="Funote"/>
        <w:rPr/>
      </w:pPr>
      <w:r>
        <w:rPr>
          <w:rStyle w:val="Funotenzeichen"/>
        </w:rPr>
        <w:footnoteRef/>
      </w:r>
      <w:r>
        <w:rPr/>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366">
    <w:p>
      <w:pPr>
        <w:pStyle w:val="Funote"/>
        <w:rPr/>
      </w:pPr>
      <w:r>
        <w:rPr>
          <w:rStyle w:val="Funotenzeichen"/>
        </w:rPr>
        <w:footnoteRef/>
      </w:r>
      <w:r>
        <w:rPr/>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367">
    <w:p>
      <w:pPr>
        <w:pStyle w:val="Funote"/>
        <w:rPr/>
      </w:pPr>
      <w:r>
        <w:rPr>
          <w:rStyle w:val="Funotenzeichen"/>
        </w:rPr>
        <w:footnoteRef/>
      </w:r>
      <w:r>
        <w:rPr/>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368">
    <w:p>
      <w:pPr>
        <w:pStyle w:val="Funote"/>
        <w:rPr/>
      </w:pPr>
      <w:r>
        <w:rPr>
          <w:rStyle w:val="Funotenzeichen"/>
        </w:rPr>
        <w:footnoteRef/>
      </w:r>
      <w:hyperlink r:id="rId699">
        <w:r>
          <w:rPr>
            <w:rStyle w:val="Internetverknpfung"/>
          </w:rPr>
          <w:tab/>
          <w:t>Ptz. coni.</w:t>
        </w:r>
      </w:hyperlink>
      <w:r>
        <w:rPr/>
        <w:t>, konzessiv übersetzt</w:t>
      </w:r>
    </w:p>
  </w:footnote>
  <w:footnote w:id="6369">
    <w:p>
      <w:pPr>
        <w:pStyle w:val="Funote"/>
        <w:rPr/>
      </w:pPr>
      <w:r>
        <w:rPr>
          <w:rStyle w:val="Funotenzeichen"/>
        </w:rPr>
        <w:footnoteRef/>
      </w:r>
      <w:r>
        <w:rPr/>
        <w:tab/>
        <w:t xml:space="preserve">Im hellen. Griechisch ersetzt </w:t>
      </w:r>
      <w:r>
        <w:rPr>
          <w:lang w:val="el-GR"/>
        </w:rPr>
        <w:t>ὑπάρχω</w:t>
      </w:r>
      <w:r>
        <w:rPr/>
        <w:t xml:space="preserve"> das Partizip von </w:t>
      </w:r>
      <w:r>
        <w:rPr>
          <w:lang w:val="el-GR"/>
        </w:rPr>
        <w:t>εἴναι</w:t>
      </w:r>
      <w:r>
        <w:rPr/>
        <w:t>, BW Sp. 1658</w:t>
      </w:r>
    </w:p>
  </w:footnote>
  <w:footnote w:id="6370">
    <w:p>
      <w:pPr>
        <w:pStyle w:val="Funote"/>
        <w:rPr/>
      </w:pPr>
      <w:r>
        <w:rPr>
          <w:rStyle w:val="Funotenzeichen"/>
        </w:rPr>
        <w:footnoteRef/>
      </w:r>
      <w:r>
        <w:rPr>
          <w:lang w:val="el-GR"/>
        </w:rPr>
        <w:tab/>
        <w:t>ἁρπαγμός</w:t>
      </w:r>
      <w:r>
        <w:rPr/>
        <w:t xml:space="preserve"> lässt sich sowohl sensu malo fassen: Das Geraubte, die Beute, wie auch sensu bono: Das Geschenk des Zufalls, der Glücksfund, BW Sp. 215</w:t>
      </w:r>
    </w:p>
  </w:footnote>
  <w:footnote w:id="6371">
    <w:p>
      <w:pPr>
        <w:pStyle w:val="Funote"/>
        <w:rPr/>
      </w:pPr>
      <w:r>
        <w:rPr>
          <w:rStyle w:val="Funotenzeichen"/>
        </w:rPr>
        <w:footnoteRef/>
      </w:r>
      <w:hyperlink r:id="rId700">
        <w:r>
          <w:rPr>
            <w:rStyle w:val="Internetverknpfung"/>
          </w:rPr>
          <w:tab/>
          <w:t>Ptz. coni.</w:t>
        </w:r>
      </w:hyperlink>
      <w:r>
        <w:rPr/>
        <w:t>, konzessiv übersetzt</w:t>
      </w:r>
    </w:p>
  </w:footnote>
  <w:footnote w:id="6372">
    <w:p>
      <w:pPr>
        <w:pStyle w:val="Funote"/>
        <w:rPr/>
      </w:pPr>
      <w:r>
        <w:rPr>
          <w:rStyle w:val="Funotenzeichen"/>
        </w:rPr>
        <w:footnoteRef/>
      </w:r>
      <w:hyperlink r:id="rId701">
        <w:r>
          <w:rPr>
            <w:rStyle w:val="Internetverknpfung"/>
          </w:rPr>
          <w:tab/>
          <w:t>Ptz. coni.</w:t>
        </w:r>
      </w:hyperlink>
      <w:r>
        <w:rPr/>
        <w:t>, beiordnend übersetzt</w:t>
      </w:r>
    </w:p>
  </w:footnote>
  <w:footnote w:id="6373">
    <w:p>
      <w:pPr>
        <w:pStyle w:val="Funote"/>
        <w:rPr/>
      </w:pPr>
      <w:r>
        <w:rPr>
          <w:rStyle w:val="Funotenzeichen"/>
        </w:rPr>
        <w:footnoteRef/>
      </w:r>
      <w:r>
        <w:rPr>
          <w:lang w:val="el-GR"/>
        </w:rPr>
        <w:tab/>
        <w:t>εὑρίσκω</w:t>
      </w:r>
      <w:r>
        <w:rPr/>
        <w:t xml:space="preserve"> wie hebr. </w:t>
      </w:r>
      <w:r>
        <w:rPr>
          <w:rtl w:val="true"/>
          <w:lang w:bidi="he-IL"/>
        </w:rPr>
        <w:t>נִמְצָה</w:t>
      </w:r>
      <w:r>
        <w:rPr/>
        <w:t>, sich zeigen, erscheinen, sich erweisen, BW Sp. 643</w:t>
      </w:r>
    </w:p>
  </w:footnote>
  <w:footnote w:id="6374">
    <w:p>
      <w:pPr>
        <w:pStyle w:val="Funote"/>
        <w:rPr/>
      </w:pPr>
      <w:r>
        <w:rPr>
          <w:rStyle w:val="Funotenzeichen"/>
        </w:rPr>
        <w:footnoteRef/>
      </w:r>
      <w:hyperlink r:id="rId702">
        <w:r>
          <w:rPr>
            <w:rStyle w:val="Internetverknpfung"/>
          </w:rPr>
          <w:tab/>
          <w:t>Ptz. coni.</w:t>
        </w:r>
      </w:hyperlink>
      <w:r>
        <w:rPr/>
        <w:t>, beiordnend übersetzt</w:t>
      </w:r>
    </w:p>
  </w:footnote>
  <w:footnote w:id="6375">
    <w:p>
      <w:pPr>
        <w:pStyle w:val="Funote"/>
        <w:rPr/>
      </w:pPr>
      <w:r>
        <w:rPr>
          <w:rStyle w:val="Funotenzeichen"/>
        </w:rPr>
        <w:footnoteRef/>
      </w:r>
      <w:r>
        <w:rPr>
          <w:lang w:val="el-GR"/>
        </w:rPr>
        <w:tab/>
        <w:t>δέ</w:t>
      </w:r>
      <w:r>
        <w:rPr/>
        <w:t xml:space="preserve"> zur Erklärung oder Steigerung: "und zwar", BDR § 447,1c</w:t>
      </w:r>
    </w:p>
  </w:footnote>
  <w:footnote w:id="6376">
    <w:p>
      <w:pPr>
        <w:pStyle w:val="Funote"/>
        <w:rPr/>
      </w:pPr>
      <w:r>
        <w:rPr>
          <w:rStyle w:val="Funotenzeichen"/>
        </w:rPr>
        <w:footnoteRef/>
      </w:r>
      <w:r>
        <w:rPr/>
        <w:tab/>
        <w:t xml:space="preserve">BW Sp. 795 s.v. </w:t>
      </w:r>
      <w:r>
        <w:rPr>
          <w:lang w:val="el-GR"/>
        </w:rPr>
        <w:t>κάμπτω</w:t>
      </w:r>
    </w:p>
  </w:footnote>
  <w:footnote w:id="6377">
    <w:p>
      <w:pPr>
        <w:pStyle w:val="Funote"/>
        <w:rPr/>
      </w:pPr>
      <w:r>
        <w:rPr>
          <w:rStyle w:val="Funotenzeichen"/>
        </w:rPr>
        <w:footnoteRef/>
      </w:r>
      <w:r>
        <w:rPr/>
        <w:tab/>
        <w:t>Zur Bezeichnung der Götter: Theokr. 25,5, BW Sp. 605</w:t>
      </w:r>
    </w:p>
  </w:footnote>
  <w:footnote w:id="6378">
    <w:p>
      <w:pPr>
        <w:pStyle w:val="Funote"/>
        <w:rPr/>
      </w:pPr>
      <w:r>
        <w:rPr>
          <w:rStyle w:val="Funotenzeichen"/>
        </w:rPr>
        <w:footnoteRef/>
      </w:r>
      <w:r>
        <w:rPr/>
        <w:tab/>
        <w:t>Damit sind nicht nur die Menschen gemeint, sondern auch Dämonen, Götter, BW Sp. 575</w:t>
      </w:r>
    </w:p>
  </w:footnote>
  <w:footnote w:id="6379">
    <w:p>
      <w:pPr>
        <w:pStyle w:val="Funote"/>
        <w:rPr/>
      </w:pPr>
      <w:r>
        <w:rPr>
          <w:rStyle w:val="Funotenzeichen"/>
        </w:rPr>
        <w:footnoteRef/>
      </w:r>
      <w:r>
        <w:rPr/>
        <w:tab/>
        <w:t>So BW Sp. 548</w:t>
      </w:r>
    </w:p>
  </w:footnote>
  <w:footnote w:id="6380">
    <w:p>
      <w:pPr>
        <w:pStyle w:val="Funote"/>
        <w:rPr/>
      </w:pPr>
      <w:r>
        <w:rPr>
          <w:rStyle w:val="Funotenzeichen"/>
        </w:rPr>
        <w:footnoteRef/>
      </w:r>
      <w:r>
        <w:rPr/>
        <w:tab/>
        <w:t>Das Verb steht im griech. Satz am Schluss, muss im dt. aber an den Anfang gezogen werden.</w:t>
      </w:r>
    </w:p>
  </w:footnote>
  <w:footnote w:id="6381">
    <w:p>
      <w:pPr>
        <w:pStyle w:val="Funote"/>
        <w:rPr/>
      </w:pPr>
      <w:r>
        <w:rPr>
          <w:rStyle w:val="Funotenzeichen"/>
        </w:rPr>
        <w:footnoteRef/>
      </w:r>
      <w:hyperlink r:id="rId703">
        <w:r>
          <w:rPr>
            <w:rStyle w:val="Internetverknpfung"/>
          </w:rPr>
          <w:tab/>
          <w:t>Ptz. coni.</w:t>
        </w:r>
      </w:hyperlink>
      <w:r>
        <w:rPr/>
        <w:t>, relativisch aufgelöst</w:t>
      </w:r>
    </w:p>
  </w:footnote>
  <w:footnote w:id="6382">
    <w:p>
      <w:pPr>
        <w:pStyle w:val="Funote"/>
        <w:rPr/>
      </w:pPr>
      <w:r>
        <w:rPr>
          <w:rStyle w:val="Funotenzeichen"/>
        </w:rPr>
        <w:footnoteRef/>
      </w:r>
      <w:r>
        <w:rPr/>
        <w:tab/>
        <w:t xml:space="preserve">Es handelt sich beim Bewirken Gottes und beim wirksam Sein der Phillipper um dieselbe Vokabel </w:t>
      </w:r>
      <w:r>
        <w:rPr>
          <w:lang w:val="el-GR"/>
        </w:rPr>
        <w:t>ἐνεργέω</w:t>
      </w:r>
      <w:r>
        <w:rPr/>
        <w:t>, einmal als Partizip, einmal als substantivierter Infinitiv</w:t>
      </w:r>
    </w:p>
  </w:footnote>
  <w:footnote w:id="6383">
    <w:p>
      <w:pPr>
        <w:pStyle w:val="Funote"/>
        <w:rPr/>
      </w:pPr>
      <w:r>
        <w:rPr>
          <w:rStyle w:val="Funotenzeichen"/>
        </w:rPr>
        <w:footnoteRef/>
      </w:r>
      <w:r>
        <w:rPr/>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384">
    <w:p>
      <w:pPr>
        <w:pStyle w:val="Funote"/>
        <w:rPr/>
      </w:pPr>
      <w:r>
        <w:rPr>
          <w:rStyle w:val="Funotenzeichen"/>
        </w:rPr>
        <w:footnoteRef/>
      </w:r>
      <w:r>
        <w:rPr/>
        <w:tab/>
        <w:t>Ptz.</w:t>
      </w:r>
    </w:p>
  </w:footnote>
  <w:footnote w:id="6385">
    <w:p>
      <w:pPr>
        <w:pStyle w:val="Funote"/>
        <w:rPr/>
      </w:pPr>
      <w:r>
        <w:rPr>
          <w:rStyle w:val="Funotenzeichen"/>
        </w:rPr>
        <w:footnoteRef/>
      </w:r>
      <w:r>
        <w:rPr>
          <w:lang w:val="el-GR"/>
        </w:rPr>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386">
    <w:p>
      <w:pPr>
        <w:pStyle w:val="Funote"/>
        <w:rPr/>
      </w:pPr>
      <w:r>
        <w:rPr>
          <w:rStyle w:val="Funotenzeichen"/>
        </w:rPr>
        <w:footnoteRef/>
      </w:r>
      <w:hyperlink r:id="rId704">
        <w:r>
          <w:rPr>
            <w:rStyle w:val="Internetverknpfung"/>
          </w:rPr>
          <w:tab/>
          <w:t>Ptz. coni.</w:t>
        </w:r>
      </w:hyperlink>
      <w:r>
        <w:rPr/>
        <w:t>, konditional übersetzt</w:t>
      </w:r>
    </w:p>
  </w:footnote>
  <w:footnote w:id="6387">
    <w:p>
      <w:pPr>
        <w:pStyle w:val="Funote"/>
        <w:rPr/>
      </w:pPr>
      <w:r>
        <w:rPr>
          <w:rStyle w:val="Funotenzeichen"/>
        </w:rPr>
        <w:footnoteRef/>
      </w:r>
      <w:r>
        <w:rPr/>
        <w:tab/>
        <w:t xml:space="preserve">wörtl.: ebenso vortrefflich; hier ist </w:t>
      </w:r>
      <w:r>
        <w:rPr>
          <w:lang w:val="el-GR"/>
        </w:rPr>
        <w:t>ὑμῖν</w:t>
      </w:r>
      <w:r>
        <w:rPr/>
        <w:t xml:space="preserve"> zu ergänzen und "euch solidarisch" zu übersetzen, BW Sp. 753</w:t>
      </w:r>
    </w:p>
  </w:footnote>
  <w:footnote w:id="6388">
    <w:p>
      <w:pPr>
        <w:pStyle w:val="Funote"/>
        <w:rPr/>
      </w:pPr>
      <w:r>
        <w:rPr>
          <w:rStyle w:val="Funotenzeichen"/>
        </w:rPr>
        <w:footnoteRef/>
      </w:r>
      <w:r>
        <w:rPr/>
        <w:tab/>
        <w:t>Qualitativ-konsekutiver Relativsatz, das Verb steht im Futur, BDR § 379,1</w:t>
      </w:r>
    </w:p>
  </w:footnote>
  <w:footnote w:id="6389">
    <w:p>
      <w:pPr>
        <w:pStyle w:val="Funote"/>
        <w:rPr/>
      </w:pPr>
      <w:r>
        <w:rPr>
          <w:rStyle w:val="Funotenzeichen"/>
        </w:rPr>
        <w:footnoteRef/>
      </w:r>
      <w:r>
        <w:rPr/>
        <w:tab/>
        <w:t>Gemeint ist Timotheus</w:t>
      </w:r>
    </w:p>
  </w:footnote>
  <w:footnote w:id="6390">
    <w:p>
      <w:pPr>
        <w:pStyle w:val="Funote"/>
        <w:rPr/>
      </w:pPr>
      <w:r>
        <w:rPr>
          <w:rStyle w:val="Funotenzeichen"/>
        </w:rPr>
        <w:footnoteRef/>
      </w:r>
      <w:r>
        <w:rPr/>
        <w:tab/>
        <w:t>wörtl.: Diener meines Mangels, Übers.: BW Sp. 1750</w:t>
      </w:r>
    </w:p>
  </w:footnote>
  <w:footnote w:id="6391">
    <w:p>
      <w:pPr>
        <w:pStyle w:val="Funote"/>
        <w:rPr/>
      </w:pPr>
      <w:r>
        <w:rPr>
          <w:rStyle w:val="Funotenzeichen"/>
        </w:rPr>
        <w:footnoteRef/>
      </w:r>
      <w:r>
        <w:rPr/>
        <w:tab/>
        <w:t>konstruiert mit Ptz. und Hilfsverb: er war ein Sehnsucht Habender</w:t>
      </w:r>
    </w:p>
  </w:footnote>
  <w:footnote w:id="6392">
    <w:p>
      <w:pPr>
        <w:pStyle w:val="Funote"/>
        <w:rPr/>
      </w:pPr>
      <w:r>
        <w:rPr>
          <w:rStyle w:val="Funotenzeichen"/>
        </w:rPr>
        <w:footnoteRef/>
      </w:r>
      <w:hyperlink r:id="rId705">
        <w:r>
          <w:rPr>
            <w:rStyle w:val="Internetverknpfung"/>
          </w:rPr>
          <w:tab/>
          <w:t>Ptz. coni.</w:t>
        </w:r>
      </w:hyperlink>
      <w:r>
        <w:rPr/>
        <w:t>, kausal aufgelöst</w:t>
      </w:r>
    </w:p>
  </w:footnote>
  <w:footnote w:id="6393">
    <w:p>
      <w:pPr>
        <w:pStyle w:val="Funote"/>
        <w:rPr/>
      </w:pPr>
      <w:r>
        <w:rPr>
          <w:rStyle w:val="Funotenzeichen"/>
        </w:rPr>
        <w:footnoteRef/>
      </w:r>
      <w:hyperlink r:id="rId706">
        <w:r>
          <w:rPr>
            <w:rStyle w:val="Internetverknpfung"/>
          </w:rPr>
          <w:tab/>
          <w:t>Ptz. coni.</w:t>
        </w:r>
      </w:hyperlink>
      <w:r>
        <w:rPr/>
        <w:t>, beiordnend aufgelöst</w:t>
      </w:r>
    </w:p>
  </w:footnote>
  <w:footnote w:id="6394">
    <w:p>
      <w:pPr>
        <w:pStyle w:val="Funote"/>
        <w:rPr/>
      </w:pPr>
      <w:r>
        <w:rPr>
          <w:rStyle w:val="Funotenzeichen"/>
        </w:rPr>
        <w:footnoteRef/>
      </w:r>
      <w:r>
        <w:rPr/>
        <w:tab/>
        <w:t>[Status: Ungeprüft]</w:t>
      </w:r>
    </w:p>
  </w:footnote>
  <w:footnote w:id="6395">
    <w:p>
      <w:pPr>
        <w:pStyle w:val="Funote"/>
        <w:rPr/>
      </w:pPr>
      <w:r>
        <w:rPr>
          <w:rStyle w:val="Funotenzeichen"/>
        </w:rPr>
        <w:footnoteRef/>
      </w:r>
      <w:r>
        <w:rPr/>
        <w:tab/>
        <w:t>wörtl.: Brüder</w:t>
      </w:r>
    </w:p>
  </w:footnote>
  <w:footnote w:id="6396">
    <w:p>
      <w:pPr>
        <w:pStyle w:val="Funote"/>
        <w:rPr/>
      </w:pPr>
      <w:r>
        <w:rPr>
          <w:rStyle w:val="Funotenzeichen"/>
        </w:rPr>
        <w:footnoteRef/>
      </w:r>
      <w:r>
        <w:rPr/>
        <w:tab/>
        <w:t>"'Hund' ist ein geläufiges Wort jüdischer Verachtung für heidnische Völker und ihre Angehörigen." (Lohmeyer, S. 124) Hier wendet Paulus es aber gegen die Juden.</w:t>
      </w:r>
    </w:p>
  </w:footnote>
  <w:footnote w:id="6397">
    <w:p>
      <w:pPr>
        <w:pStyle w:val="Funote"/>
        <w:rPr/>
      </w:pPr>
      <w:r>
        <w:rPr>
          <w:rStyle w:val="Funotenzeichen"/>
        </w:rPr>
        <w:footnoteRef/>
      </w:r>
      <w:hyperlink r:id="rId707">
        <w:r>
          <w:rPr>
            <w:rStyle w:val="Internetverknpfung"/>
          </w:rPr>
          <w:tab/>
          <w:t>Ptz. coni.</w:t>
        </w:r>
      </w:hyperlink>
      <w:r>
        <w:rPr/>
        <w:t>, relativisch aufgelöst</w:t>
      </w:r>
    </w:p>
  </w:footnote>
  <w:footnote w:id="6398">
    <w:p>
      <w:pPr>
        <w:pStyle w:val="Funote"/>
        <w:rPr/>
      </w:pPr>
      <w:r>
        <w:rPr>
          <w:rStyle w:val="Funotenzeichen"/>
        </w:rPr>
        <w:footnoteRef/>
      </w:r>
      <w:r>
        <w:rPr/>
        <w:tab/>
        <w:t>Ptz.</w:t>
      </w:r>
    </w:p>
  </w:footnote>
  <w:footnote w:id="6399">
    <w:p>
      <w:pPr>
        <w:pStyle w:val="Funote"/>
        <w:rPr/>
      </w:pPr>
      <w:r>
        <w:rPr>
          <w:rStyle w:val="Funotenzeichen"/>
        </w:rPr>
        <w:footnoteRef/>
      </w:r>
      <w:r>
        <w:rPr/>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400">
    <w:p>
      <w:pPr>
        <w:pStyle w:val="Funote"/>
        <w:rPr/>
      </w:pPr>
      <w:r>
        <w:rPr>
          <w:rStyle w:val="Funotenzeichen"/>
        </w:rPr>
        <w:footnoteRef/>
      </w:r>
      <w:r>
        <w:rPr/>
        <w:tab/>
        <w:t>Ptz.</w:t>
      </w:r>
    </w:p>
  </w:footnote>
  <w:footnote w:id="6401">
    <w:p>
      <w:pPr>
        <w:pStyle w:val="Funote"/>
        <w:rPr/>
      </w:pPr>
      <w:r>
        <w:rPr>
          <w:rStyle w:val="Funotenzeichen"/>
        </w:rPr>
        <w:footnoteRef/>
      </w:r>
      <w:r>
        <w:rPr/>
        <w:tab/>
        <w:t>Ptz.</w:t>
      </w:r>
    </w:p>
  </w:footnote>
  <w:footnote w:id="6402">
    <w:p>
      <w:pPr>
        <w:pStyle w:val="Funote"/>
        <w:rPr/>
      </w:pPr>
      <w:r>
        <w:rPr>
          <w:rStyle w:val="Funotenzeichen"/>
        </w:rPr>
        <w:footnoteRef/>
      </w:r>
      <w:r>
        <w:rPr/>
        <w:tab/>
        <w:t>Weil Paulus beschnittener Jude ist, s. im Folgenden. Deshalb ist vielleicht freier zu übersetzen: "obwohl ich Zuversicht haben könnte".</w:t>
      </w:r>
    </w:p>
  </w:footnote>
  <w:footnote w:id="6403">
    <w:p>
      <w:pPr>
        <w:pStyle w:val="Funote"/>
        <w:rPr/>
      </w:pPr>
      <w:r>
        <w:rPr>
          <w:rStyle w:val="Funotenzeichen"/>
        </w:rPr>
        <w:footnoteRef/>
      </w:r>
      <w:r>
        <w:rPr/>
        <w:tab/>
        <w:t xml:space="preserve">Wörtl.: Der Beschneidung nach achttägig, Dativ der Beziehung, BDR § 197, BW Sp. 1114 s.v. </w:t>
      </w:r>
      <w:r>
        <w:rPr>
          <w:lang w:val="el-GR"/>
        </w:rPr>
        <w:t>ὁκταήμερος</w:t>
      </w:r>
      <w:r>
        <w:rPr/>
        <w:t>.</w:t>
      </w:r>
    </w:p>
  </w:footnote>
  <w:footnote w:id="6404">
    <w:p>
      <w:pPr>
        <w:pStyle w:val="Funote"/>
        <w:rPr/>
      </w:pPr>
      <w:r>
        <w:rPr>
          <w:rStyle w:val="Funotenzeichen"/>
        </w:rPr>
        <w:footnoteRef/>
      </w:r>
      <w:r>
        <w:rPr/>
        <w:tab/>
        <w:t>Ptz.</w:t>
      </w:r>
    </w:p>
  </w:footnote>
  <w:footnote w:id="6405">
    <w:p>
      <w:pPr>
        <w:pStyle w:val="Funote"/>
        <w:rPr/>
      </w:pPr>
      <w:r>
        <w:rPr>
          <w:rStyle w:val="Funotenzeichen"/>
        </w:rPr>
        <w:footnoteRef/>
      </w:r>
      <w:r>
        <w:rPr>
          <w:lang w:val="el-GR"/>
        </w:rPr>
        <w:tab/>
        <w:t>γενόμενος</w:t>
      </w:r>
      <w:r>
        <w:rPr/>
        <w:t>, Ptz. passiv, also wörtl.: geworden ist.</w:t>
      </w:r>
    </w:p>
  </w:footnote>
  <w:footnote w:id="6406">
    <w:p>
      <w:pPr>
        <w:pStyle w:val="Funote"/>
        <w:rPr/>
      </w:pPr>
      <w:r>
        <w:rPr>
          <w:rStyle w:val="Funotenzeichen"/>
        </w:rPr>
        <w:footnoteRef/>
      </w:r>
      <w:r>
        <w:rPr>
          <w:lang w:val="el-GR"/>
        </w:rPr>
        <w:tab/>
        <w:t>ἡγέομαι</w:t>
      </w:r>
      <w:r>
        <w:rPr/>
        <w:t xml:space="preserve"> steht mit ACI, wörtl.: erscheint mir, dass alles Verlust ist</w:t>
      </w:r>
    </w:p>
  </w:footnote>
  <w:footnote w:id="6407">
    <w:p>
      <w:pPr>
        <w:pStyle w:val="Funote"/>
        <w:rPr/>
      </w:pPr>
      <w:r>
        <w:rPr>
          <w:rStyle w:val="Funotenzeichen"/>
        </w:rPr>
        <w:footnoteRef/>
      </w:r>
      <w:hyperlink r:id="rId708">
        <w:r>
          <w:rPr>
            <w:rStyle w:val="Internetverknpfung"/>
          </w:rPr>
          <w:tab/>
          <w:t>Ptz. coni.</w:t>
        </w:r>
      </w:hyperlink>
      <w:r>
        <w:rPr/>
        <w:t>, final aufgelöst</w:t>
      </w:r>
    </w:p>
  </w:footnote>
  <w:footnote w:id="6408">
    <w:p>
      <w:pPr>
        <w:pStyle w:val="Funote"/>
        <w:rPr/>
      </w:pPr>
      <w:r>
        <w:rPr>
          <w:rStyle w:val="Funotenzeichen"/>
        </w:rPr>
        <w:footnoteRef/>
      </w:r>
      <w:r>
        <w:rPr/>
        <w:tab/>
        <w:t>Substantivierter Infinitiv mit finalem Sinn, BDR § 400</w:t>
      </w:r>
    </w:p>
  </w:footnote>
  <w:footnote w:id="6409">
    <w:p>
      <w:pPr>
        <w:pStyle w:val="Funote"/>
        <w:rPr/>
      </w:pPr>
      <w:r>
        <w:rPr>
          <w:rStyle w:val="Funotenzeichen"/>
        </w:rPr>
        <w:footnoteRef/>
      </w:r>
      <w:r>
        <w:rPr/>
        <w:tab/>
        <w:t>Ptz.</w:t>
      </w:r>
    </w:p>
  </w:footnote>
  <w:footnote w:id="6410">
    <w:p>
      <w:pPr>
        <w:pStyle w:val="Funote"/>
        <w:rPr/>
      </w:pPr>
      <w:r>
        <w:rPr>
          <w:rStyle w:val="Funotenzeichen"/>
        </w:rPr>
        <w:footnoteRef/>
      </w:r>
      <w:r>
        <w:rPr>
          <w:lang w:val="el-GR"/>
        </w:rPr>
        <w:tab/>
        <w:t>εἰ</w:t>
      </w:r>
      <w:r>
        <w:rPr/>
        <w:t xml:space="preserve"> zum Ausdruck der Erwartung, BDR § 375</w:t>
      </w:r>
    </w:p>
  </w:footnote>
  <w:footnote w:id="6411">
    <w:p>
      <w:pPr>
        <w:pStyle w:val="Funote"/>
        <w:rPr/>
      </w:pPr>
      <w:r>
        <w:rPr>
          <w:rStyle w:val="Funotenzeichen"/>
        </w:rPr>
        <w:footnoteRef/>
      </w:r>
      <w:r>
        <w:rPr/>
        <w:tab/>
        <w:t>BW Sp. 919 g.: "vom mystischen Erfassen des Christus"</w:t>
      </w:r>
    </w:p>
  </w:footnote>
  <w:footnote w:id="6412">
    <w:p>
      <w:pPr>
        <w:pStyle w:val="Funote"/>
        <w:rPr/>
      </w:pPr>
      <w:r>
        <w:rPr>
          <w:rStyle w:val="Funotenzeichen"/>
        </w:rPr>
        <w:footnoteRef/>
      </w:r>
      <w:r>
        <w:rPr/>
        <w:tab/>
        <w:t xml:space="preserve">indirekte Frage, BDR § 368; </w:t>
      </w:r>
      <w:r>
        <w:rPr>
          <w:lang w:val="el-GR"/>
        </w:rPr>
        <w:t>εἰ</w:t>
      </w:r>
      <w:r>
        <w:rPr/>
        <w:t xml:space="preserve"> zum Ausdruck der Erwartung BDR § 375</w:t>
      </w:r>
    </w:p>
  </w:footnote>
  <w:footnote w:id="6413">
    <w:p>
      <w:pPr>
        <w:pStyle w:val="Funote"/>
        <w:rPr/>
      </w:pPr>
      <w:r>
        <w:rPr>
          <w:rStyle w:val="Funotenzeichen"/>
        </w:rPr>
        <w:footnoteRef/>
      </w:r>
      <w:r>
        <w:rPr/>
        <w:tab/>
        <w:t>wörtl.: Brüder</w:t>
      </w:r>
    </w:p>
  </w:footnote>
  <w:footnote w:id="6414">
    <w:p>
      <w:pPr>
        <w:pStyle w:val="Funote"/>
        <w:rPr/>
      </w:pPr>
      <w:r>
        <w:rPr>
          <w:rStyle w:val="Funotenzeichen"/>
        </w:rPr>
        <w:footnoteRef/>
      </w:r>
      <w:r>
        <w:rPr/>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415">
    <w:p>
      <w:pPr>
        <w:pStyle w:val="Funote"/>
        <w:rPr/>
      </w:pPr>
      <w:r>
        <w:rPr>
          <w:rStyle w:val="Funotenzeichen"/>
        </w:rPr>
        <w:footnoteRef/>
      </w:r>
      <w:r>
        <w:rPr/>
        <w:tab/>
        <w:t>Ptz.</w:t>
      </w:r>
    </w:p>
  </w:footnote>
  <w:footnote w:id="6416">
    <w:p>
      <w:pPr>
        <w:pStyle w:val="Funote"/>
        <w:rPr/>
      </w:pPr>
      <w:r>
        <w:rPr>
          <w:rStyle w:val="Funotenzeichen"/>
        </w:rPr>
        <w:footnoteRef/>
      </w:r>
      <w:r>
        <w:rPr/>
        <w:tab/>
        <w:t>Ptz.</w:t>
      </w:r>
    </w:p>
  </w:footnote>
  <w:footnote w:id="6417">
    <w:p>
      <w:pPr>
        <w:pStyle w:val="Funote"/>
        <w:rPr/>
      </w:pPr>
      <w:r>
        <w:rPr>
          <w:rStyle w:val="Funotenzeichen"/>
        </w:rPr>
        <w:footnoteRef/>
      </w:r>
      <w:r>
        <w:rPr>
          <w:lang w:val="el-GR"/>
        </w:rPr>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418">
    <w:p>
      <w:pPr>
        <w:pStyle w:val="Funote"/>
        <w:rPr/>
      </w:pPr>
      <w:r>
        <w:rPr>
          <w:rStyle w:val="Funotenzeichen"/>
        </w:rPr>
        <w:footnoteRef/>
      </w:r>
      <w:r>
        <w:rPr/>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419">
    <w:p>
      <w:pPr>
        <w:pStyle w:val="Funote"/>
        <w:rPr/>
      </w:pPr>
      <w:r>
        <w:rPr>
          <w:rStyle w:val="Funotenzeichen"/>
        </w:rPr>
        <w:footnoteRef/>
      </w:r>
      <w:r>
        <w:rPr>
          <w:lang w:val="el-GR"/>
        </w:rPr>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420">
    <w:p>
      <w:pPr>
        <w:pStyle w:val="Funote"/>
        <w:rPr/>
      </w:pPr>
      <w:r>
        <w:rPr>
          <w:rStyle w:val="Funotenzeichen"/>
        </w:rPr>
        <w:footnoteRef/>
      </w:r>
      <w:r>
        <w:rPr/>
        <w:tab/>
        <w:t>Wörtl.: Brüder</w:t>
      </w:r>
    </w:p>
  </w:footnote>
  <w:footnote w:id="6421">
    <w:p>
      <w:pPr>
        <w:pStyle w:val="Funote"/>
        <w:rPr/>
      </w:pPr>
      <w:r>
        <w:rPr>
          <w:rStyle w:val="Funotenzeichen"/>
        </w:rPr>
        <w:footnoteRef/>
      </w:r>
      <w:r>
        <w:rPr/>
        <w:tab/>
        <w:t>Ptz.</w:t>
      </w:r>
    </w:p>
  </w:footnote>
  <w:footnote w:id="6422">
    <w:p>
      <w:pPr>
        <w:pStyle w:val="Funote"/>
        <w:rPr/>
      </w:pPr>
      <w:r>
        <w:rPr>
          <w:rStyle w:val="Funotenzeichen"/>
        </w:rPr>
        <w:footnoteRef/>
      </w:r>
      <w:r>
        <w:rPr>
          <w:lang w:val="el-GR"/>
        </w:rPr>
        <w:tab/>
        <w:t>λέγειν τινά</w:t>
      </w:r>
      <w:r>
        <w:rPr/>
        <w:t xml:space="preserve"> = jemanden mit der Rede meinen, BDR § 151, Anm. 2</w:t>
      </w:r>
    </w:p>
  </w:footnote>
  <w:footnote w:id="6423">
    <w:p>
      <w:pPr>
        <w:pStyle w:val="Funote"/>
        <w:rPr/>
      </w:pPr>
      <w:r>
        <w:rPr>
          <w:rStyle w:val="Funotenzeichen"/>
        </w:rPr>
        <w:footnoteRef/>
      </w:r>
      <w:r>
        <w:rPr/>
        <w:tab/>
        <w:t>Ptz. coni. als präpositionelle Wendung, BDR § 418, Anm. 7</w:t>
      </w:r>
    </w:p>
  </w:footnote>
  <w:footnote w:id="6424">
    <w:p>
      <w:pPr>
        <w:pStyle w:val="Funote"/>
        <w:rPr/>
      </w:pPr>
      <w:r>
        <w:rPr>
          <w:rStyle w:val="Funotenzeichen"/>
        </w:rPr>
        <w:footnoteRef/>
      </w:r>
      <w:r>
        <w:rPr/>
        <w:tab/>
        <w:t>Als Strafe der Gottlosen am Tag des Jüngsten Gerichtes.</w:t>
      </w:r>
    </w:p>
  </w:footnote>
  <w:footnote w:id="6425">
    <w:p>
      <w:pPr>
        <w:pStyle w:val="Funote"/>
        <w:rPr/>
      </w:pPr>
      <w:r>
        <w:rPr>
          <w:rStyle w:val="Funotenzeichen"/>
        </w:rPr>
        <w:footnoteRef/>
      </w:r>
      <w:r>
        <w:rPr/>
        <w:tab/>
        <w:t>Hebraismus: Himmel im Pl. als der Sitz Gottes, wörtl.: in den Himmeln</w:t>
      </w:r>
    </w:p>
  </w:footnote>
  <w:footnote w:id="6426">
    <w:p>
      <w:pPr>
        <w:pStyle w:val="Funote"/>
        <w:rPr/>
      </w:pPr>
      <w:r>
        <w:rPr>
          <w:rStyle w:val="Funotenzeichen"/>
        </w:rPr>
        <w:footnoteRef/>
      </w:r>
      <w:r>
        <w:rPr/>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427">
    <w:p>
      <w:pPr>
        <w:pStyle w:val="Funote"/>
        <w:rPr/>
      </w:pPr>
      <w:r>
        <w:rPr>
          <w:rStyle w:val="Funotenzeichen"/>
        </w:rPr>
        <w:footnoteRef/>
      </w:r>
      <w:r>
        <w:rPr/>
        <w:tab/>
        <w:t>Wörtl.: Leib der Niedrigkeit - vom materiellen Leib im Unterschied zum Herrleichkeitsleib, BW Sp. 1593.</w:t>
      </w:r>
    </w:p>
  </w:footnote>
  <w:footnote w:id="6428">
    <w:p>
      <w:pPr>
        <w:pStyle w:val="Funote"/>
        <w:rPr/>
      </w:pPr>
      <w:r>
        <w:rPr>
          <w:rStyle w:val="Funotenzeichen"/>
        </w:rPr>
        <w:footnoteRef/>
      </w:r>
      <w:r>
        <w:rPr/>
        <w:tab/>
        <w:t>Wörtl.: Leib der Herrlichkeit</w:t>
      </w:r>
    </w:p>
  </w:footnote>
  <w:footnote w:id="6429">
    <w:p>
      <w:pPr>
        <w:pStyle w:val="Funote"/>
        <w:rPr/>
      </w:pPr>
      <w:r>
        <w:rPr>
          <w:rStyle w:val="Funotenzeichen"/>
        </w:rPr>
        <w:footnoteRef/>
      </w:r>
      <w:r>
        <w:rPr/>
        <w:tab/>
        <w:t>[Status: Ungeprüft]</w:t>
      </w:r>
    </w:p>
  </w:footnote>
  <w:footnote w:id="6430">
    <w:p>
      <w:pPr>
        <w:pStyle w:val="Funote"/>
        <w:rPr/>
      </w:pPr>
      <w:r>
        <w:rPr>
          <w:rStyle w:val="Funotenzeichen"/>
        </w:rPr>
        <w:footnoteRef/>
      </w:r>
      <w:r>
        <w:rPr/>
        <w:tab/>
        <w:t>Wörtl.: Brüder</w:t>
      </w:r>
    </w:p>
  </w:footnote>
  <w:footnote w:id="6431">
    <w:p>
      <w:pPr>
        <w:pStyle w:val="Funote"/>
        <w:rPr/>
      </w:pPr>
      <w:r>
        <w:rPr>
          <w:rStyle w:val="Funotenzeichen"/>
        </w:rPr>
        <w:footnoteRef/>
      </w:r>
      <w:r>
        <w:rPr/>
        <w:tab/>
        <w:t>Das, was jemandem zur Zierde gereicht.</w:t>
      </w:r>
    </w:p>
  </w:footnote>
  <w:footnote w:id="6432">
    <w:p>
      <w:pPr>
        <w:pStyle w:val="Funote"/>
        <w:rPr/>
      </w:pPr>
      <w:r>
        <w:rPr>
          <w:rStyle w:val="Funotenzeichen"/>
        </w:rPr>
        <w:footnoteRef/>
      </w:r>
      <w:r>
        <w:rPr/>
        <w:tab/>
        <w:t>Wen Paulus hier persönlich anspricht, weiß man nicht. Barth, S. 117 sieht in "Synzygos" einen Eigennamen.</w:t>
      </w:r>
    </w:p>
  </w:footnote>
  <w:footnote w:id="6433">
    <w:p>
      <w:pPr>
        <w:pStyle w:val="Funote"/>
        <w:rPr/>
      </w:pPr>
      <w:r>
        <w:rPr>
          <w:rStyle w:val="Funotenzeichen"/>
        </w:rPr>
        <w:footnoteRef/>
      </w:r>
      <w:hyperlink r:id="rId709">
        <w:r>
          <w:rPr>
            <w:rStyle w:val="Internetverknpfung"/>
          </w:rPr>
          <w:tab/>
          <w:t>Ptz. coni.</w:t>
        </w:r>
      </w:hyperlink>
      <w:r>
        <w:rPr/>
        <w:t>, relativisch aufgelöst</w:t>
      </w:r>
    </w:p>
  </w:footnote>
  <w:footnote w:id="6434">
    <w:p>
      <w:pPr>
        <w:pStyle w:val="Funote"/>
        <w:rPr/>
      </w:pPr>
      <w:r>
        <w:rPr>
          <w:rStyle w:val="Funotenzeichen"/>
        </w:rPr>
        <w:footnoteRef/>
      </w:r>
      <w:r>
        <w:rPr/>
        <w:tab/>
        <w:t>Wörtl.: Brüder</w:t>
      </w:r>
    </w:p>
  </w:footnote>
  <w:footnote w:id="6435">
    <w:p>
      <w:pPr>
        <w:pStyle w:val="Funote"/>
        <w:rPr/>
      </w:pPr>
      <w:r>
        <w:rPr>
          <w:rStyle w:val="Funotenzeichen"/>
        </w:rPr>
        <w:footnoteRef/>
      </w:r>
      <w:r>
        <w:rPr/>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436">
    <w:p>
      <w:pPr>
        <w:pStyle w:val="Funote"/>
        <w:rPr/>
      </w:pPr>
      <w:r>
        <w:rPr>
          <w:rStyle w:val="Funotenzeichen"/>
        </w:rPr>
        <w:footnoteRef/>
      </w:r>
      <w:r>
        <w:rPr/>
        <w:tab/>
        <w:t>oder, gleichberechtigt: ihr eure Fürsorge für mich wieder aufblühen ließt, BW Sp. 107</w:t>
      </w:r>
    </w:p>
  </w:footnote>
  <w:footnote w:id="6437">
    <w:p>
      <w:pPr>
        <w:pStyle w:val="Funote"/>
        <w:rPr/>
      </w:pPr>
      <w:r>
        <w:rPr>
          <w:rStyle w:val="Funotenzeichen"/>
        </w:rPr>
        <w:footnoteRef/>
      </w:r>
      <w:r>
        <w:rPr/>
        <w:tab/>
        <w:t>Im Sinne der Fürsorge</w:t>
      </w:r>
    </w:p>
  </w:footnote>
  <w:footnote w:id="6438">
    <w:p>
      <w:pPr>
        <w:pStyle w:val="Funote"/>
        <w:rPr/>
      </w:pPr>
      <w:r>
        <w:rPr>
          <w:rStyle w:val="Funotenzeichen"/>
        </w:rPr>
        <w:footnoteRef/>
      </w:r>
      <w:r>
        <w:rPr/>
        <w:tab/>
        <w:t>Paulus etwas Gutes zu tun</w:t>
      </w:r>
    </w:p>
  </w:footnote>
  <w:footnote w:id="6439">
    <w:p>
      <w:pPr>
        <w:pStyle w:val="Funote"/>
        <w:rPr/>
      </w:pPr>
      <w:r>
        <w:rPr>
          <w:rStyle w:val="Funotenzeichen"/>
        </w:rPr>
        <w:footnoteRef/>
      </w:r>
      <w:r>
        <w:rPr/>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440">
    <w:p>
      <w:pPr>
        <w:pStyle w:val="Funote"/>
        <w:rPr/>
      </w:pPr>
      <w:r>
        <w:rPr>
          <w:rStyle w:val="Funotenzeichen"/>
        </w:rPr>
        <w:footnoteRef/>
      </w:r>
      <w:r>
        <w:rPr>
          <w:lang w:val="el-GR"/>
        </w:rPr>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441">
    <w:p>
      <w:pPr>
        <w:pStyle w:val="Funote"/>
        <w:rPr/>
      </w:pPr>
      <w:r>
        <w:rPr>
          <w:rStyle w:val="Funotenzeichen"/>
        </w:rPr>
        <w:footnoteRef/>
      </w:r>
      <w:r>
        <w:rPr>
          <w:lang w:val="el-GR"/>
        </w:rPr>
        <w:tab/>
        <w:t>καί</w:t>
      </w:r>
      <w:r>
        <w:rPr/>
        <w:t xml:space="preserve"> steht hier vier Mal. Ich habe es zweimal als "sowohl … als auch" übersetzt, weil es sich durch die beiden Gegensatzpaare anbietet. Man könnte aber auch die Begriffe einfach asyndetisch aneinanderreihen.</w:t>
      </w:r>
    </w:p>
  </w:footnote>
  <w:footnote w:id="6442">
    <w:p>
      <w:pPr>
        <w:pStyle w:val="Funote"/>
        <w:rPr/>
      </w:pPr>
      <w:r>
        <w:rPr>
          <w:rStyle w:val="Funotenzeichen"/>
        </w:rPr>
        <w:footnoteRef/>
      </w:r>
      <w:hyperlink r:id="rId710">
        <w:r>
          <w:rPr>
            <w:rStyle w:val="Internetverknpfung"/>
          </w:rPr>
          <w:tab/>
          <w:t>Ptz. coni.</w:t>
        </w:r>
      </w:hyperlink>
      <w:r>
        <w:rPr/>
        <w:t>, relativisch aufgelöst</w:t>
      </w:r>
    </w:p>
  </w:footnote>
  <w:footnote w:id="6443">
    <w:p>
      <w:pPr>
        <w:pStyle w:val="Funote"/>
        <w:rPr/>
      </w:pPr>
      <w:r>
        <w:rPr>
          <w:rStyle w:val="Funotenzeichen"/>
        </w:rPr>
        <w:footnoteRef/>
      </w:r>
      <w:r>
        <w:rPr/>
        <w:tab/>
        <w:t>Ergänzendes Partizipium, BDR § 414, Anm. 11, wörtl.: zusammen Anteil haben, sich zugleich beteiligen an etwas, im Sinne von "mithelfend Anteil nehmen", BW Sp. 1533.</w:t>
      </w:r>
    </w:p>
  </w:footnote>
  <w:footnote w:id="6444">
    <w:p>
      <w:pPr>
        <w:pStyle w:val="Funote"/>
        <w:rPr/>
      </w:pPr>
      <w:r>
        <w:rPr>
          <w:rStyle w:val="Funotenzeichen"/>
        </w:rPr>
        <w:footnoteRef/>
      </w:r>
      <w:r>
        <w:rPr/>
        <w:tab/>
        <w:t xml:space="preserve">Paulus verwendet hier den lateinischen Stadtnamen, den er ins Griechische überträgt, ein Latinismus. Im Griech. heißen die Einwohner Philippis </w:t>
      </w:r>
      <w:r>
        <w:rPr>
          <w:lang w:val="el-GR"/>
        </w:rPr>
        <w:t>Φιλιππεῖς</w:t>
      </w:r>
      <w:r>
        <w:rPr/>
        <w:t>.</w:t>
      </w:r>
    </w:p>
  </w:footnote>
  <w:footnote w:id="6445">
    <w:p>
      <w:pPr>
        <w:pStyle w:val="Funote"/>
        <w:rPr/>
      </w:pPr>
      <w:r>
        <w:rPr>
          <w:rStyle w:val="Funotenzeichen"/>
        </w:rPr>
        <w:footnoteRef/>
      </w:r>
      <w:r>
        <w:rPr/>
        <w:tab/>
        <w:t>Es handelt sich hier um einen terminus technicus der Buchhaltung, BW Sp. 946, 2b.</w:t>
      </w:r>
    </w:p>
  </w:footnote>
  <w:footnote w:id="6446">
    <w:p>
      <w:pPr>
        <w:pStyle w:val="Funote"/>
        <w:rPr/>
      </w:pPr>
      <w:r>
        <w:rPr>
          <w:rStyle w:val="Funotenzeichen"/>
        </w:rPr>
        <w:footnoteRef/>
      </w:r>
      <w:r>
        <w:rPr/>
        <w:tab/>
        <w:t>Vgl. Anm. zu Vers 11</w:t>
      </w:r>
    </w:p>
  </w:footnote>
  <w:footnote w:id="6447">
    <w:p>
      <w:pPr>
        <w:pStyle w:val="Funote"/>
        <w:rPr/>
      </w:pPr>
      <w:r>
        <w:rPr>
          <w:rStyle w:val="Funotenzeichen"/>
        </w:rPr>
        <w:footnoteRef/>
      </w:r>
      <w:r>
        <w:rPr/>
        <w:tab/>
        <w:t>Auch in diesem und im folgenden Vers finden sich t.t. der Geschäftssprache, vgl. Vers 15</w:t>
      </w:r>
    </w:p>
  </w:footnote>
  <w:footnote w:id="6448">
    <w:p>
      <w:pPr>
        <w:pStyle w:val="Funote"/>
        <w:rPr/>
      </w:pPr>
      <w:r>
        <w:rPr>
          <w:rStyle w:val="Funotenzeichen"/>
        </w:rPr>
        <w:footnoteRef/>
      </w:r>
      <w:r>
        <w:rPr/>
        <w:tab/>
        <w:t>Paulus "quittiert" mit einem t.t. der Geschäftssprache die erhaltene Summe</w:t>
      </w:r>
    </w:p>
  </w:footnote>
  <w:footnote w:id="6449">
    <w:p>
      <w:pPr>
        <w:pStyle w:val="Funote"/>
        <w:rPr/>
      </w:pPr>
      <w:r>
        <w:rPr>
          <w:rStyle w:val="Funotenzeichen"/>
        </w:rPr>
        <w:footnoteRef/>
      </w:r>
      <w:hyperlink r:id="rId711">
        <w:r>
          <w:rPr>
            <w:rStyle w:val="Internetverknpfung"/>
          </w:rPr>
          <w:tab/>
          <w:t>Ptz. coni.</w:t>
        </w:r>
      </w:hyperlink>
      <w:r>
        <w:rPr/>
        <w:t>, temporal aufgelöst</w:t>
      </w:r>
    </w:p>
  </w:footnote>
  <w:footnote w:id="6450">
    <w:p>
      <w:pPr>
        <w:pStyle w:val="Funote"/>
        <w:rPr/>
      </w:pPr>
      <w:r>
        <w:rPr>
          <w:rStyle w:val="Funotenzeichen"/>
        </w:rPr>
        <w:footnoteRef/>
      </w:r>
      <w:r>
        <w:rPr/>
        <w:tab/>
        <w:t>Bildlich in Bezug auf das Geschenk der Philipper, BW Sp. 1161, vgl. 2. Korinther 2,14f</w:t>
      </w:r>
    </w:p>
  </w:footnote>
  <w:footnote w:id="6451">
    <w:p>
      <w:pPr>
        <w:pStyle w:val="Funote"/>
        <w:rPr/>
      </w:pPr>
      <w:r>
        <w:rPr>
          <w:rStyle w:val="Funotenzeichen"/>
        </w:rPr>
        <w:footnoteRef/>
      </w:r>
      <w:r>
        <w:rPr/>
        <w:tab/>
        <w:t>Sg! Paulus verwendet sonst immer den Pl.</w:t>
      </w:r>
    </w:p>
  </w:footnote>
  <w:footnote w:id="6452">
    <w:p>
      <w:pPr>
        <w:pStyle w:val="Funote"/>
        <w:rPr/>
      </w:pPr>
      <w:r>
        <w:rPr>
          <w:rStyle w:val="Funotenzeichen"/>
        </w:rPr>
        <w:footnoteRef/>
      </w:r>
      <w:r>
        <w:rPr/>
        <w:tab/>
        <w:t>Wörtl.: Brüder</w:t>
      </w:r>
    </w:p>
  </w:footnote>
  <w:footnote w:id="6453">
    <w:p>
      <w:pPr>
        <w:pStyle w:val="Funote"/>
        <w:rPr/>
      </w:pPr>
      <w:r>
        <w:rPr>
          <w:rStyle w:val="Funotenzeichen"/>
        </w:rPr>
        <w:footnoteRef/>
      </w:r>
      <w:r>
        <w:rPr/>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454">
    <w:p>
      <w:pPr>
        <w:pStyle w:val="Funote"/>
        <w:rPr/>
      </w:pPr>
      <w:r>
        <w:rPr>
          <w:rStyle w:val="Funotenzeichen"/>
        </w:rPr>
        <w:footnoteRef/>
      </w:r>
      <w:r>
        <w:rPr/>
        <w:tab/>
        <w:t>[Status: Zuverlässig]</w:t>
      </w:r>
    </w:p>
  </w:footnote>
  <w:footnote w:id="6455">
    <w:p>
      <w:pPr>
        <w:pStyle w:val="Funote"/>
        <w:rPr/>
      </w:pPr>
      <w:r>
        <w:rPr>
          <w:rStyle w:val="Funotenzeichen"/>
        </w:rPr>
        <w:footnoteRef/>
      </w:r>
      <w:r>
        <w:rPr/>
        <w:tab/>
        <w:t xml:space="preserve">Timotheus war ein enger Mitarbeiter des Apostels Paulus, der auch in </w:t>
      </w:r>
      <w:r>
        <w:fldChar w:fldCharType="begin"/>
      </w:r>
      <w:r>
        <w:rPr>
          <w:rStyle w:val="Internetverknpfung"/>
        </w:rPr>
        <w:instrText> HYPERLINK "../../../../../../../../../wiki/2_Korinther_1" \l "s1"</w:instrText>
      </w:r>
      <w:r>
        <w:rPr>
          <w:rStyle w:val="Internetverknpfung"/>
        </w:rPr>
        <w:fldChar w:fldCharType="separate"/>
      </w:r>
      <w:r>
        <w:rPr>
          <w:rStyle w:val="Internetverknpfung"/>
        </w:rPr>
        <w:t>2Kor 1,1</w:t>
      </w:r>
      <w:r>
        <w:rPr>
          <w:rStyle w:val="Internetverknpfung"/>
        </w:rPr>
        <w:fldChar w:fldCharType="end"/>
      </w:r>
      <w:r>
        <w:rPr/>
        <w:t xml:space="preserve">; </w:t>
      </w:r>
      <w:r>
        <w:fldChar w:fldCharType="begin"/>
      </w:r>
      <w:r>
        <w:rPr>
          <w:rStyle w:val="Internetverknpfung"/>
        </w:rPr>
        <w:instrText> HYPERLINK "../../../../../../../../../wiki/Philipper_1" \l "s1"</w:instrText>
      </w:r>
      <w:r>
        <w:rPr>
          <w:rStyle w:val="Internetverknpfung"/>
        </w:rPr>
        <w:fldChar w:fldCharType="separate"/>
      </w:r>
      <w:r>
        <w:rPr>
          <w:rStyle w:val="Internetverknpfung"/>
        </w:rPr>
        <w:t>Phil 1,1</w:t>
      </w:r>
      <w:r>
        <w:rPr>
          <w:rStyle w:val="Internetverknpfung"/>
        </w:rPr>
        <w:fldChar w:fldCharType="end"/>
      </w:r>
      <w:r>
        <w:rPr/>
        <w:t xml:space="preserve">; </w:t>
      </w:r>
      <w:r>
        <w:fldChar w:fldCharType="begin"/>
      </w:r>
      <w:r>
        <w:rPr>
          <w:rStyle w:val="Internetverknpfung"/>
        </w:rPr>
        <w:instrText> HYPERLINK "../../../../../../../../../wiki/Philemon" \l "s1"</w:instrText>
      </w:r>
      <w:r>
        <w:rPr>
          <w:rStyle w:val="Internetverknpfung"/>
        </w:rPr>
        <w:fldChar w:fldCharType="separate"/>
      </w:r>
      <w:r>
        <w:rPr>
          <w:rStyle w:val="Internetverknpfung"/>
        </w:rPr>
        <w:t>Phlm 1</w:t>
      </w:r>
      <w:r>
        <w:rPr>
          <w:rStyle w:val="Internetverknpfung"/>
        </w:rPr>
        <w:fldChar w:fldCharType="end"/>
      </w:r>
      <w:r>
        <w:rPr/>
        <w:t xml:space="preserve"> als Mitverfasser erwähnt wird; zusammen mit Silvanus auch in </w:t>
      </w:r>
      <w:hyperlink r:id="rId712">
        <w:r>
          <w:rPr>
            <w:rStyle w:val="Internetverknpfung"/>
          </w:rPr>
          <w:t>1Thess 1,1</w:t>
        </w:r>
      </w:hyperlink>
      <w:r>
        <w:rPr/>
        <w:t xml:space="preserve">; </w:t>
      </w:r>
      <w:hyperlink r:id="rId713">
        <w:r>
          <w:rPr>
            <w:rStyle w:val="Internetverknpfung"/>
          </w:rPr>
          <w:t>2Thess 1,1</w:t>
        </w:r>
      </w:hyperlink>
      <w:r>
        <w:rPr/>
        <w:t>. Nach den Angaben der Apostelgeschichte nahm Paulus ihn aufgrund seines guten Rufs unter den Gläubigen während seiner zweiten Missionsreise in Derbe in sein Mitarbeiterteam auf (</w:t>
      </w:r>
      <w:r>
        <w:fldChar w:fldCharType="begin"/>
      </w:r>
      <w:r>
        <w:rPr>
          <w:rStyle w:val="Internetverknpfung"/>
        </w:rPr>
        <w:instrText> HYPERLINK "../../../../../../../../../wiki/Apostelgeschichte_16" \l "s1"</w:instrText>
      </w:r>
      <w:r>
        <w:rPr>
          <w:rStyle w:val="Internetverknpfung"/>
        </w:rPr>
        <w:fldChar w:fldCharType="separate"/>
      </w:r>
      <w:r>
        <w:rPr>
          <w:rStyle w:val="Internetverknpfung"/>
        </w:rPr>
        <w:t>Apg 16,1-3</w:t>
      </w:r>
      <w:r>
        <w:rPr>
          <w:rStyle w:val="Internetverknpfung"/>
        </w:rPr>
        <w:fldChar w:fldCharType="end"/>
      </w:r>
      <w:r>
        <w:rPr/>
        <w:t xml:space="preserve">).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 </w:t>
      </w:r>
    </w:p>
  </w:footnote>
  <w:footnote w:id="6456">
    <w:p>
      <w:pPr>
        <w:pStyle w:val="Funote"/>
        <w:rPr/>
      </w:pPr>
      <w:r>
        <w:rPr>
          <w:rStyle w:val="Funotenzeichen"/>
        </w:rPr>
        <w:footnoteRef/>
      </w:r>
      <w:r>
        <w:rPr/>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457">
    <w:p>
      <w:pPr>
        <w:pStyle w:val="Funote"/>
        <w:rPr/>
      </w:pPr>
      <w:r>
        <w:rPr>
          <w:rStyle w:val="Funotenzeichen"/>
        </w:rPr>
        <w:footnoteRef/>
      </w:r>
      <w:r>
        <w:rPr/>
        <w:tab/>
        <w:t xml:space="preserve">Vgl. die entsprechende Fußnote zu Eph 1,1. </w:t>
      </w:r>
    </w:p>
  </w:footnote>
  <w:footnote w:id="6458">
    <w:p>
      <w:pPr>
        <w:pStyle w:val="Funote"/>
        <w:rPr/>
      </w:pPr>
      <w:r>
        <w:rPr>
          <w:rStyle w:val="Funotenzeichen"/>
        </w:rPr>
        <w:footnoteRef/>
      </w:r>
      <w:hyperlink r:id="rId714">
        <w:r>
          <w:rPr>
            <w:rStyle w:val="Internetverknpfung"/>
          </w:rPr>
          <w:tab/>
          <w:t>Generisches Maskulinum</w:t>
        </w:r>
      </w:hyperlink>
      <w:r>
        <w:rPr/>
        <w:t xml:space="preserve">. </w:t>
      </w:r>
    </w:p>
  </w:footnote>
  <w:footnote w:id="6459">
    <w:p>
      <w:pPr>
        <w:pStyle w:val="Funote"/>
        <w:rPr/>
      </w:pPr>
      <w:r>
        <w:rPr>
          <w:rStyle w:val="Funotenzeichen"/>
        </w:rPr>
        <w:footnoteRef/>
      </w:r>
      <w:r>
        <w:rPr>
          <w:i/>
        </w:rPr>
        <w:tab/>
        <w:t>in Christus</w:t>
      </w:r>
      <w:r>
        <w:rPr/>
        <w:t xml:space="preserve"> (sowie das ausführlichere „in Christus Jesus“, </w:t>
      </w:r>
      <w:r>
        <w:fldChar w:fldCharType="begin"/>
      </w:r>
      <w:r>
        <w:rPr>
          <w:rStyle w:val="Internetverknpfung"/>
        </w:rPr>
        <w:instrText> HYPERLINK "../../../../../../../../../wiki/Kolosser_1" \l "s4"</w:instrText>
      </w:r>
      <w:r>
        <w:rPr>
          <w:rStyle w:val="Internetverknpfung"/>
        </w:rPr>
        <w:fldChar w:fldCharType="separate"/>
      </w:r>
      <w:r>
        <w:rPr>
          <w:rStyle w:val="Internetverknpfung"/>
        </w:rPr>
        <w:t>Kol 1,4</w:t>
      </w:r>
      <w:r>
        <w:rPr>
          <w:rStyle w:val="Internetverknpfung"/>
        </w:rPr>
        <w:fldChar w:fldCharType="end"/>
      </w:r>
      <w:r>
        <w:rPr/>
        <w:t xml:space="preserve">) ist bei Paulus ein Lieblingsattribut, das häufig und in den verschiedensten Kontexten Anwendung findet (vgl. etwa analog </w:t>
      </w:r>
      <w:r>
        <w:fldChar w:fldCharType="begin"/>
      </w:r>
      <w:r>
        <w:rPr>
          <w:rStyle w:val="Internetverknpfung"/>
        </w:rPr>
        <w:instrText> HYPERLINK "../../../../../../../../../wiki/Epheser_1" \l "s1"</w:instrText>
      </w:r>
      <w:r>
        <w:rPr>
          <w:rStyle w:val="Internetverknpfung"/>
        </w:rPr>
        <w:fldChar w:fldCharType="separate"/>
      </w:r>
      <w:r>
        <w:rPr>
          <w:rStyle w:val="Internetverknpfung"/>
        </w:rPr>
        <w:t>Eph 1,1</w:t>
      </w:r>
      <w:r>
        <w:rPr>
          <w:rStyle w:val="Internetverknpfung"/>
        </w:rPr>
        <w:fldChar w:fldCharType="end"/>
      </w:r>
      <w:r>
        <w:rPr/>
        <w:t xml:space="preserve">). In Kol kommt es sonst nur noch in </w:t>
      </w:r>
      <w:r>
        <w:fldChar w:fldCharType="begin"/>
      </w:r>
      <w:r>
        <w:rPr>
          <w:rStyle w:val="Internetverknpfung"/>
        </w:rPr>
        <w:instrText> HYPERLINK "../../../../../../../../../wiki/Kolosser_1" \l "s28"</w:instrText>
      </w:r>
      <w:r>
        <w:rPr>
          <w:rStyle w:val="Internetverknpfung"/>
        </w:rPr>
        <w:fldChar w:fldCharType="separate"/>
      </w:r>
      <w:r>
        <w:rPr>
          <w:rStyle w:val="Internetverknpfung"/>
        </w:rPr>
        <w:t>1,28</w:t>
      </w:r>
      <w:r>
        <w:rPr>
          <w:rStyle w:val="Internetverknpfung"/>
        </w:rPr>
        <w:fldChar w:fldCharType="end"/>
      </w:r>
      <w:r>
        <w:rPr/>
        <w:t xml:space="preserve">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w:t>
      </w:r>
      <w:r>
        <w:fldChar w:fldCharType="begin"/>
      </w:r>
      <w:r>
        <w:rPr>
          <w:rStyle w:val="Internetverknpfung"/>
        </w:rPr>
        <w:instrText> HYPERLINK "../../../../../../../../../wiki/1_Korinther_15" \l "s22"</w:instrText>
      </w:r>
      <w:r>
        <w:rPr>
          <w:rStyle w:val="Internetverknpfung"/>
        </w:rPr>
        <w:fldChar w:fldCharType="separate"/>
      </w:r>
      <w:r>
        <w:rPr>
          <w:rStyle w:val="Internetverknpfung"/>
        </w:rPr>
        <w:t>1Kor 15,22</w:t>
      </w:r>
      <w:r>
        <w:rPr>
          <w:rStyle w:val="Internetverknpfung"/>
        </w:rPr>
        <w:fldChar w:fldCharType="end"/>
      </w:r>
      <w:r>
        <w:rPr/>
        <w:t xml:space="preserve">; </w:t>
      </w:r>
      <w:r>
        <w:fldChar w:fldCharType="begin"/>
      </w:r>
      <w:r>
        <w:rPr>
          <w:rStyle w:val="Internetverknpfung"/>
        </w:rPr>
        <w:instrText> HYPERLINK "../../../../../../../../../wiki/2_Korinther_5" \l "s14"</w:instrText>
      </w:r>
      <w:r>
        <w:rPr>
          <w:rStyle w:val="Internetverknpfung"/>
        </w:rPr>
        <w:fldChar w:fldCharType="separate"/>
      </w:r>
      <w:r>
        <w:rPr>
          <w:rStyle w:val="Internetverknpfung"/>
        </w:rPr>
        <w:t>2Kor 5,14-17</w:t>
      </w:r>
      <w:r>
        <w:rPr>
          <w:rStyle w:val="Internetverknpfung"/>
        </w:rPr>
        <w:fldChar w:fldCharType="end"/>
      </w:r>
      <w:r>
        <w:rPr/>
        <w:t xml:space="preserve">; </w:t>
      </w:r>
      <w:r>
        <w:fldChar w:fldCharType="begin"/>
      </w:r>
      <w:r>
        <w:rPr>
          <w:rStyle w:val="Internetverknpfung"/>
        </w:rPr>
        <w:instrText> HYPERLINK "../../../../../../../../../wiki/R%C3%B6mer_5" \l "s12"</w:instrText>
      </w:r>
      <w:r>
        <w:rPr>
          <w:rStyle w:val="Internetverknpfung"/>
        </w:rPr>
        <w:fldChar w:fldCharType="separate"/>
      </w:r>
      <w:r>
        <w:rPr>
          <w:rStyle w:val="Internetverknpfung"/>
        </w:rPr>
        <w:t>Röm 5,12-21</w:t>
      </w:r>
      <w:r>
        <w:rPr>
          <w:rStyle w:val="Internetverknpfung"/>
        </w:rPr>
        <w:fldChar w:fldCharType="end"/>
      </w:r>
      <w:r>
        <w:rPr/>
        <w:t xml:space="preserve">) (Moo 2008, 77, vgl. O'Brien 1982, 4). </w:t>
      </w:r>
    </w:p>
  </w:footnote>
  <w:footnote w:id="6460">
    <w:p>
      <w:pPr>
        <w:pStyle w:val="Funote"/>
        <w:rPr/>
      </w:pPr>
      <w:r>
        <w:rPr>
          <w:rStyle w:val="Funotenzeichen"/>
        </w:rPr>
        <w:footnoteRef/>
      </w:r>
      <w:r>
        <w:rPr/>
        <w:tab/>
        <w:t xml:space="preserve">Einige Handschriften (u.a. die wichtigen alexandrinischen </w:t>
      </w:r>
      <w:r>
        <w:rPr>
          <w:rtl w:val="true"/>
          <w:lang w:bidi="he-IL"/>
        </w:rPr>
        <w:t>א</w:t>
      </w:r>
      <w:r>
        <w:rPr/>
        <w:t xml:space="preserve">, A sowie der Mehrheitstext) ergänzen „und des Herrn Jesus Christus“, vielleicht in direkter Anlehnung an </w:t>
      </w:r>
      <w:r>
        <w:fldChar w:fldCharType="begin"/>
      </w:r>
      <w:r>
        <w:rPr>
          <w:rStyle w:val="Internetverknpfung"/>
        </w:rPr>
        <w:instrText> HYPERLINK "../../../../../../../../../wiki/Epheser_2" \l "s2"</w:instrText>
      </w:r>
      <w:r>
        <w:rPr>
          <w:rStyle w:val="Internetverknpfung"/>
        </w:rPr>
        <w:fldChar w:fldCharType="separate"/>
      </w:r>
      <w:r>
        <w:rPr>
          <w:rStyle w:val="Internetverknpfung"/>
        </w:rPr>
        <w:t>Eph 2,2</w:t>
      </w:r>
      <w:r>
        <w:rPr>
          <w:rStyle w:val="Internetverknpfung"/>
        </w:rPr>
        <w:fldChar w:fldCharType="end"/>
      </w:r>
      <w:r>
        <w:rPr/>
        <w:t xml:space="preserve">, weswegen er in NA27 wohl als sekundär eingestuft wird. Der Teil fehlt u.a. in B, D, 33, 1739. </w:t>
      </w:r>
    </w:p>
  </w:footnote>
  <w:footnote w:id="6461">
    <w:p>
      <w:pPr>
        <w:pStyle w:val="Funote"/>
        <w:rPr/>
      </w:pPr>
      <w:r>
        <w:rPr>
          <w:rStyle w:val="Funotenzeichen"/>
        </w:rPr>
        <w:footnoteRef/>
      </w:r>
      <w:r>
        <w:rPr/>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462">
    <w:p>
      <w:pPr>
        <w:pStyle w:val="Funote"/>
        <w:rPr/>
      </w:pPr>
      <w:r>
        <w:rPr>
          <w:rStyle w:val="Funotenzeichen"/>
        </w:rPr>
        <w:footnoteRef/>
      </w:r>
      <w:r>
        <w:rPr/>
        <w:tab/>
        <w:t xml:space="preserve">Vgl. die Fußnote in V. 2 bei „in Christus“. </w:t>
      </w:r>
    </w:p>
  </w:footnote>
  <w:footnote w:id="6463">
    <w:p>
      <w:pPr>
        <w:pStyle w:val="Funote"/>
        <w:rPr/>
      </w:pPr>
      <w:r>
        <w:rPr>
          <w:rStyle w:val="Funotenzeichen"/>
        </w:rPr>
        <w:footnoteRef/>
      </w:r>
      <w:r>
        <w:rPr/>
        <w:tab/>
        <w:t>Kausal aufgelöstes Ptz. coni. (vgl. Moo 2008, 84). Möglich theoretisch auch temporal: „seit“</w:t>
      </w:r>
    </w:p>
  </w:footnote>
  <w:footnote w:id="6464">
    <w:p>
      <w:pPr>
        <w:pStyle w:val="Funote"/>
        <w:rPr/>
      </w:pPr>
      <w:r>
        <w:rPr>
          <w:rStyle w:val="Funotenzeichen"/>
        </w:rPr>
        <w:footnoteRef/>
      </w:r>
      <w:r>
        <w:rPr/>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 </w:t>
      </w:r>
    </w:p>
  </w:footnote>
  <w:footnote w:id="6465">
    <w:p>
      <w:pPr>
        <w:pStyle w:val="Funote"/>
        <w:rPr/>
      </w:pPr>
      <w:r>
        <w:rPr>
          <w:rStyle w:val="Funotenzeichen"/>
        </w:rPr>
        <w:footnoteRef/>
      </w:r>
      <w:r>
        <w:rPr/>
        <w:tab/>
        <w:t xml:space="preserve">Wörtlich ein Plural. </w:t>
      </w:r>
    </w:p>
  </w:footnote>
  <w:footnote w:id="6466">
    <w:p>
      <w:pPr>
        <w:pStyle w:val="Funote"/>
        <w:rPr/>
      </w:pPr>
      <w:r>
        <w:rPr>
          <w:rStyle w:val="Funotenzeichen"/>
        </w:rPr>
        <w:footnoteRef/>
      </w:r>
      <w:r>
        <w:rPr/>
        <w:tab/>
        <w:t xml:space="preserve">Wenn eine gezielte Betonung des „vorher“ (im Gegensatz zu „schon“) intendiert ist, dann bezieht sich das vielleicht auf die Zeit, wo Epaphras in Kolossä evangelisierte, vor dem Aufkommen der Irrlehre, die mit dem Brief bekämpft wird (so seit Moule 1898, 67; vgl. Moo 2008, 86). </w:t>
      </w:r>
    </w:p>
  </w:footnote>
  <w:footnote w:id="6467">
    <w:p>
      <w:pPr>
        <w:pStyle w:val="Funote"/>
        <w:rPr/>
      </w:pPr>
      <w:r>
        <w:rPr>
          <w:rStyle w:val="Funotenzeichen"/>
        </w:rPr>
        <w:footnoteRef/>
      </w:r>
      <w:r>
        <w:rPr/>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468">
    <w:p>
      <w:pPr>
        <w:pStyle w:val="Funote"/>
        <w:rPr/>
      </w:pPr>
      <w:r>
        <w:rPr>
          <w:rStyle w:val="Funotenzeichen"/>
        </w:rPr>
        <w:footnoteRef/>
      </w:r>
      <w:r>
        <w:rPr/>
        <w:tab/>
        <w:t xml:space="preserve">Attributives Ptz. Aor., als Relativsatz aufgelöst. </w:t>
      </w:r>
    </w:p>
  </w:footnote>
  <w:footnote w:id="6469">
    <w:p>
      <w:pPr>
        <w:pStyle w:val="Funote"/>
        <w:rPr/>
      </w:pPr>
      <w:r>
        <w:rPr>
          <w:rStyle w:val="Funotenzeichen"/>
        </w:rPr>
        <w:footnoteRef/>
      </w:r>
      <w:r>
        <w:rPr/>
        <w:tab/>
        <w:t xml:space="preserve">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 </w:t>
      </w:r>
    </w:p>
  </w:footnote>
  <w:footnote w:id="6470">
    <w:p>
      <w:pPr>
        <w:pStyle w:val="Funote"/>
        <w:rPr/>
      </w:pPr>
      <w:r>
        <w:rPr>
          <w:rStyle w:val="Funotenzeichen"/>
        </w:rPr>
        <w:footnoteRef/>
      </w:r>
      <w:r>
        <w:rPr/>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471">
    <w:p>
      <w:pPr>
        <w:pStyle w:val="Funote"/>
        <w:rPr/>
      </w:pPr>
      <w:r>
        <w:rPr>
          <w:rStyle w:val="Funotenzeichen"/>
        </w:rPr>
        <w:footnoteRef/>
      </w:r>
      <w:r>
        <w:rPr/>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472">
    <w:p>
      <w:pPr>
        <w:pStyle w:val="Funote"/>
        <w:rPr/>
      </w:pPr>
      <w:r>
        <w:rPr>
          <w:rStyle w:val="Funotenzeichen"/>
        </w:rPr>
        <w:footnoteRef/>
      </w:r>
      <w:r>
        <w:rPr/>
        <w:tab/>
        <w:t>„</w:t>
      </w:r>
      <w:r>
        <w:rPr/>
        <w:t xml:space="preserve">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 </w:t>
      </w:r>
    </w:p>
  </w:footnote>
  <w:footnote w:id="6473">
    <w:p>
      <w:pPr>
        <w:pStyle w:val="Funote"/>
        <w:rPr/>
      </w:pPr>
      <w:r>
        <w:rPr>
          <w:rStyle w:val="Funotenzeichen"/>
        </w:rPr>
        <w:footnoteRef/>
      </w:r>
      <w:r>
        <w:rPr>
          <w:lang w:val="el-GR"/>
        </w:rPr>
        <w:tab/>
        <w:t>καθώς</w:t>
      </w:r>
      <w:r>
        <w:rPr/>
        <w:t xml:space="preserve"> („(genau) wie“) scheint hier die beiden Sätze auf sehr allgemeine Weise zu verbinden (Moo 2008, 89), viele Übersetzungen lassen es weg. Hier wurde analog zu 6b übersetzt, um die parallele Struktur zu unterstreichen. </w:t>
      </w:r>
    </w:p>
  </w:footnote>
  <w:footnote w:id="6474">
    <w:p>
      <w:pPr>
        <w:pStyle w:val="Funote"/>
        <w:rPr/>
      </w:pPr>
      <w:r>
        <w:rPr>
          <w:rStyle w:val="Funotenzeichen"/>
        </w:rPr>
        <w:footnoteRef/>
      </w:r>
      <w:r>
        <w:rPr/>
        <w:tab/>
        <w:t xml:space="preserve">Epaphras wird sonst nur in </w:t>
      </w:r>
      <w:hyperlink r:id="rId715">
        <w:r>
          <w:rPr>
            <w:rStyle w:val="Internetverknpfung"/>
          </w:rPr>
          <w:t>Kol 4,12f.</w:t>
        </w:r>
      </w:hyperlink>
      <w:r>
        <w:rPr/>
        <w:t xml:space="preserve"> und </w:t>
      </w:r>
      <w:r>
        <w:fldChar w:fldCharType="begin"/>
      </w:r>
      <w:r>
        <w:rPr>
          <w:rStyle w:val="Internetverknpfung"/>
        </w:rPr>
        <w:instrText> HYPERLINK "../../../../../../../../../wiki/Philemon" \l "s23"</w:instrText>
      </w:r>
      <w:r>
        <w:rPr>
          <w:rStyle w:val="Internetverknpfung"/>
        </w:rPr>
        <w:fldChar w:fldCharType="separate"/>
      </w:r>
      <w:r>
        <w:rPr>
          <w:rStyle w:val="Internetverknpfung"/>
        </w:rPr>
        <w:t>Phlm 23</w:t>
      </w:r>
      <w:r>
        <w:rPr>
          <w:rStyle w:val="Internetverknpfung"/>
        </w:rPr>
        <w:fldChar w:fldCharType="end"/>
      </w:r>
      <w:r>
        <w:rPr/>
        <w:t xml:space="preserve">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w:t>
      </w:r>
      <w:r>
        <w:fldChar w:fldCharType="begin"/>
      </w:r>
      <w:r>
        <w:rPr>
          <w:rStyle w:val="Internetverknpfung"/>
        </w:rPr>
        <w:instrText> HYPERLINK "../../../../../../../../../wiki/Philipper_2" \l "s25"</w:instrText>
      </w:r>
      <w:r>
        <w:rPr>
          <w:rStyle w:val="Internetverknpfung"/>
        </w:rPr>
        <w:fldChar w:fldCharType="separate"/>
      </w:r>
      <w:r>
        <w:rPr>
          <w:rStyle w:val="Internetverknpfung"/>
        </w:rPr>
        <w:t>Phil 2,25</w:t>
      </w:r>
      <w:r>
        <w:rPr>
          <w:rStyle w:val="Internetverknpfung"/>
        </w:rPr>
        <w:fldChar w:fldCharType="end"/>
      </w:r>
      <w:r>
        <w:rPr/>
        <w:t xml:space="preserve">; </w:t>
      </w:r>
      <w:r>
        <w:fldChar w:fldCharType="begin"/>
      </w:r>
      <w:r>
        <w:rPr>
          <w:rStyle w:val="Internetverknpfung"/>
        </w:rPr>
        <w:instrText> HYPERLINK "../../../../../../../../../wiki/Philipper_4" \l "s18"</w:instrText>
      </w:r>
      <w:r>
        <w:rPr>
          <w:rStyle w:val="Internetverknpfung"/>
        </w:rPr>
        <w:fldChar w:fldCharType="separate"/>
      </w:r>
      <w:r>
        <w:rPr>
          <w:rStyle w:val="Internetverknpfung"/>
        </w:rPr>
        <w:t>4,18</w:t>
      </w:r>
      <w:r>
        <w:rPr>
          <w:rStyle w:val="Internetverknpfung"/>
        </w:rPr>
        <w:fldChar w:fldCharType="end"/>
      </w:r>
      <w:r>
        <w:rPr/>
        <w:t xml:space="preserve"> genannten Paulus-Mitarbeiter identisch (Moo 2008, 90). </w:t>
      </w:r>
    </w:p>
  </w:footnote>
  <w:footnote w:id="6475">
    <w:p>
      <w:pPr>
        <w:pStyle w:val="Funote"/>
        <w:rPr/>
      </w:pPr>
      <w:r>
        <w:rPr>
          <w:rStyle w:val="Funotenzeichen"/>
        </w:rPr>
        <w:footnoteRef/>
      </w:r>
      <w:r>
        <w:rPr/>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(𝔓46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476">
    <w:p>
      <w:pPr>
        <w:pStyle w:val="Funote"/>
        <w:rPr/>
      </w:pPr>
      <w:r>
        <w:rPr>
          <w:rStyle w:val="Funotenzeichen"/>
        </w:rPr>
        <w:footnoteRef/>
      </w:r>
      <w:r>
        <w:rPr>
          <w:lang w:val="el-GR"/>
        </w:rPr>
        <w:tab/>
        <w:t>ἐν</w:t>
      </w:r>
      <w:r>
        <w:rPr/>
        <w:t xml:space="preserve"> („in“ (örtl.), „durch“ (instr.)) ist hier wohl instrumental gemeint. Die demonstrierte Liebe wird also durch den Heiligen Geist verursacht (Moo 2008, 91f., vgl. EÜ, NGÜ, Menge).</w:t>
      </w:r>
    </w:p>
  </w:footnote>
  <w:footnote w:id="6477">
    <w:p>
      <w:pPr>
        <w:pStyle w:val="Funote"/>
        <w:rPr/>
      </w:pPr>
      <w:r>
        <w:rPr>
          <w:rStyle w:val="Funotenzeichen"/>
        </w:rPr>
        <w:footnoteRef/>
      </w:r>
      <w:r>
        <w:rPr/>
        <w:tab/>
        <w:t xml:space="preserve">Auflösung eines attributiven Ptz. Aor. als Relativsatz. Möglich wäre auch eine „und“-Kombination. </w:t>
      </w:r>
    </w:p>
  </w:footnote>
  <w:footnote w:id="6478">
    <w:p>
      <w:pPr>
        <w:pStyle w:val="Funote"/>
        <w:rPr/>
      </w:pPr>
      <w:r>
        <w:rPr>
          <w:rStyle w:val="Funotenzeichen"/>
        </w:rPr>
        <w:footnoteRef/>
      </w:r>
      <w:r>
        <w:rPr/>
        <w:tab/>
        <w:t>[Status: Zuverlässig]</w:t>
      </w:r>
    </w:p>
  </w:footnote>
  <w:footnote w:id="6479">
    <w:p>
      <w:pPr>
        <w:pStyle w:val="Funote"/>
        <w:rPr/>
      </w:pPr>
      <w:r>
        <w:rPr>
          <w:rStyle w:val="Funotenzeichen"/>
        </w:rPr>
        <w:footnoteRef/>
      </w:r>
      <w:r>
        <w:rPr/>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480">
    <w:p>
      <w:pPr>
        <w:pStyle w:val="Funote"/>
        <w:rPr/>
      </w:pPr>
      <w:r>
        <w:rPr>
          <w:rStyle w:val="Funotenzeichen"/>
        </w:rPr>
        <w:footnoteRef/>
      </w:r>
      <w:r>
        <w:rPr>
          <w:i/>
        </w:rPr>
        <w:tab/>
        <w:t>Fremde</w:t>
      </w:r>
      <w:r>
        <w:rPr/>
        <w:t xml:space="preserve"> Als Substantiv gebrauchtes Ptz. Pf. Pass., w. also „entfremdet“. Im NT nur 3x und nur im Ptz. Pf. Pass., immer resultativ und im Zusammenhang mit der Bundesgemeinschaft bzw. Beziehung mit Gott gebraucht (</w:t>
      </w:r>
      <w:r>
        <w:fldChar w:fldCharType="begin"/>
      </w:r>
      <w:r>
        <w:rPr>
          <w:rStyle w:val="Internetverknpfung"/>
        </w:rPr>
        <w:instrText> HYPERLINK "../../../../../../../../../wiki/Epheser_2" \l "s12"</w:instrText>
      </w:r>
      <w:r>
        <w:rPr>
          <w:rStyle w:val="Internetverknpfung"/>
        </w:rPr>
        <w:fldChar w:fldCharType="separate"/>
      </w:r>
      <w:r>
        <w:rPr>
          <w:rStyle w:val="Internetverknpfung"/>
        </w:rPr>
        <w:t>Eph 2,12</w:t>
      </w:r>
      <w:r>
        <w:rPr>
          <w:rStyle w:val="Internetverknpfung"/>
        </w:rPr>
        <w:fldChar w:fldCharType="end"/>
      </w:r>
      <w:r>
        <w:rPr/>
        <w:t xml:space="preserve">; </w:t>
      </w:r>
      <w:hyperlink r:id="rId716">
        <w:r>
          <w:rPr>
            <w:rStyle w:val="Internetverknpfung"/>
          </w:rPr>
          <w:t>4,18</w:t>
        </w:r>
      </w:hyperlink>
      <w:r>
        <w:rPr/>
        <w:t xml:space="preserve">, vgl. TWNT, </w:t>
      </w:r>
      <w:r>
        <w:rPr>
          <w:lang w:val="el-GR"/>
        </w:rPr>
        <w:t>ἀπαλλοτριόω</w:t>
      </w:r>
      <w:r>
        <w:rPr/>
        <w:t xml:space="preserve">). Auffällig ist, dass hier das erwartete Lokal-Objekt fehlt: wir also nicht erfahren, wovon die Adressaten einmal entfremdet waren. </w:t>
      </w:r>
    </w:p>
  </w:footnote>
  <w:footnote w:id="6481">
    <w:p>
      <w:pPr>
        <w:pStyle w:val="Funote"/>
        <w:rPr/>
      </w:pPr>
      <w:r>
        <w:rPr>
          <w:rStyle w:val="Funotenzeichen"/>
        </w:rPr>
        <w:footnoteRef/>
      </w:r>
      <w:r>
        <w:rPr/>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482">
    <w:p>
      <w:pPr>
        <w:pStyle w:val="Funote"/>
        <w:rPr/>
      </w:pPr>
      <w:r>
        <w:rPr>
          <w:rStyle w:val="Funotenzeichen"/>
        </w:rPr>
        <w:footnoteRef/>
      </w:r>
      <w:r>
        <w:rPr/>
        <w:tab/>
        <w:t>aufgrund (in) Kausale Interpretation von „in“, vgl. EÜ. Nicht klar ist, ob das böse Verhalten Grundlage oder Zeugnis der feindlichen Geisteshaltung ist. Darum alternativ: „[wie es] in [eurem] bösen Verhalten [zum Ausdruck kommt]“.</w:t>
      </w:r>
    </w:p>
  </w:footnote>
  <w:footnote w:id="6483">
    <w:p>
      <w:pPr>
        <w:pStyle w:val="Funote"/>
        <w:rPr/>
      </w:pPr>
      <w:r>
        <w:rPr>
          <w:rStyle w:val="Funotenzeichen"/>
        </w:rPr>
        <w:footnoteRef/>
      </w:r>
      <w:r>
        <w:rPr/>
        <w:tab/>
        <w:t xml:space="preserve">Als konzessiv verbundener Hauptsatz aufgelöstes Participium coniunctum (Ptz. Präs. Akk.). Möglich wäre auch eine Auflösung als Relativsatz, eine stärkere konzessive („obwohl“) oder temporale Deutung („während, als“). S.a. </w:t>
      </w:r>
      <w:r>
        <w:fldChar w:fldCharType="begin"/>
      </w:r>
      <w:r>
        <w:rPr>
          <w:rStyle w:val="Internetverknpfung"/>
        </w:rPr>
        <w:instrText> HYPERLINK "../../../../../../../../../wiki/Kolosser_1" \l "note_x"</w:instrText>
      </w:r>
      <w:r>
        <w:rPr>
          <w:rStyle w:val="Internetverknpfung"/>
        </w:rPr>
        <w:fldChar w:fldCharType="separate"/>
      </w:r>
      <w:r>
        <w:rPr>
          <w:rStyle w:val="Internetverknpfung"/>
        </w:rPr>
        <w:t>V. 21, Fußnote 1</w:t>
      </w:r>
      <w:r>
        <w:rPr>
          <w:rStyle w:val="Internetverknpfung"/>
        </w:rPr>
        <w:fldChar w:fldCharType="end"/>
      </w:r>
      <w:r>
        <w:rPr/>
        <w:t xml:space="preserve">. </w:t>
      </w:r>
    </w:p>
  </w:footnote>
  <w:footnote w:id="6484">
    <w:p>
      <w:pPr>
        <w:pStyle w:val="Funote"/>
        <w:rPr/>
      </w:pPr>
      <w:r>
        <w:rPr>
          <w:rStyle w:val="Funotenzeichen"/>
        </w:rPr>
        <w:footnoteRef/>
      </w:r>
      <w:r>
        <w:rPr/>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485">
    <w:p>
      <w:pPr>
        <w:pStyle w:val="Funote"/>
        <w:rPr/>
      </w:pPr>
      <w:r>
        <w:rPr>
          <w:rStyle w:val="Funotenzeichen"/>
        </w:rPr>
        <w:footnoteRef/>
      </w:r>
      <w:r>
        <w:rPr/>
        <w:tab/>
        <w:t xml:space="preserve">W: „seinen Körper des Fleisches“. Der attr. Genitiv drückt die Beschaffenheit des Bezugsworts aus. Gemeint ist mit dem „fleischlichen Körper“ wohl ein „sterblicher“ (Moo 2008, 142), der gedanklich klar von der Gemeinde als „Körper Christi“ abgegrenzt werden soll (Schweizer </w:t>
      </w:r>
      <w:r>
        <w:rPr>
          <w:position w:val="7"/>
          <w:sz w:val="16"/>
        </w:rPr>
        <w:t>2</w:t>
      </w:r>
      <w:r>
        <w:rPr/>
        <w:t xml:space="preserve">1980, 76). </w:t>
      </w:r>
    </w:p>
  </w:footnote>
  <w:footnote w:id="6486">
    <w:p>
      <w:pPr>
        <w:pStyle w:val="Funote"/>
        <w:rPr/>
      </w:pPr>
      <w:r>
        <w:rPr>
          <w:rStyle w:val="Funotenzeichen"/>
        </w:rPr>
        <w:footnoteRef/>
      </w:r>
      <w:r>
        <w:rPr/>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487">
    <w:p>
      <w:pPr>
        <w:pStyle w:val="Funote"/>
        <w:rPr/>
      </w:pPr>
      <w:r>
        <w:rPr>
          <w:rStyle w:val="Funotenzeichen"/>
        </w:rPr>
        <w:footnoteRef/>
      </w:r>
      <w:r>
        <w:rPr/>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488">
    <w:p>
      <w:pPr>
        <w:pStyle w:val="Funote"/>
        <w:rPr/>
      </w:pPr>
      <w:r>
        <w:rPr>
          <w:rStyle w:val="Funotenzeichen"/>
        </w:rPr>
        <w:footnoteRef/>
      </w:r>
      <w:r>
        <w:rPr/>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489">
    <w:p>
      <w:pPr>
        <w:pStyle w:val="Funote"/>
        <w:rPr/>
      </w:pPr>
      <w:r>
        <w:rPr>
          <w:rStyle w:val="Funotenzeichen"/>
        </w:rPr>
        <w:footnoteRef/>
      </w:r>
      <w:r>
        <w:rPr/>
        <w:tab/>
        <w:t>Adv. Ptz. Pf. Pass., zeigt die Art und Weise (modal) oder die Ursache (kausal) des Verweilens „im Glauben“ an. Hier (modal) direkt als Artangabe aufgelöst; denkbar wären auch ein verdeutlichendes „[und zwar]“ oder „[indem]“</w:t>
      </w:r>
    </w:p>
  </w:footnote>
  <w:footnote w:id="6490">
    <w:p>
      <w:pPr>
        <w:pStyle w:val="Funote"/>
        <w:rPr/>
      </w:pPr>
      <w:r>
        <w:rPr>
          <w:rStyle w:val="Funotenzeichen"/>
        </w:rPr>
        <w:footnoteRef/>
      </w:r>
      <w:r>
        <w:rPr/>
        <w:tab/>
        <w:t xml:space="preserve">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 </w:t>
      </w:r>
    </w:p>
  </w:footnote>
  <w:footnote w:id="6491">
    <w:p>
      <w:pPr>
        <w:pStyle w:val="Funote"/>
        <w:rPr/>
      </w:pPr>
      <w:r>
        <w:rPr>
          <w:rStyle w:val="Funotenzeichen"/>
        </w:rPr>
        <w:footnoteRef/>
      </w:r>
      <w:r>
        <w:rPr/>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492">
    <w:p>
      <w:pPr>
        <w:pStyle w:val="Funote"/>
        <w:rPr/>
      </w:pPr>
      <w:r>
        <w:rPr>
          <w:rStyle w:val="Funotenzeichen"/>
        </w:rPr>
        <w:footnoteRef/>
      </w:r>
      <w:r>
        <w:rPr/>
        <w:tab/>
        <w:t xml:space="preserve">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w:t>
      </w:r>
      <w:r>
        <w:fldChar w:fldCharType="begin"/>
      </w:r>
      <w:r>
        <w:rPr>
          <w:rStyle w:val="Internetverknpfung"/>
        </w:rPr>
        <w:instrText> HYPERLINK "../../../../../../../../../wiki/Kolosser_1" \l "note_o"</w:instrText>
      </w:r>
      <w:r>
        <w:rPr>
          <w:rStyle w:val="Internetverknpfung"/>
        </w:rPr>
        <w:fldChar w:fldCharType="separate"/>
      </w:r>
      <w:r>
        <w:rPr>
          <w:rStyle w:val="Internetverknpfung"/>
        </w:rPr>
        <w:t>V. 6, Fußnote o</w:t>
      </w:r>
      <w:r>
        <w:rPr>
          <w:rStyle w:val="Internetverknpfung"/>
        </w:rPr>
        <w:fldChar w:fldCharType="end"/>
      </w:r>
      <w:r>
        <w:rPr/>
        <w:t xml:space="preserve">, dann als Entsprechung zu Versöhnung aller Dinge in V. 20 (Moo 2008, 147). </w:t>
      </w:r>
    </w:p>
  </w:footnote>
  <w:footnote w:id="6493">
    <w:p>
      <w:pPr>
        <w:pStyle w:val="Funote"/>
        <w:rPr/>
      </w:pPr>
      <w:r>
        <w:rPr>
          <w:rStyle w:val="Funotenzeichen"/>
        </w:rPr>
        <w:footnoteRef/>
      </w:r>
      <w:r>
        <w:rPr/>
        <w:tab/>
        <w:t>[Status: Ungeprüft]</w:t>
      </w:r>
    </w:p>
  </w:footnote>
  <w:footnote w:id="6494">
    <w:p>
      <w:pPr>
        <w:pStyle w:val="Funote"/>
        <w:rPr/>
      </w:pPr>
      <w:r>
        <w:rPr>
          <w:rStyle w:val="Funotenzeichen"/>
        </w:rPr>
        <w:footnoteRef/>
      </w:r>
      <w:r>
        <w:rPr/>
        <w:tab/>
        <w:t>Vers 24 bis 29 sind im griechischen Original ein Satz.</w:t>
      </w:r>
    </w:p>
  </w:footnote>
  <w:footnote w:id="6495">
    <w:p>
      <w:pPr>
        <w:pStyle w:val="Funote"/>
        <w:rPr/>
      </w:pPr>
      <w:r>
        <w:rPr>
          <w:rStyle w:val="Funotenzeichen"/>
        </w:rPr>
        <w:footnoteRef/>
      </w:r>
      <w:r>
        <w:rPr/>
        <w:tab/>
        <w:t>„</w:t>
      </w:r>
      <w:r>
        <w:rPr/>
        <w:t>Das wunderliche 'chaíro' könnte man ... interpretieren als 'ich bin stolz, zu solchem Opfer gewürdigt zu sein'“ - Hans-Joachim Uhde in: GPM 54/1, S. 91.</w:t>
      </w:r>
    </w:p>
  </w:footnote>
  <w:footnote w:id="6496">
    <w:p>
      <w:pPr>
        <w:pStyle w:val="Funote"/>
        <w:rPr/>
      </w:pPr>
      <w:r>
        <w:rPr>
          <w:rStyle w:val="Funotenzeichen"/>
        </w:rPr>
        <w:footnoteRef/>
      </w:r>
      <w:r>
        <w:rPr/>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497">
    <w:p>
      <w:pPr>
        <w:pStyle w:val="Funote"/>
        <w:rPr/>
      </w:pPr>
      <w:r>
        <w:rPr>
          <w:rStyle w:val="Funotenzeichen"/>
        </w:rPr>
        <w:footnoteRef/>
      </w:r>
      <w:r>
        <w:rPr/>
        <w:tab/>
        <w:t>Es handelt sich bei oikonomía um einen umfassenden Plan; im Griech. wurden Dekrete der Behörde so bezeichnet.</w:t>
      </w:r>
    </w:p>
  </w:footnote>
  <w:footnote w:id="6498">
    <w:p>
      <w:pPr>
        <w:pStyle w:val="Funote"/>
        <w:rPr/>
      </w:pPr>
      <w:r>
        <w:rPr>
          <w:rStyle w:val="Funotenzeichen"/>
        </w:rPr>
        <w:footnoteRef/>
      </w:r>
      <w:r>
        <w:rPr/>
        <w:tab/>
        <w:t xml:space="preserve">Dahinter steht die Vorstellung </w:t>
      </w:r>
      <w:r>
        <w:fldChar w:fldCharType="begin"/>
      </w:r>
      <w:r>
        <w:rPr>
          <w:rStyle w:val="Internetverknpfung"/>
        </w:rPr>
        <w:instrText> HYPERLINK "../../../../../../../../../wiki/R%C3%B6mer_15" \l "s19"</w:instrText>
      </w:r>
      <w:r>
        <w:rPr>
          <w:rStyle w:val="Internetverknpfung"/>
        </w:rPr>
        <w:fldChar w:fldCharType="separate"/>
      </w:r>
      <w:r>
        <w:rPr>
          <w:rStyle w:val="Internetverknpfung"/>
        </w:rPr>
        <w:t>Röm 15,19</w:t>
      </w:r>
      <w:r>
        <w:rPr>
          <w:rStyle w:val="Internetverknpfung"/>
        </w:rPr>
        <w:fldChar w:fldCharType="end"/>
      </w:r>
      <w:r>
        <w:rPr/>
        <w:t>.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499">
    <w:p>
      <w:pPr>
        <w:pStyle w:val="Funote"/>
        <w:rPr/>
      </w:pPr>
      <w:r>
        <w:rPr>
          <w:rStyle w:val="Funotenzeichen"/>
        </w:rPr>
        <w:footnoteRef/>
      </w:r>
      <w:r>
        <w:rPr/>
        <w:tab/>
        <w:t>Perf. pass.</w:t>
      </w:r>
    </w:p>
  </w:footnote>
  <w:footnote w:id="6500">
    <w:p>
      <w:pPr>
        <w:pStyle w:val="Funote"/>
        <w:rPr/>
      </w:pPr>
      <w:r>
        <w:rPr>
          <w:rStyle w:val="Funotenzeichen"/>
        </w:rPr>
        <w:footnoteRef/>
      </w:r>
      <w:r>
        <w:rPr/>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501">
    <w:p>
      <w:pPr>
        <w:pStyle w:val="Funote"/>
        <w:rPr/>
      </w:pPr>
      <w:r>
        <w:rPr>
          <w:rStyle w:val="Funotenzeichen"/>
        </w:rPr>
        <w:footnoteRef/>
      </w:r>
      <w:r>
        <w:rPr/>
        <w:tab/>
        <w:t>dóxa ist aus dem säkularen Griech. nur i.S. von „Meinung“, „Ansehen“ bekannt. Vom atl. 'kabod' bzw. von der späteren Vorstellung der 'schekina' Gottes gewinnt es im NT einen neuen Sinn, vgl. Schweizer, EKK XII, S. 88, Anm. 262.</w:t>
      </w:r>
    </w:p>
  </w:footnote>
  <w:footnote w:id="6502">
    <w:p>
      <w:pPr>
        <w:pStyle w:val="Funote"/>
        <w:rPr/>
      </w:pPr>
      <w:r>
        <w:rPr>
          <w:rStyle w:val="Funotenzeichen"/>
        </w:rPr>
        <w:footnoteRef/>
      </w:r>
      <w:r>
        <w:rPr/>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503">
    <w:p>
      <w:pPr>
        <w:pStyle w:val="Funote"/>
        <w:rPr/>
      </w:pPr>
      <w:r>
        <w:rPr>
          <w:rStyle w:val="Funotenzeichen"/>
        </w:rPr>
        <w:footnoteRef/>
      </w:r>
      <w:r>
        <w:rPr/>
        <w:tab/>
        <w:t>Schweizer, EKK XII, S.81 und 89, schlägt vor, hier „Vorgabe“ zu übersetzen, weil „Hoffnung“ hier das schon im Himmel Bereitliegende bezeichnet. „Aus der 'Hoffnung, in der gehofft wird' ist die 'Hoffnung, die gehofft wird' geworden“ (a.a.O., S., 35)</w:t>
      </w:r>
    </w:p>
  </w:footnote>
  <w:footnote w:id="6504">
    <w:p>
      <w:pPr>
        <w:pStyle w:val="Funote"/>
        <w:rPr/>
      </w:pPr>
      <w:r>
        <w:rPr>
          <w:rStyle w:val="Funotenzeichen"/>
        </w:rPr>
        <w:footnoteRef/>
      </w:r>
      <w:r>
        <w:rPr/>
        <w:tab/>
        <w:t>Adverbiales Partizip modal aufgelöst.</w:t>
      </w:r>
    </w:p>
  </w:footnote>
  <w:footnote w:id="6505">
    <w:p>
      <w:pPr>
        <w:pStyle w:val="Funote"/>
        <w:rPr/>
      </w:pPr>
      <w:r>
        <w:rPr>
          <w:rStyle w:val="Funotenzeichen"/>
        </w:rPr>
        <w:footnoteRef/>
      </w:r>
      <w:r>
        <w:rPr/>
        <w:tab/>
        <w:t>Adverbiales Partizip modal durch „und“-Kombination aufgelöst.</w:t>
      </w:r>
    </w:p>
  </w:footnote>
  <w:footnote w:id="6506">
    <w:p>
      <w:pPr>
        <w:pStyle w:val="Funote"/>
        <w:rPr/>
      </w:pPr>
      <w:r>
        <w:rPr>
          <w:rStyle w:val="Funotenzeichen"/>
        </w:rPr>
        <w:footnoteRef/>
      </w:r>
      <w:r>
        <w:rPr/>
        <w:tab/>
        <w:t>agón bezeichnet den Wettkampf, nicht den Krieg.</w:t>
      </w:r>
    </w:p>
  </w:footnote>
  <w:footnote w:id="6507">
    <w:p>
      <w:pPr>
        <w:pStyle w:val="Funote"/>
        <w:rPr/>
      </w:pPr>
      <w:r>
        <w:rPr>
          <w:rStyle w:val="Funotenzeichen"/>
        </w:rPr>
        <w:footnoteRef/>
      </w:r>
      <w:r>
        <w:rPr/>
        <w:tab/>
        <w:t>Wörtl. Präposition katá mit Akk. „längs-hin, durch-hin, gemäß, nach“, eigentl.: „von oben bis unten über etwas hin“</w:t>
      </w:r>
    </w:p>
  </w:footnote>
  <w:footnote w:id="6508">
    <w:p>
      <w:pPr>
        <w:pStyle w:val="Funote"/>
        <w:rPr/>
      </w:pPr>
      <w:r>
        <w:rPr>
          <w:rStyle w:val="Funotenzeichen"/>
        </w:rPr>
        <w:footnoteRef/>
      </w:r>
      <w:r>
        <w:rPr/>
        <w:tab/>
        <w:t>D.h. Christi.</w:t>
      </w:r>
    </w:p>
  </w:footnote>
  <w:footnote w:id="6509">
    <w:p>
      <w:pPr>
        <w:pStyle w:val="Funote"/>
        <w:rPr/>
      </w:pPr>
      <w:r>
        <w:rPr>
          <w:rStyle w:val="Funotenzeichen"/>
        </w:rPr>
        <w:footnoteRef/>
      </w:r>
      <w:r>
        <w:rPr/>
        <w:tab/>
        <w:t>[Status: Ungeprüft]</w:t>
      </w:r>
    </w:p>
  </w:footnote>
  <w:footnote w:id="6510">
    <w:p>
      <w:pPr>
        <w:pStyle w:val="Funote"/>
        <w:rPr/>
      </w:pPr>
      <w:r>
        <w:rPr>
          <w:rStyle w:val="Funotenzeichen"/>
        </w:rPr>
        <w:footnoteRef/>
      </w:r>
      <w:hyperlink r:id="rId717">
        <w:r>
          <w:rPr>
            <w:rStyle w:val="Internetverknpfung"/>
          </w:rPr>
          <w:tab/>
          <w:t>Ptz.coni.</w:t>
        </w:r>
      </w:hyperlink>
      <w:r>
        <w:rPr/>
        <w:t>, beiordnend aufgelöst.</w:t>
      </w:r>
    </w:p>
  </w:footnote>
  <w:footnote w:id="6511">
    <w:p>
      <w:pPr>
        <w:pStyle w:val="Funote"/>
        <w:rPr/>
      </w:pPr>
      <w:r>
        <w:rPr>
          <w:rStyle w:val="Funotenzeichen"/>
        </w:rPr>
        <w:footnoteRef/>
      </w:r>
      <w:r>
        <w:rPr/>
        <w:tab/>
        <w:t xml:space="preserve">Der nachfolgende Genitiv ist vom voraufgehenden abhänig, </w:t>
      </w:r>
      <w:hyperlink r:id="rId718">
        <w:r>
          <w:rPr>
            <w:rStyle w:val="Internetverknpfung"/>
          </w:rPr>
          <w:t>BDR</w:t>
        </w:r>
      </w:hyperlink>
      <w:r>
        <w:rPr/>
        <w:t xml:space="preserve"> § 168.2, wörtlich: zur Fülle der Gewissheit durch die Einsicht; zur Übersetzung vgl. Bauer/Aland, Sp. 1348.</w:t>
      </w:r>
    </w:p>
  </w:footnote>
  <w:footnote w:id="6512">
    <w:p>
      <w:pPr>
        <w:pStyle w:val="Funote"/>
        <w:rPr/>
      </w:pPr>
      <w:r>
        <w:rPr>
          <w:rStyle w:val="Funotenzeichen"/>
        </w:rPr>
        <w:footnoteRef/>
      </w:r>
      <w:hyperlink r:id="rId719">
        <w:r>
          <w:rPr>
            <w:rStyle w:val="Internetverknpfung"/>
          </w:rPr>
          <w:tab/>
          <w:t>Ptz.coni.</w:t>
        </w:r>
      </w:hyperlink>
      <w:r>
        <w:rPr/>
        <w:t>.</w:t>
      </w:r>
    </w:p>
  </w:footnote>
  <w:footnote w:id="6513">
    <w:p>
      <w:pPr>
        <w:pStyle w:val="Funote"/>
        <w:rPr/>
      </w:pPr>
      <w:r>
        <w:rPr>
          <w:rStyle w:val="Funotenzeichen"/>
        </w:rPr>
        <w:footnoteRef/>
      </w:r>
      <w:hyperlink r:id="rId720">
        <w:r>
          <w:rPr>
            <w:rStyle w:val="Internetverknpfung"/>
          </w:rPr>
          <w:tab/>
          <w:t>Ptz.coni.</w:t>
        </w:r>
      </w:hyperlink>
      <w:r>
        <w:rPr/>
        <w:t>, beiordnend aufgelöst.</w:t>
      </w:r>
    </w:p>
  </w:footnote>
  <w:footnote w:id="6514">
    <w:p>
      <w:pPr>
        <w:pStyle w:val="Funote"/>
        <w:rPr/>
      </w:pPr>
      <w:r>
        <w:rPr>
          <w:rStyle w:val="Funotenzeichen"/>
        </w:rPr>
        <w:footnoteRef/>
      </w:r>
      <w:r>
        <w:rPr/>
        <w:tab/>
        <w:t>Ist Paulus Wächter über den Glauben der Gemeinde (so legt es Bauer/Aland, Sp. 286, nahe), oder „sieht“ er (weil er brieflich davon Kenntnis erhalten hat), wie fest der Glaube der Gemeinde ist (so Schweizer, EKK XII, S. 96)? In letzterem Fall müsste man ergänzen: „den guten Zustand … eures Glaubens“.</w:t>
      </w:r>
    </w:p>
  </w:footnote>
  <w:footnote w:id="6515">
    <w:p>
      <w:pPr>
        <w:pStyle w:val="Funote"/>
        <w:rPr/>
      </w:pPr>
      <w:r>
        <w:rPr>
          <w:rStyle w:val="Funotenzeichen"/>
        </w:rPr>
        <w:footnoteRef/>
      </w:r>
      <w:hyperlink r:id="rId721">
        <w:r>
          <w:rPr>
            <w:rStyle w:val="Internetverknpfung"/>
          </w:rPr>
          <w:tab/>
          <w:t>Ptz.coni.</w:t>
        </w:r>
      </w:hyperlink>
      <w:r>
        <w:rPr/>
        <w:t>, final aufgelöst.</w:t>
      </w:r>
    </w:p>
  </w:footnote>
  <w:footnote w:id="6516">
    <w:p>
      <w:pPr>
        <w:pStyle w:val="Funote"/>
        <w:rPr/>
      </w:pPr>
      <w:r>
        <w:rPr>
          <w:rStyle w:val="Funotenzeichen"/>
        </w:rPr>
        <w:footnoteRef/>
      </w:r>
      <w:hyperlink r:id="rId722">
        <w:r>
          <w:rPr>
            <w:rStyle w:val="Internetverknpfung"/>
          </w:rPr>
          <w:tab/>
          <w:t>Ptz.coni.</w:t>
        </w:r>
      </w:hyperlink>
      <w:r>
        <w:rPr/>
        <w:t>, beiordnend aufgelöst.</w:t>
      </w:r>
    </w:p>
  </w:footnote>
  <w:footnote w:id="6517">
    <w:p>
      <w:pPr>
        <w:pStyle w:val="Funote"/>
        <w:rPr/>
      </w:pPr>
      <w:r>
        <w:rPr>
          <w:rStyle w:val="Funotenzeichen"/>
        </w:rPr>
        <w:footnoteRef/>
      </w:r>
      <w:r>
        <w:rPr/>
        <w:tab/>
        <w:t>So Bauer/Aland Sp. 1312. Schweizer, EKK XII, S. 97, übersetzt: „voll überfließender Dankbarkeit“.</w:t>
      </w:r>
    </w:p>
  </w:footnote>
  <w:footnote w:id="6518">
    <w:p>
      <w:pPr>
        <w:pStyle w:val="Funote"/>
        <w:rPr/>
      </w:pPr>
      <w:r>
        <w:rPr>
          <w:rStyle w:val="Funotenzeichen"/>
        </w:rPr>
        <w:footnoteRef/>
      </w:r>
      <w:r>
        <w:rPr/>
        <w:tab/>
        <w:t xml:space="preserve">Schweizer, EKK XII, 105, umschreibt </w:t>
      </w:r>
      <w:r>
        <w:rPr>
          <w:lang w:val="el-GR"/>
        </w:rPr>
        <w:t>κατα</w:t>
      </w:r>
      <w:r>
        <w:rPr/>
        <w:t xml:space="preserve"> als „der sich gründet auf …“.</w:t>
      </w:r>
    </w:p>
  </w:footnote>
  <w:footnote w:id="6519">
    <w:p>
      <w:pPr>
        <w:pStyle w:val="Funote"/>
        <w:rPr/>
      </w:pPr>
      <w:r>
        <w:rPr>
          <w:rStyle w:val="Funotenzeichen"/>
        </w:rPr>
        <w:footnoteRef/>
      </w:r>
      <w:r>
        <w:rPr/>
        <w:tab/>
        <w:t>Entscheidend für die „Philosophie“, auf die der Verf. des Kol anspielt, ist der Begriff der „Weltelemente“. Sie üben Macht aus, indem sie durch asketische Vorschriften (vgl. VV20f) an die Welt binden, vergleichbar der Macht der Gebote. Vgl. Schweiter, EKK XII, Exkurs „Die kolossische Philosophie“, S. 101. Worin genau diese Philosophie bestanden hat, ist nicht mehr zu ermitteln. Eine auf Heraklit zurückgehende Vorstellung des Streits der Elemente des Weltalls, die von Philo mit der Theologie des jüdischen Neujahrsfestes verbunden wird, mag dahinter stehen, vgl. a.a.O., S. 102.</w:t>
      </w:r>
    </w:p>
  </w:footnote>
  <w:footnote w:id="6520">
    <w:p>
      <w:pPr>
        <w:pStyle w:val="Funote"/>
        <w:rPr/>
      </w:pPr>
      <w:r>
        <w:rPr>
          <w:rStyle w:val="Funotenzeichen"/>
        </w:rPr>
        <w:footnoteRef/>
      </w:r>
      <w:r>
        <w:rPr/>
        <w:tab/>
        <w:t xml:space="preserve">Partizip. Gemeint ist so etwas wie „vollgetankt“: Die Gläubigen sind mit der Fülle, dem </w:t>
      </w:r>
      <w:r>
        <w:rPr>
          <w:lang w:val="el-GR"/>
        </w:rPr>
        <w:t>πληρωμα</w:t>
      </w:r>
      <w:r>
        <w:rPr/>
        <w:t xml:space="preserve"> Gottes, also doch wohl dem Heiligen Geist, erfüllt, wie Obelix mit Zaubertrank „erfüllt“ ist. Wie Obelix aus dem Zaubertrank, erhalten die Gläubigen alle Kraft und alle Fähigkeiten aus dieser „Fülle“, mit der sie erfüllt sind; sie liegt nicht in ihnen selbst und „gehört“ ihnen nicht. Es geht um eine Gabe, die von außen in die Gläubigen hineingekommen ist, deshalb kann man hier nicht von „Vollkommenheit“ oder „Vollendung“ sprechen.</w:t>
      </w:r>
    </w:p>
  </w:footnote>
  <w:footnote w:id="6521">
    <w:p>
      <w:pPr>
        <w:pStyle w:val="Funote"/>
        <w:rPr/>
      </w:pPr>
      <w:r>
        <w:rPr>
          <w:rStyle w:val="Funotenzeichen"/>
        </w:rPr>
        <w:footnoteRef/>
      </w:r>
      <w:r>
        <w:rPr/>
        <w:tab/>
        <w:t xml:space="preserve">Vgl. </w:t>
      </w:r>
      <w:hyperlink r:id="rId723">
        <w:r>
          <w:rPr>
            <w:rStyle w:val="Internetverknpfung"/>
          </w:rPr>
          <w:t>Kol 1,16</w:t>
        </w:r>
      </w:hyperlink>
      <w:r>
        <w:rPr/>
        <w:t>.</w:t>
      </w:r>
    </w:p>
  </w:footnote>
  <w:footnote w:id="6522">
    <w:p>
      <w:pPr>
        <w:pStyle w:val="Funote"/>
        <w:rPr/>
      </w:pPr>
      <w:r>
        <w:rPr>
          <w:rStyle w:val="Funotenzeichen"/>
        </w:rPr>
        <w:footnoteRef/>
      </w:r>
      <w:r>
        <w:rPr/>
        <w:tab/>
        <w:t xml:space="preserve">Im Griechischen bezeichnet </w:t>
      </w:r>
      <w:r>
        <w:rPr>
          <w:lang w:val="el-GR"/>
        </w:rPr>
        <w:t>ἀχειροποίητος</w:t>
      </w:r>
      <w:r>
        <w:rPr/>
        <w:t xml:space="preserve"> das von Natur Gewachsene im Ggs. zum künstlich Hergestellten; im AT werden damit die von Menschen gemachten Götzen dem lebendigen Gott gegenübergestellt, vgl. Schweizer, EKK XII, S. 109.</w:t>
      </w:r>
    </w:p>
  </w:footnote>
  <w:footnote w:id="6523">
    <w:p>
      <w:pPr>
        <w:pStyle w:val="Funote"/>
        <w:rPr/>
      </w:pPr>
      <w:r>
        <w:rPr>
          <w:rStyle w:val="Funotenzeichen"/>
        </w:rPr>
        <w:footnoteRef/>
      </w:r>
      <w:r>
        <w:rPr/>
        <w:tab/>
        <w:t>Gemeint ist die Taufe. Es besteht eine Abhängigkeit des Verf. zu Röm 6,4.6, vgl. Schweizer, EKK XII, S. 111.</w:t>
      </w:r>
    </w:p>
  </w:footnote>
  <w:footnote w:id="6524">
    <w:p>
      <w:pPr>
        <w:pStyle w:val="Funote"/>
        <w:rPr/>
      </w:pPr>
      <w:r>
        <w:rPr>
          <w:rStyle w:val="Funotenzeichen"/>
        </w:rPr>
        <w:footnoteRef/>
      </w:r>
      <w:r>
        <w:rPr/>
        <w:tab/>
        <w:t>Partizip</w:t>
      </w:r>
    </w:p>
  </w:footnote>
  <w:footnote w:id="6525">
    <w:p>
      <w:pPr>
        <w:pStyle w:val="Funote"/>
        <w:rPr/>
      </w:pPr>
      <w:r>
        <w:rPr>
          <w:rStyle w:val="Funotenzeichen"/>
        </w:rPr>
        <w:footnoteRef/>
      </w:r>
      <w:r>
        <w:rPr/>
        <w:tab/>
        <w:t>Vgl. Bauer/Aland, Sp. 534.</w:t>
      </w:r>
    </w:p>
  </w:footnote>
  <w:footnote w:id="6526">
    <w:p>
      <w:pPr>
        <w:pStyle w:val="Funote"/>
        <w:rPr/>
      </w:pPr>
      <w:r>
        <w:rPr>
          <w:rStyle w:val="Funotenzeichen"/>
        </w:rPr>
        <w:footnoteRef/>
      </w:r>
      <w:hyperlink r:id="rId724">
        <w:r>
          <w:rPr>
            <w:rStyle w:val="Internetverknpfung"/>
          </w:rPr>
          <w:tab/>
          <w:t>Ptz.coni.</w:t>
        </w:r>
      </w:hyperlink>
      <w:r>
        <w:rPr/>
        <w:t>, konzessiv aufgelöst.</w:t>
      </w:r>
    </w:p>
  </w:footnote>
  <w:footnote w:id="6527">
    <w:p>
      <w:pPr>
        <w:pStyle w:val="Funote"/>
        <w:rPr/>
      </w:pPr>
      <w:r>
        <w:rPr>
          <w:rStyle w:val="Funotenzeichen"/>
        </w:rPr>
        <w:footnoteRef/>
      </w:r>
      <w:r>
        <w:rPr/>
        <w:tab/>
        <w:t xml:space="preserve">Hier gibt es einen interessanten textkritischen Befund: Der Codex Sinaiticus lässt in der unkorrigierten Fassung mit einigen anderen Handschriften die Präposition </w:t>
      </w:r>
      <w:r>
        <w:rPr>
          <w:lang w:val="el-GR"/>
        </w:rPr>
        <w:t>εν</w:t>
      </w:r>
      <w:r>
        <w:rPr/>
        <w:t xml:space="preserve"> aus, sodass zu übersetzen wäre: „ihr wart tot für die Übertretungen“, „den Sünden gestorben“. Eine zweite Hand fügt die Präposition hinzu, die sich auch im Papyrus 46 und anderen wichtigen Handschriften findet. Sinnvoll ist nur die Lesart mit Präposition, wie der Fortgang des Satzes zeigt.</w:t>
      </w:r>
    </w:p>
  </w:footnote>
  <w:footnote w:id="6528">
    <w:p>
      <w:pPr>
        <w:pStyle w:val="Funote"/>
        <w:rPr/>
      </w:pPr>
      <w:r>
        <w:rPr>
          <w:rStyle w:val="Funotenzeichen"/>
        </w:rPr>
        <w:footnoteRef/>
      </w:r>
      <w:r>
        <w:rPr/>
        <w:tab/>
        <w:t>Gott.</w:t>
      </w:r>
    </w:p>
  </w:footnote>
  <w:footnote w:id="6529">
    <w:p>
      <w:pPr>
        <w:pStyle w:val="Funote"/>
        <w:rPr/>
      </w:pPr>
      <w:r>
        <w:rPr>
          <w:rStyle w:val="Funotenzeichen"/>
        </w:rPr>
        <w:footnoteRef/>
      </w:r>
      <w:r>
        <w:rPr/>
        <w:tab/>
        <w:t>Christus.</w:t>
      </w:r>
    </w:p>
  </w:footnote>
  <w:footnote w:id="6530">
    <w:p>
      <w:pPr>
        <w:pStyle w:val="Funote"/>
        <w:rPr/>
      </w:pPr>
      <w:r>
        <w:rPr>
          <w:rStyle w:val="Funotenzeichen"/>
        </w:rPr>
        <w:footnoteRef/>
      </w:r>
      <w:hyperlink r:id="rId725">
        <w:r>
          <w:rPr>
            <w:rStyle w:val="Internetverknpfung"/>
          </w:rPr>
          <w:tab/>
          <w:t>Ptz.coni.</w:t>
        </w:r>
      </w:hyperlink>
      <w:r>
        <w:rPr/>
        <w:t>, beiordnend aufgelöst.</w:t>
      </w:r>
    </w:p>
  </w:footnote>
  <w:footnote w:id="6531">
    <w:p>
      <w:pPr>
        <w:pStyle w:val="Funote"/>
        <w:rPr/>
      </w:pPr>
      <w:r>
        <w:rPr>
          <w:rStyle w:val="Funotenzeichen"/>
        </w:rPr>
        <w:footnoteRef/>
      </w:r>
      <w:r>
        <w:rPr/>
        <w:tab/>
        <w:t xml:space="preserve">Es ist ein eigenhändig ausgestellter, nicht notariell beglaubigter Schuldschein. Bei einem „handgeschriebenen“ Schuldschein fällt die Kontrolle durch den öffentlichen Schreiber weg, vgl. </w:t>
      </w:r>
      <w:hyperlink r:id="rId726">
        <w:r>
          <w:rPr>
            <w:rStyle w:val="Internetverknpfung"/>
          </w:rPr>
          <w:t>Phm 19</w:t>
        </w:r>
      </w:hyperlink>
      <w:r>
        <w:rPr/>
        <w:t xml:space="preserve"> und Schweizer, EKK XII, S. 115.</w:t>
      </w:r>
    </w:p>
  </w:footnote>
  <w:footnote w:id="6532">
    <w:p>
      <w:pPr>
        <w:pStyle w:val="Funote"/>
        <w:rPr/>
      </w:pPr>
      <w:r>
        <w:rPr>
          <w:rStyle w:val="Funotenzeichen"/>
        </w:rPr>
        <w:footnoteRef/>
      </w:r>
      <w:r>
        <w:rPr/>
        <w:tab/>
        <w:t>Gemeint sind nicht die Gebote, sondern wohl die Vorschriften der kolossischen Philosophie, vgl. Schweiter, EKK XII, S. 116.</w:t>
      </w:r>
    </w:p>
  </w:footnote>
  <w:footnote w:id="6533">
    <w:p>
      <w:pPr>
        <w:pStyle w:val="Funote"/>
        <w:rPr/>
      </w:pPr>
      <w:r>
        <w:rPr>
          <w:rStyle w:val="Funotenzeichen"/>
        </w:rPr>
        <w:footnoteRef/>
      </w:r>
      <w:hyperlink r:id="rId727">
        <w:r>
          <w:rPr>
            <w:rStyle w:val="Internetverknpfung"/>
          </w:rPr>
          <w:tab/>
          <w:t>Ptz.coni.</w:t>
        </w:r>
      </w:hyperlink>
      <w:r>
        <w:rPr/>
        <w:t>.</w:t>
      </w:r>
    </w:p>
  </w:footnote>
  <w:footnote w:id="6534">
    <w:p>
      <w:pPr>
        <w:pStyle w:val="Funote"/>
        <w:rPr/>
      </w:pPr>
      <w:r>
        <w:rPr>
          <w:rStyle w:val="Funotenzeichen"/>
        </w:rPr>
        <w:footnoteRef/>
      </w:r>
      <w:hyperlink r:id="rId728">
        <w:r>
          <w:rPr>
            <w:rStyle w:val="Internetverknpfung"/>
          </w:rPr>
          <w:tab/>
          <w:t>Ptz.coni.</w:t>
        </w:r>
      </w:hyperlink>
      <w:r>
        <w:rPr/>
        <w:t>, final aufgelöst.</w:t>
      </w:r>
    </w:p>
  </w:footnote>
  <w:footnote w:id="6535">
    <w:p>
      <w:pPr>
        <w:pStyle w:val="Funote"/>
        <w:rPr/>
      </w:pPr>
      <w:r>
        <w:rPr>
          <w:rStyle w:val="Funotenzeichen"/>
        </w:rPr>
        <w:footnoteRef/>
      </w:r>
      <w:r>
        <w:rPr/>
        <w:tab/>
        <w:t>Subjekt ist immer noch Gott! Handelt es sich um eine Anspielung an die Kreuzesinschrift?</w:t>
      </w:r>
    </w:p>
  </w:footnote>
  <w:footnote w:id="6536">
    <w:p>
      <w:pPr>
        <w:pStyle w:val="Funote"/>
        <w:rPr/>
      </w:pPr>
      <w:r>
        <w:rPr>
          <w:rStyle w:val="Funotenzeichen"/>
        </w:rPr>
        <w:footnoteRef/>
      </w:r>
      <w:hyperlink r:id="rId729">
        <w:r>
          <w:rPr>
            <w:rStyle w:val="Internetverknpfung"/>
          </w:rPr>
          <w:tab/>
          <w:t>Ptz.coni.</w:t>
        </w:r>
      </w:hyperlink>
      <w:r>
        <w:rPr/>
        <w:t>, final aufgelöst.</w:t>
      </w:r>
    </w:p>
  </w:footnote>
  <w:footnote w:id="6537">
    <w:p>
      <w:pPr>
        <w:pStyle w:val="Funote"/>
        <w:rPr/>
      </w:pPr>
      <w:r>
        <w:rPr>
          <w:rStyle w:val="Funotenzeichen"/>
        </w:rPr>
        <w:footnoteRef/>
      </w:r>
      <w:r>
        <w:rPr/>
        <w:tab/>
        <w:t>Vorgestellt ist das Bild eines Triumphzuges, in dem Gott die besiegten Mächte hinter Christus - wie der römische Kaiser die Kriegsgefangenenen hinter dem Triumphator - hermarschieren lässt, vgl. Schweizer, EKK XII, S. 117. Oder ist mit „ihm“ das Kreuz gemeint, das den (paradoxen) Triumph über Obrigkeiten und Mächte darstellt? Dann müsste man „an ihm“ übersetzen</w:t>
      </w:r>
    </w:p>
  </w:footnote>
  <w:footnote w:id="6538">
    <w:p>
      <w:pPr>
        <w:pStyle w:val="Funote"/>
        <w:rPr/>
      </w:pPr>
      <w:r>
        <w:rPr>
          <w:rStyle w:val="Funotenzeichen"/>
        </w:rPr>
        <w:footnoteRef/>
      </w:r>
      <w:r>
        <w:rPr/>
        <w:tab/>
        <w:t>Wörtlich: Der Körper (der den Schatten wirft).</w:t>
      </w:r>
    </w:p>
  </w:footnote>
  <w:footnote w:id="6539">
    <w:p>
      <w:pPr>
        <w:pStyle w:val="Funote"/>
        <w:rPr/>
      </w:pPr>
      <w:r>
        <w:rPr>
          <w:rStyle w:val="Funotenzeichen"/>
        </w:rPr>
        <w:footnoteRef/>
      </w:r>
      <w:r>
        <w:rPr/>
        <w:tab/>
        <w:t>Wörtlich: Beim Betreten, beim Eintritt (in die himmlische Welt); ein t.t. der Mysteriensprache. Die Übersetzung ist aber mit Unsicherheiten behaftet, vgl. Schweizer, EKK XII, S. 122-124 und Bauer/Aland Sp. 513.</w:t>
      </w:r>
    </w:p>
  </w:footnote>
  <w:footnote w:id="6540">
    <w:p>
      <w:pPr>
        <w:pStyle w:val="Funote"/>
        <w:rPr/>
      </w:pPr>
      <w:r>
        <w:rPr>
          <w:rStyle w:val="Funotenzeichen"/>
        </w:rPr>
        <w:footnoteRef/>
      </w:r>
      <w:r>
        <w:rPr/>
        <w:tab/>
        <w:t>Um nicht den Zusammenhang mit dem Haupt = Christus zu verlieren.</w:t>
      </w:r>
    </w:p>
  </w:footnote>
  <w:footnote w:id="6541">
    <w:p>
      <w:pPr>
        <w:pStyle w:val="Funote"/>
        <w:rPr/>
      </w:pPr>
      <w:r>
        <w:rPr>
          <w:rStyle w:val="Funotenzeichen"/>
        </w:rPr>
        <w:footnoteRef/>
      </w:r>
      <w:r>
        <w:rPr/>
        <w:tab/>
        <w:t>Das Verb kann mit „anfassen“, aber auch „anrühren“ i.S.v. „essen“ übersetzt werden; dann ergäbe sich eine Antiklimax: essen - probieren - berühren, Bauer/Aaland Sp. 207.</w:t>
      </w:r>
    </w:p>
  </w:footnote>
  <w:footnote w:id="6542">
    <w:p>
      <w:pPr>
        <w:pStyle w:val="Funote"/>
        <w:rPr/>
      </w:pPr>
      <w:r>
        <w:rPr>
          <w:rStyle w:val="Funotenzeichen"/>
        </w:rPr>
        <w:footnoteRef/>
      </w:r>
      <w:r>
        <w:rPr/>
        <w:tab/>
        <w:t>Nestle-Aland setzt hier ein Komma, der Satz bildet also eine Parenthese, und das Folgende schließt an das Zitat an.</w:t>
      </w:r>
    </w:p>
  </w:footnote>
  <w:footnote w:id="6543">
    <w:p>
      <w:pPr>
        <w:pStyle w:val="Funote"/>
        <w:rPr/>
      </w:pPr>
      <w:r>
        <w:rPr>
          <w:rStyle w:val="Funotenzeichen"/>
        </w:rPr>
        <w:footnoteRef/>
      </w:r>
      <w:r>
        <w:rPr/>
        <w:tab/>
        <w:t>Dieser Satz ist kaum übersetzbar, wurde als „obscurum dictum“ bezeichnet und „hat noch keine annehmbare Deutung gefunden“ (Bauer/Aland Sp. 1630). Es scheint sich um eine polemische Bemerkung des Verf. zu handeln., vgl. Schweizer, EKK XII, S. 128f.</w:t>
      </w:r>
    </w:p>
  </w:footnote>
  <w:footnote w:id="6544">
    <w:p>
      <w:pPr>
        <w:pStyle w:val="Funote"/>
        <w:rPr/>
      </w:pPr>
      <w:r>
        <w:rPr>
          <w:rStyle w:val="Funotenzeichen"/>
        </w:rPr>
        <w:footnoteRef/>
      </w:r>
      <w:r>
        <w:rPr/>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545">
    <w:p>
      <w:pPr>
        <w:pStyle w:val="Funote"/>
        <w:rPr/>
      </w:pPr>
      <w:r>
        <w:rPr>
          <w:rStyle w:val="Funotenzeichen"/>
        </w:rPr>
        <w:footnoteRef/>
      </w:r>
      <w:r>
        <w:rPr/>
        <w:tab/>
        <w:t>Vgl. Gemoll</w:t>
      </w:r>
    </w:p>
  </w:footnote>
  <w:footnote w:id="6546">
    <w:p>
      <w:pPr>
        <w:pStyle w:val="Funote"/>
        <w:rPr/>
      </w:pPr>
      <w:r>
        <w:rPr>
          <w:rStyle w:val="Funotenzeichen"/>
        </w:rPr>
        <w:footnoteRef/>
      </w:r>
      <w:r>
        <w:rPr/>
        <w:tab/>
        <w:t xml:space="preserve">Einige Textzeugen lassen dieses erste </w:t>
      </w:r>
      <w:r>
        <w:rPr>
          <w:lang w:val="el-GR"/>
        </w:rPr>
        <w:t>καί</w:t>
      </w:r>
      <w:r>
        <w:rPr/>
        <w:t xml:space="preserve"> (und, auch) weg. Die Qualität und Menge der Zeugen spricht aber für die Beibehaltung des ersten </w:t>
      </w:r>
      <w:r>
        <w:rPr>
          <w:lang w:val="el-GR"/>
        </w:rPr>
        <w:t>καί</w:t>
      </w:r>
      <w:r>
        <w:rPr/>
        <w:t xml:space="preserve">. (vgl. z.B. Hoppe, Rudolf: Der erste Thessalonikerbrief. Kommentar, Freiburg 2016. </w:t>
      </w:r>
    </w:p>
  </w:footnote>
  <w:footnote w:id="6547">
    <w:p>
      <w:pPr>
        <w:pStyle w:val="Funote"/>
        <w:rPr/>
      </w:pPr>
      <w:r>
        <w:rPr>
          <w:rStyle w:val="Funotenzeichen"/>
        </w:rPr>
        <w:footnoteRef/>
      </w:r>
      <w:r>
        <w:rPr/>
        <w:tab/>
        <w:t xml:space="preserve">Für eine Übersetzung von </w:t>
      </w:r>
      <w:r>
        <w:rPr>
          <w:lang w:val="el-GR"/>
        </w:rPr>
        <w:t>γάρ</w:t>
      </w:r>
      <w:r>
        <w:rPr/>
        <w:t xml:space="preserve"> mit 'denn' spricht, dass es hier offensichtlich um die Ausführung des vorherigen Verses geht. Das Wirksamwerden des Wortes wird durch die Nachahmung der Thessalonicher im Leiden offenbar</w:t>
      </w:r>
    </w:p>
  </w:footnote>
  <w:footnote w:id="6548">
    <w:p>
      <w:pPr>
        <w:pStyle w:val="Funote"/>
        <w:rPr/>
      </w:pPr>
      <w:r>
        <w:rPr>
          <w:rStyle w:val="Funotenzeichen"/>
        </w:rPr>
        <w:footnoteRef/>
      </w:r>
      <w:r>
        <w:rPr/>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549">
    <w:p>
      <w:pPr>
        <w:pStyle w:val="Funote"/>
        <w:rPr/>
      </w:pPr>
      <w:r>
        <w:rPr>
          <w:rStyle w:val="Funotenzeichen"/>
        </w:rPr>
        <w:footnoteRef/>
      </w:r>
      <w:r>
        <w:rPr/>
        <w:tab/>
        <w:t>Finalsatz</w:t>
      </w:r>
    </w:p>
  </w:footnote>
  <w:footnote w:id="6550">
    <w:p>
      <w:pPr>
        <w:pStyle w:val="Funote"/>
        <w:rPr/>
      </w:pPr>
      <w:r>
        <w:rPr>
          <w:rStyle w:val="Funotenzeichen"/>
        </w:rPr>
        <w:footnoteRef/>
      </w:r>
      <w:r>
        <w:rPr/>
        <w:tab/>
        <w:t>Wörtl.: "laufen" im übertragenen Sinne, wie wir z.B. sagen "läuft gut"</w:t>
      </w:r>
    </w:p>
  </w:footnote>
  <w:footnote w:id="6551">
    <w:p>
      <w:pPr>
        <w:pStyle w:val="Funote"/>
        <w:rPr/>
      </w:pPr>
      <w:r>
        <w:rPr>
          <w:rStyle w:val="Funotenzeichen"/>
        </w:rPr>
        <w:footnoteRef/>
      </w:r>
      <w:r>
        <w:rPr/>
        <w:tab/>
        <w:t>vllt trifft es "Bewunderung findet" besser. Warum wird Gottes Wort gepriesen? Weil es im Hörer etwas "bewirkt" bzw. weil es eine unerhörte, gute Neuigkeit ist</w:t>
      </w:r>
    </w:p>
  </w:footnote>
  <w:footnote w:id="6552">
    <w:p>
      <w:pPr>
        <w:pStyle w:val="Funote"/>
        <w:rPr/>
      </w:pPr>
      <w:r>
        <w:rPr>
          <w:rStyle w:val="Funotenzeichen"/>
        </w:rPr>
        <w:footnoteRef/>
      </w:r>
      <w:r>
        <w:rPr/>
        <w:tab/>
        <w:t>Finalsatz</w:t>
      </w:r>
    </w:p>
  </w:footnote>
  <w:footnote w:id="6553">
    <w:p>
      <w:pPr>
        <w:pStyle w:val="Funote"/>
        <w:rPr/>
      </w:pPr>
      <w:r>
        <w:rPr>
          <w:rStyle w:val="Funotenzeichen"/>
        </w:rPr>
        <w:footnoteRef/>
      </w:r>
      <w:r>
        <w:rPr/>
        <w:tab/>
        <w:t>Wörtl.: nicht am Platze =&gt; sittl./ moral. schlecht</w:t>
      </w:r>
    </w:p>
  </w:footnote>
  <w:footnote w:id="6554">
    <w:p>
      <w:pPr>
        <w:pStyle w:val="Funote"/>
        <w:rPr/>
      </w:pPr>
      <w:r>
        <w:rPr>
          <w:rStyle w:val="Funotenzeichen"/>
        </w:rPr>
        <w:footnoteRef/>
      </w:r>
      <w:r>
        <w:rPr/>
        <w:tab/>
        <w:t>Ellipse.</w:t>
      </w:r>
    </w:p>
  </w:footnote>
  <w:footnote w:id="6555">
    <w:p>
      <w:pPr>
        <w:pStyle w:val="Funote"/>
        <w:rPr/>
      </w:pPr>
      <w:r>
        <w:rPr>
          <w:rStyle w:val="Funotenzeichen"/>
        </w:rPr>
        <w:footnoteRef/>
      </w:r>
      <w:r>
        <w:rPr/>
        <w:tab/>
        <w:t xml:space="preserve">Wortspiel mit </w:t>
      </w:r>
      <w:r>
        <w:rPr>
          <w:lang w:val="el-GR"/>
        </w:rPr>
        <w:t>πίστις</w:t>
      </w:r>
      <w:r>
        <w:rPr/>
        <w:t xml:space="preserve"> Vers 2 und </w:t>
      </w:r>
      <w:r>
        <w:rPr>
          <w:lang w:val="el-GR"/>
        </w:rPr>
        <w:t>πιστός</w:t>
      </w:r>
      <w:r>
        <w:rPr/>
        <w:t>, im dt. nicht wiederzugeben</w:t>
      </w:r>
    </w:p>
  </w:footnote>
  <w:footnote w:id="6556">
    <w:p>
      <w:pPr>
        <w:pStyle w:val="Funote"/>
        <w:rPr/>
      </w:pPr>
      <w:r>
        <w:rPr>
          <w:rStyle w:val="Funotenzeichen"/>
        </w:rPr>
        <w:footnoteRef/>
      </w:r>
      <w:r>
        <w:rPr/>
        <w:tab/>
        <w:t>Gemeint sein kann, wie im Vaterunser (vgl. Mt 6,13) der Böse i.S. des Teufels und allgemein das Böse</w:t>
      </w:r>
    </w:p>
  </w:footnote>
  <w:footnote w:id="6557">
    <w:p>
      <w:pPr>
        <w:pStyle w:val="Funote"/>
        <w:rPr/>
      </w:pPr>
      <w:r>
        <w:rPr>
          <w:rStyle w:val="Funotenzeichen"/>
        </w:rPr>
        <w:footnoteRef/>
      </w:r>
      <w:r>
        <w:rPr/>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558">
    <w:p>
      <w:pPr>
        <w:pStyle w:val="Funote"/>
        <w:rPr/>
      </w:pPr>
      <w:r>
        <w:rPr>
          <w:rStyle w:val="Funotenzeichen"/>
        </w:rPr>
        <w:footnoteRef/>
      </w:r>
      <w:r>
        <w:rPr/>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559">
    <w:p>
      <w:pPr>
        <w:pStyle w:val="Funote"/>
        <w:rPr/>
      </w:pPr>
      <w:r>
        <w:rPr>
          <w:rStyle w:val="Funotenzeichen"/>
        </w:rPr>
        <w:footnoteRef/>
      </w:r>
      <w:r>
        <w:rPr/>
        <w:tab/>
        <w:t xml:space="preserve">Latinismus, lat. </w:t>
      </w:r>
      <w:r>
        <w:rPr>
          <w:i/>
        </w:rPr>
        <w:t>gratiam habeo</w:t>
      </w:r>
      <w:r>
        <w:rPr/>
        <w:t>.</w:t>
      </w:r>
    </w:p>
  </w:footnote>
  <w:footnote w:id="6560">
    <w:p>
      <w:pPr>
        <w:pStyle w:val="Funote"/>
        <w:rPr/>
      </w:pPr>
      <w:r>
        <w:rPr>
          <w:rStyle w:val="Funotenzeichen"/>
        </w:rPr>
        <w:footnoteRef/>
      </w:r>
      <w:hyperlink r:id="rId730">
        <w:r>
          <w:rPr>
            <w:rStyle w:val="Internetverknpfung"/>
          </w:rPr>
          <w:tab/>
          <w:t>Ptz. coni.</w:t>
        </w:r>
      </w:hyperlink>
      <w:r>
        <w:rPr/>
        <w:t>,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561">
    <w:p>
      <w:pPr>
        <w:pStyle w:val="Funote"/>
        <w:rPr/>
      </w:pPr>
      <w:r>
        <w:rPr>
          <w:rStyle w:val="Funotenzeichen"/>
        </w:rPr>
        <w:footnoteRef/>
      </w:r>
      <w:hyperlink r:id="rId731">
        <w:r>
          <w:rPr>
            <w:rStyle w:val="Internetverknpfung"/>
          </w:rPr>
          <w:tab/>
          <w:t>Ptz. coni.</w:t>
        </w:r>
      </w:hyperlink>
      <w:r>
        <w:rPr/>
        <w:t>, beiordnend aufgelöst.</w:t>
      </w:r>
    </w:p>
  </w:footnote>
  <w:footnote w:id="6562">
    <w:p>
      <w:pPr>
        <w:pStyle w:val="Funote"/>
        <w:rPr/>
      </w:pPr>
      <w:r>
        <w:rPr>
          <w:rStyle w:val="Funotenzeichen"/>
        </w:rPr>
        <w:footnoteRef/>
      </w:r>
      <w:r>
        <w:rPr/>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563">
    <w:p>
      <w:pPr>
        <w:pStyle w:val="Funote"/>
        <w:rPr/>
      </w:pPr>
      <w:r>
        <w:rPr>
          <w:rStyle w:val="Funotenzeichen"/>
        </w:rPr>
        <w:footnoteRef/>
      </w:r>
      <w:r>
        <w:rPr/>
        <w:tab/>
        <w:t>Die beiden Begriffe stammen aus der Terminologie der Lasterkataloge: Paulus soll als Typus des gottlosen Menschen schlechthin dargestellt werden, Roloff, EKK XV, S. 93.</w:t>
      </w:r>
    </w:p>
  </w:footnote>
  <w:footnote w:id="6564">
    <w:p>
      <w:pPr>
        <w:pStyle w:val="Funote"/>
        <w:rPr/>
      </w:pPr>
      <w:r>
        <w:rPr>
          <w:rStyle w:val="Funotenzeichen"/>
        </w:rPr>
        <w:footnoteRef/>
      </w:r>
      <w:r>
        <w:rPr/>
        <w:tab/>
        <w:t>Vgl. EG 355.</w:t>
      </w:r>
    </w:p>
  </w:footnote>
  <w:footnote w:id="6565">
    <w:p>
      <w:pPr>
        <w:pStyle w:val="Funote"/>
        <w:rPr/>
      </w:pPr>
      <w:r>
        <w:rPr>
          <w:rStyle w:val="Funotenzeichen"/>
        </w:rPr>
        <w:footnoteRef/>
      </w:r>
      <w:r>
        <w:rPr/>
        <w:tab/>
        <w:t>Unwissenheit ist ein Charakteristikum der Heidenwelt, vgl. aber Röm 1,18ff.</w:t>
      </w:r>
    </w:p>
  </w:footnote>
  <w:footnote w:id="6566">
    <w:p>
      <w:pPr>
        <w:pStyle w:val="Funote"/>
        <w:rPr/>
      </w:pPr>
      <w:r>
        <w:rPr>
          <w:rStyle w:val="Funotenzeichen"/>
        </w:rPr>
        <w:footnoteRef/>
      </w:r>
      <w:r>
        <w:rPr/>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567">
    <w:p>
      <w:pPr>
        <w:pStyle w:val="Funote"/>
        <w:rPr/>
      </w:pPr>
      <w:r>
        <w:rPr>
          <w:rStyle w:val="Funotenzeichen"/>
        </w:rPr>
        <w:footnoteRef/>
      </w:r>
      <w:r>
        <w:rPr/>
        <w:tab/>
        <w:t>Bei einem Gefäß bedeutet das Verb ‘überfließen‘ oder ‘überlaufen.</w:t>
      </w:r>
    </w:p>
  </w:footnote>
  <w:footnote w:id="6568">
    <w:p>
      <w:pPr>
        <w:pStyle w:val="Funote"/>
        <w:rPr/>
      </w:pPr>
      <w:r>
        <w:rPr>
          <w:rStyle w:val="Funotenzeichen"/>
        </w:rPr>
        <w:footnoteRef/>
      </w:r>
      <w:r>
        <w:rPr/>
        <w:tab/>
        <w:t>Glaube und Liebe sind Wirkungen der Gnade, also Charismen, vgl. Roloff, EKK XV, S. 95.</w:t>
      </w:r>
    </w:p>
  </w:footnote>
  <w:footnote w:id="6569">
    <w:p>
      <w:pPr>
        <w:pStyle w:val="Funote"/>
        <w:rPr/>
      </w:pPr>
      <w:r>
        <w:rPr>
          <w:rStyle w:val="Funotenzeichen"/>
        </w:rPr>
        <w:footnoteRef/>
      </w:r>
      <w:r>
        <w:rPr/>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570">
    <w:p>
      <w:pPr>
        <w:pStyle w:val="Funote"/>
        <w:rPr/>
      </w:pPr>
      <w:r>
        <w:rPr>
          <w:rStyle w:val="Funotenzeichen"/>
        </w:rPr>
        <w:footnoteRef/>
      </w:r>
      <w:r>
        <w:rPr/>
        <w:tab/>
        <w:t xml:space="preserve">Ich fasse das </w:t>
      </w:r>
      <w:r>
        <w:rPr>
          <w:lang w:val="el-GR"/>
        </w:rPr>
        <w:t>ὅτι</w:t>
      </w:r>
      <w:r>
        <w:rPr/>
        <w:t xml:space="preserve"> („dass“) als </w:t>
      </w:r>
      <w:hyperlink r:id="rId732">
        <w:r>
          <w:rPr>
            <w:rStyle w:val="Internetverknpfung"/>
          </w:rPr>
          <w:t>Ὅτι citativum (Seite nicht vorhanden)"&gt;</w:t>
        </w:r>
        <w:r>
          <w:rPr>
            <w:rStyle w:val="Internetverknpfung"/>
            <w:lang w:val="el-GR"/>
          </w:rPr>
          <w:t>ὅτι</w:t>
        </w:r>
        <w:r>
          <w:rPr>
            <w:rStyle w:val="Internetverknpfung"/>
          </w:rPr>
          <w:t xml:space="preserve"> citativum</w:t>
        </w:r>
      </w:hyperlink>
      <w:r>
        <w:rPr/>
        <w:t xml:space="preserve"> auf, das eine wörtliche Rede oder ein Zitat einleitet.</w:t>
      </w:r>
    </w:p>
  </w:footnote>
  <w:footnote w:id="6571">
    <w:p>
      <w:pPr>
        <w:pStyle w:val="Funote"/>
        <w:rPr/>
      </w:pPr>
      <w:r>
        <w:rPr>
          <w:rStyle w:val="Funotenzeichen"/>
        </w:rPr>
        <w:footnoteRef/>
      </w:r>
      <w:r>
        <w:rPr>
          <w:lang w:val="el-GR"/>
        </w:rPr>
        <w:tab/>
        <w:t>ὑπότυπος</w:t>
      </w:r>
      <w:r>
        <w:rPr/>
        <w:t xml:space="preserve"> ist die </w:t>
      </w:r>
      <w:r>
        <w:rPr>
          <w:i/>
        </w:rPr>
        <w:t>Skizze</w:t>
      </w:r>
      <w:r>
        <w:rPr/>
        <w:t xml:space="preserve">, das </w:t>
      </w:r>
      <w:r>
        <w:rPr>
          <w:i/>
        </w:rPr>
        <w:t>Muster</w:t>
      </w:r>
      <w:r>
        <w:rPr/>
        <w:t>, mehr als das stark aufs Moralische eingeengte „Vorbild“, Roloff, EKK XV, S. 97.</w:t>
      </w:r>
    </w:p>
  </w:footnote>
  <w:footnote w:id="6572">
    <w:p>
      <w:pPr>
        <w:pStyle w:val="Funote"/>
        <w:rPr/>
      </w:pPr>
      <w:r>
        <w:rPr>
          <w:rStyle w:val="Funotenzeichen"/>
        </w:rPr>
        <w:footnoteRef/>
      </w:r>
      <w:hyperlink r:id="rId733">
        <w:r>
          <w:rPr>
            <w:rStyle w:val="Internetverknpfung"/>
          </w:rPr>
          <w:tab/>
          <w:t>Ptz. coni.</w:t>
        </w:r>
      </w:hyperlink>
      <w:r>
        <w:rPr/>
        <w:t>, relativisch aufgelöst.</w:t>
      </w:r>
    </w:p>
  </w:footnote>
  <w:footnote w:id="6573">
    <w:p>
      <w:pPr>
        <w:pStyle w:val="Funote"/>
        <w:rPr/>
      </w:pPr>
      <w:r>
        <w:rPr>
          <w:rStyle w:val="Funotenzeichen"/>
        </w:rPr>
        <w:footnoteRef/>
      </w:r>
      <w:r>
        <w:rPr>
          <w:lang w:val="el-GR"/>
        </w:rPr>
        <w:tab/>
        <w:t>πρῶτον πάντων</w:t>
      </w:r>
      <w:r>
        <w:rPr/>
        <w:t xml:space="preserve"> kann auch zeitlich verstanden werden; hier bezeichnet es eine Reihenfolge: das wichtigste zuerst</w:t>
      </w:r>
    </w:p>
  </w:footnote>
  <w:footnote w:id="6574">
    <w:p>
      <w:pPr>
        <w:pStyle w:val="Funote"/>
        <w:rPr/>
      </w:pPr>
      <w:r>
        <w:rPr>
          <w:rStyle w:val="Funotenzeichen"/>
        </w:rPr>
        <w:footnoteRef/>
      </w:r>
      <w:r>
        <w:rPr/>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575">
    <w:p>
      <w:pPr>
        <w:pStyle w:val="Funote"/>
        <w:rPr/>
      </w:pPr>
      <w:r>
        <w:rPr>
          <w:rStyle w:val="Funotenzeichen"/>
        </w:rPr>
        <w:footnoteRef/>
      </w:r>
      <w:r>
        <w:rPr/>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576">
    <w:p>
      <w:pPr>
        <w:pStyle w:val="Funote"/>
        <w:rPr/>
      </w:pPr>
      <w:r>
        <w:rPr>
          <w:rStyle w:val="Funotenzeichen"/>
        </w:rPr>
        <w:footnoteRef/>
      </w:r>
      <w:hyperlink r:id="rId734">
        <w:r>
          <w:rPr>
            <w:rStyle w:val="Internetverknpfung"/>
          </w:rPr>
          <w:tab/>
          <w:t>Gen. abs.</w:t>
        </w:r>
      </w:hyperlink>
      <w:r>
        <w:rPr/>
        <w:t>, relativisch aufgelöst.</w:t>
      </w:r>
    </w:p>
  </w:footnote>
  <w:footnote w:id="6577">
    <w:p>
      <w:pPr>
        <w:pStyle w:val="Funote"/>
        <w:rPr/>
      </w:pPr>
      <w:r>
        <w:rPr>
          <w:rStyle w:val="Funotenzeichen"/>
        </w:rPr>
        <w:footnoteRef/>
      </w:r>
      <w:r>
        <w:rPr/>
        <w:tab/>
        <w:t xml:space="preserve">Im Text steht die Partikel </w:t>
      </w:r>
      <w:r>
        <w:rPr>
          <w:lang w:val="el-GR"/>
        </w:rPr>
        <w:t>γάρ</w:t>
      </w:r>
      <w:r>
        <w:rPr/>
        <w:t>, denn, nämlich. Das Zitat gibt an, was die in Vers 4 genannte "Wahrheit" ist.</w:t>
      </w:r>
    </w:p>
  </w:footnote>
  <w:footnote w:id="6578">
    <w:p>
      <w:pPr>
        <w:pStyle w:val="Funote"/>
        <w:rPr/>
      </w:pPr>
      <w:r>
        <w:rPr>
          <w:rStyle w:val="Funotenzeichen"/>
        </w:rPr>
        <w:footnoteRef/>
      </w:r>
      <w:r>
        <w:rPr>
          <w:lang w:val="el-GR"/>
        </w:rPr>
        <w:tab/>
        <w:t>καί</w:t>
      </w:r>
      <w:r>
        <w:rPr/>
        <w:t xml:space="preserve"> hier entweder anschließend "und" oder fortführend "auch".</w:t>
      </w:r>
    </w:p>
  </w:footnote>
  <w:footnote w:id="6579">
    <w:p>
      <w:pPr>
        <w:pStyle w:val="Funote"/>
        <w:rPr/>
      </w:pPr>
      <w:r>
        <w:rPr>
          <w:rStyle w:val="Funotenzeichen"/>
        </w:rPr>
        <w:footnoteRef/>
      </w:r>
      <w:r>
        <w:rPr/>
        <w:tab/>
        <w:t>Partizip. Da es sich auf eine Handlung in der Vergangenheit = den Kreuzestod Jesu bezieht, hier als Perfekt übersetzt.</w:t>
      </w:r>
    </w:p>
  </w:footnote>
  <w:footnote w:id="6580">
    <w:p>
      <w:pPr>
        <w:pStyle w:val="Funote"/>
        <w:rPr/>
      </w:pPr>
      <w:r>
        <w:rPr>
          <w:rStyle w:val="Funotenzeichen"/>
        </w:rPr>
        <w:footnoteRef/>
      </w:r>
      <w:r>
        <w:rPr/>
        <w:tab/>
        <w:t>Dativ, hier instrumental aufgefasst.</w:t>
      </w:r>
    </w:p>
  </w:footnote>
  <w:footnote w:id="6581">
    <w:p>
      <w:pPr>
        <w:pStyle w:val="Funote"/>
        <w:rPr/>
      </w:pPr>
      <w:r>
        <w:rPr>
          <w:rStyle w:val="Funotenzeichen"/>
        </w:rPr>
        <w:footnoteRef/>
      </w:r>
      <w:r>
        <w:rPr>
          <w:lang w:val="el-GR"/>
        </w:rPr>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582">
    <w:p>
      <w:pPr>
        <w:pStyle w:val="Funote"/>
        <w:rPr/>
      </w:pPr>
      <w:r>
        <w:rPr>
          <w:rStyle w:val="Funotenzeichen"/>
        </w:rPr>
        <w:footnoteRef/>
      </w:r>
      <w:r>
        <w:rPr/>
        <w:tab/>
        <w:t>für die Lesefassung wäre „Glaube“ der Verständlichkeit halber vorzuziehen.</w:t>
      </w:r>
    </w:p>
  </w:footnote>
  <w:footnote w:id="6583">
    <w:p>
      <w:pPr>
        <w:pStyle w:val="Funote"/>
        <w:rPr/>
      </w:pPr>
      <w:r>
        <w:rPr>
          <w:rStyle w:val="Funotenzeichen"/>
        </w:rPr>
        <w:footnoteRef/>
      </w:r>
      <w:r>
        <w:rPr/>
        <w:tab/>
        <w:t>[Status: Ungeprüft]</w:t>
      </w:r>
    </w:p>
  </w:footnote>
  <w:footnote w:id="6584">
    <w:p>
      <w:pPr>
        <w:pStyle w:val="Funote"/>
        <w:rPr/>
      </w:pPr>
      <w:r>
        <w:rPr>
          <w:rStyle w:val="Funotenzeichen"/>
        </w:rPr>
        <w:footnoteRef/>
      </w:r>
      <w:r>
        <w:rPr/>
        <w:tab/>
        <w:t>[Status: Ungeprüft]</w:t>
      </w:r>
    </w:p>
  </w:footnote>
  <w:footnote w:id="6585">
    <w:p>
      <w:pPr>
        <w:pStyle w:val="Funote"/>
        <w:rPr/>
      </w:pPr>
      <w:r>
        <w:rPr>
          <w:rStyle w:val="Funotenzeichen"/>
        </w:rPr>
        <w:footnoteRef/>
      </w:r>
      <w:r>
        <w:rPr/>
        <w:tab/>
        <w:t>[Status: Ungeprüft]</w:t>
      </w:r>
    </w:p>
  </w:footnote>
  <w:footnote w:id="6586">
    <w:p>
      <w:pPr>
        <w:pStyle w:val="Funote"/>
        <w:rPr/>
      </w:pPr>
      <w:r>
        <w:rPr>
          <w:rStyle w:val="Funotenzeichen"/>
        </w:rPr>
        <w:footnoteRef/>
      </w:r>
      <w:r>
        <w:rPr>
          <w:lang w:val="el-GR"/>
        </w:rPr>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587">
    <w:p>
      <w:pPr>
        <w:pStyle w:val="Funote"/>
        <w:rPr/>
      </w:pPr>
      <w:r>
        <w:rPr>
          <w:rStyle w:val="Funotenzeichen"/>
        </w:rPr>
        <w:footnoteRef/>
      </w:r>
      <w:r>
        <w:rPr>
          <w:lang w:val="el-GR"/>
        </w:rPr>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588">
    <w:p>
      <w:pPr>
        <w:pStyle w:val="Funote"/>
        <w:rPr/>
      </w:pPr>
      <w:r>
        <w:rPr>
          <w:rStyle w:val="Funotenzeichen"/>
        </w:rPr>
        <w:footnoteRef/>
      </w:r>
      <w:r>
        <w:rPr>
          <w:lang w:val="el-GR"/>
        </w:rPr>
        <w:tab/>
        <w:t>πατρασιν</w:t>
      </w:r>
      <w:r>
        <w:rPr/>
        <w:t xml:space="preserve"> (</w:t>
      </w:r>
      <w:r>
        <w:rPr>
          <w:lang w:val="el-GR"/>
        </w:rPr>
        <w:t>πατηρ</w:t>
      </w:r>
      <w:r>
        <w:rPr/>
        <w:t>) Subst.Pl.Dat.</w:t>
      </w:r>
    </w:p>
  </w:footnote>
  <w:footnote w:id="6589">
    <w:p>
      <w:pPr>
        <w:pStyle w:val="Funote"/>
        <w:rPr/>
      </w:pPr>
      <w:r>
        <w:rPr>
          <w:rStyle w:val="Funotenzeichen"/>
        </w:rPr>
        <w:footnoteRef/>
      </w:r>
      <w:r>
        <w:rPr>
          <w:lang w:val="el-GR"/>
        </w:rPr>
        <w:tab/>
        <w:t>εν</w:t>
      </w:r>
      <w:r>
        <w:rPr/>
        <w:t xml:space="preserve"> (in (Dativ))</w:t>
      </w:r>
    </w:p>
  </w:footnote>
  <w:footnote w:id="6590">
    <w:p>
      <w:pPr>
        <w:pStyle w:val="Funote"/>
        <w:rPr/>
      </w:pPr>
      <w:r>
        <w:rPr>
          <w:rStyle w:val="Funotenzeichen"/>
        </w:rPr>
        <w:footnoteRef/>
      </w:r>
      <w:r>
        <w:rPr/>
        <w:tab/>
        <w:t>hat ... geredet, (Part.Pl.Akk.)</w:t>
      </w:r>
    </w:p>
  </w:footnote>
  <w:footnote w:id="6591">
    <w:p>
      <w:pPr>
        <w:pStyle w:val="Funote"/>
        <w:rPr/>
      </w:pPr>
      <w:r>
        <w:rPr>
          <w:rStyle w:val="Funotenzeichen"/>
        </w:rPr>
        <w:footnoteRef/>
      </w:r>
      <w:r>
        <w:rPr/>
        <w:tab/>
        <w:t xml:space="preserve">eschatwn </w:t>
      </w:r>
    </w:p>
  </w:footnote>
  <w:footnote w:id="6592">
    <w:p>
      <w:pPr>
        <w:pStyle w:val="Funote"/>
        <w:rPr/>
      </w:pPr>
      <w:r>
        <w:rPr>
          <w:rStyle w:val="Funotenzeichen"/>
        </w:rPr>
        <w:footnoteRef/>
      </w:r>
      <w:r>
        <w:rPr>
          <w:lang w:val="el-GR"/>
        </w:rPr>
        <w:tab/>
        <w:t>εν</w:t>
      </w:r>
      <w:r>
        <w:rPr/>
        <w:t xml:space="preserve"> (in (Dativ))</w:t>
      </w:r>
    </w:p>
  </w:footnote>
  <w:footnote w:id="6593">
    <w:p>
      <w:pPr>
        <w:pStyle w:val="Funote"/>
        <w:rPr/>
      </w:pPr>
      <w:r>
        <w:rPr>
          <w:rStyle w:val="Funotenzeichen"/>
        </w:rPr>
        <w:footnoteRef/>
      </w:r>
      <w:r>
        <w:rPr/>
        <w:tab/>
        <w:t>als Erbe von allem</w:t>
      </w:r>
    </w:p>
  </w:footnote>
  <w:footnote w:id="6594">
    <w:p>
      <w:pPr>
        <w:pStyle w:val="Funote"/>
        <w:rPr/>
      </w:pPr>
      <w:r>
        <w:rPr>
          <w:rStyle w:val="Funotenzeichen"/>
        </w:rPr>
        <w:footnoteRef/>
      </w:r>
      <w:r>
        <w:rPr/>
        <w:tab/>
        <w:t>Oder: „und das Geschöpf ist nicht verborgen vor ihm…“</w:t>
      </w:r>
    </w:p>
  </w:footnote>
  <w:footnote w:id="6595">
    <w:p>
      <w:pPr>
        <w:pStyle w:val="Funote"/>
        <w:rPr/>
      </w:pPr>
      <w:r>
        <w:rPr>
          <w:rStyle w:val="Funotenzeichen"/>
        </w:rPr>
        <w:footnoteRef/>
      </w:r>
      <w:r>
        <w:rPr/>
        <w:tab/>
        <w:t>Part. pl. n. pass. Perf.</w:t>
      </w:r>
    </w:p>
  </w:footnote>
  <w:footnote w:id="6596">
    <w:p>
      <w:pPr>
        <w:pStyle w:val="Funote"/>
        <w:rPr/>
      </w:pPr>
      <w:r>
        <w:rPr>
          <w:rStyle w:val="Funotenzeichen"/>
        </w:rPr>
        <w:footnoteRef/>
      </w:r>
      <w:r>
        <w:rPr/>
        <w:tab/>
        <w:t>D.h. in seiner Eigenschaft als Richter.</w:t>
      </w:r>
    </w:p>
  </w:footnote>
  <w:footnote w:id="6597">
    <w:p>
      <w:pPr>
        <w:pStyle w:val="Funote"/>
        <w:rPr/>
      </w:pPr>
      <w:r>
        <w:rPr>
          <w:rStyle w:val="Funotenzeichen"/>
        </w:rPr>
        <w:footnoteRef/>
      </w:r>
      <w:r>
        <w:rPr/>
        <w:tab/>
        <w:t>Statt „Erbarmen“ kann auch „Mitleid“ übersetzt werden.</w:t>
      </w:r>
    </w:p>
  </w:footnote>
  <w:footnote w:id="6598">
    <w:p>
      <w:pPr>
        <w:pStyle w:val="Funote"/>
        <w:rPr/>
      </w:pPr>
      <w:r>
        <w:rPr>
          <w:rStyle w:val="Funotenzeichen"/>
        </w:rPr>
        <w:footnoteRef/>
      </w:r>
      <w:r>
        <w:rPr/>
        <w:tab/>
        <w:t xml:space="preserve">Der Hebr spielt in den folgenden Versen mit der Wortgleichheit von „Testament“ und „Bund“ im Griechischen. Um das deutlich zu machen, übersetzte ich </w:t>
      </w:r>
      <w:r>
        <w:rPr>
          <w:lang w:val="el-GR"/>
        </w:rPr>
        <w:t>διαθήκη</w:t>
      </w:r>
      <w:r>
        <w:rPr/>
        <w:t xml:space="preserve"> durchgängig mit „Testament“. Bei der Lesefassung müsste im Zusammenhang mit Gott aber besser vom „Bund“ gesprochen werden.</w:t>
      </w:r>
    </w:p>
  </w:footnote>
  <w:footnote w:id="6599">
    <w:p>
      <w:pPr>
        <w:pStyle w:val="Funote"/>
        <w:rPr/>
      </w:pPr>
      <w:r>
        <w:rPr>
          <w:rStyle w:val="Funotenzeichen"/>
        </w:rPr>
        <w:footnoteRef/>
      </w:r>
      <w:r>
        <w:rPr/>
        <w:tab/>
        <w:t>Ist hier gemeint: Jedes Gebot, das im Gesetz = in der Tora steht, oder ist eine Stelle wie 5.Mose 31,10-11 gemeint, nach der das Gesetz öffentlich verlesen werden soll?</w:t>
      </w:r>
    </w:p>
  </w:footnote>
  <w:footnote w:id="6600">
    <w:p>
      <w:pPr>
        <w:pStyle w:val="Funote"/>
        <w:rPr/>
      </w:pPr>
      <w:r>
        <w:rPr>
          <w:rStyle w:val="Funotenzeichen"/>
        </w:rPr>
        <w:footnoteRef/>
      </w:r>
      <w:r>
        <w:rPr/>
        <w:tab/>
        <w:t>Gemeint sind männliche Kälber.</w:t>
      </w:r>
    </w:p>
  </w:footnote>
  <w:footnote w:id="6601">
    <w:p>
      <w:pPr>
        <w:pStyle w:val="Funote"/>
        <w:rPr/>
      </w:pPr>
      <w:r>
        <w:rPr>
          <w:rStyle w:val="Funotenzeichen"/>
        </w:rPr>
        <w:footnoteRef/>
      </w:r>
      <w:r>
        <w:rPr/>
        <w:tab/>
        <w:t>Männliche Ziegen.</w:t>
      </w:r>
    </w:p>
  </w:footnote>
  <w:footnote w:id="6602">
    <w:p>
      <w:pPr>
        <w:pStyle w:val="Funote"/>
        <w:rPr/>
      </w:pPr>
      <w:r>
        <w:rPr>
          <w:rStyle w:val="Funotenzeichen"/>
        </w:rPr>
        <w:footnoteRef/>
      </w:r>
      <w:r>
        <w:rPr/>
        <w:tab/>
        <w:t xml:space="preserve">Präposition </w:t>
      </w:r>
      <w:r>
        <w:rPr>
          <w:lang w:val="el-GR"/>
        </w:rPr>
        <w:t>ἐν</w:t>
      </w:r>
      <w:r>
        <w:rPr/>
        <w:t xml:space="preserve"> instrumental verwendet.</w:t>
      </w:r>
    </w:p>
  </w:footnote>
  <w:footnote w:id="6603">
    <w:p>
      <w:pPr>
        <w:pStyle w:val="Funote"/>
        <w:rPr/>
      </w:pPr>
      <w:r>
        <w:rPr>
          <w:rStyle w:val="Funotenzeichen"/>
        </w:rPr>
        <w:footnoteRef/>
      </w:r>
      <w:r>
        <w:rPr/>
        <w:tab/>
        <w:t>Vorgestellt ist eine Gerichtsszene, in der Christus als Verteidiger auftritt.</w:t>
      </w:r>
    </w:p>
  </w:footnote>
  <w:footnote w:id="6604">
    <w:p>
      <w:pPr>
        <w:pStyle w:val="Funote"/>
        <w:rPr/>
      </w:pPr>
      <w:r>
        <w:rPr>
          <w:rStyle w:val="Funotenzeichen"/>
        </w:rPr>
        <w:footnoteRef/>
      </w:r>
      <w:r>
        <w:rPr/>
        <w:tab/>
        <w:t>[Status: Ungeprüft]</w:t>
      </w:r>
    </w:p>
  </w:footnote>
  <w:footnote w:id="6605">
    <w:p>
      <w:pPr>
        <w:pStyle w:val="Funote"/>
        <w:rPr/>
      </w:pPr>
      <w:r>
        <w:rPr>
          <w:rStyle w:val="Funotenzeichen"/>
        </w:rPr>
        <w:footnoteRef/>
      </w:r>
      <w:r>
        <w:rPr/>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606">
    <w:p>
      <w:pPr>
        <w:pStyle w:val="Funote"/>
        <w:rPr/>
      </w:pPr>
      <w:r>
        <w:rPr>
          <w:rStyle w:val="Funotenzeichen"/>
        </w:rPr>
        <w:footnoteRef/>
      </w:r>
      <w:r>
        <w:rPr/>
        <w:tab/>
        <w:t xml:space="preserve">Griech.: </w:t>
      </w:r>
      <w:r>
        <w:rPr>
          <w:lang w:val="el-GR"/>
        </w:rPr>
        <w:t>υπόστασις</w:t>
      </w:r>
    </w:p>
  </w:footnote>
  <w:footnote w:id="6607">
    <w:p>
      <w:pPr>
        <w:pStyle w:val="Funote"/>
        <w:rPr/>
      </w:pPr>
      <w:r>
        <w:rPr>
          <w:rStyle w:val="Funotenzeichen"/>
        </w:rPr>
        <w:footnoteRef/>
      </w:r>
      <w:r>
        <w:rPr/>
        <w:tab/>
        <w:t>Wörtliche Beibehaltung der Wortstellung: „Jesus Christus gestern und heute, derselbe auch in alle Ewigkeit.“</w:t>
      </w:r>
    </w:p>
  </w:footnote>
  <w:footnote w:id="6608">
    <w:p>
      <w:pPr>
        <w:pStyle w:val="Funote"/>
        <w:rPr/>
      </w:pPr>
      <w:r>
        <w:rPr>
          <w:rStyle w:val="Funotenzeichen"/>
        </w:rPr>
        <w:footnoteRef/>
      </w:r>
      <w:r>
        <w:rPr/>
        <w:tab/>
        <w:t>[Status: Zuverlässig]</w:t>
      </w:r>
    </w:p>
  </w:footnote>
  <w:footnote w:id="6609">
    <w:p>
      <w:pPr>
        <w:pStyle w:val="Funote"/>
        <w:spacing w:before="0" w:after="283"/>
        <w:rPr/>
      </w:pPr>
      <w:r>
        <w:rPr>
          <w:rStyle w:val="Funotenzeichen"/>
        </w:rPr>
        <w:footnoteRef/>
      </w:r>
      <w:r>
        <w:rPr>
          <w:i/>
        </w:rPr>
        <w:tab/>
        <w:t>die zwölf Stämme in der Zerstreuung (Diaspora)</w:t>
      </w:r>
      <w:r>
        <w:rPr/>
        <w:t xml:space="preserve">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w:t>
      </w:r>
    </w:p>
    <w:p>
      <w:pPr>
        <w:pStyle w:val="Textkrper"/>
        <w:rPr/>
      </w:pPr>
      <w:r>
        <w:rPr/>
        <w:tab/>
        <w:t xml:space="preserve">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w:t>
      </w:r>
      <w:hyperlink r:id="rId735">
        <w:r>
          <w:rPr>
            <w:rStyle w:val="Internetverknpfung"/>
          </w:rPr>
          <w:t>Ps 147,2</w:t>
        </w:r>
      </w:hyperlink>
      <w:r>
        <w:rPr/>
        <w:t xml:space="preserve">; </w:t>
      </w:r>
      <w:r>
        <w:fldChar w:fldCharType="begin"/>
      </w:r>
      <w:r>
        <w:rPr>
          <w:rStyle w:val="Internetverknpfung"/>
        </w:rPr>
        <w:instrText> HYPERLINK "../../../../../../../../../wiki/Jesaja_11" \l "s12"</w:instrText>
      </w:r>
      <w:r>
        <w:rPr>
          <w:rStyle w:val="Internetverknpfung"/>
        </w:rPr>
        <w:fldChar w:fldCharType="separate"/>
      </w:r>
      <w:r>
        <w:rPr>
          <w:rStyle w:val="Internetverknpfung"/>
        </w:rPr>
        <w:t>Jes 11,12</w:t>
      </w:r>
      <w:r>
        <w:rPr>
          <w:rStyle w:val="Internetverknpfung"/>
        </w:rPr>
        <w:fldChar w:fldCharType="end"/>
      </w:r>
      <w:r>
        <w:rPr/>
        <w:t xml:space="preserve">; </w:t>
      </w:r>
      <w:r>
        <w:fldChar w:fldCharType="begin"/>
      </w:r>
      <w:r>
        <w:rPr>
          <w:rStyle w:val="Internetverknpfung"/>
        </w:rPr>
        <w:instrText> HYPERLINK "../../../../../../../../../wiki/Jesaja_14" \l "s1"</w:instrText>
      </w:r>
      <w:r>
        <w:rPr>
          <w:rStyle w:val="Internetverknpfung"/>
        </w:rPr>
        <w:fldChar w:fldCharType="separate"/>
      </w:r>
      <w:r>
        <w:rPr>
          <w:rStyle w:val="Internetverknpfung"/>
        </w:rPr>
        <w:t>14,1</w:t>
      </w:r>
      <w:r>
        <w:rPr>
          <w:rStyle w:val="Internetverknpfung"/>
        </w:rPr>
        <w:fldChar w:fldCharType="end"/>
      </w:r>
      <w:r>
        <w:rPr/>
        <w:t xml:space="preserve">; </w:t>
      </w:r>
      <w:r>
        <w:fldChar w:fldCharType="begin"/>
      </w:r>
      <w:r>
        <w:rPr>
          <w:rStyle w:val="Internetverknpfung"/>
        </w:rPr>
        <w:instrText> HYPERLINK "../../../../../../../../../wiki/Jesaja_43" \l "s5"</w:instrText>
      </w:r>
      <w:r>
        <w:rPr>
          <w:rStyle w:val="Internetverknpfung"/>
        </w:rPr>
        <w:fldChar w:fldCharType="separate"/>
      </w:r>
      <w:r>
        <w:rPr>
          <w:rStyle w:val="Internetverknpfung"/>
        </w:rPr>
        <w:t>54,5f</w:t>
      </w:r>
      <w:r>
        <w:rPr>
          <w:rStyle w:val="Internetverknpfung"/>
        </w:rPr>
        <w:fldChar w:fldCharType="end"/>
      </w:r>
      <w:r>
        <w:rPr/>
        <w:t xml:space="preserve">; </w:t>
      </w:r>
      <w:hyperlink r:id="rId736">
        <w:r>
          <w:rPr>
            <w:rStyle w:val="Internetverknpfung"/>
          </w:rPr>
          <w:t>Jer 31,10</w:t>
        </w:r>
      </w:hyperlink>
      <w:r>
        <w:rPr/>
        <w:t xml:space="preserve">; </w:t>
      </w:r>
      <w:hyperlink r:id="rId737">
        <w:r>
          <w:rPr>
            <w:rStyle w:val="Internetverknpfung"/>
          </w:rPr>
          <w:t>Ez 28,25</w:t>
        </w:r>
      </w:hyperlink>
      <w:r>
        <w:rPr/>
        <w:t xml:space="preserve"> u.ö.). Diese Vorstellung wurde im Laufe der Zeit erweitert: (a) Der Zustand der Zerstreuung wurde als Strafe Gottes für die Sündhaftigkeit Israels verstanden (s. z.B. </w:t>
      </w:r>
      <w:hyperlink r:id="rId738">
        <w:r>
          <w:rPr>
            <w:rStyle w:val="Internetverknpfung"/>
          </w:rPr>
          <w:t>Neh 1,8f</w:t>
        </w:r>
      </w:hyperlink>
      <w:r>
        <w:rPr/>
        <w:t>), (b) Jesus bringt die Sammlung des zerstreuten Israels mit seiner - des Menschensohns - Wiederkunft am Ende der Zeiten in Zusammenhang.</w:t>
        <w:br/>
        <w:t>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w:t>
      </w:r>
    </w:p>
    <w:p>
      <w:pPr>
        <w:pStyle w:val="Textkrper"/>
        <w:spacing w:before="0" w:after="283"/>
        <w:rPr/>
      </w:pPr>
      <w:r>
        <w:rPr/>
        <w:tab/>
        <w:t xml:space="preserve">Unsicher allerdings ist, ob der Brief sich dann allgemein an </w:t>
      </w:r>
      <w:r>
        <w:rPr>
          <w:i/>
        </w:rPr>
        <w:t>alle Angehörigen der zwölf Stämme</w:t>
      </w:r>
      <w:r>
        <w:rPr/>
        <w:t xml:space="preserve"> richtet, oder ob diese Vorstellung von der Sammlung der zwölf Stämme im Jakobusbrief auf die </w:t>
      </w:r>
      <w:r>
        <w:rPr>
          <w:i/>
        </w:rPr>
        <w:t>Christusgläubigen</w:t>
      </w:r>
      <w:r>
        <w:rPr/>
        <w:t xml:space="preserve"> übertragen wird.</w:t>
      </w:r>
    </w:p>
  </w:footnote>
  <w:footnote w:id="6610">
    <w:p>
      <w:pPr>
        <w:pStyle w:val="Funote"/>
        <w:rPr/>
      </w:pPr>
      <w:r>
        <w:rPr>
          <w:rStyle w:val="Funotenzeichen"/>
        </w:rPr>
        <w:footnoteRef/>
      </w:r>
      <w:r>
        <w:rPr/>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611">
    <w:p>
      <w:pPr>
        <w:pStyle w:val="Funote"/>
        <w:rPr/>
      </w:pPr>
      <w:r>
        <w:rPr>
          <w:rStyle w:val="Funotenzeichen"/>
        </w:rPr>
        <w:footnoteRef/>
      </w:r>
      <w:r>
        <w:rPr/>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612">
    <w:p>
      <w:pPr>
        <w:pStyle w:val="Funote"/>
        <w:rPr/>
      </w:pPr>
      <w:r>
        <w:rPr>
          <w:rStyle w:val="Funotenzeichen"/>
        </w:rPr>
        <w:footnoteRef/>
      </w:r>
      <w:r>
        <w:rPr/>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613">
    <w:p>
      <w:pPr>
        <w:pStyle w:val="Funote"/>
        <w:rPr/>
      </w:pPr>
      <w:r>
        <w:rPr>
          <w:rStyle w:val="Funotenzeichen"/>
        </w:rPr>
        <w:footnoteRef/>
      </w:r>
      <w:r>
        <w:fldChar w:fldCharType="begin"/>
      </w:r>
      <w:r>
        <w:rPr>
          <w:rStyle w:val="Internetverknpfung"/>
        </w:rPr>
        <w:instrText> HYPERLINK "http://www.offene-bibel.de/wiki/index.php5?title=Partizip" \l "Die_Sinnrichtungen"</w:instrText>
      </w:r>
      <w:r>
        <w:rPr>
          <w:rStyle w:val="Internetverknpfung"/>
        </w:rPr>
        <w:fldChar w:fldCharType="separate"/>
      </w:r>
      <w:r>
        <w:rPr>
          <w:rStyle w:val="Internetverknpfung"/>
        </w:rPr>
        <w:tab/>
        <w:t>Ptz. coni.</w:t>
      </w:r>
      <w:r>
        <w:rPr>
          <w:rStyle w:val="Internetverknpfung"/>
        </w:rPr>
        <w:fldChar w:fldCharType="end"/>
      </w:r>
      <w:r>
        <w:rPr/>
        <w:t xml:space="preserve">, hier als kausaler Nebensatz aufgelöst (oder als Präpositionalphrase, so Klammer). Einige Ausleger verstehen das Partizip auch imperativisches Partizip („wisst“). </w:t>
      </w:r>
    </w:p>
  </w:footnote>
  <w:footnote w:id="6614">
    <w:p>
      <w:pPr>
        <w:pStyle w:val="Funote"/>
        <w:rPr/>
      </w:pPr>
      <w:r>
        <w:rPr>
          <w:rStyle w:val="Funotenzeichen"/>
        </w:rPr>
        <w:footnoteRef/>
      </w:r>
      <w:r>
        <w:rPr/>
        <w:tab/>
        <w:t>Der Begriff hat eine sehr aktive Bedeutung – es wird nicht nur abgewartet, sondern auch entsprechend gehandelt (Dibelius 1964, 101; Blomberg 2008, 49; Mußner 1964, 65f.).</w:t>
      </w:r>
    </w:p>
  </w:footnote>
  <w:footnote w:id="6615">
    <w:p>
      <w:pPr>
        <w:pStyle w:val="Funote"/>
        <w:rPr/>
      </w:pPr>
      <w:r>
        <w:rPr>
          <w:rStyle w:val="Funotenzeichen"/>
        </w:rPr>
        <w:footnoteRef/>
      </w:r>
      <w:r>
        <w:rPr>
          <w:lang w:val="el-GR"/>
        </w:rPr>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616">
    <w:p>
      <w:pPr>
        <w:pStyle w:val="Funote"/>
        <w:rPr/>
      </w:pPr>
      <w:r>
        <w:rPr>
          <w:rStyle w:val="Funotenzeichen"/>
        </w:rPr>
        <w:footnoteRef/>
      </w:r>
      <w:r>
        <w:rPr/>
        <w:tab/>
        <w:t>Oder sinngemäßer: „Ausgang“ (cf. Johnson 1995, 178).</w:t>
      </w:r>
    </w:p>
  </w:footnote>
  <w:footnote w:id="6617">
    <w:p>
      <w:pPr>
        <w:pStyle w:val="Funote"/>
        <w:rPr/>
      </w:pPr>
      <w:r>
        <w:rPr>
          <w:rStyle w:val="Funotenzeichen"/>
        </w:rPr>
        <w:footnoteRef/>
      </w:r>
      <w:r>
        <w:rPr/>
        <w:tab/>
        <w:t xml:space="preserve">Der Imperativ Präsens markiert hier, dass nicht </w:t>
      </w:r>
      <w:r>
        <w:rPr>
          <w:i/>
        </w:rPr>
        <w:t>ein Mal ein</w:t>
      </w:r>
      <w:r>
        <w:rPr/>
        <w:t xml:space="preserve"> vollkommenes Werk Folge der Standhaftigkeit sein soll, sondern dass vollkommene Werke </w:t>
      </w:r>
      <w:r>
        <w:rPr>
          <w:i/>
        </w:rPr>
        <w:t>prinzipiell</w:t>
      </w:r>
      <w:r>
        <w:rPr/>
        <w:t xml:space="preserve"> die Folge der Standhaftigkeit sein sollen.</w:t>
      </w:r>
    </w:p>
  </w:footnote>
  <w:footnote w:id="6618">
    <w:p>
      <w:pPr>
        <w:pStyle w:val="Funote"/>
        <w:rPr/>
      </w:pPr>
      <w:r>
        <w:rPr>
          <w:rStyle w:val="Funotenzeichen"/>
        </w:rPr>
        <w:footnoteRef/>
      </w:r>
      <w:r>
        <w:rPr>
          <w:lang w:val="el-GR"/>
        </w:rPr>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619">
    <w:p>
      <w:pPr>
        <w:pStyle w:val="Funote"/>
        <w:rPr/>
      </w:pPr>
      <w:r>
        <w:rPr>
          <w:rStyle w:val="Funotenzeichen"/>
        </w:rPr>
        <w:footnoteRef/>
      </w:r>
      <w:r>
        <w:rPr/>
        <w:tab/>
        <w:t xml:space="preserve">Auflösung eines </w:t>
      </w:r>
      <w:r>
        <w:fldChar w:fldCharType="begin"/>
      </w:r>
      <w:r>
        <w:rPr>
          <w:rStyle w:val="Internetverknpfung"/>
        </w:rPr>
        <w:instrText> HYPERLINK "http://www.offene-bibel.de/wiki/index.php5?title=Partizip" \l "Die_Sinnrichtungen"</w:instrText>
      </w:r>
      <w:r>
        <w:rPr>
          <w:rStyle w:val="Internetverknpfung"/>
        </w:rPr>
        <w:fldChar w:fldCharType="separate"/>
      </w:r>
      <w:r>
        <w:rPr>
          <w:rStyle w:val="Internetverknpfung"/>
        </w:rPr>
        <w:t>Ptz. coni.</w:t>
      </w:r>
      <w:r>
        <w:rPr>
          <w:rStyle w:val="Internetverknpfung"/>
        </w:rPr>
        <w:fldChar w:fldCharType="end"/>
      </w:r>
      <w:r>
        <w:rPr/>
        <w:t xml:space="preserve"> durch </w:t>
      </w:r>
      <w:r>
        <w:rPr>
          <w:i/>
        </w:rPr>
        <w:t>und</w:t>
      </w:r>
      <w:r>
        <w:rPr/>
        <w:t>-Koordination. Möglich auch modal, temporal, kausal (so Klammer).</w:t>
      </w:r>
    </w:p>
  </w:footnote>
  <w:footnote w:id="6620">
    <w:p>
      <w:pPr>
        <w:pStyle w:val="Funote"/>
        <w:rPr/>
      </w:pPr>
      <w:r>
        <w:rPr>
          <w:rStyle w:val="Funotenzeichen"/>
        </w:rPr>
        <w:footnoteRef/>
      </w:r>
      <w:r>
        <w:rPr/>
        <w:tab/>
        <w:t>S. vorige FN.</w:t>
      </w:r>
    </w:p>
  </w:footnote>
  <w:footnote w:id="6621">
    <w:p>
      <w:pPr>
        <w:pStyle w:val="Funote"/>
        <w:rPr/>
      </w:pPr>
      <w:r>
        <w:rPr>
          <w:rStyle w:val="Funotenzeichen"/>
        </w:rPr>
        <w:footnoteRef/>
      </w:r>
      <w:r>
        <w:rPr/>
        <w:tab/>
        <w:t xml:space="preserve">Wieder spricht Jakobus einzig männliche Leser an, meint aber auch die weiblichen Leser mit (-&gt; </w:t>
      </w:r>
      <w:hyperlink r:id="rId739">
        <w:r>
          <w:rPr>
            <w:rStyle w:val="Internetverknpfung"/>
          </w:rPr>
          <w:t>Generisches Maskulinum</w:t>
        </w:r>
      </w:hyperlink>
      <w:r>
        <w:rPr/>
        <w:t>). Für die LF sei jeweils - falls vorhanden - die Übersetzungsalternative in der Klammer empfohlen.</w:t>
      </w:r>
    </w:p>
  </w:footnote>
  <w:footnote w:id="6622">
    <w:p>
      <w:pPr>
        <w:pStyle w:val="Funote"/>
        <w:spacing w:before="0" w:after="283"/>
        <w:rPr/>
      </w:pPr>
      <w:r>
        <w:rPr>
          <w:rStyle w:val="Funotenzeichen"/>
        </w:rPr>
        <w:footnoteRef/>
      </w:r>
      <w:r>
        <w:rPr>
          <w:i/>
        </w:rPr>
        <w:tab/>
        <w:t>Weisheit</w:t>
      </w:r>
      <w:r>
        <w:rPr/>
        <w:t xml:space="preserve"> - Jakobus' Verständnis von „Weisheit“ entspricht v.a. dem Weisheitskonzept der frühjüdischen Schriften: (1) Weisheit ist nicht etwas, das man von selbst erlangen könnte, sondern zunächst eine </w:t>
      </w:r>
      <w:r>
        <w:rPr>
          <w:i/>
        </w:rPr>
        <w:t>Gabe Gottes</w:t>
      </w:r>
      <w:r>
        <w:rPr/>
        <w:t xml:space="preserve"> (s. Vv. 5.17; vgl. z.B. </w:t>
      </w:r>
      <w:r>
        <w:fldChar w:fldCharType="begin"/>
      </w:r>
      <w:r>
        <w:rPr>
          <w:rStyle w:val="Internetverknpfung"/>
        </w:rPr>
        <w:instrText> HYPERLINK "../../../../../../../../../wiki/Jesaja_11" \l "s2"</w:instrText>
      </w:r>
      <w:r>
        <w:rPr>
          <w:rStyle w:val="Internetverknpfung"/>
        </w:rPr>
        <w:fldChar w:fldCharType="separate"/>
      </w:r>
      <w:r>
        <w:rPr>
          <w:rStyle w:val="Internetverknpfung"/>
        </w:rPr>
        <w:t>Jes 11,2</w:t>
      </w:r>
      <w:r>
        <w:rPr>
          <w:rStyle w:val="Internetverknpfung"/>
        </w:rPr>
        <w:fldChar w:fldCharType="end"/>
      </w:r>
      <w:r>
        <w:rPr/>
        <w:t xml:space="preserve">; </w:t>
      </w:r>
      <w:hyperlink r:id="rId740">
        <w:r>
          <w:rPr>
            <w:rStyle w:val="Internetverknpfung"/>
          </w:rPr>
          <w:t>Spr 1,7</w:t>
        </w:r>
      </w:hyperlink>
      <w:r>
        <w:rPr/>
        <w:t xml:space="preserve">; </w:t>
      </w:r>
      <w:r>
        <w:fldChar w:fldCharType="begin"/>
      </w:r>
      <w:r>
        <w:rPr>
          <w:rStyle w:val="Internetverknpfung"/>
        </w:rPr>
        <w:instrText> HYPERLINK "../../../../../../../../../wiki/Sprichw%C3%B6rter_2" \l "s6"</w:instrText>
      </w:r>
      <w:r>
        <w:rPr>
          <w:rStyle w:val="Internetverknpfung"/>
        </w:rPr>
        <w:fldChar w:fldCharType="separate"/>
      </w:r>
      <w:r>
        <w:rPr>
          <w:rStyle w:val="Internetverknpfung"/>
        </w:rPr>
        <w:t>2,6</w:t>
      </w:r>
      <w:r>
        <w:rPr>
          <w:rStyle w:val="Internetverknpfung"/>
        </w:rPr>
        <w:fldChar w:fldCharType="end"/>
      </w:r>
      <w:r>
        <w:rPr/>
        <w:t xml:space="preserve">; </w:t>
      </w:r>
      <w:hyperlink r:id="rId741">
        <w:r>
          <w:rPr>
            <w:rStyle w:val="Internetverknpfung"/>
          </w:rPr>
          <w:t>Sir 39,5</w:t>
        </w:r>
      </w:hyperlink>
      <w:r>
        <w:rPr/>
        <w:t xml:space="preserve">; </w:t>
      </w:r>
      <w:hyperlink r:id="rId742">
        <w:r>
          <w:rPr>
            <w:rStyle w:val="Internetverknpfung"/>
          </w:rPr>
          <w:t>Weish 7,7</w:t>
        </w:r>
      </w:hyperlink>
      <w:r>
        <w:rPr/>
        <w:t>.</w:t>
      </w:r>
      <w:hyperlink r:id="rId743">
        <w:r>
          <w:rPr>
            <w:rStyle w:val="Internetverknpfung"/>
          </w:rPr>
          <w:t>15</w:t>
        </w:r>
      </w:hyperlink>
      <w:r>
        <w:rPr/>
        <w:t>.</w:t>
      </w:r>
      <w:hyperlink r:id="rId744">
        <w:r>
          <w:rPr>
            <w:rStyle w:val="Internetverknpfung"/>
          </w:rPr>
          <w:t>25f</w:t>
        </w:r>
      </w:hyperlink>
      <w:r>
        <w:rPr/>
        <w:t xml:space="preserve">; </w:t>
      </w:r>
      <w:hyperlink r:id="rId745">
        <w:r>
          <w:rPr>
            <w:rStyle w:val="Internetverknpfung"/>
          </w:rPr>
          <w:t>1Kor 2,13</w:t>
        </w:r>
      </w:hyperlink>
      <w:r>
        <w:rPr/>
        <w:t xml:space="preserve">; </w:t>
      </w:r>
      <w:hyperlink r:id="rId746">
        <w:r>
          <w:rPr>
            <w:rStyle w:val="Internetverknpfung"/>
          </w:rPr>
          <w:t>12,8</w:t>
        </w:r>
      </w:hyperlink>
      <w:r>
        <w:rPr/>
        <w:t xml:space="preserve">; </w:t>
      </w:r>
      <w:r>
        <w:fldChar w:fldCharType="begin"/>
      </w:r>
      <w:r>
        <w:rPr>
          <w:rStyle w:val="Internetverknpfung"/>
        </w:rPr>
        <w:instrText> HYPERLINK "../../../../../../../../../wiki/Epheser_1" \l "s17"</w:instrText>
      </w:r>
      <w:r>
        <w:rPr>
          <w:rStyle w:val="Internetverknpfung"/>
        </w:rPr>
        <w:fldChar w:fldCharType="separate"/>
      </w:r>
      <w:r>
        <w:rPr>
          <w:rStyle w:val="Internetverknpfung"/>
        </w:rPr>
        <w:t>Eph 1,17</w:t>
      </w:r>
      <w:r>
        <w:rPr>
          <w:rStyle w:val="Internetverknpfung"/>
        </w:rPr>
        <w:fldChar w:fldCharType="end"/>
      </w:r>
      <w:r>
        <w:rPr/>
        <w:t xml:space="preserve"> u.ö.). Und (2) führt sie anders als die „irdische Weisheit“ (i.S.v. „Wissenschaft“, vgl. z.B. </w:t>
      </w:r>
      <w:hyperlink r:id="rId747">
        <w:r>
          <w:rPr>
            <w:rStyle w:val="Internetverknpfung"/>
          </w:rPr>
          <w:t>1Kor 1,19-22</w:t>
        </w:r>
      </w:hyperlink>
      <w:r>
        <w:rPr/>
        <w:t xml:space="preserve">; </w:t>
      </w:r>
      <w:hyperlink r:id="rId748">
        <w:r>
          <w:rPr>
            <w:rStyle w:val="Internetverknpfung"/>
          </w:rPr>
          <w:t>2,6f</w:t>
        </w:r>
      </w:hyperlink>
      <w:r>
        <w:rPr/>
        <w:t xml:space="preserve">) nicht zunächst zu Erkenntnis und Wissen, sondern befähigt zu </w:t>
      </w:r>
      <w:r>
        <w:rPr>
          <w:i/>
        </w:rPr>
        <w:t>gottgefälligem Handeln</w:t>
      </w:r>
      <w:r>
        <w:rPr/>
        <w:t xml:space="preserve"> (s. </w:t>
      </w:r>
      <w:r>
        <w:fldChar w:fldCharType="begin"/>
      </w:r>
      <w:r>
        <w:rPr>
          <w:rStyle w:val="Internetverknpfung"/>
        </w:rPr>
        <w:instrText> HYPERLINK "../../../../../../../../../wiki/Jakobus_3" \l "s17"</w:instrText>
      </w:r>
      <w:r>
        <w:rPr>
          <w:rStyle w:val="Internetverknpfung"/>
        </w:rPr>
        <w:fldChar w:fldCharType="separate"/>
      </w:r>
      <w:r>
        <w:rPr>
          <w:rStyle w:val="Internetverknpfung"/>
        </w:rPr>
        <w:t>Jak 3,17</w:t>
      </w:r>
      <w:r>
        <w:rPr>
          <w:rStyle w:val="Internetverknpfung"/>
        </w:rPr>
        <w:fldChar w:fldCharType="end"/>
      </w:r>
      <w:r>
        <w:rPr/>
        <w:t xml:space="preserve">; vgl. </w:t>
      </w:r>
      <w:hyperlink r:id="rId749">
        <w:r>
          <w:rPr>
            <w:rStyle w:val="Internetverknpfung"/>
          </w:rPr>
          <w:t>Weish 7,22f</w:t>
        </w:r>
      </w:hyperlink>
      <w:r>
        <w:rPr/>
        <w:t xml:space="preserve">; </w:t>
      </w:r>
      <w:hyperlink r:id="rId750">
        <w:r>
          <w:rPr>
            <w:rStyle w:val="Internetverknpfung"/>
          </w:rPr>
          <w:t>Weish 8,6-8</w:t>
        </w:r>
      </w:hyperlink>
      <w:r>
        <w:rPr/>
        <w:t xml:space="preserve">; </w:t>
      </w:r>
      <w:hyperlink r:id="rId751">
        <w:r>
          <w:rPr>
            <w:rStyle w:val="Internetverknpfung"/>
          </w:rPr>
          <w:t>9,1-4</w:t>
        </w:r>
      </w:hyperlink>
      <w:r>
        <w:rPr/>
        <w:t>.</w:t>
      </w:r>
      <w:hyperlink r:id="rId752">
        <w:r>
          <w:rPr>
            <w:rStyle w:val="Internetverknpfung"/>
          </w:rPr>
          <w:t>9-12</w:t>
        </w:r>
      </w:hyperlink>
      <w:r>
        <w:rPr/>
        <w:t>.</w:t>
      </w:r>
      <w:hyperlink r:id="rId753">
        <w:r>
          <w:rPr>
            <w:rStyle w:val="Internetverknpfung"/>
          </w:rPr>
          <w:t>17f</w:t>
        </w:r>
      </w:hyperlink>
      <w:r>
        <w:rPr/>
        <w:t xml:space="preserve">; </w:t>
      </w:r>
      <w:hyperlink r:id="rId754">
        <w:r>
          <w:rPr>
            <w:rStyle w:val="Internetverknpfung"/>
          </w:rPr>
          <w:t>4Makk 1,18-35</w:t>
        </w:r>
      </w:hyperlink>
      <w:r>
        <w:rPr/>
        <w:t xml:space="preserve">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w:t>
      </w:r>
      <w:r>
        <w:fldChar w:fldCharType="begin"/>
      </w:r>
      <w:r>
        <w:rPr>
          <w:rStyle w:val="Internetverknpfung"/>
        </w:rPr>
        <w:instrText> HYPERLINK "http://www.offene-bibel.de/wiki/index.php5?title=Jakobus_1" \l "note_e"</w:instrText>
      </w:r>
      <w:r>
        <w:rPr>
          <w:rStyle w:val="Internetverknpfung"/>
        </w:rPr>
        <w:fldChar w:fldCharType="separate"/>
      </w:r>
      <w:r>
        <w:rPr>
          <w:rStyle w:val="Internetverknpfung"/>
        </w:rPr>
        <w:t>FN e</w:t>
      </w:r>
      <w:r>
        <w:rPr>
          <w:rStyle w:val="Internetverknpfung"/>
        </w:rPr>
        <w:fldChar w:fldCharType="end"/>
      </w:r>
      <w:r>
        <w:rPr/>
        <w:t xml:space="preserve">) - und hierfür ist nach dem Verständnis des altjüdischen Schrifttums </w:t>
      </w:r>
      <w:r>
        <w:rPr>
          <w:i/>
        </w:rPr>
        <w:t>Weisheit</w:t>
      </w:r>
      <w:r>
        <w:rPr/>
        <w:t xml:space="preserve"> vonnöten, s. die obigen Stellen; besonders eindrücklich 4Makk 1,18f.28-30: </w:t>
      </w:r>
    </w:p>
    <w:p>
      <w:pPr>
        <w:pStyle w:val="Listeninhalt"/>
        <w:rPr/>
      </w:pPr>
      <w:r>
        <w:rPr/>
        <w:tab/>
        <w:t>„</w:t>
      </w:r>
      <w:r>
        <w:rPr/>
        <w:t xml:space="preserve">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w:t>
      </w:r>
      <w:hyperlink r:id="rId755">
        <w:r>
          <w:rPr>
            <w:rStyle w:val="Internetverknpfung"/>
          </w:rPr>
          <w:t>Rießler 1928</w:t>
        </w:r>
      </w:hyperlink>
      <w:r>
        <w:rPr/>
        <w:t>)</w:t>
      </w:r>
    </w:p>
  </w:footnote>
  <w:footnote w:id="6623">
    <w:p>
      <w:pPr>
        <w:pStyle w:val="Funote"/>
        <w:rPr/>
      </w:pPr>
      <w:r>
        <w:rPr>
          <w:rStyle w:val="Funotenzeichen"/>
        </w:rPr>
        <w:footnoteRef/>
      </w:r>
      <w:r>
        <w:rPr>
          <w:i/>
        </w:rPr>
        <w:tab/>
        <w:t>großzügig (vorbehaltlos)</w:t>
      </w:r>
      <w:r>
        <w:rPr/>
        <w:t xml:space="preserve"> - Beide Deutungen des Wortes sind möglich; Gott ist also je nach Verständnis entweder lediglich ein vorbehaltloser Geber (der also bedingungslos gibt) oder sogar ein großzügiger Geber. Die Deutung mit „großzügig“ könnte an die aus </w:t>
      </w:r>
      <w:r>
        <w:fldChar w:fldCharType="begin"/>
      </w:r>
      <w:r>
        <w:rPr>
          <w:rStyle w:val="Internetverknpfung"/>
        </w:rPr>
        <w:instrText> HYPERLINK "../../../../../../../../../wiki/Lukas_11" \l "s9"</w:instrText>
      </w:r>
      <w:r>
        <w:rPr>
          <w:rStyle w:val="Internetverknpfung"/>
        </w:rPr>
        <w:fldChar w:fldCharType="separate"/>
      </w:r>
      <w:r>
        <w:rPr>
          <w:rStyle w:val="Internetverknpfung"/>
        </w:rPr>
        <w:t>Lk 11,9-13</w:t>
      </w:r>
      <w:r>
        <w:rPr>
          <w:rStyle w:val="Internetverknpfung"/>
        </w:rPr>
        <w:fldChar w:fldCharType="end"/>
      </w:r>
      <w:r>
        <w:rPr/>
        <w:t xml:space="preserve"> par </w:t>
      </w:r>
      <w:r>
        <w:fldChar w:fldCharType="begin"/>
      </w:r>
      <w:r>
        <w:rPr>
          <w:rStyle w:val="Internetverknpfung"/>
        </w:rPr>
        <w:instrText> HYPERLINK "../../../../../../../../../wiki/Matth%C3%A4us_7" \l "s7"</w:instrText>
      </w:r>
      <w:r>
        <w:rPr>
          <w:rStyle w:val="Internetverknpfung"/>
        </w:rPr>
        <w:fldChar w:fldCharType="separate"/>
      </w:r>
      <w:r>
        <w:rPr>
          <w:rStyle w:val="Internetverknpfung"/>
        </w:rPr>
        <w:t>Mt 7,7-11</w:t>
      </w:r>
      <w:r>
        <w:rPr>
          <w:rStyle w:val="Internetverknpfung"/>
        </w:rPr>
        <w:fldChar w:fldCharType="end"/>
      </w:r>
      <w:r>
        <w:rPr/>
        <w:t xml:space="preserve"> bekannte Jesustradition anknüpfen und scheint außerdem besser in den Kontext zu passen.</w:t>
      </w:r>
    </w:p>
  </w:footnote>
  <w:footnote w:id="6624">
    <w:p>
      <w:pPr>
        <w:pStyle w:val="Funote"/>
        <w:rPr/>
      </w:pPr>
      <w:r>
        <w:rPr>
          <w:rStyle w:val="Funotenzeichen"/>
        </w:rPr>
        <w:footnoteRef/>
      </w:r>
      <w:r>
        <w:rPr/>
        <w:tab/>
        <w:t>Auflösung eines adv. Ptz. durch Substantivierung und Koordination „und“. Das Wort heißt meistens eher „(be)schimpfen“. Es bezieht sich hier vermutlich darauf, dass Gott sich nicht darüber beklagt, dass er Weisheit geben „muss“ (BA).</w:t>
      </w:r>
    </w:p>
  </w:footnote>
  <w:footnote w:id="6625">
    <w:p>
      <w:pPr>
        <w:pStyle w:val="Funote"/>
        <w:rPr/>
      </w:pPr>
      <w:r>
        <w:rPr>
          <w:rStyle w:val="Funotenzeichen"/>
        </w:rPr>
        <w:footnoteRef/>
      </w:r>
      <w:r>
        <w:rPr/>
        <w:tab/>
        <w:t>Auflösung eines attributiven Ptz. als Relativsatz.</w:t>
      </w:r>
    </w:p>
  </w:footnote>
  <w:footnote w:id="6626">
    <w:p>
      <w:pPr>
        <w:pStyle w:val="Funote"/>
        <w:rPr/>
      </w:pPr>
      <w:r>
        <w:rPr>
          <w:rStyle w:val="Funotenzeichen"/>
        </w:rPr>
        <w:footnoteRef/>
      </w:r>
      <w:r>
        <w:rPr/>
        <w:tab/>
        <w:t xml:space="preserve">Der Imperativ Präsens (statt Aorist) markiert hier, dass nicht </w:t>
      </w:r>
      <w:r>
        <w:rPr>
          <w:i/>
        </w:rPr>
        <w:t>ein Mal</w:t>
      </w:r>
      <w:r>
        <w:rPr/>
        <w:t xml:space="preserve">, sondern entweder </w:t>
      </w:r>
      <w:r>
        <w:rPr>
          <w:i/>
        </w:rPr>
        <w:t>prinzipiell</w:t>
      </w:r>
      <w:r>
        <w:rPr/>
        <w:t xml:space="preserve"> oder </w:t>
      </w:r>
      <w:r>
        <w:rPr>
          <w:i/>
        </w:rPr>
        <w:t>immer wieder</w:t>
      </w:r>
      <w:r>
        <w:rPr/>
        <w:t xml:space="preserve"> gebeten werden soll.</w:t>
      </w:r>
    </w:p>
  </w:footnote>
  <w:footnote w:id="6627">
    <w:p>
      <w:pPr>
        <w:pStyle w:val="Funote"/>
        <w:rPr/>
      </w:pPr>
      <w:r>
        <w:rPr>
          <w:rStyle w:val="Funotenzeichen"/>
        </w:rPr>
        <w:footnoteRef/>
      </w:r>
      <w:r>
        <w:rPr/>
        <w:tab/>
        <w:t xml:space="preserve">Modales </w:t>
      </w:r>
      <w:r>
        <w:fldChar w:fldCharType="begin"/>
      </w:r>
      <w:r>
        <w:rPr>
          <w:rStyle w:val="Internetverknpfung"/>
        </w:rPr>
        <w:instrText> HYPERLINK "http://www.offene-bibel.de/wiki/index.php5?title=Partizip" \l "Die_Sinnrichtungen"</w:instrText>
      </w:r>
      <w:r>
        <w:rPr>
          <w:rStyle w:val="Internetverknpfung"/>
        </w:rPr>
        <w:fldChar w:fldCharType="separate"/>
      </w:r>
      <w:r>
        <w:rPr>
          <w:rStyle w:val="Internetverknpfung"/>
        </w:rPr>
        <w:t>adv. Ptz.</w:t>
      </w:r>
      <w:r>
        <w:rPr>
          <w:rStyle w:val="Internetverknpfung"/>
        </w:rPr>
        <w:fldChar w:fldCharType="end"/>
      </w:r>
      <w:r>
        <w:rPr/>
        <w:t>, mit „und“-Konstruktion aufgelöst. Es sollen also keine Bedenken gegen die Bereitwilligkeit Gottes zu geben bestehen (Blomberg 2008, 52).</w:t>
      </w:r>
    </w:p>
  </w:footnote>
  <w:footnote w:id="6628">
    <w:p>
      <w:pPr>
        <w:pStyle w:val="Funote"/>
        <w:rPr/>
      </w:pPr>
      <w:r>
        <w:rPr>
          <w:rStyle w:val="Funotenzeichen"/>
        </w:rPr>
        <w:footnoteRef/>
      </w:r>
      <w:r>
        <w:rPr/>
        <w:tab/>
        <w:t>Subst. Ptz. aufgelöst.</w:t>
      </w:r>
    </w:p>
  </w:footnote>
  <w:footnote w:id="6629">
    <w:p>
      <w:pPr>
        <w:pStyle w:val="Funote"/>
        <w:rPr/>
      </w:pPr>
      <w:r>
        <w:rPr>
          <w:rStyle w:val="Funotenzeichen"/>
        </w:rPr>
        <w:footnoteRef/>
      </w:r>
      <w:r>
        <w:rPr/>
        <w:tab/>
        <w:t>Der letzte Nebensatz ersetzt im Deutschen zwei attributive Ptz., die sich wie Adjektive direkt auf die Meereswoge beziehen.</w:t>
      </w:r>
    </w:p>
  </w:footnote>
  <w:footnote w:id="6630">
    <w:p>
      <w:pPr>
        <w:pStyle w:val="Funote"/>
        <w:rPr/>
      </w:pPr>
      <w:r>
        <w:rPr>
          <w:rStyle w:val="Funotenzeichen"/>
        </w:rPr>
        <w:footnoteRef/>
      </w:r>
      <w:r>
        <w:rPr>
          <w:lang w:val="el-GR"/>
        </w:rPr>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631">
    <w:p>
      <w:pPr>
        <w:pStyle w:val="Funote"/>
        <w:rPr/>
      </w:pPr>
      <w:r>
        <w:rPr>
          <w:rStyle w:val="Funotenzeichen"/>
        </w:rPr>
        <w:footnoteRef/>
      </w:r>
      <w:r>
        <w:rPr/>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632">
    <w:p>
      <w:pPr>
        <w:pStyle w:val="Funote"/>
        <w:rPr/>
      </w:pPr>
      <w:r>
        <w:rPr>
          <w:rStyle w:val="Funotenzeichen"/>
        </w:rPr>
        <w:footnoteRef/>
      </w:r>
      <w:r>
        <w:rPr/>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633">
    <w:p>
      <w:pPr>
        <w:pStyle w:val="Funote"/>
        <w:rPr/>
      </w:pPr>
      <w:r>
        <w:rPr>
          <w:rStyle w:val="Funotenzeichen"/>
        </w:rPr>
        <w:footnoteRef/>
      </w:r>
      <w:r>
        <w:rPr/>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634">
    <w:p>
      <w:pPr>
        <w:pStyle w:val="Funote"/>
        <w:rPr/>
      </w:pPr>
      <w:r>
        <w:rPr>
          <w:rStyle w:val="Funotenzeichen"/>
        </w:rPr>
        <w:footnoteRef/>
      </w:r>
      <w:r>
        <w:rPr/>
        <w:tab/>
        <w:t xml:space="preserve">zu „Bruder“ s. </w:t>
      </w:r>
      <w:r>
        <w:fldChar w:fldCharType="begin"/>
      </w:r>
      <w:r>
        <w:rPr>
          <w:rStyle w:val="Internetverknpfung"/>
        </w:rPr>
        <w:instrText> HYPERLINK "http://www.offene-bibel.de/wiki/index.php5?title=Jakobus_1" \l "note_d"</w:instrText>
      </w:r>
      <w:r>
        <w:rPr>
          <w:rStyle w:val="Internetverknpfung"/>
        </w:rPr>
        <w:fldChar w:fldCharType="separate"/>
      </w:r>
      <w:r>
        <w:rPr>
          <w:rStyle w:val="Internetverknpfung"/>
        </w:rPr>
        <w:t>FN d</w:t>
      </w:r>
      <w:r>
        <w:rPr>
          <w:rStyle w:val="Internetverknpfung"/>
        </w:rPr>
        <w:fldChar w:fldCharType="end"/>
      </w:r>
    </w:p>
  </w:footnote>
  <w:footnote w:id="6635">
    <w:p>
      <w:pPr>
        <w:pStyle w:val="Funote"/>
        <w:rPr/>
      </w:pPr>
      <w:r>
        <w:rPr>
          <w:rStyle w:val="Funotenzeichen"/>
        </w:rPr>
        <w:footnoteRef/>
      </w:r>
      <w:r>
        <w:rPr/>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636">
    <w:p>
      <w:pPr>
        <w:pStyle w:val="Funote"/>
        <w:rPr/>
      </w:pPr>
      <w:r>
        <w:rPr>
          <w:rStyle w:val="Funotenzeichen"/>
        </w:rPr>
        <w:footnoteRef/>
      </w:r>
      <w:r>
        <w:rPr/>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637">
    <w:p>
      <w:pPr>
        <w:pStyle w:val="Funote"/>
        <w:rPr/>
      </w:pPr>
      <w:r>
        <w:rPr>
          <w:rStyle w:val="Funotenzeichen"/>
        </w:rPr>
        <w:footnoteRef/>
      </w:r>
      <w:r>
        <w:rPr/>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638">
    <w:p>
      <w:pPr>
        <w:pStyle w:val="Funote"/>
        <w:rPr/>
      </w:pPr>
      <w:r>
        <w:rPr>
          <w:rStyle w:val="Funotenzeichen"/>
        </w:rPr>
        <w:footnoteRef/>
      </w:r>
      <w:r>
        <w:rPr/>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639">
    <w:p>
      <w:pPr>
        <w:pStyle w:val="Funote"/>
        <w:rPr/>
      </w:pPr>
      <w:r>
        <w:rPr>
          <w:rStyle w:val="Funotenzeichen"/>
        </w:rPr>
        <w:footnoteRef/>
      </w:r>
      <w:r>
        <w:rPr/>
        <w:tab/>
        <w:t>Alle präsentisch übersetzten Verben in diesem Vers stehen im Urtext im gnomischen Aorist.</w:t>
      </w:r>
    </w:p>
  </w:footnote>
  <w:footnote w:id="6640">
    <w:p>
      <w:pPr>
        <w:pStyle w:val="Funote"/>
        <w:rPr/>
      </w:pPr>
      <w:r>
        <w:rPr>
          <w:rStyle w:val="Funotenzeichen"/>
        </w:rPr>
        <w:footnoteRef/>
      </w:r>
      <w:r>
        <w:rPr/>
        <w:tab/>
        <w:t xml:space="preserve">Die meisten Handschriften lesen hier „Mann“, jedoch mit klar </w:t>
      </w:r>
      <w:hyperlink r:id="rId756">
        <w:r>
          <w:rPr>
            <w:rStyle w:val="Internetverknpfung"/>
          </w:rPr>
          <w:t>generischer Bedeutung</w:t>
        </w:r>
      </w:hyperlink>
      <w:r>
        <w:rPr/>
        <w:t xml:space="preserve"> (Blomberg 2008, 69).</w:t>
      </w:r>
    </w:p>
  </w:footnote>
  <w:footnote w:id="6641">
    <w:p>
      <w:pPr>
        <w:pStyle w:val="Funote"/>
        <w:rPr/>
      </w:pPr>
      <w:r>
        <w:rPr>
          <w:rStyle w:val="Funotenzeichen"/>
        </w:rPr>
        <w:footnoteRef/>
      </w:r>
      <w:r>
        <w:rPr/>
        <w:tab/>
        <w:t xml:space="preserve">Gemeint ist, wie oben, keine geistliche Versuchung, sondern allgemein eine Schwierigkeit, eine „Prüfung“ im Leben. S. </w:t>
      </w:r>
      <w:r>
        <w:fldChar w:fldCharType="begin"/>
      </w:r>
      <w:r>
        <w:rPr>
          <w:rStyle w:val="Internetverknpfung"/>
        </w:rPr>
        <w:instrText> HYPERLINK "../../../../../../../../../wiki/Jakobus_1" \l "s2"</w:instrText>
      </w:r>
      <w:r>
        <w:rPr>
          <w:rStyle w:val="Internetverknpfung"/>
        </w:rPr>
        <w:fldChar w:fldCharType="separate"/>
      </w:r>
      <w:r>
        <w:rPr>
          <w:rStyle w:val="Internetverknpfung"/>
        </w:rPr>
        <w:t>Vv. 2-4</w:t>
      </w:r>
      <w:r>
        <w:rPr>
          <w:rStyle w:val="Internetverknpfung"/>
        </w:rPr>
        <w:fldChar w:fldCharType="end"/>
      </w:r>
      <w:r>
        <w:rPr/>
        <w:t xml:space="preserve"> (Blomberg 2008, 69).</w:t>
      </w:r>
    </w:p>
  </w:footnote>
  <w:footnote w:id="6642">
    <w:p>
      <w:pPr>
        <w:pStyle w:val="Funote"/>
        <w:rPr/>
      </w:pPr>
      <w:r>
        <w:rPr>
          <w:rStyle w:val="Funotenzeichen"/>
        </w:rPr>
        <w:footnoteRef/>
      </w:r>
      <w:r>
        <w:rPr/>
        <w:tab/>
        <w:t>Die Einfügung soll der Bedeutung des Verbs näher kommen.</w:t>
      </w:r>
    </w:p>
  </w:footnote>
  <w:footnote w:id="6643">
    <w:p>
      <w:pPr>
        <w:pStyle w:val="Funote"/>
        <w:rPr/>
      </w:pPr>
      <w:r>
        <w:rPr>
          <w:rStyle w:val="Funotenzeichen"/>
        </w:rPr>
        <w:footnoteRef/>
      </w:r>
      <w:r>
        <w:rPr/>
        <w:tab/>
        <w:t>Adv. Ptz. Aor., temporal aufgelöst; alternativ auch kausal, modal. Wörtlich: „als ein erprobt (bewährt, tüchtig, angesehen) Gewordenener“.</w:t>
      </w:r>
    </w:p>
  </w:footnote>
  <w:footnote w:id="6644">
    <w:p>
      <w:pPr>
        <w:pStyle w:val="Funote"/>
        <w:rPr/>
      </w:pPr>
      <w:r>
        <w:rPr>
          <w:rStyle w:val="Funotenzeichen"/>
        </w:rPr>
        <w:footnoteRef/>
      </w:r>
      <w:r>
        <w:rPr/>
        <w:tab/>
        <w:t>Gen. epexegeticus (NSS). „Siegeskranz, welcher das Leben ist“ (Blomberg 2008, 69).</w:t>
      </w:r>
    </w:p>
  </w:footnote>
  <w:footnote w:id="6645">
    <w:p>
      <w:pPr>
        <w:pStyle w:val="Funote"/>
        <w:rPr/>
      </w:pPr>
      <w:r>
        <w:rPr>
          <w:rStyle w:val="Funotenzeichen"/>
        </w:rPr>
        <w:footnoteRef/>
      </w:r>
      <w:r>
        <w:rPr/>
        <w:tab/>
        <w:t>Viele Handschriften ergänzen an dieser Stelle zusätzlich als Subjekt „der Herr“ oder „Gott“; die schwierigere und kürzere (und damit wohl ursprüngliche) Lesart ist jedoch diejenige ohne explizites Subjekt (Johnson 1995, 188).</w:t>
      </w:r>
    </w:p>
  </w:footnote>
  <w:footnote w:id="6646">
    <w:p>
      <w:pPr>
        <w:pStyle w:val="Funote"/>
        <w:rPr/>
      </w:pPr>
      <w:r>
        <w:rPr>
          <w:rStyle w:val="Funotenzeichen"/>
        </w:rPr>
        <w:footnoteRef/>
      </w:r>
      <w:r>
        <w:rPr/>
        <w:tab/>
        <w:t xml:space="preserve">Subst. </w:t>
      </w:r>
      <w:hyperlink r:id="rId757">
        <w:r>
          <w:rPr>
            <w:rStyle w:val="Internetverknpfung"/>
          </w:rPr>
          <w:t>Ptz.</w:t>
        </w:r>
      </w:hyperlink>
      <w:r>
        <w:rPr/>
        <w:t>, hier aufgelöst.</w:t>
      </w:r>
    </w:p>
  </w:footnote>
  <w:footnote w:id="6647">
    <w:p>
      <w:pPr>
        <w:pStyle w:val="Funote"/>
        <w:rPr/>
      </w:pPr>
      <w:r>
        <w:rPr>
          <w:rStyle w:val="Funotenzeichen"/>
        </w:rPr>
        <w:footnoteRef/>
      </w:r>
      <w:r>
        <w:rPr/>
        <w:tab/>
        <w:t>Wörtlich: „Kein Versuchter (Geprüfter, Auf-die-Probe-Gestellter)“ (Attr. Ptz. Präs.)</w:t>
      </w:r>
    </w:p>
  </w:footnote>
  <w:footnote w:id="6648">
    <w:p>
      <w:pPr>
        <w:pStyle w:val="Funote"/>
        <w:rPr/>
      </w:pPr>
      <w:r>
        <w:rPr>
          <w:rStyle w:val="Funotenzeichen"/>
        </w:rPr>
        <w:footnoteRef/>
      </w:r>
      <w:r>
        <w:rPr/>
        <w:tab/>
        <w:t>3. Sg. Imp.</w:t>
      </w:r>
    </w:p>
  </w:footnote>
  <w:footnote w:id="6649">
    <w:p>
      <w:pPr>
        <w:pStyle w:val="Funote"/>
        <w:rPr/>
      </w:pPr>
      <w:r>
        <w:rPr>
          <w:rStyle w:val="Funotenzeichen"/>
        </w:rPr>
        <w:footnoteRef/>
      </w:r>
      <w:r>
        <w:rPr>
          <w:lang w:val="el-GR"/>
        </w:rPr>
        <w:tab/>
        <w:t>ὅτι</w:t>
      </w:r>
      <w:r>
        <w:rPr/>
        <w:t xml:space="preserve"> recitativum.</w:t>
      </w:r>
    </w:p>
  </w:footnote>
  <w:footnote w:id="6650">
    <w:p>
      <w:pPr>
        <w:pStyle w:val="Funote"/>
        <w:rPr/>
      </w:pPr>
      <w:r>
        <w:rPr>
          <w:rStyle w:val="Funotenzeichen"/>
        </w:rPr>
        <w:footnoteRef/>
      </w:r>
      <w:r>
        <w:rPr/>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651">
    <w:p>
      <w:pPr>
        <w:pStyle w:val="Funote"/>
        <w:rPr/>
      </w:pPr>
      <w:r>
        <w:rPr>
          <w:rStyle w:val="Funotenzeichen"/>
        </w:rPr>
        <w:footnoteRef/>
      </w:r>
      <w:r>
        <w:rPr/>
        <w:tab/>
        <w:t xml:space="preserve">Diese Übersetzung von </w:t>
      </w:r>
      <w:r>
        <w:rPr>
          <w:lang w:val="el-GR"/>
        </w:rPr>
        <w:t>δὲ</w:t>
      </w:r>
      <w:r>
        <w:rPr/>
        <w:t xml:space="preserve"> wurde gewählt, um den Argumentationsgang wie im Urtext aufrecht zu erhalten.</w:t>
      </w:r>
    </w:p>
  </w:footnote>
  <w:footnote w:id="6652">
    <w:p>
      <w:pPr>
        <w:pStyle w:val="Funote"/>
        <w:rPr/>
      </w:pPr>
      <w:r>
        <w:rPr>
          <w:rStyle w:val="Funotenzeichen"/>
        </w:rPr>
        <w:footnoteRef/>
      </w:r>
      <w:r>
        <w:rPr/>
        <w:tab/>
        <w:t>Modale Auflösung zweier adv. Ptz. Alternativ kausal, temporal, konditional.</w:t>
      </w:r>
    </w:p>
  </w:footnote>
  <w:footnote w:id="6653">
    <w:p>
      <w:pPr>
        <w:pStyle w:val="Funote"/>
        <w:rPr/>
      </w:pPr>
      <w:r>
        <w:rPr>
          <w:rStyle w:val="Funotenzeichen"/>
        </w:rPr>
        <w:footnoteRef/>
      </w:r>
      <w:r>
        <w:rPr/>
        <w:tab/>
        <w:t>Ptc. coni. Aor.; temporal aufgelöst.</w:t>
      </w:r>
    </w:p>
  </w:footnote>
  <w:footnote w:id="6654">
    <w:p>
      <w:pPr>
        <w:pStyle w:val="Funote"/>
        <w:rPr/>
      </w:pPr>
      <w:r>
        <w:rPr>
          <w:rStyle w:val="Funotenzeichen"/>
        </w:rPr>
        <w:footnoteRef/>
      </w:r>
      <w:r>
        <w:rPr/>
        <w:tab/>
        <w:t>Eig. Futur. Die Alternative „erwachsen geworden“ passt in den Sinn der Metapher von der Begierde, dem Gebären und Erwachsenwerden der Sünde (Blomberg 2008, 72).</w:t>
      </w:r>
    </w:p>
  </w:footnote>
  <w:footnote w:id="6655">
    <w:p>
      <w:pPr>
        <w:pStyle w:val="Funote"/>
        <w:rPr/>
      </w:pPr>
      <w:r>
        <w:rPr>
          <w:rStyle w:val="Funotenzeichen"/>
        </w:rPr>
        <w:footnoteRef/>
      </w:r>
      <w:r>
        <w:rPr/>
        <w:tab/>
        <w:t>Wörtlich: „Werdet nicht getäuscht“. Alternativ auch aktiv: „Täuscht euch nicht“.</w:t>
      </w:r>
    </w:p>
  </w:footnote>
  <w:footnote w:id="6656">
    <w:p>
      <w:pPr>
        <w:pStyle w:val="Funote"/>
        <w:rPr/>
      </w:pPr>
      <w:r>
        <w:rPr>
          <w:rStyle w:val="Funotenzeichen"/>
        </w:rPr>
        <w:footnoteRef/>
      </w:r>
      <w:r>
        <w:rPr/>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657">
    <w:p>
      <w:pPr>
        <w:pStyle w:val="Funote"/>
        <w:rPr/>
      </w:pPr>
      <w:r>
        <w:rPr>
          <w:rStyle w:val="Funotenzeichen"/>
        </w:rPr>
        <w:footnoteRef/>
      </w:r>
      <w:r>
        <w:rPr/>
        <w:tab/>
        <w:t>Gemeint sind wohl die Himmelskörper als natürliche Lichtquellen (vgl. Johnson 1995, 196).</w:t>
      </w:r>
    </w:p>
  </w:footnote>
  <w:footnote w:id="6658">
    <w:p>
      <w:pPr>
        <w:pStyle w:val="Funote"/>
        <w:rPr/>
      </w:pPr>
      <w:r>
        <w:rPr>
          <w:rStyle w:val="Funotenzeichen"/>
        </w:rPr>
        <w:footnoteRef/>
      </w:r>
      <w:r>
        <w:rPr/>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659">
    <w:p>
      <w:pPr>
        <w:pStyle w:val="Funote"/>
        <w:rPr/>
      </w:pPr>
      <w:r>
        <w:rPr>
          <w:rStyle w:val="Funotenzeichen"/>
        </w:rPr>
        <w:footnoteRef/>
      </w:r>
      <w:r>
        <w:rPr/>
        <w:tab/>
        <w:t>Substantivische Auflösung eines kausalen oder modalen Ptz. Aor. Pass. (wörtlich „gewillt habend“).</w:t>
      </w:r>
    </w:p>
  </w:footnote>
  <w:footnote w:id="6660">
    <w:p>
      <w:pPr>
        <w:pStyle w:val="Funote"/>
        <w:rPr/>
      </w:pPr>
      <w:r>
        <w:rPr>
          <w:rStyle w:val="Funotenzeichen"/>
        </w:rPr>
        <w:footnoteRef/>
      </w:r>
      <w:r>
        <w:rPr/>
        <w:tab/>
        <w:t>Dat. instrumentalis.</w:t>
      </w:r>
    </w:p>
  </w:footnote>
  <w:footnote w:id="6661">
    <w:p>
      <w:pPr>
        <w:pStyle w:val="Funote"/>
        <w:rPr/>
      </w:pPr>
      <w:r>
        <w:rPr>
          <w:rStyle w:val="Funotenzeichen"/>
        </w:rPr>
        <w:footnoteRef/>
      </w:r>
      <w:r>
        <w:rPr/>
        <w:tab/>
        <w:t>So NSS. Wörtlich „Wisst“ (Imp.) oder „Ihr wisst“ (Ind., so Johnson 1995, 198). Hier als Imperativ gedeutet. Alternativ „Wisst dies:“ (Blomberg 2008, 85; Mußner 1964, 99).</w:t>
      </w:r>
    </w:p>
  </w:footnote>
  <w:footnote w:id="6662">
    <w:p>
      <w:pPr>
        <w:pStyle w:val="Funote"/>
        <w:rPr/>
      </w:pPr>
      <w:r>
        <w:rPr>
          <w:rStyle w:val="Funotenzeichen"/>
        </w:rPr>
        <w:footnoteRef/>
      </w:r>
      <w:r>
        <w:rPr/>
        <w:tab/>
        <w:t>Hier verwendet der Autor „Mann“ wieder im generischen Sinne als Synomym für „Mensch“ (Blomberg/Kamell).</w:t>
      </w:r>
    </w:p>
  </w:footnote>
  <w:footnote w:id="6663">
    <w:p>
      <w:pPr>
        <w:pStyle w:val="Funote"/>
        <w:rPr/>
      </w:pPr>
      <w:r>
        <w:rPr>
          <w:rStyle w:val="Funotenzeichen"/>
        </w:rPr>
        <w:footnoteRef/>
      </w:r>
      <w:r>
        <w:rPr/>
        <w:tab/>
        <w:t>Gen. subi.: also die Gerechtigkeit vor Gott/nach der Gott urteilt. Kann umschrieben werden: „was vor Gott gerecht ist“ (So Lut, EU, NGÜ). Wörtlich „Gerechtigkeit Gottes“ (so bei RevElb, SLT).</w:t>
      </w:r>
    </w:p>
  </w:footnote>
  <w:footnote w:id="6664">
    <w:p>
      <w:pPr>
        <w:pStyle w:val="Funote"/>
        <w:rPr/>
      </w:pPr>
      <w:r>
        <w:rPr>
          <w:rStyle w:val="Funotenzeichen"/>
        </w:rPr>
        <w:footnoteRef/>
      </w:r>
      <w:r>
        <w:rPr/>
        <w:tab/>
        <w:t>Alternativ nach NSS: „erfüllt nicht die von Gott gesetzte Gerechtigkeit.“</w:t>
      </w:r>
    </w:p>
  </w:footnote>
  <w:footnote w:id="6665">
    <w:p>
      <w:pPr>
        <w:pStyle w:val="Funote"/>
        <w:rPr/>
      </w:pPr>
      <w:r>
        <w:rPr>
          <w:rStyle w:val="Funotenzeichen"/>
        </w:rPr>
        <w:footnoteRef/>
      </w:r>
      <w:r>
        <w:rPr/>
        <w:tab/>
        <w:t>Wörtlich: „[alles] Übermaß der Schlechtigkeit“. Die Bedeutung ist eindeutig nicht „alle Schlechtigkeit, die ihr übrig habt“, sondern „von der es so viel gibt“.</w:t>
      </w:r>
    </w:p>
  </w:footnote>
  <w:footnote w:id="6666">
    <w:p>
      <w:pPr>
        <w:pStyle w:val="Funote"/>
        <w:rPr/>
      </w:pPr>
      <w:r>
        <w:rPr>
          <w:rStyle w:val="Funotenzeichen"/>
        </w:rPr>
        <w:footnoteRef/>
      </w:r>
      <w:r>
        <w:rPr/>
        <w:tab/>
        <w:t>Das Verb des ersten Satzteils ist ein Ptz. Aor., das sowohl vorzeitig, als auch gleichzeitig gedeutet werden kann. Deshalb alternativ: „Nachdem/Wenn/Weil ihr ...abgelegt habt“.</w:t>
      </w:r>
    </w:p>
  </w:footnote>
  <w:footnote w:id="6667">
    <w:p>
      <w:pPr>
        <w:pStyle w:val="Funote"/>
        <w:rPr/>
      </w:pPr>
      <w:r>
        <w:rPr>
          <w:rStyle w:val="Funotenzeichen"/>
        </w:rPr>
        <w:footnoteRef/>
      </w:r>
      <w:r>
        <w:rPr/>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668">
    <w:p>
      <w:pPr>
        <w:pStyle w:val="Funote"/>
        <w:rPr/>
      </w:pPr>
      <w:r>
        <w:rPr>
          <w:rStyle w:val="Funotenzeichen"/>
        </w:rPr>
        <w:footnoteRef/>
      </w:r>
      <w:r>
        <w:rPr/>
        <w:tab/>
        <w:t>Attr. od. adv. (modales) Ptz.</w:t>
      </w:r>
    </w:p>
  </w:footnote>
  <w:footnote w:id="6669">
    <w:p>
      <w:pPr>
        <w:pStyle w:val="Funote"/>
        <w:rPr/>
      </w:pPr>
      <w:r>
        <w:rPr>
          <w:rStyle w:val="Funotenzeichen"/>
        </w:rPr>
        <w:footnoteRef/>
      </w:r>
      <w:r>
        <w:rPr/>
        <w:tab/>
        <w:t xml:space="preserve">Adversatives </w:t>
      </w:r>
      <w:r>
        <w:rPr>
          <w:lang w:val="el-GR"/>
        </w:rPr>
        <w:t>καί</w:t>
      </w:r>
      <w:r>
        <w:rPr/>
        <w:t>, das entsprechend wiedergegeben wurde.</w:t>
      </w:r>
    </w:p>
  </w:footnote>
  <w:footnote w:id="6670">
    <w:p>
      <w:pPr>
        <w:pStyle w:val="Funote"/>
        <w:rPr/>
      </w:pPr>
      <w:r>
        <w:rPr>
          <w:rStyle w:val="Funotenzeichen"/>
        </w:rPr>
        <w:footnoteRef/>
      </w:r>
      <w:r>
        <w:rPr/>
        <w:tab/>
        <w:t>Oder: „natürliches Aussehen“ (So NSS). Wörtlich: „Aussehen/Gesicht der Schöpfung“. Dabei handelt es sich um einen Semitismus, der auch einfach mit „Gesicht“ übersetzt werden kann.</w:t>
      </w:r>
    </w:p>
  </w:footnote>
  <w:footnote w:id="6671">
    <w:p>
      <w:pPr>
        <w:pStyle w:val="Funote"/>
        <w:rPr/>
      </w:pPr>
      <w:r>
        <w:rPr>
          <w:rStyle w:val="Funotenzeichen"/>
        </w:rPr>
        <w:footnoteRef/>
      </w:r>
      <w:r>
        <w:rPr/>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672">
    <w:p>
      <w:pPr>
        <w:pStyle w:val="Funote"/>
        <w:rPr/>
      </w:pPr>
      <w:r>
        <w:rPr>
          <w:rStyle w:val="Funotenzeichen"/>
        </w:rPr>
        <w:footnoteRef/>
      </w:r>
      <w:r>
        <w:rPr/>
        <w:tab/>
        <w:t>Indefiniter Konditionalsatz.</w:t>
      </w:r>
    </w:p>
  </w:footnote>
  <w:footnote w:id="6673">
    <w:p>
      <w:pPr>
        <w:pStyle w:val="Funote"/>
        <w:rPr/>
      </w:pPr>
      <w:r>
        <w:rPr>
          <w:rStyle w:val="Funotenzeichen"/>
        </w:rPr>
        <w:footnoteRef/>
      </w:r>
      <w:r>
        <w:rPr/>
        <w:tab/>
        <w:t>Die ersten drei Verben dieses Satzes stehen eigentlich im gnomischen Aorist/Perfekt.</w:t>
      </w:r>
    </w:p>
  </w:footnote>
  <w:footnote w:id="6674">
    <w:p>
      <w:pPr>
        <w:pStyle w:val="Funote"/>
        <w:rPr/>
      </w:pPr>
      <w:r>
        <w:rPr>
          <w:rStyle w:val="Funotenzeichen"/>
        </w:rPr>
        <w:footnoteRef/>
      </w:r>
      <w:r>
        <w:rPr/>
        <w:tab/>
        <w:t>Wörtlich: „wie er beschaffen war“</w:t>
      </w:r>
    </w:p>
  </w:footnote>
  <w:footnote w:id="6675">
    <w:p>
      <w:pPr>
        <w:pStyle w:val="Funote"/>
        <w:rPr/>
      </w:pPr>
      <w:r>
        <w:rPr>
          <w:rStyle w:val="Funotenzeichen"/>
        </w:rPr>
        <w:footnoteRef/>
      </w:r>
      <w:r>
        <w:rPr/>
        <w:tab/>
        <w:t>Wörtlich: „vorbeugt“. Alternativ vorzeitig: „vertieft hat“. Hier wieder gnomisch gedeutet.</w:t>
      </w:r>
    </w:p>
  </w:footnote>
  <w:footnote w:id="6676">
    <w:p>
      <w:pPr>
        <w:pStyle w:val="Funote"/>
        <w:rPr/>
      </w:pPr>
      <w:r>
        <w:rPr>
          <w:rStyle w:val="Funotenzeichen"/>
        </w:rPr>
        <w:footnoteRef/>
      </w:r>
      <w:r>
        <w:rPr/>
        <w:tab/>
        <w:t>Oder vorzeitig: „geblieben ist“</w:t>
      </w:r>
    </w:p>
  </w:footnote>
  <w:footnote w:id="6677">
    <w:p>
      <w:pPr>
        <w:pStyle w:val="Funote"/>
        <w:rPr/>
      </w:pPr>
      <w:r>
        <w:rPr>
          <w:rStyle w:val="Funotenzeichen"/>
        </w:rPr>
        <w:footnoteRef/>
      </w:r>
      <w:r>
        <w:rPr/>
        <w:tab/>
        <w:t>Gen. qualitatis. Wörtlich: „Hörer der Vergesslichkeit“</w:t>
      </w:r>
    </w:p>
  </w:footnote>
  <w:footnote w:id="6678">
    <w:p>
      <w:pPr>
        <w:pStyle w:val="Funote"/>
        <w:rPr/>
      </w:pPr>
      <w:r>
        <w:rPr>
          <w:rStyle w:val="Funotenzeichen"/>
        </w:rPr>
        <w:footnoteRef/>
      </w:r>
      <w:r>
        <w:rPr/>
        <w:tab/>
        <w:t>Oder vorzeitig: „geworden ist“. Das modale Ptz. Aor. Pass. lässt sich analog zu den vorhergehenden Verben verschieden auflösen.</w:t>
      </w:r>
    </w:p>
  </w:footnote>
  <w:footnote w:id="6679">
    <w:p>
      <w:pPr>
        <w:pStyle w:val="Funote"/>
        <w:rPr/>
      </w:pPr>
      <w:r>
        <w:rPr>
          <w:rStyle w:val="Funotenzeichen"/>
        </w:rPr>
        <w:footnoteRef/>
      </w:r>
      <w:r>
        <w:rPr/>
        <w:tab/>
        <w:t>Eingefügt, um die durativ-iterative Bedeutung des aufgelösten attr. Ptz. Präs. besser zu erfassen.</w:t>
      </w:r>
    </w:p>
  </w:footnote>
  <w:footnote w:id="6680">
    <w:p>
      <w:pPr>
        <w:pStyle w:val="Funote"/>
        <w:rPr/>
      </w:pPr>
      <w:r>
        <w:rPr>
          <w:rStyle w:val="Funotenzeichen"/>
        </w:rPr>
        <w:footnoteRef/>
      </w:r>
      <w:r>
        <w:rPr/>
        <w:tab/>
        <w:t>Attr. Ptz. Präs.</w:t>
      </w:r>
    </w:p>
  </w:footnote>
  <w:footnote w:id="6681">
    <w:p>
      <w:pPr>
        <w:pStyle w:val="Funote"/>
        <w:rPr/>
      </w:pPr>
      <w:r>
        <w:rPr>
          <w:rStyle w:val="Funotenzeichen"/>
        </w:rPr>
        <w:footnoteRef/>
      </w:r>
      <w:r>
        <w:rPr/>
        <w:tab/>
        <w:t>Indefiniter Konditionalsatz.</w:t>
      </w:r>
    </w:p>
  </w:footnote>
  <w:footnote w:id="6682">
    <w:p>
      <w:pPr>
        <w:pStyle w:val="Funote"/>
        <w:rPr/>
      </w:pPr>
      <w:r>
        <w:rPr>
          <w:rStyle w:val="Funotenzeichen"/>
        </w:rPr>
        <w:footnoteRef/>
      </w:r>
      <w:r>
        <w:rPr/>
        <w:tab/>
        <w:t>Wörtlich: „ist dies“</w:t>
      </w:r>
    </w:p>
  </w:footnote>
  <w:footnote w:id="6683">
    <w:p>
      <w:pPr>
        <w:pStyle w:val="Funote"/>
        <w:rPr/>
      </w:pPr>
      <w:r>
        <w:rPr>
          <w:rStyle w:val="Funotenzeichen"/>
        </w:rPr>
        <w:footnoteRef/>
      </w:r>
      <w:r>
        <w:rPr/>
        <w:tab/>
        <w:t>[Status: Zuverlässig]</w:t>
      </w:r>
    </w:p>
  </w:footnote>
  <w:footnote w:id="6684">
    <w:p>
      <w:pPr>
        <w:pStyle w:val="Funote"/>
        <w:rPr/>
      </w:pPr>
      <w:r>
        <w:rPr>
          <w:rStyle w:val="Funotenzeichen"/>
        </w:rPr>
        <w:footnoteRef/>
      </w:r>
      <w:r>
        <w:rPr/>
        <w:tab/>
        <w:t>Wörtlich: „Glauben unseres Herrn“. Gen. subi.</w:t>
      </w:r>
    </w:p>
  </w:footnote>
  <w:footnote w:id="6685">
    <w:p>
      <w:pPr>
        <w:pStyle w:val="Funote"/>
        <w:rPr/>
      </w:pPr>
      <w:r>
        <w:rPr>
          <w:rStyle w:val="Funotenzeichen"/>
        </w:rPr>
        <w:footnoteRef/>
      </w:r>
      <w:r>
        <w:rPr/>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686">
    <w:p>
      <w:pPr>
        <w:pStyle w:val="Funote"/>
        <w:rPr/>
      </w:pPr>
      <w:r>
        <w:rPr>
          <w:rStyle w:val="Funotenzeichen"/>
        </w:rPr>
        <w:footnoteRef/>
      </w:r>
      <w:r>
        <w:rPr/>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w:t>
      </w:r>
      <w:r>
        <w:fldChar w:fldCharType="begin"/>
      </w:r>
      <w:r>
        <w:rPr>
          <w:rStyle w:val="Internetverknpfung"/>
        </w:rPr>
        <w:instrText> HYPERLINK "../../../../../../../../../wiki/Jakobus_5" \l "s14"</w:instrText>
      </w:r>
      <w:r>
        <w:rPr>
          <w:rStyle w:val="Internetverknpfung"/>
        </w:rPr>
        <w:fldChar w:fldCharType="separate"/>
      </w:r>
      <w:r>
        <w:rPr>
          <w:rStyle w:val="Internetverknpfung"/>
        </w:rPr>
        <w:t>5,14</w:t>
      </w:r>
      <w:r>
        <w:rPr>
          <w:rStyle w:val="Internetverknpfung"/>
        </w:rPr>
        <w:fldChar w:fldCharType="end"/>
      </w:r>
      <w:r>
        <w:rPr/>
        <w:t xml:space="preserve">) – das wäre der einzige Fall im NT, wo das Wort einen christlichen Gottesdienst meint. Auch könne der Autor auf </w:t>
      </w:r>
      <w:r>
        <w:fldChar w:fldCharType="begin"/>
      </w:r>
      <w:r>
        <w:rPr>
          <w:rStyle w:val="Internetverknpfung"/>
        </w:rPr>
        <w:instrText> HYPERLINK "../../../../../../../../../wiki/Levitikus_19" \l "s15"</w:instrText>
      </w:r>
      <w:r>
        <w:rPr>
          <w:rStyle w:val="Internetverknpfung"/>
        </w:rPr>
        <w:fldChar w:fldCharType="separate"/>
      </w:r>
      <w:r>
        <w:rPr>
          <w:rStyle w:val="Internetverknpfung"/>
        </w:rPr>
        <w:t>3. Mose 19,15</w:t>
      </w:r>
      <w:r>
        <w:rPr>
          <w:rStyle w:val="Internetverknpfung"/>
        </w:rPr>
        <w:fldChar w:fldCharType="end"/>
      </w:r>
      <w:r>
        <w:rPr/>
        <w:t xml:space="preserve">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687">
    <w:p>
      <w:pPr>
        <w:pStyle w:val="Funote"/>
        <w:rPr/>
      </w:pPr>
      <w:r>
        <w:rPr>
          <w:rStyle w:val="Funotenzeichen"/>
        </w:rPr>
        <w:footnoteRef/>
      </w:r>
      <w:r>
        <w:rPr/>
        <w:tab/>
        <w:t>Auf Griechisch ein einziges Adjektiv, „goldfingrig“.</w:t>
      </w:r>
    </w:p>
  </w:footnote>
  <w:footnote w:id="6688">
    <w:p>
      <w:pPr>
        <w:pStyle w:val="Funote"/>
        <w:rPr/>
      </w:pPr>
      <w:r>
        <w:rPr>
          <w:rStyle w:val="Funotenzeichen"/>
        </w:rPr>
        <w:footnoteRef/>
      </w:r>
      <w:r>
        <w:rPr/>
        <w:tab/>
        <w:t>Wörtlich: „strahlender“, „glänzender“</w:t>
      </w:r>
    </w:p>
  </w:footnote>
  <w:footnote w:id="6689">
    <w:p>
      <w:pPr>
        <w:pStyle w:val="Funote"/>
        <w:rPr/>
      </w:pPr>
      <w:r>
        <w:rPr>
          <w:rStyle w:val="Funotenzeichen"/>
        </w:rPr>
        <w:footnoteRef/>
      </w:r>
      <w:r>
        <w:rPr/>
        <w:tab/>
        <w:t xml:space="preserve">Subst. </w:t>
      </w:r>
      <w:hyperlink r:id="rId758">
        <w:r>
          <w:rPr>
            <w:rStyle w:val="Internetverknpfung"/>
          </w:rPr>
          <w:t>Ptz</w:t>
        </w:r>
      </w:hyperlink>
      <w:r>
        <w:rPr/>
        <w:t>.</w:t>
      </w:r>
    </w:p>
  </w:footnote>
  <w:footnote w:id="6690">
    <w:p>
      <w:pPr>
        <w:pStyle w:val="Funote"/>
        <w:rPr/>
      </w:pPr>
      <w:r>
        <w:rPr>
          <w:rStyle w:val="Funotenzeichen"/>
        </w:rPr>
        <w:footnoteRef/>
      </w:r>
      <w:r>
        <w:rPr/>
        <w:tab/>
        <w:t>Wörtlich: „hierher [auf diesen] gut[en Platz]“</w:t>
      </w:r>
    </w:p>
  </w:footnote>
  <w:footnote w:id="6691">
    <w:p>
      <w:pPr>
        <w:pStyle w:val="Funote"/>
        <w:rPr/>
      </w:pPr>
      <w:r>
        <w:rPr>
          <w:rStyle w:val="Funotenzeichen"/>
        </w:rPr>
        <w:footnoteRef/>
      </w:r>
      <w:r>
        <w:rPr/>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692">
    <w:p>
      <w:pPr>
        <w:pStyle w:val="Funote"/>
        <w:rPr/>
      </w:pPr>
      <w:r>
        <w:rPr>
          <w:rStyle w:val="Funotenzeichen"/>
        </w:rPr>
        <w:footnoteRef/>
      </w:r>
      <w:r>
        <w:rPr/>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693">
    <w:p>
      <w:pPr>
        <w:pStyle w:val="Funote"/>
        <w:rPr/>
      </w:pPr>
      <w:r>
        <w:rPr>
          <w:rStyle w:val="Funotenzeichen"/>
        </w:rPr>
        <w:footnoteRef/>
      </w:r>
      <w:r>
        <w:rPr/>
        <w:tab/>
        <w:t>Dasselbe Wort wird weiter oben für „zweifeln, Bedenken haben“ verwendet, kommt hier aber in seiner Grundbedeutung vor.</w:t>
      </w:r>
    </w:p>
  </w:footnote>
  <w:footnote w:id="6694">
    <w:p>
      <w:pPr>
        <w:pStyle w:val="Funote"/>
        <w:rPr/>
      </w:pPr>
      <w:r>
        <w:rPr>
          <w:rStyle w:val="Funotenzeichen"/>
        </w:rPr>
        <w:footnoteRef/>
      </w:r>
      <w:r>
        <w:rPr/>
        <w:tab/>
        <w:t>Wörtlich „Richter schlechter Gedanken“. Kann auch als „eine schlechte Entscheidungen fällen“ interpretiert und frei übersetzt werden (NSS). Die „Gesinnung“ kann sowohl für „leise“ wie „laute“ Gedanken stehen (Blomberg/Kamell).</w:t>
      </w:r>
    </w:p>
  </w:footnote>
  <w:footnote w:id="6695">
    <w:p>
      <w:pPr>
        <w:pStyle w:val="Funote"/>
        <w:rPr/>
      </w:pPr>
      <w:r>
        <w:rPr>
          <w:rStyle w:val="Funotenzeichen"/>
        </w:rPr>
        <w:footnoteRef/>
      </w:r>
      <w:r>
        <w:rPr/>
        <w:tab/>
        <w:t>Vv. 2-4 sind ein gewöhnlicher, prospektiver Konditionalsatz.</w:t>
      </w:r>
    </w:p>
  </w:footnote>
  <w:footnote w:id="6696">
    <w:p>
      <w:pPr>
        <w:pStyle w:val="Funote"/>
        <w:rPr/>
      </w:pPr>
      <w:r>
        <w:rPr>
          <w:rStyle w:val="Funotenzeichen"/>
        </w:rPr>
        <w:footnoteRef/>
      </w:r>
      <w:r>
        <w:rPr/>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697">
    <w:p>
      <w:pPr>
        <w:pStyle w:val="Funote"/>
        <w:rPr/>
      </w:pPr>
      <w:r>
        <w:rPr>
          <w:rStyle w:val="Funotenzeichen"/>
        </w:rPr>
        <w:footnoteRef/>
      </w:r>
      <w:r>
        <w:rPr/>
        <w:tab/>
        <w:t>Der Aorist könnte gnomisch sein. Dann: „Erwählt Gott nicht...?“ (Blomberg/Kamell).</w:t>
      </w:r>
    </w:p>
  </w:footnote>
  <w:footnote w:id="6698">
    <w:p>
      <w:pPr>
        <w:pStyle w:val="Funote"/>
        <w:rPr/>
      </w:pPr>
      <w:r>
        <w:rPr>
          <w:rStyle w:val="Funotenzeichen"/>
        </w:rPr>
        <w:footnoteRef/>
      </w:r>
      <w:r>
        <w:rPr/>
        <w:tab/>
        <w:t>Alternativ: „als Reiche...“. LUT bezieht „erwählt“ auch auf die „Reichen“ und „Erben“.</w:t>
      </w:r>
    </w:p>
  </w:footnote>
  <w:footnote w:id="6699">
    <w:p>
      <w:pPr>
        <w:pStyle w:val="Funote"/>
        <w:rPr/>
      </w:pPr>
      <w:r>
        <w:rPr>
          <w:rStyle w:val="Funotenzeichen"/>
        </w:rPr>
        <w:footnoteRef/>
      </w:r>
      <w:r>
        <w:rPr/>
        <w:tab/>
        <w:t xml:space="preserve">Das </w:t>
      </w:r>
      <w:r>
        <w:rPr>
          <w:lang w:val="el-GR"/>
        </w:rPr>
        <w:t>οὐχ</w:t>
      </w:r>
      <w:r>
        <w:rPr/>
        <w:t xml:space="preserve"> am Satzanfang bezieht sich auch auf dieses Verb.</w:t>
      </w:r>
    </w:p>
  </w:footnote>
  <w:footnote w:id="6700">
    <w:p>
      <w:pPr>
        <w:pStyle w:val="Funote"/>
        <w:rPr/>
      </w:pPr>
      <w:r>
        <w:rPr>
          <w:rStyle w:val="Funotenzeichen"/>
        </w:rPr>
        <w:footnoteRef/>
      </w:r>
      <w:r>
        <w:rPr/>
        <w:tab/>
        <w:t>Eigentlich ein Futur; drückt ein besonders starkes Gebot aus.</w:t>
      </w:r>
    </w:p>
  </w:footnote>
  <w:footnote w:id="6701">
    <w:p>
      <w:pPr>
        <w:pStyle w:val="Funote"/>
        <w:rPr/>
      </w:pPr>
      <w:r>
        <w:rPr>
          <w:rStyle w:val="Funotenzeichen"/>
        </w:rPr>
        <w:footnoteRef/>
      </w:r>
      <w:r>
        <w:rPr/>
        <w:tab/>
        <w:t xml:space="preserve">Das Adverb </w:t>
      </w:r>
      <w:r>
        <w:rPr>
          <w:lang w:val="el-GR"/>
        </w:rPr>
        <w:t>καλῶς</w:t>
      </w:r>
      <w:r>
        <w:rPr/>
        <w:t xml:space="preserve"> bezeichnet hier das moralisch Richtige. In V. 3 bezeichnet es dagegen einen angemessenen, bequemen Sitzplatz... </w:t>
      </w:r>
    </w:p>
  </w:footnote>
  <w:footnote w:id="6702">
    <w:p>
      <w:pPr>
        <w:pStyle w:val="Funote"/>
        <w:rPr/>
      </w:pPr>
      <w:r>
        <w:rPr>
          <w:rStyle w:val="Funotenzeichen"/>
        </w:rPr>
        <w:footnoteRef/>
      </w:r>
      <w:r>
        <w:rPr/>
        <w:tab/>
        <w:t>Indefiniter Konditionalsatz.</w:t>
      </w:r>
    </w:p>
  </w:footnote>
  <w:footnote w:id="6703">
    <w:p>
      <w:pPr>
        <w:pStyle w:val="Funote"/>
        <w:rPr/>
      </w:pPr>
      <w:r>
        <w:rPr>
          <w:rStyle w:val="Funotenzeichen"/>
        </w:rPr>
        <w:footnoteRef/>
      </w:r>
      <w:r>
        <w:rPr/>
        <w:tab/>
        <w:t>so NSS</w:t>
      </w:r>
    </w:p>
  </w:footnote>
  <w:footnote w:id="6704">
    <w:p>
      <w:pPr>
        <w:pStyle w:val="Funote"/>
        <w:rPr/>
      </w:pPr>
      <w:r>
        <w:rPr>
          <w:rStyle w:val="Funotenzeichen"/>
        </w:rPr>
        <w:footnoteRef/>
      </w:r>
      <w:r>
        <w:rPr/>
        <w:tab/>
        <w:t>So wörtlich. Lt. B/A hier auch „Sünder“.</w:t>
      </w:r>
    </w:p>
  </w:footnote>
  <w:footnote w:id="6705">
    <w:p>
      <w:pPr>
        <w:pStyle w:val="Funote"/>
        <w:rPr/>
      </w:pPr>
      <w:r>
        <w:rPr>
          <w:rStyle w:val="Funotenzeichen"/>
        </w:rPr>
        <w:footnoteRef/>
      </w:r>
      <w:r>
        <w:rPr/>
        <w:tab/>
        <w:t>Modale Auflösung des Ptc. coni. Möglicherweise auch kausal („weil … ihr überführt werdet“) bzw. einfach mit „und“</w:t>
      </w:r>
    </w:p>
  </w:footnote>
  <w:footnote w:id="6706">
    <w:p>
      <w:pPr>
        <w:pStyle w:val="Funote"/>
        <w:rPr/>
      </w:pPr>
      <w:r>
        <w:rPr>
          <w:rStyle w:val="Funotenzeichen"/>
        </w:rPr>
        <w:footnoteRef/>
      </w:r>
      <w:r>
        <w:rPr/>
        <w:tab/>
        <w:t>Indefiniter Konditionalsatz.</w:t>
      </w:r>
    </w:p>
  </w:footnote>
  <w:footnote w:id="6707">
    <w:p>
      <w:pPr>
        <w:pStyle w:val="Funote"/>
        <w:rPr/>
      </w:pPr>
      <w:r>
        <w:rPr>
          <w:rStyle w:val="Funotenzeichen"/>
        </w:rPr>
        <w:footnoteRef/>
      </w:r>
      <w:r>
        <w:rPr/>
        <w:tab/>
        <w:t xml:space="preserve">Bedeutung: „auch nur gegen ein Gebot verstößt“ </w:t>
      </w:r>
    </w:p>
  </w:footnote>
  <w:footnote w:id="6708">
    <w:p>
      <w:pPr>
        <w:pStyle w:val="Funote"/>
        <w:rPr/>
      </w:pPr>
      <w:r>
        <w:rPr>
          <w:rStyle w:val="Funotenzeichen"/>
        </w:rPr>
        <w:footnoteRef/>
      </w:r>
      <w:r>
        <w:rPr/>
        <w:tab/>
        <w:t xml:space="preserve">Hier steht im Urtext ein Pf., das das Resultat einer Handlung betont; daher die Einfügung „[dadurch]“.Es ist unklar, ob mit „in Einem“ – „in Allen“ einzelne Gebote oder ähnliche Bereiche gemeint sind. </w:t>
      </w:r>
    </w:p>
  </w:footnote>
  <w:footnote w:id="6709">
    <w:p>
      <w:pPr>
        <w:pStyle w:val="Funote"/>
        <w:rPr/>
      </w:pPr>
      <w:r>
        <w:rPr>
          <w:rStyle w:val="Funotenzeichen"/>
        </w:rPr>
        <w:footnoteRef/>
      </w:r>
      <w:r>
        <w:rPr/>
        <w:tab/>
        <w:t>Aus 2. Mose 20,14.13. Beide Gebote stehen hier im prohibitiver Konjunktiv, während sie in der LXX – analog zum Hebräischen – im verneinten Futur stehen, was eine ähnlich starke Verneinung ist. Hier also etwas sinngemäßer wiedergegeben.</w:t>
      </w:r>
    </w:p>
  </w:footnote>
  <w:footnote w:id="6710">
    <w:p>
      <w:pPr>
        <w:pStyle w:val="Funote"/>
        <w:rPr/>
      </w:pPr>
      <w:r>
        <w:rPr>
          <w:rStyle w:val="Funotenzeichen"/>
        </w:rPr>
        <w:footnoteRef/>
      </w:r>
      <w:r>
        <w:rPr/>
        <w:tab/>
        <w:t xml:space="preserve">Hier steht im Urtext ein Pf., das das Resultat einer Handlung betont; daher die Einfügung „[dadurch]“. </w:t>
      </w:r>
    </w:p>
  </w:footnote>
  <w:footnote w:id="6711">
    <w:p>
      <w:pPr>
        <w:pStyle w:val="Funote"/>
        <w:rPr/>
      </w:pPr>
      <w:r>
        <w:rPr>
          <w:rStyle w:val="Funotenzeichen"/>
        </w:rPr>
        <w:footnoteRef/>
      </w:r>
      <w:r>
        <w:rPr/>
        <w:tab/>
        <w:t>Indefiniter Konditionalsatz.</w:t>
      </w:r>
    </w:p>
  </w:footnote>
  <w:footnote w:id="6712">
    <w:p>
      <w:pPr>
        <w:pStyle w:val="Funote"/>
        <w:rPr/>
      </w:pPr>
      <w:r>
        <w:rPr>
          <w:rStyle w:val="Funotenzeichen"/>
        </w:rPr>
        <w:footnoteRef/>
      </w:r>
      <w:r>
        <w:rPr/>
        <w:tab/>
        <w:t>Wörtlich „durch“. Alternativ „anhand“, „auf Grundlage“.</w:t>
      </w:r>
    </w:p>
  </w:footnote>
  <w:footnote w:id="6713">
    <w:p>
      <w:pPr>
        <w:pStyle w:val="Funote"/>
        <w:rPr/>
      </w:pPr>
      <w:r>
        <w:rPr>
          <w:rStyle w:val="Funotenzeichen"/>
        </w:rPr>
        <w:footnoteRef/>
      </w:r>
      <w:r>
        <w:rPr/>
        <w:tab/>
        <w:t>Attr. Ptz.</w:t>
      </w:r>
    </w:p>
  </w:footnote>
  <w:footnote w:id="6714">
    <w:p>
      <w:pPr>
        <w:pStyle w:val="Funote"/>
        <w:rPr/>
      </w:pPr>
      <w:r>
        <w:rPr>
          <w:rStyle w:val="Funotenzeichen"/>
        </w:rPr>
        <w:footnoteRef/>
      </w:r>
      <w:r>
        <w:rPr/>
        <w:tab/>
        <w:t>Wörtlich: „Was [ist] der Nutzen“.</w:t>
      </w:r>
    </w:p>
  </w:footnote>
  <w:footnote w:id="6715">
    <w:p>
      <w:pPr>
        <w:pStyle w:val="Funote"/>
        <w:rPr/>
      </w:pPr>
      <w:r>
        <w:rPr>
          <w:rStyle w:val="Funotenzeichen"/>
        </w:rPr>
        <w:footnoteRef/>
      </w:r>
      <w:r>
        <w:rPr/>
        <w:tab/>
        <w:t>Prospektiver Konditionalsatz.</w:t>
      </w:r>
    </w:p>
  </w:footnote>
  <w:footnote w:id="6716">
    <w:p>
      <w:pPr>
        <w:pStyle w:val="Funote"/>
        <w:rPr/>
      </w:pPr>
      <w:r>
        <w:rPr>
          <w:rStyle w:val="Funotenzeichen"/>
        </w:rPr>
        <w:footnoteRef/>
      </w:r>
      <w:r>
        <w:rPr/>
        <w:tab/>
        <w:t>Griechischer Abschiedsgruß. Lt. B/A entspricht das etwa dem Dt. „Bleiben Sie gesund!“. Alternativ sicher auch „Leb wohl!“ o. ä.</w:t>
      </w:r>
    </w:p>
  </w:footnote>
  <w:footnote w:id="6717">
    <w:p>
      <w:pPr>
        <w:pStyle w:val="Funote"/>
        <w:rPr/>
      </w:pPr>
      <w:r>
        <w:rPr>
          <w:rStyle w:val="Funotenzeichen"/>
        </w:rPr>
        <w:footnoteRef/>
      </w:r>
      <w:r>
        <w:rPr/>
        <w:tab/>
        <w:t>Vulgo: „was sie zum Leben brauchen“, „das Lebensnotwendige“</w:t>
      </w:r>
    </w:p>
  </w:footnote>
  <w:footnote w:id="6718">
    <w:p>
      <w:pPr>
        <w:pStyle w:val="Funote"/>
        <w:rPr/>
      </w:pPr>
      <w:r>
        <w:rPr>
          <w:rStyle w:val="Funotenzeichen"/>
        </w:rPr>
        <w:footnoteRef/>
      </w:r>
      <w:r>
        <w:rPr/>
        <w:tab/>
        <w:t>Wörtlich: „Was [ist] der Nutzen“ (cf. 14).</w:t>
      </w:r>
    </w:p>
  </w:footnote>
  <w:footnote w:id="6719">
    <w:p>
      <w:pPr>
        <w:pStyle w:val="Funote"/>
        <w:rPr/>
      </w:pPr>
      <w:r>
        <w:rPr>
          <w:rStyle w:val="Funotenzeichen"/>
        </w:rPr>
        <w:footnoteRef/>
      </w:r>
      <w:r>
        <w:rPr/>
        <w:tab/>
        <w:t>Vv. 15-16: Wieder ein prospektiver Konditionalsatz.</w:t>
      </w:r>
    </w:p>
  </w:footnote>
  <w:footnote w:id="6720">
    <w:p>
      <w:pPr>
        <w:pStyle w:val="Funote"/>
        <w:rPr/>
      </w:pPr>
      <w:r>
        <w:rPr>
          <w:rStyle w:val="Funotenzeichen"/>
        </w:rPr>
        <w:footnoteRef/>
      </w:r>
      <w:r>
        <w:rPr/>
        <w:tab/>
        <w:t>Prospektiver Konditionalsatz.</w:t>
      </w:r>
    </w:p>
  </w:footnote>
  <w:footnote w:id="6721">
    <w:p>
      <w:pPr>
        <w:pStyle w:val="Funote"/>
        <w:rPr/>
      </w:pPr>
      <w:r>
        <w:rPr>
          <w:rStyle w:val="Funotenzeichen"/>
        </w:rPr>
        <w:footnoteRef/>
      </w:r>
      <w:r>
        <w:rPr/>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722">
    <w:p>
      <w:pPr>
        <w:pStyle w:val="Funote"/>
        <w:rPr/>
      </w:pPr>
      <w:r>
        <w:rPr>
          <w:rStyle w:val="Funotenzeichen"/>
        </w:rPr>
        <w:footnoteRef/>
      </w:r>
      <w:r>
        <w:rPr/>
        <w:tab/>
        <w:t>Wörtlich „dass nur [einer] Gott ist?“. Alternativ als Frage: „Glaubst du, dass es nur einen Gott gibt?“</w:t>
      </w:r>
    </w:p>
  </w:footnote>
  <w:footnote w:id="6723">
    <w:p>
      <w:pPr>
        <w:pStyle w:val="Funote"/>
        <w:rPr/>
      </w:pPr>
      <w:r>
        <w:rPr>
          <w:rStyle w:val="Funotenzeichen"/>
        </w:rPr>
        <w:footnoteRef/>
      </w:r>
      <w:r>
        <w:rPr/>
        <w:tab/>
        <w:t>Wörtlich: „Du handelst gut/richtig!“</w:t>
      </w:r>
    </w:p>
  </w:footnote>
  <w:footnote w:id="6724">
    <w:p>
      <w:pPr>
        <w:pStyle w:val="Funote"/>
        <w:rPr/>
      </w:pPr>
      <w:r>
        <w:rPr>
          <w:rStyle w:val="Funotenzeichen"/>
        </w:rPr>
        <w:footnoteRef/>
      </w:r>
      <w:r>
        <w:rPr/>
        <w:tab/>
        <w:t>Oder in Form einer echten Frage: „Willst du wissen/einsehen...“ (so bei Blomberg/Kamell).</w:t>
      </w:r>
    </w:p>
  </w:footnote>
  <w:footnote w:id="6725">
    <w:p>
      <w:pPr>
        <w:pStyle w:val="Funote"/>
        <w:rPr/>
      </w:pPr>
      <w:r>
        <w:rPr>
          <w:rStyle w:val="Funotenzeichen"/>
        </w:rPr>
        <w:footnoteRef/>
      </w:r>
      <w:r>
        <w:rPr/>
        <w:tab/>
        <w:t>Von B/A präferiert.</w:t>
      </w:r>
    </w:p>
  </w:footnote>
  <w:footnote w:id="6726">
    <w:p>
      <w:pPr>
        <w:pStyle w:val="Funote"/>
        <w:rPr/>
      </w:pPr>
      <w:r>
        <w:rPr>
          <w:rStyle w:val="Funotenzeichen"/>
        </w:rPr>
        <w:footnoteRef/>
      </w:r>
      <w:r>
        <w:rPr/>
        <w:tab/>
        <w:t>Hier temporale Auflösung des attributiven Ptz. Alternativ modal „indem er … darbrachte“, möglicherweise auch kausal „weil/da“. Neben der gleichzeitigen Übersetzung kann das Ptz. Aor. auch vorzeitig übersetzt werden.</w:t>
      </w:r>
    </w:p>
  </w:footnote>
  <w:footnote w:id="6727">
    <w:p>
      <w:pPr>
        <w:pStyle w:val="Funote"/>
        <w:rPr/>
      </w:pPr>
      <w:r>
        <w:rPr>
          <w:rStyle w:val="Funotenzeichen"/>
        </w:rPr>
        <w:footnoteRef/>
      </w:r>
      <w:r>
        <w:rPr/>
        <w:tab/>
        <w:t>I.e. Abrahams.</w:t>
      </w:r>
    </w:p>
  </w:footnote>
  <w:footnote w:id="6728">
    <w:p>
      <w:pPr>
        <w:pStyle w:val="Funote"/>
        <w:rPr/>
      </w:pPr>
      <w:r>
        <w:rPr>
          <w:rStyle w:val="Funotenzeichen"/>
        </w:rPr>
        <w:footnoteRef/>
      </w:r>
      <w:r>
        <w:rPr/>
        <w:tab/>
        <w:t>Imperfekt; mit durativer/iterativer Bedeutung; hier vielleicht als schrittweise Prozess zu deuten.</w:t>
      </w:r>
    </w:p>
  </w:footnote>
  <w:footnote w:id="6729">
    <w:p>
      <w:pPr>
        <w:pStyle w:val="Funote"/>
        <w:rPr/>
      </w:pPr>
      <w:r>
        <w:rPr>
          <w:rStyle w:val="Funotenzeichen"/>
        </w:rPr>
        <w:footnoteRef/>
      </w:r>
      <w:r>
        <w:rPr/>
        <w:tab/>
        <w:t>Oder dem Kontext nach „[seine]“.</w:t>
      </w:r>
    </w:p>
  </w:footnote>
  <w:footnote w:id="6730">
    <w:p>
      <w:pPr>
        <w:pStyle w:val="Funote"/>
        <w:rPr/>
      </w:pPr>
      <w:r>
        <w:rPr>
          <w:rStyle w:val="Funotenzeichen"/>
        </w:rPr>
        <w:footnoteRef/>
      </w:r>
      <w:r>
        <w:rPr/>
        <w:tab/>
        <w:t>Attr. Ptz.</w:t>
      </w:r>
    </w:p>
  </w:footnote>
  <w:footnote w:id="6731">
    <w:p>
      <w:pPr>
        <w:pStyle w:val="Funote"/>
        <w:rPr/>
      </w:pPr>
      <w:r>
        <w:rPr>
          <w:rStyle w:val="Funotenzeichen"/>
        </w:rPr>
        <w:footnoteRef/>
      </w:r>
      <w:r>
        <w:rPr/>
        <w:tab/>
        <w:t>So B/A.</w:t>
      </w:r>
    </w:p>
  </w:footnote>
  <w:footnote w:id="6732">
    <w:p>
      <w:pPr>
        <w:pStyle w:val="Funote"/>
        <w:rPr/>
      </w:pPr>
      <w:r>
        <w:rPr>
          <w:rStyle w:val="Funotenzeichen"/>
        </w:rPr>
        <w:footnoteRef/>
      </w:r>
      <w:r>
        <w:rPr/>
        <w:tab/>
        <w:t>So B/A.</w:t>
      </w:r>
    </w:p>
  </w:footnote>
  <w:footnote w:id="6733">
    <w:p>
      <w:pPr>
        <w:pStyle w:val="Funote"/>
        <w:rPr/>
      </w:pPr>
      <w:r>
        <w:rPr>
          <w:rStyle w:val="Funotenzeichen"/>
        </w:rPr>
        <w:footnoteRef/>
      </w:r>
      <w:r>
        <w:rPr/>
        <w:tab/>
        <w:t>Dat. modi.</w:t>
      </w:r>
    </w:p>
  </w:footnote>
  <w:footnote w:id="6734">
    <w:p>
      <w:pPr>
        <w:pStyle w:val="Funote"/>
        <w:rPr/>
      </w:pPr>
      <w:r>
        <w:rPr>
          <w:rStyle w:val="Funotenzeichen"/>
        </w:rPr>
        <w:footnoteRef/>
      </w:r>
      <w:r>
        <w:rPr/>
        <w:tab/>
        <w:t>Hier temporale Auflösung zweier Ptc. coni. Alternativ auch modal: „indem“ oder kausal: „weil“</w:t>
      </w:r>
    </w:p>
  </w:footnote>
  <w:footnote w:id="6735">
    <w:p>
      <w:pPr>
        <w:pStyle w:val="Funote"/>
        <w:rPr/>
      </w:pPr>
      <w:r>
        <w:rPr>
          <w:rStyle w:val="Funotenzeichen"/>
        </w:rPr>
        <w:footnoteRef/>
      </w:r>
      <w:r>
        <w:rPr/>
        <w:tab/>
        <w:t>[Status: Zuverlässig]</w:t>
      </w:r>
    </w:p>
  </w:footnote>
  <w:footnote w:id="6736">
    <w:p>
      <w:pPr>
        <w:pStyle w:val="Funote"/>
        <w:rPr/>
      </w:pPr>
      <w:r>
        <w:rPr>
          <w:rStyle w:val="Funotenzeichen"/>
        </w:rPr>
        <w:footnoteRef/>
      </w:r>
      <w:r>
        <w:rPr/>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737">
    <w:p>
      <w:pPr>
        <w:pStyle w:val="Funote"/>
        <w:rPr/>
      </w:pPr>
      <w:r>
        <w:rPr>
          <w:rStyle w:val="Funotenzeichen"/>
        </w:rPr>
        <w:footnoteRef/>
      </w:r>
      <w:r>
        <w:rPr/>
        <w:tab/>
        <w:t>Kausal aufgelöstes attributives Ptz. Hier bieten sich wohl keine alternativen Sinnrichtungen zur Auflösung an.</w:t>
      </w:r>
    </w:p>
  </w:footnote>
  <w:footnote w:id="6738">
    <w:p>
      <w:pPr>
        <w:pStyle w:val="Funote"/>
        <w:rPr/>
      </w:pPr>
      <w:r>
        <w:rPr>
          <w:rStyle w:val="Funotenzeichen"/>
        </w:rPr>
        <w:footnoteRef/>
      </w:r>
      <w:r>
        <w:rPr/>
        <w:tab/>
        <w:t>Im geistlichen Sinn auch als „fehlen“, „sündigen“. Vorgeschlagene Bedeutung hier: „wir alle begehen viele Sünden“ (B/A, NSS).</w:t>
      </w:r>
    </w:p>
  </w:footnote>
  <w:footnote w:id="6739">
    <w:p>
      <w:pPr>
        <w:pStyle w:val="Funote"/>
        <w:rPr/>
      </w:pPr>
      <w:r>
        <w:rPr>
          <w:rStyle w:val="Funotenzeichen"/>
        </w:rPr>
        <w:footnoteRef/>
      </w:r>
      <w:r>
        <w:rPr/>
        <w:tab/>
        <w:t>Wörtlich: „im Wort“</w:t>
      </w:r>
    </w:p>
  </w:footnote>
  <w:footnote w:id="6740">
    <w:p>
      <w:pPr>
        <w:pStyle w:val="Funote"/>
        <w:rPr/>
      </w:pPr>
      <w:r>
        <w:rPr>
          <w:rStyle w:val="Funotenzeichen"/>
        </w:rPr>
        <w:footnoteRef/>
      </w:r>
      <w:hyperlink r:id="rId759">
        <w:r>
          <w:rPr>
            <w:rStyle w:val="Internetverknpfung"/>
          </w:rPr>
          <w:tab/>
          <w:t>Generisches Maskulinum</w:t>
        </w:r>
      </w:hyperlink>
      <w:r>
        <w:rPr/>
        <w:t>.</w:t>
      </w:r>
    </w:p>
  </w:footnote>
  <w:footnote w:id="6741">
    <w:p>
      <w:pPr>
        <w:pStyle w:val="Funote"/>
        <w:rPr/>
      </w:pPr>
      <w:r>
        <w:rPr>
          <w:rStyle w:val="Funotenzeichen"/>
        </w:rPr>
        <w:footnoteRef/>
      </w:r>
      <w:r>
        <w:rPr/>
        <w:tab/>
        <w:t>Indefiniter Konditionalsatz.</w:t>
      </w:r>
    </w:p>
  </w:footnote>
  <w:footnote w:id="6742">
    <w:p>
      <w:pPr>
        <w:pStyle w:val="Funote"/>
        <w:rPr/>
      </w:pPr>
      <w:r>
        <w:rPr>
          <w:rStyle w:val="Funotenzeichen"/>
        </w:rPr>
        <w:footnoteRef/>
      </w:r>
      <w:r>
        <w:rPr/>
        <w:tab/>
        <w:t>Ursprünglich ein Genitiv.</w:t>
      </w:r>
    </w:p>
  </w:footnote>
  <w:footnote w:id="6743">
    <w:p>
      <w:pPr>
        <w:pStyle w:val="Funote"/>
        <w:rPr/>
      </w:pPr>
      <w:r>
        <w:rPr>
          <w:rStyle w:val="Funotenzeichen"/>
        </w:rPr>
        <w:footnoteRef/>
      </w:r>
      <w:r>
        <w:rPr/>
        <w:tab/>
        <w:t>Ursprünglich im Plural.</w:t>
      </w:r>
    </w:p>
  </w:footnote>
  <w:footnote w:id="6744">
    <w:p>
      <w:pPr>
        <w:pStyle w:val="Funote"/>
        <w:rPr/>
      </w:pPr>
      <w:r>
        <w:rPr>
          <w:rStyle w:val="Funotenzeichen"/>
        </w:rPr>
        <w:footnoteRef/>
      </w:r>
      <w:r>
        <w:rPr/>
        <w:tab/>
        <w:t>Auflösung eines „</w:t>
      </w:r>
      <w:r>
        <w:rPr>
          <w:lang w:val="el-GR"/>
        </w:rPr>
        <w:t>εἰς τὸ</w:t>
      </w:r>
      <w:r>
        <w:rPr/>
        <w:t>“ + Inf.</w:t>
      </w:r>
    </w:p>
  </w:footnote>
  <w:footnote w:id="6745">
    <w:p>
      <w:pPr>
        <w:pStyle w:val="Funote"/>
        <w:rPr/>
      </w:pPr>
      <w:r>
        <w:rPr>
          <w:rStyle w:val="Funotenzeichen"/>
        </w:rPr>
        <w:footnoteRef/>
      </w:r>
      <w:r>
        <w:rPr/>
        <w:tab/>
        <w:t xml:space="preserve">Konsekutives </w:t>
      </w:r>
      <w:r>
        <w:rPr>
          <w:lang w:val="el-GR"/>
        </w:rPr>
        <w:t>καί</w:t>
      </w:r>
      <w:r>
        <w:rPr/>
        <w:t>.</w:t>
      </w:r>
    </w:p>
  </w:footnote>
  <w:footnote w:id="6746">
    <w:p>
      <w:pPr>
        <w:pStyle w:val="Funote"/>
        <w:rPr/>
      </w:pPr>
      <w:r>
        <w:rPr>
          <w:rStyle w:val="Funotenzeichen"/>
        </w:rPr>
        <w:footnoteRef/>
      </w:r>
      <w:r>
        <w:rPr/>
        <w:tab/>
        <w:t>Indefiniter Konditionalsatz.</w:t>
      </w:r>
    </w:p>
  </w:footnote>
  <w:footnote w:id="6747">
    <w:p>
      <w:pPr>
        <w:pStyle w:val="Funote"/>
        <w:rPr/>
      </w:pPr>
      <w:r>
        <w:rPr>
          <w:rStyle w:val="Funotenzeichen"/>
        </w:rPr>
        <w:footnoteRef/>
      </w:r>
      <w:r>
        <w:rPr/>
        <w:tab/>
        <w:t>Im Urtext zwei Ptc. coni., hier konzessiv aufgelöst.</w:t>
      </w:r>
    </w:p>
  </w:footnote>
  <w:footnote w:id="6748">
    <w:p>
      <w:pPr>
        <w:pStyle w:val="Funote"/>
        <w:rPr/>
      </w:pPr>
      <w:r>
        <w:rPr>
          <w:rStyle w:val="Funotenzeichen"/>
        </w:rPr>
        <w:footnoteRef/>
      </w:r>
      <w:r>
        <w:rPr/>
        <w:tab/>
        <w:t>Wörtlich „von [dem] kleinsten“. Muss hier elativisch verstanden werden: „sehr klein“, „winzig“</w:t>
      </w:r>
    </w:p>
  </w:footnote>
  <w:footnote w:id="6749">
    <w:p>
      <w:pPr>
        <w:pStyle w:val="Funote"/>
        <w:rPr/>
      </w:pPr>
      <w:r>
        <w:rPr>
          <w:rStyle w:val="Funotenzeichen"/>
        </w:rPr>
        <w:footnoteRef/>
      </w:r>
      <w:r>
        <w:rPr/>
        <w:tab/>
        <w:t>Eine gute kommunikative Übersetzung könnte „Belieben“ sein.</w:t>
      </w:r>
    </w:p>
  </w:footnote>
  <w:footnote w:id="6750">
    <w:p>
      <w:pPr>
        <w:pStyle w:val="Funote"/>
        <w:rPr/>
      </w:pPr>
      <w:r>
        <w:rPr>
          <w:rStyle w:val="Funotenzeichen"/>
        </w:rPr>
        <w:footnoteRef/>
      </w:r>
      <w:r>
        <w:rPr/>
        <w:tab/>
        <w:t>Gen. qualitatis. Kommunikativ kann „Welt voller Unrecht“, „von Unrecht beherrschte Welt“, etc. übersetzt werden.</w:t>
      </w:r>
    </w:p>
  </w:footnote>
  <w:footnote w:id="6751">
    <w:p>
      <w:pPr>
        <w:pStyle w:val="Funote"/>
        <w:rPr/>
      </w:pPr>
      <w:r>
        <w:rPr>
          <w:rStyle w:val="Funotenzeichen"/>
        </w:rPr>
        <w:footnoteRef/>
      </w:r>
      <w:r>
        <w:rPr/>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752">
    <w:p>
      <w:pPr>
        <w:pStyle w:val="Funote"/>
        <w:rPr/>
      </w:pPr>
      <w:r>
        <w:rPr>
          <w:rStyle w:val="Funotenzeichen"/>
        </w:rPr>
        <w:footnoteRef/>
      </w:r>
      <w:r>
        <w:rPr/>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753">
    <w:p>
      <w:pPr>
        <w:pStyle w:val="Funote"/>
        <w:rPr/>
      </w:pPr>
      <w:r>
        <w:rPr>
          <w:rStyle w:val="Funotenzeichen"/>
        </w:rPr>
        <w:footnoteRef/>
      </w:r>
      <w:r>
        <w:rPr/>
        <w:tab/>
        <w:t>Je nach Akzentsetzung entweder „Rad“ oder „Bahn/Kurs“; bezeichnet allgemein etwas Rundes (Johnson; dort auf Englisch „course“; von mir entsprechend übersetzt).</w:t>
      </w:r>
    </w:p>
  </w:footnote>
  <w:footnote w:id="6754">
    <w:p>
      <w:pPr>
        <w:pStyle w:val="Funote"/>
        <w:rPr/>
      </w:pPr>
      <w:r>
        <w:rPr>
          <w:rStyle w:val="Funotenzeichen"/>
        </w:rPr>
        <w:footnoteRef/>
      </w:r>
      <w:r>
        <w:rPr/>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755">
    <w:p>
      <w:pPr>
        <w:pStyle w:val="Funote"/>
        <w:rPr/>
      </w:pPr>
      <w:r>
        <w:rPr>
          <w:rStyle w:val="Funotenzeichen"/>
        </w:rPr>
        <w:footnoteRef/>
      </w:r>
      <w:r>
        <w:rPr/>
        <w:tab/>
        <w:t>Auflösung zweier attributiver Partizipien als Relativsatz.</w:t>
      </w:r>
    </w:p>
  </w:footnote>
  <w:footnote w:id="6756">
    <w:p>
      <w:pPr>
        <w:pStyle w:val="Funote"/>
        <w:rPr/>
      </w:pPr>
      <w:r>
        <w:rPr>
          <w:rStyle w:val="Funotenzeichen"/>
        </w:rPr>
        <w:footnoteRef/>
      </w:r>
      <w:r>
        <w:rPr/>
        <w:tab/>
        <w:t>Oder „Gehenna“. Hier werden die sehr semitischen Wurzeln des Schreibens offensichtlich.</w:t>
      </w:r>
    </w:p>
  </w:footnote>
  <w:footnote w:id="6757">
    <w:p>
      <w:pPr>
        <w:pStyle w:val="Funote"/>
        <w:rPr/>
      </w:pPr>
      <w:r>
        <w:rPr>
          <w:rStyle w:val="Funotenzeichen"/>
        </w:rPr>
        <w:footnoteRef/>
      </w:r>
      <w:r>
        <w:rPr/>
        <w:tab/>
        <w:t>Das dritte attr. Ptz. Präs., hier im Pass., scheint semantisch von den übrigen getrennt zu sein. Alternativ: „sie beschmutzt ... und ... setzt ... in Brand und wird...“. Wörtlich: „die ... beschmutzende ... und ... in Brand setzende ... und ... in Brand gesetzt werdende.“</w:t>
      </w:r>
    </w:p>
  </w:footnote>
  <w:footnote w:id="6758">
    <w:p>
      <w:pPr>
        <w:pStyle w:val="Funote"/>
        <w:rPr/>
      </w:pPr>
      <w:r>
        <w:rPr>
          <w:rStyle w:val="Funotenzeichen"/>
        </w:rPr>
        <w:footnoteRef/>
      </w:r>
      <w:r>
        <w:rPr/>
        <w:tab/>
        <w:t>Dieses unbestimmte „</w:t>
      </w:r>
      <w:r>
        <w:rPr>
          <w:lang w:val="el-GR"/>
        </w:rPr>
        <w:t>πασα</w:t>
      </w:r>
      <w:r>
        <w:rPr/>
        <w:t>“ kann auch allgemeiner als „alle möglichen...“ übersetzt werden.</w:t>
      </w:r>
    </w:p>
  </w:footnote>
  <w:footnote w:id="6759">
    <w:p>
      <w:pPr>
        <w:pStyle w:val="Funote"/>
        <w:rPr/>
      </w:pPr>
      <w:r>
        <w:rPr>
          <w:rStyle w:val="Funotenzeichen"/>
        </w:rPr>
        <w:footnoteRef/>
      </w:r>
      <w:r>
        <w:rPr/>
        <w:tab/>
        <w:t>Eigentlich nur „Tiere“; im Kontrast zu den anderen Tierarten im Kontext muss hier jedoch genauer übersetzt werden. Möglich: „Vierfüßler“ (B/A), „Säugetiere“, „Landtiere“, „vierfüßige Tiere“ (NSS).</w:t>
      </w:r>
    </w:p>
  </w:footnote>
  <w:footnote w:id="6760">
    <w:p>
      <w:pPr>
        <w:pStyle w:val="Funote"/>
        <w:rPr/>
      </w:pPr>
      <w:r>
        <w:rPr>
          <w:rStyle w:val="Funotenzeichen"/>
        </w:rPr>
        <w:footnoteRef/>
      </w:r>
      <w:r>
        <w:rPr/>
        <w:tab/>
        <w:t>Dat. auctoris.</w:t>
      </w:r>
    </w:p>
  </w:footnote>
  <w:footnote w:id="6761">
    <w:p>
      <w:pPr>
        <w:pStyle w:val="Funote"/>
        <w:rPr/>
      </w:pPr>
      <w:r>
        <w:rPr>
          <w:rStyle w:val="Funotenzeichen"/>
        </w:rPr>
        <w:footnoteRef/>
      </w:r>
      <w:r>
        <w:rPr/>
        <w:tab/>
        <w:t>Hier steht im Urtext ein Pf., das „worden“ tritt also hinter das Resultat des „ist“ zurück.</w:t>
      </w:r>
    </w:p>
  </w:footnote>
  <w:footnote w:id="6762">
    <w:p>
      <w:pPr>
        <w:pStyle w:val="Funote"/>
        <w:rPr/>
      </w:pPr>
      <w:r>
        <w:rPr>
          <w:rStyle w:val="Funotenzeichen"/>
        </w:rPr>
        <w:footnoteRef/>
      </w:r>
      <w:r>
        <w:rPr/>
        <w:tab/>
        <w:t>Gen. partitivus. Wörtlich: „keiner/niemand [der] Menschen“</w:t>
      </w:r>
    </w:p>
  </w:footnote>
  <w:footnote w:id="6763">
    <w:p>
      <w:pPr>
        <w:pStyle w:val="Funote"/>
        <w:rPr/>
      </w:pPr>
      <w:r>
        <w:rPr>
          <w:rStyle w:val="Funotenzeichen"/>
        </w:rPr>
        <w:footnoteRef/>
      </w:r>
      <w:r>
        <w:rPr/>
        <w:tab/>
        <w:t>Alternativ: „[sie ist] ein“</w:t>
      </w:r>
    </w:p>
  </w:footnote>
  <w:footnote w:id="6764">
    <w:p>
      <w:pPr>
        <w:pStyle w:val="Funote"/>
        <w:rPr/>
      </w:pPr>
      <w:r>
        <w:rPr>
          <w:rStyle w:val="Funotenzeichen"/>
        </w:rPr>
        <w:footnoteRef/>
      </w:r>
      <w:r>
        <w:rPr/>
        <w:tab/>
        <w:t>B/A</w:t>
      </w:r>
    </w:p>
  </w:footnote>
  <w:footnote w:id="6765">
    <w:p>
      <w:pPr>
        <w:pStyle w:val="Funote"/>
        <w:rPr/>
      </w:pPr>
      <w:r>
        <w:rPr>
          <w:rStyle w:val="Funotenzeichen"/>
        </w:rPr>
        <w:footnoteRef/>
      </w:r>
      <w:r>
        <w:rPr/>
        <w:tab/>
        <w:t>Blomberg/Kamell.</w:t>
      </w:r>
    </w:p>
  </w:footnote>
  <w:footnote w:id="6766">
    <w:p>
      <w:pPr>
        <w:pStyle w:val="Funote"/>
        <w:rPr/>
      </w:pPr>
      <w:r>
        <w:rPr>
          <w:rStyle w:val="Funotenzeichen"/>
        </w:rPr>
        <w:footnoteRef/>
      </w:r>
      <w:r>
        <w:rPr/>
        <w:tab/>
        <w:t>Cf. 1,8</w:t>
      </w:r>
    </w:p>
  </w:footnote>
  <w:footnote w:id="6767">
    <w:p>
      <w:pPr>
        <w:pStyle w:val="Funote"/>
        <w:rPr/>
      </w:pPr>
      <w:r>
        <w:rPr>
          <w:rStyle w:val="Funotenzeichen"/>
        </w:rPr>
        <w:footnoteRef/>
      </w:r>
      <w:r>
        <w:rPr/>
        <w:tab/>
        <w:t>Instrumental (NSS). Wörtlich: „Durch sie“. Analog später im Vers.</w:t>
      </w:r>
    </w:p>
  </w:footnote>
  <w:footnote w:id="6768">
    <w:p>
      <w:pPr>
        <w:pStyle w:val="Funote"/>
        <w:rPr/>
      </w:pPr>
      <w:r>
        <w:rPr>
          <w:rStyle w:val="Funotenzeichen"/>
        </w:rPr>
        <w:footnoteRef/>
      </w:r>
      <w:r>
        <w:rPr/>
        <w:tab/>
        <w:t>Attr. Ptz. Pf. Pass. Das griechische Pf. wurde hier, wie es seiner Bedeutung am ehesten entspricht, als Zustandsperfekt übersetzt.</w:t>
      </w:r>
    </w:p>
  </w:footnote>
  <w:footnote w:id="6769">
    <w:p>
      <w:pPr>
        <w:pStyle w:val="Funote"/>
        <w:rPr/>
      </w:pPr>
      <w:r>
        <w:rPr>
          <w:rStyle w:val="Funotenzeichen"/>
        </w:rPr>
        <w:footnoteRef/>
      </w:r>
      <w:r>
        <w:rPr/>
        <w:tab/>
        <w:t>Frei zitiert nach 1 Mose 1,26f.</w:t>
      </w:r>
    </w:p>
  </w:footnote>
  <w:footnote w:id="6770">
    <w:p>
      <w:pPr>
        <w:pStyle w:val="Funote"/>
        <w:rPr/>
      </w:pPr>
      <w:r>
        <w:rPr>
          <w:rStyle w:val="Funotenzeichen"/>
        </w:rPr>
        <w:footnoteRef/>
      </w:r>
      <w:r>
        <w:rPr/>
        <w:tab/>
        <w:t>Auflösung eines AcI.</w:t>
      </w:r>
    </w:p>
  </w:footnote>
  <w:footnote w:id="6771">
    <w:p>
      <w:pPr>
        <w:pStyle w:val="Funote"/>
        <w:rPr/>
      </w:pPr>
      <w:r>
        <w:rPr>
          <w:rStyle w:val="Funotenzeichen"/>
        </w:rPr>
        <w:footnoteRef/>
      </w:r>
      <w:r>
        <w:rPr/>
        <w:tab/>
        <w:t>Wörtlich: „das Süße und das Bittere“</w:t>
      </w:r>
    </w:p>
  </w:footnote>
  <w:footnote w:id="6772">
    <w:p>
      <w:pPr>
        <w:pStyle w:val="Funote"/>
        <w:rPr/>
      </w:pPr>
      <w:r>
        <w:rPr>
          <w:rStyle w:val="Funotenzeichen"/>
        </w:rPr>
        <w:footnoteRef/>
      </w:r>
      <w:r>
        <w:rPr/>
        <w:tab/>
        <w:t>Wörtlich: „das Salzige“</w:t>
      </w:r>
    </w:p>
  </w:footnote>
  <w:footnote w:id="6773">
    <w:p>
      <w:pPr>
        <w:pStyle w:val="Funote"/>
        <w:rPr/>
      </w:pPr>
      <w:r>
        <w:rPr>
          <w:rStyle w:val="Funotenzeichen"/>
        </w:rPr>
        <w:footnoteRef/>
      </w:r>
      <w:r>
        <w:rPr/>
        <w:tab/>
        <w:t>Wörtlich: „süßes Wasser“</w:t>
      </w:r>
    </w:p>
  </w:footnote>
  <w:footnote w:id="6774">
    <w:p>
      <w:pPr>
        <w:pStyle w:val="Funote"/>
        <w:rPr/>
      </w:pPr>
      <w:r>
        <w:rPr>
          <w:rStyle w:val="Funotenzeichen"/>
        </w:rPr>
        <w:footnoteRef/>
      </w:r>
      <w:r>
        <w:rPr/>
        <w:tab/>
        <w:t>Die Bedeutung des Wortes ist die von anwendbarer Kundigkeit (Blomberg/Kamell). Kommunikativ vielleicht „erfahren“.</w:t>
      </w:r>
    </w:p>
  </w:footnote>
  <w:footnote w:id="6775">
    <w:p>
      <w:pPr>
        <w:pStyle w:val="Funote"/>
        <w:rPr/>
      </w:pPr>
      <w:r>
        <w:rPr>
          <w:rStyle w:val="Funotenzeichen"/>
        </w:rPr>
        <w:footnoteRef/>
      </w:r>
      <w:r>
        <w:rPr/>
        <w:tab/>
        <w:t>Wörtlich: „aus“</w:t>
      </w:r>
    </w:p>
  </w:footnote>
  <w:footnote w:id="6776">
    <w:p>
      <w:pPr>
        <w:pStyle w:val="Funote"/>
        <w:rPr/>
      </w:pPr>
      <w:r>
        <w:rPr>
          <w:rStyle w:val="Funotenzeichen"/>
        </w:rPr>
        <w:footnoteRef/>
      </w:r>
      <w:r>
        <w:rPr/>
        <w:tab/>
        <w:t>ie eigentliche Bedeutung ist wohl die eines „sanften Charakters“ im Gegensatz einem aufbrausenden Charakter (cf. Louw/Nida).</w:t>
      </w:r>
    </w:p>
  </w:footnote>
  <w:footnote w:id="6777">
    <w:p>
      <w:pPr>
        <w:pStyle w:val="Funote"/>
        <w:rPr/>
      </w:pPr>
      <w:r>
        <w:rPr>
          <w:rStyle w:val="Funotenzeichen"/>
        </w:rPr>
        <w:footnoteRef/>
      </w:r>
      <w:r>
        <w:rPr/>
        <w:tab/>
        <w:t>Wörtlich „Bescheidenheit [der] Weisheit“; Gen. pertinentiae, also „Bescheidenheit, die von Weisheit kommt“.</w:t>
      </w:r>
    </w:p>
  </w:footnote>
  <w:footnote w:id="6778">
    <w:p>
      <w:pPr>
        <w:pStyle w:val="Funote"/>
        <w:rPr/>
      </w:pPr>
      <w:r>
        <w:rPr>
          <w:rStyle w:val="Funotenzeichen"/>
        </w:rPr>
        <w:footnoteRef/>
      </w:r>
      <w:r>
        <w:rPr/>
        <w:tab/>
        <w:t>Blomberg/Kamell.</w:t>
      </w:r>
    </w:p>
  </w:footnote>
  <w:footnote w:id="6779">
    <w:p>
      <w:pPr>
        <w:pStyle w:val="Funote"/>
        <w:rPr/>
      </w:pPr>
      <w:r>
        <w:rPr>
          <w:rStyle w:val="Funotenzeichen"/>
        </w:rPr>
        <w:footnoteRef/>
      </w:r>
      <w:r>
        <w:rPr/>
        <w:tab/>
        <w:t>Da der deutsche Imperativ in der 3. Person nicht vorkommt, muss mit „soll“ oder „muss“ umschrieben werden.</w:t>
      </w:r>
    </w:p>
  </w:footnote>
  <w:footnote w:id="6780">
    <w:p>
      <w:pPr>
        <w:pStyle w:val="Funote"/>
        <w:rPr/>
      </w:pPr>
      <w:r>
        <w:rPr>
          <w:rStyle w:val="Funotenzeichen"/>
        </w:rPr>
        <w:footnoteRef/>
      </w:r>
      <w:r>
        <w:rPr/>
        <w:tab/>
        <w:t>Dies ist ein Imperativ Präsens. Im Gegensatz zum unmarkierten Imp. Aor. kann dieser auch die Bedeutung „hört auf, … zu tun“ haben. Blomberg merkt hier an, dass diese Bedeutungsnuance nicht unbedingt vorkommen muss.</w:t>
      </w:r>
    </w:p>
  </w:footnote>
  <w:footnote w:id="6781">
    <w:p>
      <w:pPr>
        <w:pStyle w:val="Funote"/>
        <w:rPr/>
      </w:pPr>
      <w:r>
        <w:rPr>
          <w:rStyle w:val="Funotenzeichen"/>
        </w:rPr>
        <w:footnoteRef/>
      </w:r>
      <w:r>
        <w:rPr/>
        <w:tab/>
        <w:t>Indefiniter Konditionalsatz.</w:t>
      </w:r>
    </w:p>
  </w:footnote>
  <w:footnote w:id="6782">
    <w:p>
      <w:pPr>
        <w:pStyle w:val="Funote"/>
        <w:rPr/>
      </w:pPr>
      <w:r>
        <w:rPr>
          <w:rStyle w:val="Funotenzeichen"/>
        </w:rPr>
        <w:footnoteRef/>
      </w:r>
      <w:r>
        <w:rPr/>
        <w:tab/>
        <w:t>Attributive Auflösung. Wörtlich „ist … herabkommend“. Alternativ periphrastisch: „Diese Weisheit kommt nicht von oben herab...“</w:t>
      </w:r>
    </w:p>
  </w:footnote>
  <w:footnote w:id="6783">
    <w:p>
      <w:pPr>
        <w:pStyle w:val="Funote"/>
        <w:rPr/>
      </w:pPr>
      <w:r>
        <w:rPr>
          <w:rStyle w:val="Funotenzeichen"/>
        </w:rPr>
        <w:footnoteRef/>
      </w:r>
      <w:r>
        <w:rPr/>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784">
    <w:p>
      <w:pPr>
        <w:pStyle w:val="Funote"/>
        <w:rPr/>
      </w:pPr>
      <w:r>
        <w:rPr>
          <w:rStyle w:val="Funotenzeichen"/>
        </w:rPr>
        <w:footnoteRef/>
      </w:r>
      <w:r>
        <w:rPr/>
        <w:tab/>
        <w:t>Nach der Bedeutung dieses unbestimmten „</w:t>
      </w:r>
      <w:r>
        <w:rPr>
          <w:lang w:val="el-GR"/>
        </w:rPr>
        <w:t>πάν</w:t>
      </w:r>
      <w:r>
        <w:rPr/>
        <w:t>“ eingefügt (Johnson).</w:t>
      </w:r>
    </w:p>
  </w:footnote>
  <w:footnote w:id="6785">
    <w:p>
      <w:pPr>
        <w:pStyle w:val="Funote"/>
        <w:rPr/>
      </w:pPr>
      <w:r>
        <w:rPr>
          <w:rStyle w:val="Funotenzeichen"/>
        </w:rPr>
        <w:footnoteRef/>
      </w:r>
      <w:r>
        <w:rPr/>
        <w:tab/>
        <w:t>Der Begriff drückt Niedrigkeit, Gemeinheit, Gewöhnlichkeit in einem sehr negativen Sinn aus (Johnson).</w:t>
      </w:r>
    </w:p>
  </w:footnote>
  <w:footnote w:id="6786">
    <w:p>
      <w:pPr>
        <w:pStyle w:val="Funote"/>
        <w:rPr/>
      </w:pPr>
      <w:r>
        <w:rPr>
          <w:rStyle w:val="Funotenzeichen"/>
        </w:rPr>
        <w:footnoteRef/>
      </w:r>
      <w:r>
        <w:rPr/>
        <w:tab/>
        <w:t>Johnson</w:t>
      </w:r>
    </w:p>
  </w:footnote>
  <w:footnote w:id="6787">
    <w:p>
      <w:pPr>
        <w:pStyle w:val="Funote"/>
        <w:rPr/>
      </w:pPr>
      <w:r>
        <w:rPr>
          <w:rStyle w:val="Funotenzeichen"/>
        </w:rPr>
        <w:footnoteRef/>
      </w:r>
      <w:r>
        <w:rPr/>
        <w:tab/>
        <w:t>LUT u.a. (SLT, NGÜ): „lässt sich etwas sagen“</w:t>
      </w:r>
    </w:p>
  </w:footnote>
  <w:footnote w:id="6788">
    <w:p>
      <w:pPr>
        <w:pStyle w:val="Funote"/>
        <w:rPr/>
      </w:pPr>
      <w:r>
        <w:rPr>
          <w:rStyle w:val="Funotenzeichen"/>
        </w:rPr>
        <w:footnoteRef/>
      </w:r>
      <w:r>
        <w:rPr/>
        <w:tab/>
        <w:t>Hier als koordinierender Textkonnektor (Blomberg/Kamell). Alternativ adversativ. Könnte auch einen leichten Kontrast als Aufruf zum Handeln darstellen (Johnson).</w:t>
      </w:r>
    </w:p>
  </w:footnote>
  <w:footnote w:id="6789">
    <w:p>
      <w:pPr>
        <w:pStyle w:val="Funote"/>
        <w:rPr/>
      </w:pPr>
      <w:r>
        <w:rPr>
          <w:rStyle w:val="Funotenzeichen"/>
        </w:rPr>
        <w:footnoteRef/>
      </w:r>
      <w:r>
        <w:rPr/>
        <w:tab/>
        <w:t>So Blomberg/Kamell. Wörtlich „Frucht“.</w:t>
      </w:r>
    </w:p>
  </w:footnote>
  <w:footnote w:id="6790">
    <w:p>
      <w:pPr>
        <w:pStyle w:val="Funote"/>
        <w:rPr/>
      </w:pPr>
      <w:r>
        <w:rPr>
          <w:rStyle w:val="Funotenzeichen"/>
        </w:rPr>
        <w:footnoteRef/>
      </w:r>
      <w:r>
        <w:rPr/>
        <w:tab/>
        <w:t xml:space="preserve">Wohl ein Gen. subiectivus: die Frucht </w:t>
      </w:r>
      <w:r>
        <w:rPr>
          <w:i/>
        </w:rPr>
        <w:t>ist</w:t>
      </w:r>
      <w:r>
        <w:rPr/>
        <w:t xml:space="preserve"> Gerechtigkeit.</w:t>
      </w:r>
    </w:p>
  </w:footnote>
  <w:footnote w:id="6791">
    <w:p>
      <w:pPr>
        <w:pStyle w:val="Funote"/>
        <w:rPr/>
      </w:pPr>
      <w:r>
        <w:rPr>
          <w:rStyle w:val="Funotenzeichen"/>
        </w:rPr>
        <w:footnoteRef/>
      </w:r>
      <w:r>
        <w:rPr/>
        <w:tab/>
        <w:t>Hier als Dat. commodi verstanden (Dibelius, Johnson, Blomberg/Kamell). Alternativ als Dat. auctoris: „von jenen, die...“. Dann käme aber der Frieden doppelt vor (Dibelius).</w:t>
      </w:r>
    </w:p>
  </w:footnote>
  <w:footnote w:id="6792">
    <w:p>
      <w:pPr>
        <w:pStyle w:val="Funote"/>
        <w:rPr/>
      </w:pPr>
      <w:r>
        <w:rPr>
          <w:rStyle w:val="Funotenzeichen"/>
        </w:rPr>
        <w:footnoteRef/>
      </w:r>
      <w:r>
        <w:rPr/>
        <w:tab/>
        <w:t>Attributives/substantiviertes Ptz.</w:t>
      </w:r>
    </w:p>
  </w:footnote>
  <w:footnote w:id="6793">
    <w:p>
      <w:pPr>
        <w:pStyle w:val="Funote"/>
        <w:rPr/>
      </w:pPr>
      <w:r>
        <w:rPr>
          <w:rStyle w:val="Funotenzeichen"/>
        </w:rPr>
        <w:footnoteRef/>
      </w:r>
      <w:r>
        <w:rPr/>
        <w:tab/>
        <w:t>[Status: Zuverlässig]</w:t>
      </w:r>
    </w:p>
  </w:footnote>
  <w:footnote w:id="6794">
    <w:p>
      <w:pPr>
        <w:pStyle w:val="Funote"/>
        <w:rPr/>
      </w:pPr>
      <w:r>
        <w:rPr>
          <w:rStyle w:val="Funotenzeichen"/>
        </w:rPr>
        <w:footnoteRef/>
      </w:r>
      <w:r>
        <w:rPr/>
        <w:tab/>
        <w:t>Wörtlich: „die Streite“</w:t>
      </w:r>
    </w:p>
  </w:footnote>
  <w:footnote w:id="6795">
    <w:p>
      <w:pPr>
        <w:pStyle w:val="Funote"/>
        <w:rPr/>
      </w:pPr>
      <w:r>
        <w:rPr>
          <w:rStyle w:val="Funotenzeichen"/>
        </w:rPr>
        <w:footnoteRef/>
      </w:r>
      <w:r>
        <w:rPr/>
        <w:tab/>
        <w:t>Wörtlich: „[Kommen sie] nicht daher: aus euren...“. Alternativ: „[Kommen sie] nicht daher, dass eure Gelüste...“</w:t>
      </w:r>
    </w:p>
  </w:footnote>
  <w:footnote w:id="6796">
    <w:p>
      <w:pPr>
        <w:pStyle w:val="Funote"/>
        <w:rPr/>
      </w:pPr>
      <w:r>
        <w:rPr>
          <w:rStyle w:val="Funotenzeichen"/>
        </w:rPr>
        <w:footnoteRef/>
      </w:r>
      <w:r>
        <w:rPr/>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797">
    <w:p>
      <w:pPr>
        <w:pStyle w:val="Funote"/>
        <w:rPr/>
      </w:pPr>
      <w:r>
        <w:rPr>
          <w:rStyle w:val="Funotenzeichen"/>
        </w:rPr>
        <w:footnoteRef/>
      </w:r>
      <w:r>
        <w:rPr/>
        <w:tab/>
        <w:t>Hier (wie weiter unten im Vers) wurde das „doch“ eingefügt, um den adversativen Charakter der Konjunktion zu unterstreichen.</w:t>
      </w:r>
    </w:p>
  </w:footnote>
  <w:footnote w:id="6798">
    <w:p>
      <w:pPr>
        <w:pStyle w:val="Funote"/>
        <w:rPr/>
      </w:pPr>
      <w:r>
        <w:rPr>
          <w:rStyle w:val="Funotenzeichen"/>
        </w:rPr>
        <w:footnoteRef/>
      </w:r>
      <w:r>
        <w:rPr/>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799">
    <w:p>
      <w:pPr>
        <w:pStyle w:val="Funote"/>
        <w:rPr/>
      </w:pPr>
      <w:r>
        <w:rPr>
          <w:rStyle w:val="Funotenzeichen"/>
        </w:rPr>
        <w:footnoteRef/>
      </w:r>
      <w:r>
        <w:rPr/>
        <w:tab/>
        <w:t>Wörtlich „nicht“. Bei allen Erwähnungen von „nicht“ in Vv. 2f. bleibt das Objekt im Text unerwähnt. Das macht beim Übersetzen manchmal das Einsetzen von „nichts“ erforderlich.</w:t>
      </w:r>
    </w:p>
  </w:footnote>
  <w:footnote w:id="6800">
    <w:p>
      <w:pPr>
        <w:pStyle w:val="Funote"/>
        <w:rPr/>
      </w:pPr>
      <w:r>
        <w:rPr>
          <w:rStyle w:val="Funotenzeichen"/>
        </w:rPr>
        <w:footnoteRef/>
      </w:r>
      <w:r>
        <w:rPr/>
        <w:tab/>
        <w:t>Das Wort steht im Medium; alternativ könnte es auch als „weil ihr selbst nicht bittet“ verstanden werden (Blomberg/Kamell). Dibelius ignoriert das Medium ganz, Mußner lässt offen. Selbiges gilt für 3b.</w:t>
      </w:r>
    </w:p>
  </w:footnote>
  <w:footnote w:id="6801">
    <w:p>
      <w:pPr>
        <w:pStyle w:val="Funote"/>
        <w:rPr/>
      </w:pPr>
      <w:r>
        <w:rPr>
          <w:rStyle w:val="Funotenzeichen"/>
        </w:rPr>
        <w:footnoteRef/>
      </w:r>
      <w:r>
        <w:rPr/>
        <w:tab/>
        <w:t>Alle Verben der 2. Ps. Pl. im Vers stehen im Präsens. Der Text deutet damit an, dass dies ein Vorgang ist, der unablässig bzw. immer wieder zu beobachten ist.</w:t>
      </w:r>
    </w:p>
  </w:footnote>
  <w:footnote w:id="6802">
    <w:p>
      <w:pPr>
        <w:pStyle w:val="Funote"/>
        <w:rPr/>
      </w:pPr>
      <w:r>
        <w:rPr>
          <w:rStyle w:val="Funotenzeichen"/>
        </w:rPr>
        <w:footnoteRef/>
      </w:r>
      <w:r>
        <w:rPr/>
        <w:tab/>
        <w:t xml:space="preserve">Wörtlich „nicht“. Vgl. dritte Fußnote in V. 2. </w:t>
      </w:r>
    </w:p>
  </w:footnote>
  <w:footnote w:id="6803">
    <w:p>
      <w:pPr>
        <w:pStyle w:val="Funote"/>
        <w:rPr/>
      </w:pPr>
      <w:r>
        <w:rPr>
          <w:rStyle w:val="Funotenzeichen"/>
        </w:rPr>
        <w:footnoteRef/>
      </w:r>
      <w:r>
        <w:rPr/>
        <w:tab/>
        <w:t>Wörtlich „böse“, „schlecht“ (Adverb). Im Deutschen muss umschrieben werden; der letzte Satzteil macht klar, dass das Adverb sich auf böse Hintergedanken bezieht. Denkbar auch „[mit] bösen [Hintergedanken]“ u.ä. oder schlicht „falsch“ (so Blomberg/Kamell).</w:t>
      </w:r>
    </w:p>
  </w:footnote>
  <w:footnote w:id="6804">
    <w:p>
      <w:pPr>
        <w:pStyle w:val="Funote"/>
        <w:rPr/>
      </w:pPr>
      <w:r>
        <w:rPr>
          <w:rStyle w:val="Funotenzeichen"/>
        </w:rPr>
        <w:footnoteRef/>
      </w:r>
      <w:r>
        <w:rPr/>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805">
    <w:p>
      <w:pPr>
        <w:pStyle w:val="Funote"/>
        <w:rPr/>
      </w:pPr>
      <w:r>
        <w:rPr>
          <w:rStyle w:val="Funotenzeichen"/>
        </w:rPr>
        <w:footnoteRef/>
      </w:r>
      <w:r>
        <w:rPr/>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806">
    <w:p>
      <w:pPr>
        <w:pStyle w:val="Funote"/>
        <w:rPr/>
      </w:pPr>
      <w:r>
        <w:rPr>
          <w:rStyle w:val="Funotenzeichen"/>
        </w:rPr>
        <w:footnoteRef/>
      </w:r>
      <w:r>
        <w:rPr/>
        <w:tab/>
        <w:t>Oder: „Wer immer also ... sein will, erweist...“</w:t>
      </w:r>
    </w:p>
  </w:footnote>
  <w:footnote w:id="6807">
    <w:p>
      <w:pPr>
        <w:pStyle w:val="Funote"/>
        <w:rPr/>
      </w:pPr>
      <w:r>
        <w:rPr>
          <w:rStyle w:val="Funotenzeichen"/>
        </w:rPr>
        <w:footnoteRef/>
      </w:r>
      <w:r>
        <w:rPr/>
        <w:tab/>
        <w:t>Wörtlich: „Zur Eifersucht“ = „eifersüchtig“ (nach NSS).</w:t>
      </w:r>
    </w:p>
  </w:footnote>
  <w:footnote w:id="6808">
    <w:p>
      <w:pPr>
        <w:pStyle w:val="Funote"/>
        <w:rPr/>
      </w:pPr>
      <w:r>
        <w:rPr>
          <w:rStyle w:val="Funotenzeichen"/>
        </w:rPr>
        <w:footnoteRef/>
      </w:r>
      <w:r>
        <w:rPr/>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809">
    <w:p>
      <w:pPr>
        <w:pStyle w:val="Funote"/>
        <w:rPr/>
      </w:pPr>
      <w:r>
        <w:rPr>
          <w:rStyle w:val="Funotenzeichen"/>
        </w:rPr>
        <w:footnoteRef/>
      </w:r>
      <w:r>
        <w:rPr/>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810">
    <w:p>
      <w:pPr>
        <w:pStyle w:val="Funote"/>
        <w:rPr/>
      </w:pPr>
      <w:r>
        <w:rPr>
          <w:rStyle w:val="Funotenzeichen"/>
        </w:rPr>
        <w:footnoteRef/>
      </w:r>
      <w:r>
        <w:rPr/>
        <w:tab/>
        <w:t xml:space="preserve">Die Zuordnung des Zitats ist kaum möglich. Mußner vermutet ein Zitat aus einem unbekannten Apokryphon. Es gibt Anleihen an </w:t>
      </w:r>
      <w:r>
        <w:fldChar w:fldCharType="begin"/>
      </w:r>
      <w:r>
        <w:rPr>
          <w:rStyle w:val="Internetverknpfung"/>
        </w:rPr>
        <w:instrText> HYPERLINK "../../../../../../../../../wiki/Exodus_20" \l "s5"</w:instrText>
      </w:r>
      <w:r>
        <w:rPr>
          <w:rStyle w:val="Internetverknpfung"/>
        </w:rPr>
        <w:fldChar w:fldCharType="separate"/>
      </w:r>
      <w:r>
        <w:rPr>
          <w:rStyle w:val="Internetverknpfung"/>
        </w:rPr>
        <w:t>2Mose 20,5</w:t>
      </w:r>
      <w:r>
        <w:rPr>
          <w:rStyle w:val="Internetverknpfung"/>
        </w:rPr>
        <w:fldChar w:fldCharType="end"/>
      </w:r>
      <w:r>
        <w:rPr/>
        <w:t>,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811">
    <w:p>
      <w:pPr>
        <w:pStyle w:val="Funote"/>
        <w:rPr/>
      </w:pPr>
      <w:r>
        <w:rPr>
          <w:rStyle w:val="Funotenzeichen"/>
        </w:rPr>
        <w:footnoteRef/>
      </w:r>
      <w:r>
        <w:rPr/>
        <w:tab/>
        <w:t>Dann im Gegensatz zu den „Hochmütigen“</w:t>
      </w:r>
    </w:p>
  </w:footnote>
  <w:footnote w:id="6812">
    <w:p>
      <w:pPr>
        <w:pStyle w:val="Funote"/>
        <w:rPr/>
      </w:pPr>
      <w:r>
        <w:rPr>
          <w:rStyle w:val="Funotenzeichen"/>
        </w:rPr>
        <w:footnoteRef/>
      </w:r>
      <w:hyperlink r:id="rId760">
        <w:r>
          <w:rPr>
            <w:rStyle w:val="Internetverknpfung"/>
          </w:rPr>
          <w:tab/>
          <w:t>Sprichwörter 3,34</w:t>
        </w:r>
      </w:hyperlink>
      <w:r>
        <w:rPr/>
        <w:t xml:space="preserve"> nach der Septuaginta.</w:t>
      </w:r>
    </w:p>
  </w:footnote>
  <w:footnote w:id="6813">
    <w:p>
      <w:pPr>
        <w:pStyle w:val="Funote"/>
        <w:rPr/>
      </w:pPr>
      <w:r>
        <w:rPr>
          <w:rStyle w:val="Funotenzeichen"/>
        </w:rPr>
        <w:footnoteRef/>
      </w:r>
      <w:r>
        <w:rPr/>
        <w:tab/>
        <w:t>Hier medial, was sich aber nicht ohne Weiteres ins Deutsche übertragen lässt.</w:t>
      </w:r>
    </w:p>
  </w:footnote>
  <w:footnote w:id="6814">
    <w:p>
      <w:pPr>
        <w:pStyle w:val="Funote"/>
        <w:rPr/>
      </w:pPr>
      <w:r>
        <w:rPr>
          <w:rStyle w:val="Funotenzeichen"/>
        </w:rPr>
        <w:footnoteRef/>
      </w:r>
      <w:r>
        <w:rPr/>
        <w:tab/>
        <w:t>B/A: „tretet vor Gott“. Mit dieser Übersetzung würde aber die parallele Übersetzung des zweiten Satzteils nicht funktionieren.</w:t>
      </w:r>
    </w:p>
  </w:footnote>
  <w:footnote w:id="6815">
    <w:p>
      <w:pPr>
        <w:pStyle w:val="Funote"/>
        <w:rPr/>
      </w:pPr>
      <w:r>
        <w:rPr>
          <w:rStyle w:val="Funotenzeichen"/>
        </w:rPr>
        <w:footnoteRef/>
      </w:r>
      <w:r>
        <w:rPr/>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816">
    <w:p>
      <w:pPr>
        <w:pStyle w:val="Funote"/>
        <w:rPr/>
      </w:pPr>
      <w:r>
        <w:rPr>
          <w:rStyle w:val="Funotenzeichen"/>
        </w:rPr>
        <w:footnoteRef/>
      </w:r>
      <w:r>
        <w:rPr/>
        <w:tab/>
        <w:t>3. Sg. Imp.</w:t>
      </w:r>
    </w:p>
  </w:footnote>
  <w:footnote w:id="6817">
    <w:p>
      <w:pPr>
        <w:pStyle w:val="Funote"/>
        <w:rPr/>
      </w:pPr>
      <w:r>
        <w:rPr>
          <w:rStyle w:val="Funotenzeichen"/>
        </w:rPr>
        <w:footnoteRef/>
      </w:r>
      <w:r>
        <w:rPr/>
        <w:tab/>
        <w:t>Wörtlich „Werdet erniedrigt“.</w:t>
      </w:r>
    </w:p>
  </w:footnote>
  <w:footnote w:id="6818">
    <w:p>
      <w:pPr>
        <w:pStyle w:val="Funote"/>
        <w:rPr/>
      </w:pPr>
      <w:r>
        <w:rPr>
          <w:rStyle w:val="Funotenzeichen"/>
        </w:rPr>
        <w:footnoteRef/>
      </w:r>
      <w:r>
        <w:rPr/>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819">
    <w:p>
      <w:pPr>
        <w:pStyle w:val="Funote"/>
        <w:rPr/>
      </w:pPr>
      <w:r>
        <w:rPr>
          <w:rStyle w:val="Funotenzeichen"/>
        </w:rPr>
        <w:footnoteRef/>
      </w:r>
      <w:r>
        <w:rPr/>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820">
    <w:p>
      <w:pPr>
        <w:pStyle w:val="Funote"/>
        <w:rPr/>
      </w:pPr>
      <w:r>
        <w:rPr>
          <w:rStyle w:val="Funotenzeichen"/>
        </w:rPr>
        <w:footnoteRef/>
      </w:r>
      <w:r>
        <w:rPr/>
        <w:tab/>
        <w:t>Hier Auflösung zweier attributiver Partizipien. Alternativ kann substantiviert aufgelöst werden: „Der Verleumdende … der Richtende“ (wörtlich).</w:t>
      </w:r>
    </w:p>
  </w:footnote>
  <w:footnote w:id="6821">
    <w:p>
      <w:pPr>
        <w:pStyle w:val="Funote"/>
        <w:rPr/>
      </w:pPr>
      <w:r>
        <w:rPr>
          <w:rStyle w:val="Funotenzeichen"/>
        </w:rPr>
        <w:footnoteRef/>
      </w:r>
      <w:r>
        <w:rPr/>
        <w:tab/>
        <w:t>Indefiniter Konditionalsatz.</w:t>
      </w:r>
    </w:p>
  </w:footnote>
  <w:footnote w:id="6822">
    <w:p>
      <w:pPr>
        <w:pStyle w:val="Funote"/>
        <w:rPr/>
      </w:pPr>
      <w:r>
        <w:rPr>
          <w:rStyle w:val="Funotenzeichen"/>
        </w:rPr>
        <w:footnoteRef/>
      </w:r>
      <w:r>
        <w:rPr/>
        <w:tab/>
        <w:t>Oder: „Es gibt einen...“</w:t>
      </w:r>
    </w:p>
  </w:footnote>
  <w:footnote w:id="6823">
    <w:p>
      <w:pPr>
        <w:pStyle w:val="Funote"/>
        <w:rPr/>
      </w:pPr>
      <w:r>
        <w:rPr>
          <w:rStyle w:val="Funotenzeichen"/>
        </w:rPr>
        <w:footnoteRef/>
      </w:r>
      <w:r>
        <w:rPr/>
        <w:tab/>
        <w:t>Attr. Ptz.</w:t>
      </w:r>
    </w:p>
  </w:footnote>
  <w:footnote w:id="6824">
    <w:p>
      <w:pPr>
        <w:pStyle w:val="Funote"/>
        <w:rPr/>
      </w:pPr>
      <w:r>
        <w:rPr>
          <w:rStyle w:val="Funotenzeichen"/>
        </w:rPr>
        <w:footnoteRef/>
      </w:r>
      <w:r>
        <w:rPr/>
        <w:tab/>
        <w:t>Wörtlicher: „Wohlan nun“ (B/A, NSS)</w:t>
      </w:r>
    </w:p>
  </w:footnote>
  <w:footnote w:id="6825">
    <w:p>
      <w:pPr>
        <w:pStyle w:val="Funote"/>
        <w:rPr/>
      </w:pPr>
      <w:r>
        <w:rPr>
          <w:rStyle w:val="Funotenzeichen"/>
        </w:rPr>
        <w:footnoteRef/>
      </w:r>
      <w:r>
        <w:rPr/>
        <w:tab/>
        <w:t>Attr. Ptz.</w:t>
      </w:r>
    </w:p>
  </w:footnote>
  <w:footnote w:id="6826">
    <w:p>
      <w:pPr>
        <w:pStyle w:val="Funote"/>
        <w:rPr/>
      </w:pPr>
      <w:r>
        <w:rPr>
          <w:rStyle w:val="Funotenzeichen"/>
        </w:rPr>
        <w:footnoteRef/>
      </w:r>
      <w:r>
        <w:rPr/>
        <w:tab/>
        <w:t>Alle folgenden Verben modales Futur: Eine Absichtserklärung (NSS).</w:t>
      </w:r>
    </w:p>
  </w:footnote>
  <w:footnote w:id="6827">
    <w:p>
      <w:pPr>
        <w:pStyle w:val="Funote"/>
        <w:rPr/>
      </w:pPr>
      <w:r>
        <w:rPr>
          <w:rStyle w:val="Funotenzeichen"/>
        </w:rPr>
        <w:footnoteRef/>
      </w:r>
      <w:r>
        <w:rPr/>
        <w:tab/>
        <w:t>Mit kausalem Nebensinn: „da ihr nicht wisst...“ (NSS)</w:t>
      </w:r>
    </w:p>
  </w:footnote>
  <w:footnote w:id="6828">
    <w:p>
      <w:pPr>
        <w:pStyle w:val="Funote"/>
        <w:rPr/>
      </w:pPr>
      <w:r>
        <w:rPr>
          <w:rStyle w:val="Funotenzeichen"/>
        </w:rPr>
        <w:footnoteRef/>
      </w:r>
      <w:r>
        <w:rPr/>
        <w:tab/>
        <w:t xml:space="preserve">Wörtlich „...wisst die [Dinge] des morgigen [Tages] wie {beschaffen} [ist] euer Leben“. Alternativ (unter Vernachlässigung der im NA27 gesetzten Interpunktion): „...wisst, [was] morgen [sein wird]. Was ist euer Leben?“ </w:t>
      </w:r>
    </w:p>
  </w:footnote>
  <w:footnote w:id="6829">
    <w:p>
      <w:pPr>
        <w:pStyle w:val="Funote"/>
        <w:rPr/>
      </w:pPr>
      <w:r>
        <w:rPr>
          <w:rStyle w:val="Funotenzeichen"/>
        </w:rPr>
        <w:footnoteRef/>
      </w:r>
      <w:r>
        <w:rPr/>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830">
    <w:p>
      <w:pPr>
        <w:pStyle w:val="Funote"/>
        <w:rPr/>
      </w:pPr>
      <w:r>
        <w:rPr>
          <w:rStyle w:val="Funotenzeichen"/>
        </w:rPr>
        <w:footnoteRef/>
      </w:r>
      <w:r>
        <w:rPr/>
        <w:tab/>
        <w:t>B/A, NSS.</w:t>
      </w:r>
    </w:p>
  </w:footnote>
  <w:footnote w:id="6831">
    <w:p>
      <w:pPr>
        <w:pStyle w:val="Funote"/>
        <w:rPr/>
      </w:pPr>
      <w:r>
        <w:rPr>
          <w:rStyle w:val="Funotenzeichen"/>
        </w:rPr>
        <w:footnoteRef/>
      </w:r>
      <w:r>
        <w:rPr/>
        <w:tab/>
        <w:t>Attr. Ptz.</w:t>
      </w:r>
    </w:p>
  </w:footnote>
  <w:footnote w:id="6832">
    <w:p>
      <w:pPr>
        <w:pStyle w:val="Funote"/>
        <w:rPr/>
      </w:pPr>
      <w:r>
        <w:rPr>
          <w:rStyle w:val="Funotenzeichen"/>
        </w:rPr>
        <w:footnoteRef/>
      </w:r>
      <w:r>
        <w:rPr/>
        <w:tab/>
        <w:t>Wörtlich: „wird er unsichtbar gemacht“</w:t>
      </w:r>
    </w:p>
  </w:footnote>
  <w:footnote w:id="6833">
    <w:p>
      <w:pPr>
        <w:pStyle w:val="Funote"/>
        <w:rPr/>
      </w:pPr>
      <w:r>
        <w:rPr>
          <w:rStyle w:val="Funotenzeichen"/>
        </w:rPr>
        <w:footnoteRef/>
      </w:r>
      <w:r>
        <w:rPr/>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834">
    <w:p>
      <w:pPr>
        <w:pStyle w:val="Funote"/>
        <w:rPr/>
      </w:pPr>
      <w:r>
        <w:rPr>
          <w:rStyle w:val="Funotenzeichen"/>
        </w:rPr>
        <w:footnoteRef/>
      </w:r>
      <w:r>
        <w:rPr/>
        <w:tab/>
        <w:t>Spezieller (im Gegensatz zum generellen) prospektiver Konditionalsatz: Versuch der Berechnung der Folgen einer zukünftigen Handlung.</w:t>
      </w:r>
    </w:p>
  </w:footnote>
  <w:footnote w:id="6835">
    <w:p>
      <w:pPr>
        <w:pStyle w:val="Funote"/>
        <w:rPr/>
      </w:pPr>
      <w:r>
        <w:rPr>
          <w:rStyle w:val="Funotenzeichen"/>
        </w:rPr>
        <w:footnoteRef/>
      </w:r>
      <w:r>
        <w:rPr/>
        <w:tab/>
        <w:t>Vielleicht „mit“ (cf. NSS).</w:t>
      </w:r>
    </w:p>
  </w:footnote>
  <w:footnote w:id="6836">
    <w:p>
      <w:pPr>
        <w:pStyle w:val="Funote"/>
        <w:rPr/>
      </w:pPr>
      <w:r>
        <w:rPr>
          <w:rStyle w:val="Funotenzeichen"/>
        </w:rPr>
        <w:footnoteRef/>
      </w:r>
      <w:r>
        <w:rPr/>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837">
    <w:p>
      <w:pPr>
        <w:pStyle w:val="Funote"/>
        <w:rPr/>
      </w:pPr>
      <w:r>
        <w:rPr>
          <w:rStyle w:val="Funotenzeichen"/>
        </w:rPr>
        <w:footnoteRef/>
      </w:r>
      <w:r>
        <w:rPr/>
        <w:tab/>
        <w:t>Johnson.</w:t>
      </w:r>
    </w:p>
  </w:footnote>
  <w:footnote w:id="6838">
    <w:p>
      <w:pPr>
        <w:pStyle w:val="Funote"/>
        <w:rPr/>
      </w:pPr>
      <w:r>
        <w:rPr>
          <w:rStyle w:val="Funotenzeichen"/>
        </w:rPr>
        <w:footnoteRef/>
      </w:r>
      <w:r>
        <w:rPr/>
        <w:tab/>
        <w:t>Beide Verben der 3. Ps. sind subst. Ptz.</w:t>
      </w:r>
    </w:p>
  </w:footnote>
  <w:footnote w:id="6839">
    <w:p>
      <w:pPr>
        <w:pStyle w:val="Funote"/>
        <w:rPr/>
      </w:pPr>
      <w:r>
        <w:rPr>
          <w:rStyle w:val="Funotenzeichen"/>
        </w:rPr>
        <w:footnoteRef/>
      </w:r>
      <w:r>
        <w:rPr/>
        <w:tab/>
        <w:t>[Status: Zuverlässig]</w:t>
      </w:r>
    </w:p>
  </w:footnote>
  <w:footnote w:id="6840">
    <w:p>
      <w:pPr>
        <w:pStyle w:val="Funote"/>
        <w:rPr/>
      </w:pPr>
      <w:r>
        <w:rPr>
          <w:rStyle w:val="Funotenzeichen"/>
        </w:rPr>
        <w:footnoteRef/>
      </w:r>
      <w:r>
        <w:rPr/>
        <w:tab/>
        <w:t>Modal aufgelöstes Ptc. coni.</w:t>
      </w:r>
    </w:p>
  </w:footnote>
  <w:footnote w:id="6841">
    <w:p>
      <w:pPr>
        <w:pStyle w:val="Funote"/>
        <w:rPr/>
      </w:pPr>
      <w:r>
        <w:rPr>
          <w:rStyle w:val="Funotenzeichen"/>
        </w:rPr>
        <w:footnoteRef/>
      </w:r>
      <w:r>
        <w:rPr/>
        <w:tab/>
        <w:t>Das hier gebrauchte Ptz. Präsens hat normalerweise eine durative/iterative Aspektbedeutung, die hier vermutlich aber in den Hintergrund tritt.</w:t>
      </w:r>
    </w:p>
  </w:footnote>
  <w:footnote w:id="6842">
    <w:p>
      <w:pPr>
        <w:pStyle w:val="Funote"/>
        <w:rPr/>
      </w:pPr>
      <w:r>
        <w:rPr>
          <w:rStyle w:val="Funotenzeichen"/>
        </w:rPr>
        <w:footnoteRef/>
      </w:r>
      <w:r>
        <w:rPr/>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843">
    <w:p>
      <w:pPr>
        <w:pStyle w:val="Funote"/>
        <w:rPr/>
      </w:pPr>
      <w:r>
        <w:rPr>
          <w:rStyle w:val="Funotenzeichen"/>
        </w:rPr>
        <w:footnoteRef/>
      </w:r>
      <w:r>
        <w:rPr/>
        <w:tab/>
        <w:t>Wörtlich: „mottenzerfressen geworden“</w:t>
      </w:r>
    </w:p>
  </w:footnote>
  <w:footnote w:id="6844">
    <w:p>
      <w:pPr>
        <w:pStyle w:val="Funote"/>
        <w:rPr/>
      </w:pPr>
      <w:r>
        <w:rPr>
          <w:rStyle w:val="Funotenzeichen"/>
        </w:rPr>
        <w:footnoteRef/>
      </w:r>
      <w:r>
        <w:rPr/>
        <w:tab/>
        <w:t>Da Gold weder rostet noch anläuft, ist dies entweder eine stilistische Übertreibung oder es müsste alternativ etwa „angelaufen“ oder „matt/stumpf geworden“ heißen (Blomberg/Kamell).</w:t>
      </w:r>
    </w:p>
  </w:footnote>
  <w:footnote w:id="6845">
    <w:p>
      <w:pPr>
        <w:pStyle w:val="Funote"/>
        <w:rPr/>
      </w:pPr>
      <w:r>
        <w:rPr>
          <w:rStyle w:val="Funotenzeichen"/>
        </w:rPr>
        <w:footnoteRef/>
      </w:r>
      <w:r>
        <w:rPr/>
        <w:tab/>
        <w:t>Kommunikativ: „dienen“</w:t>
      </w:r>
    </w:p>
  </w:footnote>
  <w:footnote w:id="6846">
    <w:p>
      <w:pPr>
        <w:pStyle w:val="Funote"/>
        <w:rPr/>
      </w:pPr>
      <w:r>
        <w:rPr>
          <w:rStyle w:val="Funotenzeichen"/>
        </w:rPr>
        <w:footnoteRef/>
      </w:r>
      <w:r>
        <w:rPr/>
        <w:tab/>
        <w:t>Im Original im Plural.</w:t>
      </w:r>
    </w:p>
  </w:footnote>
  <w:footnote w:id="6847">
    <w:p>
      <w:pPr>
        <w:pStyle w:val="Funote"/>
        <w:rPr/>
      </w:pPr>
      <w:r>
        <w:rPr>
          <w:rStyle w:val="Funotenzeichen"/>
        </w:rPr>
        <w:footnoteRef/>
      </w:r>
      <w:r>
        <w:rPr/>
        <w:tab/>
        <w:t>Durch das Verb impliziert (cf. B/A, NSS).</w:t>
      </w:r>
    </w:p>
  </w:footnote>
  <w:footnote w:id="6848">
    <w:p>
      <w:pPr>
        <w:pStyle w:val="Funote"/>
        <w:rPr/>
      </w:pPr>
      <w:r>
        <w:rPr>
          <w:rStyle w:val="Funotenzeichen"/>
        </w:rPr>
        <w:footnoteRef/>
      </w:r>
      <w:r>
        <w:rPr/>
        <w:tab/>
        <w:t>Attr. Ptz.</w:t>
      </w:r>
    </w:p>
  </w:footnote>
  <w:footnote w:id="6849">
    <w:p>
      <w:pPr>
        <w:pStyle w:val="Funote"/>
        <w:rPr/>
      </w:pPr>
      <w:r>
        <w:rPr>
          <w:rStyle w:val="Funotenzeichen"/>
        </w:rPr>
        <w:footnoteRef/>
      </w:r>
      <w:r>
        <w:rPr/>
        <w:tab/>
        <w:t>Ptz. Pf. Pass.; attributives Ptz.</w:t>
      </w:r>
    </w:p>
  </w:footnote>
  <w:footnote w:id="6850">
    <w:p>
      <w:pPr>
        <w:pStyle w:val="Funote"/>
        <w:rPr/>
      </w:pPr>
      <w:r>
        <w:rPr>
          <w:rStyle w:val="Funotenzeichen"/>
        </w:rPr>
        <w:footnoteRef/>
      </w:r>
      <w:r>
        <w:rPr/>
        <w:tab/>
        <w:t>Alternativ: „der [ihnen] vorenthalten wurde, schreit von euch...“</w:t>
      </w:r>
    </w:p>
  </w:footnote>
  <w:footnote w:id="6851">
    <w:p>
      <w:pPr>
        <w:pStyle w:val="Funote"/>
        <w:rPr/>
      </w:pPr>
      <w:r>
        <w:rPr>
          <w:rStyle w:val="Funotenzeichen"/>
        </w:rPr>
        <w:footnoteRef/>
      </w:r>
      <w:r>
        <w:rPr/>
        <w:tab/>
        <w:t>Transkribiert „Sabaoth“. Alternativ auch mit Übersetzung des hebräischen Worts: „Herr der Heerscharen“</w:t>
      </w:r>
    </w:p>
  </w:footnote>
  <w:footnote w:id="6852">
    <w:p>
      <w:pPr>
        <w:pStyle w:val="Funote"/>
        <w:rPr/>
      </w:pPr>
      <w:r>
        <w:rPr>
          <w:rStyle w:val="Funotenzeichen"/>
        </w:rPr>
        <w:footnoteRef/>
      </w:r>
      <w:r>
        <w:rPr/>
        <w:tab/>
        <w:t>Oder kommunikativer: „habt ein üppiges Leben geführt“ (NSS)</w:t>
      </w:r>
    </w:p>
  </w:footnote>
  <w:footnote w:id="6853">
    <w:p>
      <w:pPr>
        <w:pStyle w:val="Funote"/>
        <w:rPr/>
      </w:pPr>
      <w:r>
        <w:rPr>
          <w:rStyle w:val="Funotenzeichen"/>
        </w:rPr>
        <w:footnoteRef/>
      </w:r>
      <w:r>
        <w:rPr/>
        <w:tab/>
        <w:t>Oder kommunikativer: „habt euch dem Vergnügen hingegeben“ (NSS)</w:t>
      </w:r>
    </w:p>
  </w:footnote>
  <w:footnote w:id="6854">
    <w:p>
      <w:pPr>
        <w:pStyle w:val="Funote"/>
        <w:rPr/>
      </w:pPr>
      <w:r>
        <w:rPr>
          <w:rStyle w:val="Funotenzeichen"/>
        </w:rPr>
        <w:footnoteRef/>
      </w:r>
      <w:r>
        <w:rPr/>
        <w:tab/>
        <w:t>Wörtlich: „an [einem]“</w:t>
      </w:r>
    </w:p>
  </w:footnote>
  <w:footnote w:id="6855">
    <w:p>
      <w:pPr>
        <w:pStyle w:val="Funote"/>
        <w:rPr/>
      </w:pPr>
      <w:r>
        <w:rPr>
          <w:rStyle w:val="Funotenzeichen"/>
        </w:rPr>
        <w:footnoteRef/>
      </w:r>
      <w:r>
        <w:rPr/>
        <w:tab/>
        <w:t>Wörtlich „Tag der Schlachtung“. Dies kann sich konkret auf einen gewöhnlichen Schlachttag beziehen, der im Leben der Reichen sicherlich regelmäßig vorkam, spielt aber auf den Tag von Gottes Gericht an.</w:t>
      </w:r>
    </w:p>
  </w:footnote>
  <w:footnote w:id="6856">
    <w:p>
      <w:pPr>
        <w:pStyle w:val="Funote"/>
        <w:rPr/>
      </w:pPr>
      <w:r>
        <w:rPr>
          <w:rStyle w:val="Funotenzeichen"/>
        </w:rPr>
        <w:footnoteRef/>
      </w:r>
      <w:r>
        <w:rPr/>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857">
    <w:p>
      <w:pPr>
        <w:pStyle w:val="Funote"/>
        <w:rPr/>
      </w:pPr>
      <w:r>
        <w:rPr>
          <w:rStyle w:val="Funotenzeichen"/>
        </w:rPr>
        <w:footnoteRef/>
      </w:r>
      <w:r>
        <w:rPr/>
        <w:tab/>
        <w:t>Oder „ihr habt verurteilt, ihr habt den Gerechten ermordet“ (so die wortlautgetreue REB).</w:t>
      </w:r>
    </w:p>
  </w:footnote>
  <w:footnote w:id="6858">
    <w:p>
      <w:pPr>
        <w:pStyle w:val="Funote"/>
        <w:rPr/>
      </w:pPr>
      <w:r>
        <w:rPr>
          <w:rStyle w:val="Funotenzeichen"/>
        </w:rPr>
        <w:footnoteRef/>
      </w:r>
      <w:r>
        <w:rPr/>
        <w:tab/>
        <w:t>Der letzte Satzteil ist vom vorherigen eigentümlich abgetrennt. Manche Exegeten sehen das als Grund, ein „obwohl“ zu ergänzen.</w:t>
      </w:r>
    </w:p>
  </w:footnote>
  <w:footnote w:id="6859">
    <w:p>
      <w:pPr>
        <w:pStyle w:val="Funote"/>
        <w:rPr/>
      </w:pPr>
      <w:r>
        <w:rPr>
          <w:rStyle w:val="Funotenzeichen"/>
        </w:rPr>
        <w:footnoteRef/>
      </w:r>
      <w:r>
        <w:rPr/>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860">
    <w:p>
      <w:pPr>
        <w:pStyle w:val="Funote"/>
        <w:rPr/>
      </w:pPr>
      <w:r>
        <w:rPr>
          <w:rStyle w:val="Funotenzeichen"/>
        </w:rPr>
        <w:footnoteRef/>
      </w:r>
      <w:r>
        <w:rPr/>
        <w:tab/>
        <w:t>Auflösung eines modalen Ptc. coni., alternativ temp. Oder „und geduldig auf sie wartet“.</w:t>
      </w:r>
    </w:p>
  </w:footnote>
  <w:footnote w:id="6861">
    <w:p>
      <w:pPr>
        <w:pStyle w:val="Funote"/>
        <w:rPr/>
      </w:pPr>
      <w:r>
        <w:rPr>
          <w:rStyle w:val="Funotenzeichen"/>
        </w:rPr>
        <w:footnoteRef/>
      </w:r>
      <w:r>
        <w:rPr/>
        <w:tab/>
        <w:t>Anspielung auf Hos 6,4 (Bauckham).</w:t>
      </w:r>
    </w:p>
  </w:footnote>
  <w:footnote w:id="6862">
    <w:p>
      <w:pPr>
        <w:pStyle w:val="Funote"/>
        <w:rPr/>
      </w:pPr>
      <w:r>
        <w:rPr>
          <w:rStyle w:val="Funotenzeichen"/>
        </w:rPr>
        <w:footnoteRef/>
      </w:r>
      <w:r>
        <w:rPr/>
        <w:tab/>
        <w:t>Das hier verwendete griechische Perfekt betont das Resultat eines Vorgangs, weswegen hier mit Zustandspassiv übersetzt wurde.</w:t>
      </w:r>
    </w:p>
  </w:footnote>
  <w:footnote w:id="6863">
    <w:p>
      <w:pPr>
        <w:pStyle w:val="Funote"/>
        <w:rPr/>
      </w:pPr>
      <w:r>
        <w:rPr>
          <w:rStyle w:val="Funotenzeichen"/>
        </w:rPr>
        <w:footnoteRef/>
      </w:r>
      <w:r>
        <w:rPr/>
        <w:tab/>
        <w:t>Imperativ Präsens. Oder: „Hört auf, …“ Im Gegensatz zum unmarkierten Imp. Aor. hat dieser häufig negativ die Bedeutung „hör(t) auf, … zu tun“ bzw. positiv „Tu(t) … weiterhin/immer wieder“ haben.</w:t>
      </w:r>
    </w:p>
  </w:footnote>
  <w:footnote w:id="6864">
    <w:p>
      <w:pPr>
        <w:pStyle w:val="Funote"/>
        <w:rPr/>
      </w:pPr>
      <w:r>
        <w:rPr>
          <w:rStyle w:val="Funotenzeichen"/>
        </w:rPr>
        <w:footnoteRef/>
      </w:r>
      <w:r>
        <w:rPr/>
        <w:tab/>
        <w:t>Auflösung eines subst. Ptz. Aor. Kann ein Rückbezug auf die Propheten sein, ist aber offen formuliert.</w:t>
      </w:r>
    </w:p>
  </w:footnote>
  <w:footnote w:id="6865">
    <w:p>
      <w:pPr>
        <w:pStyle w:val="Funote"/>
        <w:rPr/>
      </w:pPr>
      <w:r>
        <w:rPr>
          <w:rStyle w:val="Funotenzeichen"/>
        </w:rPr>
        <w:footnoteRef/>
      </w:r>
      <w:r>
        <w:rPr/>
        <w:tab/>
        <w:t>Cf. 1,3</w:t>
      </w:r>
    </w:p>
  </w:footnote>
  <w:footnote w:id="6866">
    <w:p>
      <w:pPr>
        <w:pStyle w:val="Funote"/>
        <w:rPr/>
      </w:pPr>
      <w:r>
        <w:rPr>
          <w:rStyle w:val="Funotenzeichen"/>
        </w:rPr>
        <w:footnoteRef/>
      </w:r>
      <w:r>
        <w:rPr/>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867">
    <w:p>
      <w:pPr>
        <w:pStyle w:val="Funote"/>
        <w:rPr/>
      </w:pPr>
      <w:r>
        <w:rPr>
          <w:rStyle w:val="Funotenzeichen"/>
        </w:rPr>
        <w:footnoteRef/>
      </w:r>
      <w:r>
        <w:rPr/>
        <w:tab/>
        <w:t>Imp. Präs. Dieser markiert gelegentlich die Aufforderung, etwas weiterhin/immer wieder zu tun bzw.(endgültig) mit etwas aufzuhören.</w:t>
      </w:r>
    </w:p>
  </w:footnote>
  <w:footnote w:id="6868">
    <w:p>
      <w:pPr>
        <w:pStyle w:val="Funote"/>
        <w:rPr/>
      </w:pPr>
      <w:r>
        <w:rPr>
          <w:rStyle w:val="Funotenzeichen"/>
        </w:rPr>
        <w:footnoteRef/>
      </w:r>
      <w:r>
        <w:rPr/>
        <w:tab/>
        <w:t>3. Sg. Imp. Präs.; s. o.</w:t>
      </w:r>
    </w:p>
  </w:footnote>
  <w:footnote w:id="6869">
    <w:p>
      <w:pPr>
        <w:pStyle w:val="Funote"/>
        <w:rPr/>
      </w:pPr>
      <w:r>
        <w:rPr>
          <w:rStyle w:val="Funotenzeichen"/>
        </w:rPr>
        <w:footnoteRef/>
      </w:r>
      <w:r>
        <w:rPr/>
        <w:tab/>
        <w:t>Wörtlich: „damit ihr nicht unter das Gericht fallt“</w:t>
      </w:r>
    </w:p>
  </w:footnote>
  <w:footnote w:id="6870">
    <w:p>
      <w:pPr>
        <w:pStyle w:val="Funote"/>
        <w:rPr/>
      </w:pPr>
      <w:r>
        <w:rPr>
          <w:rStyle w:val="Funotenzeichen"/>
        </w:rPr>
        <w:footnoteRef/>
      </w:r>
      <w:r>
        <w:rPr/>
        <w:tab/>
        <w:t>3. Sg. Imp. Präs.; s. o.</w:t>
      </w:r>
    </w:p>
  </w:footnote>
  <w:footnote w:id="6871">
    <w:p>
      <w:pPr>
        <w:pStyle w:val="Funote"/>
        <w:rPr/>
      </w:pPr>
      <w:r>
        <w:rPr>
          <w:rStyle w:val="Funotenzeichen"/>
        </w:rPr>
        <w:footnoteRef/>
      </w:r>
      <w:r>
        <w:rPr/>
        <w:tab/>
        <w:t>3. Sg. Imp. Präs.; s. o.</w:t>
      </w:r>
    </w:p>
  </w:footnote>
  <w:footnote w:id="6872">
    <w:p>
      <w:pPr>
        <w:pStyle w:val="Funote"/>
        <w:rPr/>
      </w:pPr>
      <w:r>
        <w:rPr>
          <w:rStyle w:val="Funotenzeichen"/>
        </w:rPr>
        <w:footnoteRef/>
      </w:r>
      <w:r>
        <w:rPr/>
        <w:tab/>
        <w:t>Die drei Bedingungssätze in diesem und dem folgenden Vers können auch als direkte Fragen verstanden werden. Meine Übesetzung folgt der Zeichensetzung im NA27.</w:t>
      </w:r>
    </w:p>
  </w:footnote>
  <w:footnote w:id="6873">
    <w:p>
      <w:pPr>
        <w:pStyle w:val="Funote"/>
        <w:rPr/>
      </w:pPr>
      <w:r>
        <w:rPr>
          <w:rStyle w:val="Funotenzeichen"/>
        </w:rPr>
        <w:footnoteRef/>
      </w:r>
      <w:r>
        <w:rPr/>
        <w:tab/>
        <w:t>Die Definition des Wortes wäre wohl „durch Krankheit geschwächt“ (Cf. B/A)</w:t>
      </w:r>
    </w:p>
  </w:footnote>
  <w:footnote w:id="6874">
    <w:p>
      <w:pPr>
        <w:pStyle w:val="Funote"/>
        <w:rPr/>
      </w:pPr>
      <w:r>
        <w:rPr>
          <w:rStyle w:val="Funotenzeichen"/>
        </w:rPr>
        <w:footnoteRef/>
      </w:r>
      <w:r>
        <w:rPr/>
        <w:tab/>
        <w:t>3. Sg. Imp. Präs.; s. o.</w:t>
      </w:r>
    </w:p>
  </w:footnote>
  <w:footnote w:id="6875">
    <w:p>
      <w:pPr>
        <w:pStyle w:val="Funote"/>
        <w:rPr/>
      </w:pPr>
      <w:r>
        <w:rPr>
          <w:rStyle w:val="Funotenzeichen"/>
        </w:rPr>
        <w:footnoteRef/>
      </w:r>
      <w:r>
        <w:rPr/>
        <w:tab/>
        <w:t>3. Pl. Imp. Aor. Med.</w:t>
      </w:r>
    </w:p>
  </w:footnote>
  <w:footnote w:id="6876">
    <w:p>
      <w:pPr>
        <w:pStyle w:val="Funote"/>
        <w:rPr/>
      </w:pPr>
      <w:r>
        <w:rPr>
          <w:rStyle w:val="Funotenzeichen"/>
        </w:rPr>
        <w:footnoteRef/>
      </w:r>
      <w:r>
        <w:rPr/>
        <w:tab/>
        <w:t>Instrumentaler Dativ.</w:t>
      </w:r>
    </w:p>
  </w:footnote>
  <w:footnote w:id="6877">
    <w:p>
      <w:pPr>
        <w:pStyle w:val="Funote"/>
        <w:rPr/>
      </w:pPr>
      <w:r>
        <w:rPr>
          <w:rStyle w:val="Funotenzeichen"/>
        </w:rPr>
        <w:footnoteRef/>
      </w:r>
      <w:r>
        <w:rPr/>
        <w:tab/>
        <w:t>Adv. Ptz. Aor., das vorzeitig oder gleichzeitig übersetzt werden kann; hier modal interpretiert und mit „und + Verb“ übersetzt. Oder „indem sie ihn ... salben“. Alternativ temporal: „nachdem sie ihn … gesalbt haben“, „während sie ihn … salben“.</w:t>
      </w:r>
    </w:p>
  </w:footnote>
  <w:footnote w:id="6878">
    <w:p>
      <w:pPr>
        <w:pStyle w:val="Funote"/>
        <w:rPr/>
      </w:pPr>
      <w:r>
        <w:rPr>
          <w:rStyle w:val="Funotenzeichen"/>
        </w:rPr>
        <w:footnoteRef/>
      </w:r>
      <w:r>
        <w:rPr/>
        <w:tab/>
        <w:t>Wörtlich: „des Glaubens“; Gen. pertinentiae (Das Gebet geschieht im Glauben.; NSS).</w:t>
      </w:r>
    </w:p>
  </w:footnote>
  <w:footnote w:id="6879">
    <w:p>
      <w:pPr>
        <w:pStyle w:val="Funote"/>
        <w:rPr/>
      </w:pPr>
      <w:r>
        <w:rPr>
          <w:rStyle w:val="Funotenzeichen"/>
        </w:rPr>
        <w:footnoteRef/>
      </w:r>
      <w:r>
        <w:rPr/>
        <w:tab/>
        <w:t>Wörtlich: „wenn er ein Sünden begangen habender ist“ (Ptz. Pf.); periphrastisch (umschreibend; NSS).</w:t>
      </w:r>
    </w:p>
  </w:footnote>
  <w:footnote w:id="6880">
    <w:p>
      <w:pPr>
        <w:pStyle w:val="Funote"/>
        <w:rPr/>
      </w:pPr>
      <w:r>
        <w:rPr>
          <w:rStyle w:val="Funotenzeichen"/>
        </w:rPr>
        <w:footnoteRef/>
      </w:r>
      <w:r>
        <w:rPr/>
        <w:tab/>
        <w:t>Prospektiver Konditionalsatz (Eventualis). Der Vers sieht Krankheit also nicht im Zusammenhang mit Sünde.</w:t>
      </w:r>
    </w:p>
  </w:footnote>
  <w:footnote w:id="6881">
    <w:p>
      <w:pPr>
        <w:pStyle w:val="Funote"/>
        <w:rPr/>
      </w:pPr>
      <w:r>
        <w:rPr>
          <w:rStyle w:val="Funotenzeichen"/>
        </w:rPr>
        <w:footnoteRef/>
      </w:r>
      <w:r>
        <w:rPr/>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882">
    <w:p>
      <w:pPr>
        <w:pStyle w:val="Funote"/>
        <w:rPr/>
      </w:pPr>
      <w:r>
        <w:rPr>
          <w:rStyle w:val="Funotenzeichen"/>
        </w:rPr>
        <w:footnoteRef/>
      </w:r>
      <w:r>
        <w:rPr/>
        <w:tab/>
        <w:t>Wörtlich: „er betete [dem] Gebet“; dies ist ein Dat. modi, also „er betete mit einem Gebet“ (Semitismus). Übersetzung nach Blomberg, NSS.</w:t>
      </w:r>
    </w:p>
  </w:footnote>
  <w:footnote w:id="6883">
    <w:p>
      <w:pPr>
        <w:pStyle w:val="Funote"/>
        <w:rPr/>
      </w:pPr>
      <w:r>
        <w:rPr>
          <w:rStyle w:val="Funotenzeichen"/>
        </w:rPr>
        <w:footnoteRef/>
      </w:r>
      <w:r>
        <w:rPr/>
        <w:tab/>
        <w:t>Hier offenbar eine „Nachbildung des hebr. infinitivus absolutus“ (NSS).</w:t>
      </w:r>
    </w:p>
  </w:footnote>
  <w:footnote w:id="6884">
    <w:p>
      <w:pPr>
        <w:pStyle w:val="Funote"/>
        <w:rPr/>
      </w:pPr>
      <w:r>
        <w:rPr>
          <w:rStyle w:val="Funotenzeichen"/>
        </w:rPr>
        <w:footnoteRef/>
      </w:r>
      <w:r>
        <w:rPr/>
        <w:tab/>
        <w:t>Wörtlich: „gab Regen“</w:t>
      </w:r>
    </w:p>
  </w:footnote>
  <w:footnote w:id="6885">
    <w:p>
      <w:pPr>
        <w:pStyle w:val="Funote"/>
        <w:rPr/>
      </w:pPr>
      <w:r>
        <w:rPr>
          <w:rStyle w:val="Funotenzeichen"/>
        </w:rPr>
        <w:footnoteRef/>
      </w:r>
      <w:r>
        <w:rPr/>
        <w:tab/>
        <w:t xml:space="preserve">3. Sg. Imp. </w:t>
      </w:r>
    </w:p>
  </w:footnote>
  <w:footnote w:id="6886">
    <w:p>
      <w:pPr>
        <w:pStyle w:val="Funote"/>
        <w:rPr/>
      </w:pPr>
      <w:r>
        <w:rPr>
          <w:rStyle w:val="Funotenzeichen"/>
        </w:rPr>
        <w:footnoteRef/>
      </w:r>
      <w:r>
        <w:rPr/>
        <w:tab/>
        <w:t>Wörtlich: „von [der] Verirrung/vom Irrtum seines Weges“</w:t>
      </w:r>
    </w:p>
  </w:footnote>
  <w:footnote w:id="6887">
    <w:p>
      <w:pPr>
        <w:pStyle w:val="Funote"/>
        <w:rPr/>
      </w:pPr>
      <w:r>
        <w:rPr>
          <w:rStyle w:val="Funotenzeichen"/>
        </w:rPr>
        <w:footnoteRef/>
      </w:r>
      <w:r>
        <w:rPr/>
        <w:tab/>
        <w:t>Auflösung eines subst. Ptz.</w:t>
      </w:r>
    </w:p>
  </w:footnote>
  <w:footnote w:id="6888">
    <w:p>
      <w:pPr>
        <w:pStyle w:val="Funote"/>
        <w:rPr/>
      </w:pPr>
      <w:r>
        <w:rPr>
          <w:rStyle w:val="Funotenzeichen"/>
        </w:rPr>
        <w:footnoteRef/>
      </w:r>
      <w:r>
        <w:rPr/>
        <w:tab/>
        <w:t>Vv. 19-20: Gewöhnlicher, prospektiver Konditionalsatz.</w:t>
      </w:r>
    </w:p>
  </w:footnote>
  <w:footnote w:id="6889">
    <w:p>
      <w:pPr>
        <w:pStyle w:val="Funote"/>
        <w:rPr/>
      </w:pPr>
      <w:r>
        <w:rPr>
          <w:rStyle w:val="Funotenzeichen"/>
        </w:rPr>
        <w:footnoteRef/>
      </w:r>
      <w:hyperlink r:id="rId761">
        <w:r>
          <w:rPr>
            <w:rStyle w:val="Internetverknpfung"/>
          </w:rPr>
          <w:tab/>
          <w:t>Ptz. coni.</w:t>
        </w:r>
      </w:hyperlink>
      <w:r>
        <w:rPr/>
        <w:t>, konzessiv aufgelöst.</w:t>
      </w:r>
    </w:p>
  </w:footnote>
  <w:footnote w:id="6890">
    <w:p>
      <w:pPr>
        <w:pStyle w:val="Funote"/>
        <w:rPr/>
      </w:pPr>
      <w:r>
        <w:rPr>
          <w:rStyle w:val="Funotenzeichen"/>
        </w:rPr>
        <w:footnoteRef/>
      </w:r>
      <w:r>
        <w:rPr/>
        <w:tab/>
        <w:t>Zwei Partizipen im Nominativ, hier mit Finalsatz wiedergegeben.</w:t>
      </w:r>
    </w:p>
  </w:footnote>
  <w:footnote w:id="6891">
    <w:p>
      <w:pPr>
        <w:pStyle w:val="Funote"/>
        <w:rPr/>
      </w:pPr>
      <w:r>
        <w:rPr>
          <w:rStyle w:val="Funotenzeichen"/>
        </w:rPr>
        <w:footnoteRef/>
      </w:r>
      <w:hyperlink r:id="rId762">
        <w:r>
          <w:rPr>
            <w:rStyle w:val="Internetverknpfung"/>
          </w:rPr>
          <w:tab/>
          <w:t>Ptz. coni.</w:t>
        </w:r>
      </w:hyperlink>
      <w:r>
        <w:rPr/>
        <w:t>, kausal aufgelöst.</w:t>
      </w:r>
    </w:p>
  </w:footnote>
  <w:footnote w:id="6892">
    <w:p>
      <w:pPr>
        <w:pStyle w:val="Funote"/>
        <w:rPr/>
      </w:pPr>
      <w:r>
        <w:rPr>
          <w:rStyle w:val="Funotenzeichen"/>
        </w:rPr>
        <w:footnoteRef/>
      </w:r>
      <w:r>
        <w:rPr/>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893">
    <w:p>
      <w:pPr>
        <w:pStyle w:val="Funote"/>
        <w:rPr/>
      </w:pPr>
      <w:r>
        <w:rPr>
          <w:rStyle w:val="Funotenzeichen"/>
        </w:rPr>
        <w:footnoteRef/>
      </w:r>
      <w:r>
        <w:rPr/>
        <w:tab/>
        <w:t>Partizip, ist, "wie andere Partizipien im 1Petr, als Aufforderung zu übersetzen" (Brox, EKK XXI, S. 96)</w:t>
      </w:r>
    </w:p>
  </w:footnote>
  <w:footnote w:id="6894">
    <w:p>
      <w:pPr>
        <w:pStyle w:val="Funote"/>
        <w:rPr/>
      </w:pPr>
      <w:r>
        <w:rPr>
          <w:rStyle w:val="Funotenzeichen"/>
        </w:rPr>
        <w:footnoteRef/>
      </w:r>
      <w:r>
        <w:rPr/>
        <w:tab/>
        <w:t>Pl. = Sg.</w:t>
      </w:r>
    </w:p>
  </w:footnote>
  <w:footnote w:id="6895">
    <w:p>
      <w:pPr>
        <w:pStyle w:val="Funote"/>
        <w:rPr/>
      </w:pPr>
      <w:r>
        <w:rPr>
          <w:rStyle w:val="Funotenzeichen"/>
        </w:rPr>
        <w:footnoteRef/>
      </w:r>
      <w:r>
        <w:rPr/>
        <w:tab/>
        <w:t>BDR §275,1 Anm. 3</w:t>
      </w:r>
    </w:p>
  </w:footnote>
  <w:footnote w:id="6896">
    <w:p>
      <w:pPr>
        <w:pStyle w:val="Funote"/>
        <w:rPr/>
      </w:pPr>
      <w:r>
        <w:rPr>
          <w:rStyle w:val="Funotenzeichen"/>
        </w:rPr>
        <w:footnoteRef/>
      </w:r>
      <w:r>
        <w:rPr/>
        <w:tab/>
        <w:t>nicht: "als": der Skopos des Textes ist das Verlangen =&gt; Christen werden mit Säuglingen verglichen, nicht identifiziert wie 1.Korinther 3, Brox, EKK XXI, S. 91f</w:t>
      </w:r>
    </w:p>
  </w:footnote>
  <w:footnote w:id="6897">
    <w:p>
      <w:pPr>
        <w:pStyle w:val="Funote"/>
        <w:rPr/>
      </w:pPr>
      <w:r>
        <w:rPr>
          <w:rStyle w:val="Funotenzeichen"/>
        </w:rPr>
        <w:footnoteRef/>
      </w:r>
      <w:r>
        <w:rPr/>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898">
    <w:p>
      <w:pPr>
        <w:pStyle w:val="Funote"/>
        <w:rPr/>
      </w:pPr>
      <w:r>
        <w:rPr>
          <w:rStyle w:val="Funotenzeichen"/>
        </w:rPr>
        <w:footnoteRef/>
      </w:r>
      <w:r>
        <w:rPr/>
        <w:tab/>
        <w:t>Finalsatz</w:t>
      </w:r>
    </w:p>
  </w:footnote>
  <w:footnote w:id="6899">
    <w:p>
      <w:pPr>
        <w:pStyle w:val="Funote"/>
        <w:rPr/>
      </w:pPr>
      <w:r>
        <w:rPr>
          <w:rStyle w:val="Funotenzeichen"/>
        </w:rPr>
        <w:footnoteRef/>
      </w:r>
      <w:r>
        <w:rPr/>
        <w:tab/>
        <w:t>nicht konditional; es umschreibt eine Tatsache (Brox, EKK XXI, S. 93)</w:t>
      </w:r>
    </w:p>
  </w:footnote>
  <w:footnote w:id="6900">
    <w:p>
      <w:pPr>
        <w:pStyle w:val="Funote"/>
        <w:rPr/>
      </w:pPr>
      <w:r>
        <w:rPr>
          <w:rStyle w:val="Funotenzeichen"/>
        </w:rPr>
        <w:footnoteRef/>
      </w:r>
      <w:r>
        <w:rPr/>
        <w:tab/>
        <w:t>Partizip, als Aufforderung zu übersetzen, s.o.</w:t>
      </w:r>
    </w:p>
  </w:footnote>
  <w:footnote w:id="6901">
    <w:p>
      <w:pPr>
        <w:pStyle w:val="Funote"/>
        <w:rPr/>
      </w:pPr>
      <w:r>
        <w:rPr>
          <w:rStyle w:val="Funotenzeichen"/>
        </w:rPr>
        <w:footnoteRef/>
      </w:r>
      <w:r>
        <w:rPr>
          <w:lang w:val="el-GR"/>
        </w:rPr>
        <w:tab/>
        <w:t>πνευματικός</w:t>
      </w:r>
      <w:r>
        <w:rPr/>
        <w:t xml:space="preserve"> = den Geist betreffend</w:t>
      </w:r>
    </w:p>
  </w:footnote>
  <w:footnote w:id="6902">
    <w:p>
      <w:pPr>
        <w:pStyle w:val="Funote"/>
        <w:rPr/>
      </w:pPr>
      <w:r>
        <w:rPr>
          <w:rStyle w:val="Funotenzeichen"/>
        </w:rPr>
        <w:footnoteRef/>
      </w:r>
      <w:r>
        <w:rPr/>
        <w:tab/>
        <w:t>Partizip, relativisch aufgelöst</w:t>
      </w:r>
    </w:p>
  </w:footnote>
  <w:footnote w:id="6903">
    <w:p>
      <w:pPr>
        <w:pStyle w:val="Funote"/>
        <w:rPr/>
      </w:pPr>
      <w:r>
        <w:rPr>
          <w:rStyle w:val="Funotenzeichen"/>
        </w:rPr>
        <w:footnoteRef/>
      </w:r>
      <w:r>
        <w:rPr/>
        <w:tab/>
        <w:t>Partizip</w:t>
      </w:r>
    </w:p>
  </w:footnote>
  <w:footnote w:id="6904">
    <w:p>
      <w:pPr>
        <w:pStyle w:val="Funote"/>
        <w:rPr/>
      </w:pPr>
      <w:r>
        <w:rPr>
          <w:rStyle w:val="Funotenzeichen"/>
        </w:rPr>
        <w:footnoteRef/>
      </w:r>
      <w:r>
        <w:rPr/>
        <w:tab/>
        <w:t>Partizip</w:t>
      </w:r>
    </w:p>
  </w:footnote>
  <w:footnote w:id="6905">
    <w:p>
      <w:pPr>
        <w:pStyle w:val="Funote"/>
        <w:rPr/>
      </w:pPr>
      <w:r>
        <w:rPr>
          <w:rStyle w:val="Funotenzeichen"/>
        </w:rPr>
        <w:footnoteRef/>
      </w:r>
      <w:r>
        <w:rPr/>
        <w:tab/>
        <w:t>Wörtl.: das Anstößige, der Gegenstand der Entrüstung, der Anlass zur Sünde</w:t>
      </w:r>
    </w:p>
  </w:footnote>
  <w:footnote w:id="6906">
    <w:p>
      <w:pPr>
        <w:pStyle w:val="Funote"/>
        <w:rPr/>
      </w:pPr>
      <w:r>
        <w:rPr>
          <w:rStyle w:val="Funotenzeichen"/>
        </w:rPr>
        <w:footnoteRef/>
      </w:r>
      <w:r>
        <w:rPr/>
        <w:tab/>
        <w:t>Partizip, kausal aufgelöst</w:t>
      </w:r>
    </w:p>
  </w:footnote>
  <w:footnote w:id="6907">
    <w:p>
      <w:pPr>
        <w:pStyle w:val="Funote"/>
        <w:rPr/>
      </w:pPr>
      <w:r>
        <w:rPr>
          <w:rStyle w:val="Funotenzeichen"/>
        </w:rPr>
        <w:footnoteRef/>
      </w:r>
      <w:r>
        <w:rPr>
          <w:lang w:val="el-GR"/>
        </w:rPr>
        <w:tab/>
        <w:t>βασίλειον</w:t>
      </w:r>
      <w:r>
        <w:rPr/>
        <w:t xml:space="preserve"> ist aus dem Kontext von Exodus 19,6 in nominalem Sinn, also als Substantiv, zu verstehen (Brox, EKK XXI, S. 103, vgl. S. 98, Anm. 326)</w:t>
      </w:r>
    </w:p>
  </w:footnote>
  <w:footnote w:id="6908">
    <w:p>
      <w:pPr>
        <w:pStyle w:val="Funote"/>
        <w:rPr/>
      </w:pPr>
      <w:r>
        <w:rPr>
          <w:rStyle w:val="Funotenzeichen"/>
        </w:rPr>
        <w:footnoteRef/>
      </w:r>
      <w:r>
        <w:rPr/>
        <w:tab/>
        <w:t>Finalsatz</w:t>
      </w:r>
    </w:p>
  </w:footnote>
  <w:footnote w:id="6909">
    <w:p>
      <w:pPr>
        <w:pStyle w:val="Funote"/>
        <w:rPr/>
      </w:pPr>
      <w:r>
        <w:rPr>
          <w:rStyle w:val="Funotenzeichen"/>
        </w:rPr>
        <w:footnoteRef/>
      </w:r>
      <w:r>
        <w:rPr/>
        <w:tab/>
        <w:t>Partizip</w:t>
      </w:r>
    </w:p>
  </w:footnote>
  <w:footnote w:id="6910">
    <w:p>
      <w:pPr>
        <w:pStyle w:val="Funote"/>
        <w:rPr/>
      </w:pPr>
      <w:r>
        <w:rPr>
          <w:rStyle w:val="Funotenzeichen"/>
        </w:rPr>
        <w:footnoteRef/>
      </w:r>
      <w:r>
        <w:rPr/>
        <w:tab/>
        <w:t>Partizip</w:t>
      </w:r>
    </w:p>
  </w:footnote>
  <w:footnote w:id="6911">
    <w:p>
      <w:pPr>
        <w:pStyle w:val="Funote"/>
        <w:rPr/>
      </w:pPr>
      <w:r>
        <w:rPr>
          <w:rStyle w:val="Funotenzeichen"/>
        </w:rPr>
        <w:footnoteRef/>
      </w:r>
      <w:r>
        <w:rPr/>
        <w:tab/>
        <w:t>Es handelt sich hier um eine sog. Haustafel, in der einzelne Gruppen der Gemeinde angeredet werden.</w:t>
      </w:r>
    </w:p>
  </w:footnote>
  <w:footnote w:id="6912">
    <w:p>
      <w:pPr>
        <w:pStyle w:val="Funote"/>
        <w:rPr/>
      </w:pPr>
      <w:r>
        <w:rPr>
          <w:rStyle w:val="Funotenzeichen"/>
        </w:rPr>
        <w:footnoteRef/>
      </w:r>
      <w:r>
        <w:rPr/>
        <w:tab/>
        <w:t>Das Partizip ist hier im imperativischen Sinn gebraucht, s. BDR § 468.2.</w:t>
      </w:r>
    </w:p>
  </w:footnote>
  <w:footnote w:id="6913">
    <w:p>
      <w:pPr>
        <w:pStyle w:val="Funote"/>
        <w:rPr/>
      </w:pPr>
      <w:r>
        <w:rPr>
          <w:rStyle w:val="Funotenzeichen"/>
        </w:rPr>
        <w:footnoteRef/>
      </w:r>
      <w:hyperlink r:id="rId763">
        <w:r>
          <w:rPr>
            <w:rStyle w:val="Internetverknpfung"/>
          </w:rPr>
          <w:tab/>
          <w:t>Ptz. coni.</w:t>
        </w:r>
      </w:hyperlink>
      <w:r>
        <w:rPr/>
        <w:t>, konditional aufgelöst.</w:t>
      </w:r>
    </w:p>
  </w:footnote>
  <w:footnote w:id="6914">
    <w:p>
      <w:pPr>
        <w:pStyle w:val="Funote"/>
        <w:rPr/>
      </w:pPr>
      <w:r>
        <w:rPr>
          <w:rStyle w:val="Funotenzeichen"/>
        </w:rPr>
        <w:footnoteRef/>
      </w:r>
      <w:r>
        <w:rPr>
          <w:lang w:val="el-GR"/>
        </w:rPr>
        <w:tab/>
        <w:t>εἰ</w:t>
      </w:r>
      <w:r>
        <w:rPr/>
        <w:t xml:space="preserve"> mit Ind. hat keinen kausalen oder beschränkenden Nebenbegriff (BDR § 372,2), deshalb hier die Übersetzung „dass“.</w:t>
      </w:r>
    </w:p>
  </w:footnote>
  <w:footnote w:id="6915">
    <w:p>
      <w:pPr>
        <w:pStyle w:val="Funote"/>
        <w:rPr/>
      </w:pPr>
      <w:r>
        <w:rPr>
          <w:rStyle w:val="Funotenzeichen"/>
        </w:rPr>
        <w:footnoteRef/>
      </w:r>
      <w:r>
        <w:rPr/>
        <w:tab/>
        <w:t>Zwei Partizipien, wörtl.: dass ihr ertragt, als sich Verfehlende auch misshandelt Werdende zu sein.</w:t>
      </w:r>
    </w:p>
  </w:footnote>
  <w:footnote w:id="6916">
    <w:p>
      <w:pPr>
        <w:pStyle w:val="Funote"/>
        <w:rPr/>
      </w:pPr>
      <w:r>
        <w:rPr>
          <w:rStyle w:val="Funotenzeichen"/>
        </w:rPr>
        <w:footnoteRef/>
      </w:r>
      <w:r>
        <w:rPr/>
        <w:tab/>
        <w:t>Wieder mit zwei Partizipien konstruiert, wörtl.: dass ihr ertragt, als Rechtschaffene auch Leidende zu sein.</w:t>
      </w:r>
    </w:p>
  </w:footnote>
  <w:footnote w:id="6917">
    <w:p>
      <w:pPr>
        <w:pStyle w:val="Funote"/>
        <w:rPr/>
      </w:pPr>
      <w:r>
        <w:rPr>
          <w:rStyle w:val="Funotenzeichen"/>
        </w:rPr>
        <w:footnoteRef/>
      </w:r>
      <w:hyperlink r:id="rId764">
        <w:r>
          <w:rPr>
            <w:rStyle w:val="Internetverknpfung"/>
          </w:rPr>
          <w:tab/>
          <w:t>Ptz. coni.</w:t>
        </w:r>
      </w:hyperlink>
      <w:r>
        <w:rPr/>
        <w:t xml:space="preserve"> beiordnend aufgelöst.</w:t>
      </w:r>
    </w:p>
  </w:footnote>
  <w:footnote w:id="6918">
    <w:p>
      <w:pPr>
        <w:pStyle w:val="Funote"/>
        <w:rPr/>
      </w:pPr>
      <w:r>
        <w:rPr>
          <w:rStyle w:val="Funotenzeichen"/>
        </w:rPr>
        <w:footnoteRef/>
      </w:r>
      <w:r>
        <w:rPr/>
        <w:tab/>
        <w:t>Wörtl.: ein Schreibmuster, eine Vor-Schrift.</w:t>
      </w:r>
    </w:p>
  </w:footnote>
  <w:footnote w:id="6919">
    <w:p>
      <w:pPr>
        <w:pStyle w:val="Funote"/>
        <w:rPr/>
      </w:pPr>
      <w:r>
        <w:rPr>
          <w:rStyle w:val="Funotenzeichen"/>
        </w:rPr>
        <w:footnoteRef/>
      </w:r>
      <w:hyperlink r:id="rId765">
        <w:r>
          <w:rPr>
            <w:rStyle w:val="Internetverknpfung"/>
          </w:rPr>
          <w:tab/>
          <w:t>Ptz. coni.</w:t>
        </w:r>
      </w:hyperlink>
      <w:r>
        <w:rPr/>
        <w:t>, konzessiv aufgelöst.</w:t>
      </w:r>
    </w:p>
  </w:footnote>
  <w:footnote w:id="6920">
    <w:p>
      <w:pPr>
        <w:pStyle w:val="Funote"/>
        <w:rPr/>
      </w:pPr>
      <w:r>
        <w:rPr>
          <w:rStyle w:val="Funotenzeichen"/>
        </w:rPr>
        <w:footnoteRef/>
      </w:r>
      <w:hyperlink r:id="rId766">
        <w:r>
          <w:rPr>
            <w:rStyle w:val="Internetverknpfung"/>
          </w:rPr>
          <w:tab/>
          <w:t>Ptz. coni.</w:t>
        </w:r>
      </w:hyperlink>
      <w:r>
        <w:rPr/>
        <w:t>, konzessiv aufgelöst.</w:t>
      </w:r>
    </w:p>
  </w:footnote>
  <w:footnote w:id="6921">
    <w:p>
      <w:pPr>
        <w:pStyle w:val="Funote"/>
        <w:rPr/>
      </w:pPr>
      <w:r>
        <w:rPr>
          <w:rStyle w:val="Funotenzeichen"/>
        </w:rPr>
        <w:footnoteRef/>
      </w:r>
      <w:hyperlink r:id="rId767">
        <w:r>
          <w:rPr>
            <w:rStyle w:val="Internetverknpfung"/>
          </w:rPr>
          <w:tab/>
          <w:t>Ptz. coni.</w:t>
        </w:r>
      </w:hyperlink>
      <w:r>
        <w:rPr/>
        <w:t>, relativisch aufgelöst, oder: dem gerechten Richter.</w:t>
      </w:r>
    </w:p>
  </w:footnote>
  <w:footnote w:id="6922">
    <w:p>
      <w:pPr>
        <w:pStyle w:val="Funote"/>
        <w:rPr/>
      </w:pPr>
      <w:r>
        <w:rPr>
          <w:rStyle w:val="Funotenzeichen"/>
        </w:rPr>
        <w:footnoteRef/>
      </w:r>
      <w:hyperlink r:id="rId768">
        <w:r>
          <w:rPr>
            <w:rStyle w:val="Internetverknpfung"/>
          </w:rPr>
          <w:tab/>
          <w:t>Ptz. coni.</w:t>
        </w:r>
      </w:hyperlink>
      <w:r>
        <w:rPr/>
        <w:t>, kausal aufgelöst.</w:t>
      </w:r>
    </w:p>
  </w:footnote>
  <w:footnote w:id="6923">
    <w:p>
      <w:pPr>
        <w:pStyle w:val="Funote"/>
        <w:rPr/>
      </w:pPr>
      <w:r>
        <w:rPr>
          <w:rStyle w:val="Funotenzeichen"/>
        </w:rPr>
        <w:footnoteRef/>
      </w:r>
      <w:r>
        <w:rPr/>
        <w:tab/>
        <w:t>Wörtl.: Denn ihr wart wie Schafe Herumirrende.</w:t>
      </w:r>
    </w:p>
  </w:footnote>
  <w:footnote w:id="6924">
    <w:p>
      <w:pPr>
        <w:pStyle w:val="Funote"/>
        <w:rPr/>
      </w:pPr>
      <w:r>
        <w:rPr>
          <w:rStyle w:val="Funotenzeichen"/>
        </w:rPr>
        <w:footnoteRef/>
      </w:r>
      <w:r>
        <w:rPr/>
        <w:tab/>
        <w:t>Das „im Gegenteil“ ist nicht im Sinne eines Ausgleichs zu verstehen, sondern als Gegensatz.</w:t>
      </w:r>
    </w:p>
  </w:footnote>
  <w:footnote w:id="6925">
    <w:p>
      <w:pPr>
        <w:pStyle w:val="Funote"/>
        <w:rPr/>
      </w:pPr>
      <w:r>
        <w:rPr>
          <w:rStyle w:val="Funotenzeichen"/>
        </w:rPr>
        <w:footnoteRef/>
      </w:r>
      <w:r>
        <w:rPr>
          <w:lang w:val="el-GR"/>
        </w:rPr>
        <w:tab/>
        <w:t>ἐν ὧ</w:t>
      </w:r>
      <w:r>
        <w:rPr/>
        <w:t xml:space="preserve"> bezieht sich nicht auf </w:t>
      </w:r>
      <w:r>
        <w:rPr>
          <w:lang w:val="el-GR"/>
        </w:rPr>
        <w:t>πνεύματι</w:t>
      </w:r>
      <w:r>
        <w:rPr/>
        <w:t>, sondern ist eine relative temporale Konjunktion (wie 1,6 und 4,4), Brox, EKK XXI, S. 170.</w:t>
      </w:r>
    </w:p>
  </w:footnote>
  <w:footnote w:id="6926">
    <w:p>
      <w:pPr>
        <w:pStyle w:val="Funote"/>
        <w:rPr/>
      </w:pPr>
      <w:r>
        <w:rPr>
          <w:rStyle w:val="Funotenzeichen"/>
        </w:rPr>
        <w:footnoteRef/>
      </w:r>
      <w:r>
        <w:rPr/>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927">
    <w:p>
      <w:pPr>
        <w:pStyle w:val="Funote"/>
        <w:rPr/>
      </w:pPr>
      <w:r>
        <w:rPr>
          <w:rStyle w:val="Funotenzeichen"/>
        </w:rPr>
        <w:footnoteRef/>
      </w:r>
      <w:r>
        <w:rPr/>
        <w:tab/>
        <w:t>Das Wasser der Sintflut</w:t>
      </w:r>
    </w:p>
  </w:footnote>
  <w:footnote w:id="6928">
    <w:p>
      <w:pPr>
        <w:pStyle w:val="Funote"/>
        <w:rPr/>
      </w:pPr>
      <w:r>
        <w:rPr>
          <w:rStyle w:val="Funotenzeichen"/>
        </w:rPr>
        <w:footnoteRef/>
      </w:r>
      <w:r>
        <w:rPr/>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w:t>
      </w:r>
      <w:r>
        <w:rPr>
          <w:i/>
        </w:rPr>
        <w:t>stipulatio</w:t>
      </w:r>
      <w:r>
        <w:rPr/>
        <w:t xml:space="preserve"> ausgegangen …, so dass nicht die Bitte oder Anfrage gemeint sein muss, sondern ebenso gut die Zusage bzw. eine vertragliche Verpflichtung in Frage kommt" (Brox, EKK, S. 178).</w:t>
      </w:r>
    </w:p>
  </w:footnote>
  <w:footnote w:id="6929">
    <w:p>
      <w:pPr>
        <w:pStyle w:val="Funote"/>
        <w:rPr/>
      </w:pPr>
      <w:r>
        <w:rPr>
          <w:rStyle w:val="Funotenzeichen"/>
        </w:rPr>
        <w:footnoteRef/>
      </w:r>
      <w:hyperlink r:id="rId769">
        <w:r>
          <w:rPr>
            <w:rStyle w:val="Internetverknpfung"/>
          </w:rPr>
          <w:tab/>
          <w:t>Ptz. coni.</w:t>
        </w:r>
      </w:hyperlink>
      <w:r>
        <w:rPr/>
        <w:t>, temporal aufgelöst</w:t>
      </w:r>
    </w:p>
  </w:footnote>
  <w:footnote w:id="6930">
    <w:p>
      <w:pPr>
        <w:pStyle w:val="Funote"/>
        <w:rPr/>
      </w:pPr>
      <w:r>
        <w:rPr>
          <w:rStyle w:val="Funotenzeichen"/>
        </w:rPr>
        <w:footnoteRef/>
      </w:r>
      <w:r>
        <w:rPr/>
        <w:tab/>
        <w:t>Ptz. coni., beiordnend aufgelöst</w:t>
      </w:r>
    </w:p>
  </w:footnote>
  <w:footnote w:id="6931">
    <w:p>
      <w:pPr>
        <w:pStyle w:val="Funote"/>
        <w:rPr/>
      </w:pPr>
      <w:r>
        <w:rPr>
          <w:rStyle w:val="Funotenzeichen"/>
        </w:rPr>
        <w:footnoteRef/>
      </w:r>
      <w:r>
        <w:rPr/>
        <w:tab/>
        <w:t>[Status: Ungeprüft]</w:t>
      </w:r>
    </w:p>
  </w:footnote>
  <w:footnote w:id="6932">
    <w:p>
      <w:pPr>
        <w:pStyle w:val="Funote"/>
        <w:rPr/>
      </w:pPr>
      <w:r>
        <w:rPr>
          <w:rStyle w:val="Funotenzeichen"/>
        </w:rPr>
        <w:footnoteRef/>
      </w:r>
      <w:r>
        <w:rPr/>
        <w:tab/>
        <w:t xml:space="preserve">Amtsbezeichnung: Mitglied des Synagogenvorstandes, wie heutige Kirchenälteste/ -vorsteher. Hier gibt es zwei Möglichkeiten der Übersetzung: a) terminus technicus im Bereich der </w:t>
      </w:r>
      <w:r>
        <w:rPr>
          <w:lang w:val="el-GR"/>
        </w:rPr>
        <w:t>ἔθνη</w:t>
      </w:r>
      <w:r>
        <w:rPr/>
        <w:t>, bei den Vereinen der ‘Alten’ und zur Bezeichnung bürgerlicher wie sakraler Beamter, den die Christen übernahmen, oder b) das Alter im Ggs. zur jüngeren Generation, vgl. Vers 5.</w:t>
      </w:r>
    </w:p>
  </w:footnote>
  <w:footnote w:id="6933">
    <w:p>
      <w:pPr>
        <w:pStyle w:val="Funote"/>
        <w:rPr/>
      </w:pPr>
      <w:r>
        <w:rPr>
          <w:rStyle w:val="Funotenzeichen"/>
        </w:rPr>
        <w:footnoteRef/>
      </w:r>
      <w:r>
        <w:rPr>
          <w:lang w:val="el-GR"/>
        </w:rPr>
        <w:tab/>
        <w:t>οὖν</w:t>
      </w:r>
      <w:r>
        <w:rPr/>
        <w:t xml:space="preserve"> ist eine konsekutive koordinierende Konjugation (BDR § 451,1), die mir aber im 1.Petr eher die Funktion zu haben scheint, Abschnitte voneinander zu trennen, so 2,1.7; 4,1; 5,1.6.</w:t>
      </w:r>
    </w:p>
  </w:footnote>
  <w:footnote w:id="6934">
    <w:p>
      <w:pPr>
        <w:pStyle w:val="Funote"/>
        <w:rPr/>
      </w:pPr>
      <w:r>
        <w:rPr>
          <w:rStyle w:val="Funotenzeichen"/>
        </w:rPr>
        <w:footnoteRef/>
      </w:r>
      <w:hyperlink r:id="rId770">
        <w:r>
          <w:rPr>
            <w:rStyle w:val="Internetverknpfung"/>
          </w:rPr>
          <w:tab/>
          <w:t>Ptz. coni.</w:t>
        </w:r>
      </w:hyperlink>
    </w:p>
  </w:footnote>
  <w:footnote w:id="6935">
    <w:p>
      <w:pPr>
        <w:pStyle w:val="Funote"/>
        <w:rPr/>
      </w:pPr>
      <w:r>
        <w:rPr>
          <w:rStyle w:val="Funotenzeichen"/>
        </w:rPr>
        <w:footnoteRef/>
      </w:r>
      <w:hyperlink r:id="rId771">
        <w:r>
          <w:rPr>
            <w:rStyle w:val="Internetverknpfung"/>
          </w:rPr>
          <w:tab/>
          <w:t>Gen. abs.</w:t>
        </w:r>
      </w:hyperlink>
    </w:p>
  </w:footnote>
  <w:footnote w:id="6936">
    <w:p>
      <w:pPr>
        <w:pStyle w:val="Funote"/>
        <w:rPr/>
      </w:pPr>
      <w:r>
        <w:rPr>
          <w:rStyle w:val="Funotenzeichen"/>
        </w:rPr>
        <w:footnoteRef/>
      </w:r>
      <w:r>
        <w:rPr/>
        <w:tab/>
        <w:t>Zitat auch der grieschichen Bibelübersetzung Septuaginga, Sprüche 3,34</w:t>
      </w:r>
    </w:p>
  </w:footnote>
  <w:footnote w:id="6937">
    <w:p>
      <w:pPr>
        <w:pStyle w:val="Funote"/>
        <w:rPr/>
      </w:pPr>
      <w:r>
        <w:rPr>
          <w:rStyle w:val="Funotenzeichen"/>
        </w:rPr>
        <w:footnoteRef/>
      </w:r>
      <w:hyperlink r:id="rId772">
        <w:r>
          <w:rPr>
            <w:rStyle w:val="Internetverknpfung"/>
          </w:rPr>
          <w:tab/>
          <w:t>Ptz. coni.</w:t>
        </w:r>
      </w:hyperlink>
    </w:p>
  </w:footnote>
  <w:footnote w:id="6938">
    <w:p>
      <w:pPr>
        <w:pStyle w:val="Funote"/>
        <w:rPr/>
      </w:pPr>
      <w:r>
        <w:rPr>
          <w:rStyle w:val="Funotenzeichen"/>
        </w:rPr>
        <w:footnoteRef/>
      </w:r>
      <w:hyperlink r:id="rId773">
        <w:r>
          <w:rPr>
            <w:rStyle w:val="Internetverknpfung"/>
          </w:rPr>
          <w:tab/>
          <w:t>Ptz. coni.</w:t>
        </w:r>
      </w:hyperlink>
    </w:p>
  </w:footnote>
  <w:footnote w:id="6939">
    <w:p>
      <w:pPr>
        <w:pStyle w:val="Funote"/>
        <w:rPr/>
      </w:pPr>
      <w:r>
        <w:rPr>
          <w:rStyle w:val="Funotenzeichen"/>
        </w:rPr>
        <w:footnoteRef/>
      </w:r>
      <w:hyperlink r:id="rId774">
        <w:r>
          <w:rPr>
            <w:rStyle w:val="Internetverknpfung"/>
          </w:rPr>
          <w:tab/>
          <w:t>Ptz. coni.</w:t>
        </w:r>
      </w:hyperlink>
    </w:p>
  </w:footnote>
  <w:footnote w:id="6940">
    <w:p>
      <w:pPr>
        <w:pStyle w:val="Funote"/>
        <w:rPr/>
      </w:pPr>
      <w:r>
        <w:rPr>
          <w:rStyle w:val="Funotenzeichen"/>
        </w:rPr>
        <w:footnoteRef/>
      </w:r>
      <w:hyperlink r:id="rId775">
        <w:r>
          <w:rPr>
            <w:rStyle w:val="Internetverknpfung"/>
          </w:rPr>
          <w:tab/>
          <w:t>Ptz. coni.</w:t>
        </w:r>
      </w:hyperlink>
    </w:p>
  </w:footnote>
  <w:footnote w:id="6941">
    <w:p>
      <w:pPr>
        <w:pStyle w:val="Funote"/>
        <w:rPr/>
      </w:pPr>
      <w:r>
        <w:rPr>
          <w:rStyle w:val="Funotenzeichen"/>
        </w:rPr>
        <w:footnoteRef/>
      </w:r>
      <w:hyperlink r:id="rId776">
        <w:r>
          <w:rPr>
            <w:rStyle w:val="Internetverknpfung"/>
          </w:rPr>
          <w:tab/>
          <w:t>Ptz. coni.</w:t>
        </w:r>
      </w:hyperlink>
    </w:p>
  </w:footnote>
  <w:footnote w:id="6942">
    <w:p>
      <w:pPr>
        <w:pStyle w:val="Funote"/>
        <w:rPr/>
      </w:pPr>
      <w:r>
        <w:rPr>
          <w:rStyle w:val="Funotenzeichen"/>
        </w:rPr>
        <w:footnoteRef/>
      </w:r>
      <w:r>
        <w:rPr>
          <w:lang w:val="el-GR"/>
        </w:rPr>
        <w:tab/>
        <w:t>εἰς = ἐν</w:t>
      </w:r>
      <w:r>
        <w:rPr/>
        <w:t>, BDR § 205.</w:t>
      </w:r>
    </w:p>
  </w:footnote>
  <w:footnote w:id="6943">
    <w:p>
      <w:pPr>
        <w:pStyle w:val="Funote"/>
        <w:rPr/>
      </w:pPr>
      <w:r>
        <w:rPr>
          <w:rStyle w:val="Funotenzeichen"/>
        </w:rPr>
        <w:footnoteRef/>
      </w:r>
      <w:r>
        <w:rPr/>
        <w:tab/>
        <w:t xml:space="preserve">Hier keine konkrete Ortsangabe, sondern die gottfeindliche Weltmacht Rom, vgl. die Lesart </w:t>
      </w:r>
      <w:r>
        <w:rPr>
          <w:lang w:val="el-GR"/>
        </w:rPr>
        <w:t>Ρωμη</w:t>
      </w:r>
      <w:r>
        <w:rPr/>
        <w:t xml:space="preserve"> bei einigen Minuskeln, BW Sp. 261. Es handelt sich um ein „Kryptogramm …, d.h. eine chiffrierte Auskunft, die aus der Sprache der frühjüdischen Apokalyptik nach dem Jahre 70 n. Chr. stammt und zweifellos Rom meint“ (Brox, S. 247)</w:t>
      </w:r>
    </w:p>
  </w:footnote>
  <w:footnote w:id="6944">
    <w:p>
      <w:pPr>
        <w:pStyle w:val="Funote"/>
        <w:rPr/>
      </w:pPr>
      <w:r>
        <w:rPr>
          <w:rStyle w:val="Funotenzeichen"/>
        </w:rPr>
        <w:footnoteRef/>
      </w:r>
      <w:r>
        <w:rPr/>
        <w:tab/>
        <w:t>Gemeint ist nicht Petrus’ Ehefrau, sondern die Gemeinde, bei der er sich aufhält, BW Sp. 1570.</w:t>
      </w:r>
    </w:p>
  </w:footnote>
  <w:footnote w:id="6945">
    <w:p>
      <w:pPr>
        <w:pStyle w:val="Funote"/>
        <w:rPr/>
      </w:pPr>
      <w:r>
        <w:rPr>
          <w:rStyle w:val="Funotenzeichen"/>
        </w:rPr>
        <w:footnoteRef/>
      </w:r>
      <w:r>
        <w:rPr/>
        <w:tab/>
        <w:t>Semitisierende Namensform für den griechischen Namen Simon.</w:t>
      </w:r>
    </w:p>
  </w:footnote>
  <w:footnote w:id="6946">
    <w:p>
      <w:pPr>
        <w:pStyle w:val="Funote"/>
        <w:rPr/>
      </w:pPr>
      <w:r>
        <w:rPr>
          <w:rStyle w:val="Funotenzeichen"/>
        </w:rPr>
        <w:footnoteRef/>
      </w:r>
      <w:r>
        <w:rPr/>
        <w:tab/>
        <w:t>Antikes Briefformular: Der Absender</w:t>
      </w:r>
    </w:p>
  </w:footnote>
  <w:footnote w:id="6947">
    <w:p>
      <w:pPr>
        <w:pStyle w:val="Funote"/>
        <w:rPr/>
      </w:pPr>
      <w:r>
        <w:rPr>
          <w:rStyle w:val="Funotenzeichen"/>
        </w:rPr>
        <w:footnoteRef/>
      </w:r>
      <w:hyperlink r:id="rId777">
        <w:r>
          <w:rPr>
            <w:rStyle w:val="Internetverknpfung"/>
          </w:rPr>
          <w:tab/>
          <w:t>Ptz. coni.</w:t>
        </w:r>
      </w:hyperlink>
      <w:r>
        <w:rPr/>
        <w:t>, relativisch aufgelöst</w:t>
      </w:r>
    </w:p>
  </w:footnote>
  <w:footnote w:id="6948">
    <w:p>
      <w:pPr>
        <w:pStyle w:val="Funote"/>
        <w:rPr/>
      </w:pPr>
      <w:r>
        <w:rPr>
          <w:rStyle w:val="Funotenzeichen"/>
        </w:rPr>
        <w:footnoteRef/>
      </w:r>
      <w:r>
        <w:rPr/>
        <w:tab/>
        <w:t>Antikes Briefformular: Der Empfänger</w:t>
      </w:r>
    </w:p>
  </w:footnote>
  <w:footnote w:id="6949">
    <w:p>
      <w:pPr>
        <w:pStyle w:val="Funote"/>
        <w:rPr/>
      </w:pPr>
      <w:r>
        <w:rPr>
          <w:rStyle w:val="Funotenzeichen"/>
        </w:rPr>
        <w:footnoteRef/>
      </w:r>
      <w:r>
        <w:rPr/>
        <w:tab/>
        <w:t>Antikes Briefformular: Der Eingangsgruß</w:t>
      </w:r>
    </w:p>
  </w:footnote>
  <w:footnote w:id="6950">
    <w:p>
      <w:pPr>
        <w:pStyle w:val="Funote"/>
        <w:rPr/>
      </w:pPr>
      <w:r>
        <w:rPr>
          <w:rStyle w:val="Funotenzeichen"/>
        </w:rPr>
        <w:footnoteRef/>
      </w:r>
      <w:hyperlink r:id="rId778">
        <w:r>
          <w:rPr>
            <w:rStyle w:val="Internetverknpfung"/>
          </w:rPr>
          <w:tab/>
          <w:t>Ptz. coni.</w:t>
        </w:r>
      </w:hyperlink>
      <w:r>
        <w:rPr/>
        <w:t>, relativisch aufgelöst</w:t>
      </w:r>
    </w:p>
  </w:footnote>
  <w:footnote w:id="6951">
    <w:p>
      <w:pPr>
        <w:pStyle w:val="Funote"/>
        <w:rPr/>
      </w:pPr>
      <w:r>
        <w:rPr>
          <w:rStyle w:val="Funotenzeichen"/>
        </w:rPr>
        <w:footnoteRef/>
      </w:r>
      <w:r>
        <w:rPr/>
        <w:tab/>
        <w:t>Gemeint ist an dieser Stelle: die Bekehrung zum christlichen Glauben</w:t>
      </w:r>
    </w:p>
  </w:footnote>
  <w:footnote w:id="6952">
    <w:p>
      <w:pPr>
        <w:pStyle w:val="Funote"/>
        <w:rPr/>
      </w:pPr>
      <w:r>
        <w:rPr>
          <w:rStyle w:val="Funotenzeichen"/>
        </w:rPr>
        <w:footnoteRef/>
      </w:r>
      <w:hyperlink r:id="rId779">
        <w:r>
          <w:rPr>
            <w:rStyle w:val="Internetverknpfung"/>
          </w:rPr>
          <w:tab/>
          <w:t>Ptz. coni.</w:t>
        </w:r>
      </w:hyperlink>
      <w:r>
        <w:rPr/>
        <w:t>, relativisch aufgelöst</w:t>
      </w:r>
    </w:p>
  </w:footnote>
  <w:footnote w:id="6953">
    <w:p>
      <w:pPr>
        <w:pStyle w:val="Funote"/>
        <w:rPr/>
      </w:pPr>
      <w:r>
        <w:rPr>
          <w:rStyle w:val="Funotenzeichen"/>
        </w:rPr>
        <w:footnoteRef/>
      </w:r>
      <w:r>
        <w:rPr/>
        <w:tab/>
        <w:t>Superlativ, einzige Stelle, an der er im NT vorkommt, als Elativ übersetzt</w:t>
      </w:r>
    </w:p>
  </w:footnote>
  <w:footnote w:id="6954">
    <w:p>
      <w:pPr>
        <w:pStyle w:val="Funote"/>
        <w:rPr/>
      </w:pPr>
      <w:r>
        <w:rPr>
          <w:rStyle w:val="Funotenzeichen"/>
        </w:rPr>
        <w:footnoteRef/>
      </w:r>
      <w:hyperlink r:id="rId780">
        <w:r>
          <w:rPr>
            <w:rStyle w:val="Internetverknpfung"/>
          </w:rPr>
          <w:tab/>
          <w:t>Ptz. coni.</w:t>
        </w:r>
      </w:hyperlink>
      <w:r>
        <w:rPr/>
        <w:t>, modal aufgelöst</w:t>
      </w:r>
    </w:p>
  </w:footnote>
  <w:footnote w:id="6955">
    <w:p>
      <w:pPr>
        <w:pStyle w:val="Funote"/>
        <w:rPr/>
      </w:pPr>
      <w:r>
        <w:rPr>
          <w:rStyle w:val="Funotenzeichen"/>
        </w:rPr>
        <w:footnoteRef/>
      </w:r>
      <w:r>
        <w:rPr/>
        <w:tab/>
        <w:t>Die folgenden Begriffe haben im Griech. alle einen Artikel; im Deutschen kann man die Klimax mit und ohne Artikel wiedergeben.</w:t>
      </w:r>
    </w:p>
  </w:footnote>
  <w:footnote w:id="6956">
    <w:p>
      <w:pPr>
        <w:pStyle w:val="Funote"/>
        <w:rPr/>
      </w:pPr>
      <w:r>
        <w:rPr>
          <w:rStyle w:val="Funotenzeichen"/>
        </w:rPr>
        <w:footnoteRef/>
      </w:r>
      <w:hyperlink r:id="rId781">
        <w:r>
          <w:rPr>
            <w:rStyle w:val="Internetverknpfung"/>
          </w:rPr>
          <w:tab/>
          <w:t>Ptz. coni.</w:t>
        </w:r>
      </w:hyperlink>
      <w:r>
        <w:rPr/>
        <w:t>, kausal aufgelöst</w:t>
      </w:r>
    </w:p>
  </w:footnote>
  <w:footnote w:id="6957">
    <w:p>
      <w:pPr>
        <w:pStyle w:val="Funote"/>
        <w:rPr/>
      </w:pPr>
      <w:r>
        <w:rPr>
          <w:rStyle w:val="Funotenzeichen"/>
        </w:rPr>
        <w:footnoteRef/>
      </w:r>
      <w:r>
        <w:rPr/>
        <w:tab/>
        <w:t>Gemeint ist: die Liebe (Agape).</w:t>
      </w:r>
    </w:p>
  </w:footnote>
  <w:footnote w:id="6958">
    <w:p>
      <w:pPr>
        <w:pStyle w:val="Funote"/>
        <w:rPr/>
      </w:pPr>
      <w:r>
        <w:rPr>
          <w:rStyle w:val="Funotenzeichen"/>
        </w:rPr>
        <w:footnoteRef/>
      </w:r>
      <w:r>
        <w:rPr/>
        <w:tab/>
        <w:t>BW, Sp. 1050. Wörtl.: Ist blind, kurzsichtig seiend. Hier liegt ein Wortspiel ähnlich unseres "Den Wald vor lauter Bäumen nicht sehen" vor.</w:t>
      </w:r>
    </w:p>
  </w:footnote>
  <w:footnote w:id="6959">
    <w:p>
      <w:pPr>
        <w:pStyle w:val="Funote"/>
        <w:rPr/>
      </w:pPr>
      <w:r>
        <w:rPr>
          <w:rStyle w:val="Funotenzeichen"/>
        </w:rPr>
        <w:footnoteRef/>
      </w:r>
      <w:r>
        <w:rPr/>
        <w:tab/>
        <w:t>Wörtl.: Brüder</w:t>
      </w:r>
    </w:p>
  </w:footnote>
  <w:footnote w:id="6960">
    <w:p>
      <w:pPr>
        <w:pStyle w:val="Funote"/>
        <w:rPr/>
      </w:pPr>
      <w:r>
        <w:rPr>
          <w:rStyle w:val="Funotenzeichen"/>
        </w:rPr>
        <w:footnoteRef/>
      </w:r>
      <w:r>
        <w:rPr/>
        <w:tab/>
        <w:t>Ptz. coni., konditional aufgelöst</w:t>
      </w:r>
    </w:p>
  </w:footnote>
  <w:footnote w:id="6961">
    <w:p>
      <w:pPr>
        <w:pStyle w:val="Funote"/>
        <w:rPr>
          <w:lang w:val="el-GR"/>
        </w:rPr>
      </w:pPr>
      <w:r>
        <w:rPr>
          <w:rStyle w:val="Funotenzeichen"/>
        </w:rPr>
        <w:footnoteRef/>
      </w:r>
      <w:r>
        <w:rPr>
          <w:lang w:val="el-GR"/>
        </w:rPr>
        <w:tab/>
        <w:t>ἀγαπητοί</w:t>
      </w:r>
    </w:p>
  </w:footnote>
  <w:footnote w:id="6962">
    <w:p>
      <w:pPr>
        <w:pStyle w:val="Funote"/>
        <w:rPr/>
      </w:pPr>
      <w:r>
        <w:rPr>
          <w:rStyle w:val="Funotenzeichen"/>
        </w:rPr>
        <w:footnoteRef/>
      </w:r>
      <w:r>
        <w:rPr>
          <w:lang w:val="el-GR"/>
        </w:rPr>
        <w:tab/>
        <w:t>ῥοιζηδὸν</w:t>
      </w:r>
      <w:r>
        <w:rPr/>
        <w:t xml:space="preserve"> (adv.): „mit lautem Geräusch“, </w:t>
      </w:r>
      <w:hyperlink r:id="rId782">
        <w:r>
          <w:rPr>
            <w:rStyle w:val="Internetverknpfung"/>
          </w:rPr>
          <w:t>hapax legomenon</w:t>
        </w:r>
      </w:hyperlink>
    </w:p>
  </w:footnote>
  <w:footnote w:id="6963">
    <w:p>
      <w:pPr>
        <w:pStyle w:val="Funote"/>
        <w:rPr/>
      </w:pPr>
      <w:r>
        <w:rPr>
          <w:rStyle w:val="Funotenzeichen"/>
        </w:rPr>
        <w:footnoteRef/>
      </w:r>
      <w:r>
        <w:rPr/>
        <w:tab/>
        <w:t xml:space="preserve">unklar: „werden </w:t>
      </w:r>
      <w:r>
        <w:rPr>
          <w:i/>
        </w:rPr>
        <w:t>nicht</w:t>
      </w:r>
      <w:r>
        <w:rPr/>
        <w:t xml:space="preserve"> gefunden“ oder „werden vom Urteil gefunden“ bzw. freier: „werden ihr Urteil finden“?</w:t>
      </w:r>
    </w:p>
  </w:footnote>
  <w:footnote w:id="6964">
    <w:p>
      <w:pPr>
        <w:pStyle w:val="Funote"/>
        <w:rPr/>
      </w:pPr>
      <w:r>
        <w:rPr>
          <w:rStyle w:val="Funotenzeichen"/>
        </w:rPr>
        <w:footnoteRef/>
      </w:r>
      <w:r>
        <w:rPr/>
        <w:tab/>
        <w:t>Part. conj.</w:t>
      </w:r>
    </w:p>
  </w:footnote>
  <w:footnote w:id="6965">
    <w:p>
      <w:pPr>
        <w:pStyle w:val="Funote"/>
        <w:rPr/>
      </w:pPr>
      <w:r>
        <w:rPr>
          <w:rStyle w:val="Funotenzeichen"/>
        </w:rPr>
        <w:footnoteRef/>
      </w:r>
      <w:r>
        <w:rPr/>
        <w:tab/>
        <w:t>[Status: Ungeprüft]</w:t>
      </w:r>
    </w:p>
  </w:footnote>
  <w:footnote w:id="6966">
    <w:p>
      <w:pPr>
        <w:pStyle w:val="Funote"/>
        <w:rPr/>
      </w:pPr>
      <w:r>
        <w:rPr>
          <w:rStyle w:val="Funotenzeichen"/>
        </w:rPr>
        <w:footnoteRef/>
      </w:r>
      <w:r>
        <w:rPr/>
        <w:tab/>
        <w:t>[Status: Ungeprüft]</w:t>
      </w:r>
    </w:p>
  </w:footnote>
  <w:footnote w:id="6967">
    <w:p>
      <w:pPr>
        <w:pStyle w:val="Funote"/>
        <w:rPr/>
      </w:pPr>
      <w:r>
        <w:rPr>
          <w:rStyle w:val="Funotenzeichen"/>
        </w:rPr>
        <w:footnoteRef/>
      </w:r>
      <w:r>
        <w:rPr/>
        <w:tab/>
        <w:t>Kann gen. subi. (die Liebe aus Gott, von Gott) oder gen. obi. (die Liebe zu Gott) sein. (Haubeck/Siebenthal nennt außerdem gen. qualitates, "die göttliche(Art der) Liebe")</w:t>
      </w:r>
    </w:p>
  </w:footnote>
  <w:footnote w:id="6968">
    <w:p>
      <w:pPr>
        <w:pStyle w:val="Funote"/>
        <w:rPr/>
      </w:pPr>
      <w:r>
        <w:rPr>
          <w:rStyle w:val="Funotenzeichen"/>
        </w:rPr>
        <w:footnoteRef/>
      </w:r>
      <w:r>
        <w:rPr/>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969">
    <w:p>
      <w:pPr>
        <w:pStyle w:val="Funote"/>
        <w:rPr/>
      </w:pPr>
      <w:r>
        <w:rPr>
          <w:rStyle w:val="Funotenzeichen"/>
        </w:rPr>
        <w:footnoteRef/>
      </w:r>
      <w:r>
        <w:rPr/>
        <w:tab/>
        <w:t>D.h. „in dem Liebenden“ oder möglicherweise auch „im Licht“.</w:t>
      </w:r>
    </w:p>
  </w:footnote>
  <w:footnote w:id="6970">
    <w:p>
      <w:pPr>
        <w:pStyle w:val="Funote"/>
        <w:rPr/>
      </w:pPr>
      <w:r>
        <w:rPr>
          <w:rStyle w:val="Funotenzeichen"/>
        </w:rPr>
        <w:footnoteRef/>
      </w:r>
      <w:r>
        <w:rPr/>
        <w:tab/>
        <w:t>Meint wohl den Heiligen Geist.</w:t>
      </w:r>
    </w:p>
  </w:footnote>
  <w:footnote w:id="6971">
    <w:p>
      <w:pPr>
        <w:pStyle w:val="Funote"/>
        <w:rPr/>
      </w:pPr>
      <w:r>
        <w:rPr>
          <w:rStyle w:val="Funotenzeichen"/>
        </w:rPr>
        <w:footnoteRef/>
      </w:r>
      <w:r>
        <w:rPr/>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972">
    <w:p>
      <w:pPr>
        <w:pStyle w:val="Funote"/>
        <w:rPr/>
      </w:pPr>
      <w:r>
        <w:rPr>
          <w:rStyle w:val="Funotenzeichen"/>
        </w:rPr>
        <w:footnoteRef/>
      </w:r>
      <w:r>
        <w:rPr/>
        <w:tab/>
        <w:t xml:space="preserve">Die Übersetzung folgt SBL. NA28 fügt nach </w:t>
      </w:r>
      <w:r>
        <w:rPr>
          <w:lang w:val="el-GR"/>
        </w:rPr>
        <w:t>ὅτι</w:t>
      </w:r>
      <w:r>
        <w:rPr/>
        <w:t xml:space="preserve"> (dass) </w:t>
      </w:r>
      <w:r>
        <w:rPr>
          <w:lang w:val="el-GR"/>
        </w:rPr>
        <w:t>καὶ</w:t>
      </w:r>
      <w:r>
        <w:rPr/>
        <w:t xml:space="preserve"> (auch) an.</w:t>
      </w:r>
    </w:p>
  </w:footnote>
  <w:footnote w:id="6973">
    <w:p>
      <w:pPr>
        <w:pStyle w:val="Funote"/>
        <w:rPr/>
      </w:pPr>
      <w:r>
        <w:rPr>
          <w:rStyle w:val="Funotenzeichen"/>
        </w:rPr>
        <w:footnoteRef/>
      </w:r>
      <w:r>
        <w:rPr/>
        <w:tab/>
        <w:t>[Status: Ungeprüft]</w:t>
      </w:r>
    </w:p>
  </w:footnote>
  <w:footnote w:id="6974">
    <w:p>
      <w:pPr>
        <w:pStyle w:val="Funote"/>
        <w:rPr/>
      </w:pPr>
      <w:r>
        <w:rPr>
          <w:rStyle w:val="Funotenzeichen"/>
        </w:rPr>
        <w:footnoteRef/>
      </w:r>
      <w:r>
        <w:rPr/>
        <w:tab/>
        <w:t>D.h. Gottes.</w:t>
      </w:r>
    </w:p>
  </w:footnote>
  <w:footnote w:id="6975">
    <w:p>
      <w:pPr>
        <w:pStyle w:val="Funote"/>
        <w:rPr/>
      </w:pPr>
      <w:r>
        <w:rPr>
          <w:rStyle w:val="Funotenzeichen"/>
        </w:rPr>
        <w:footnoteRef/>
      </w:r>
      <w:r>
        <w:rPr/>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976">
    <w:p>
      <w:pPr>
        <w:pStyle w:val="Funote"/>
        <w:rPr/>
      </w:pPr>
      <w:r>
        <w:rPr>
          <w:rStyle w:val="Funotenzeichen"/>
        </w:rPr>
        <w:footnoteRef/>
      </w:r>
      <w:r>
        <w:rPr/>
        <w:tab/>
        <w:t xml:space="preserve">Die Übersetzung folgt SBL. Ähnlich wie in Vers 13 beginnt NA27 den Satz mit </w:t>
      </w:r>
      <w:r>
        <w:rPr>
          <w:lang w:val="el-GR"/>
        </w:rPr>
        <w:t>καὶ</w:t>
      </w:r>
      <w:r>
        <w:rPr/>
        <w:t xml:space="preserve"> in eckigen Klammern.</w:t>
      </w:r>
    </w:p>
  </w:footnote>
  <w:footnote w:id="6977">
    <w:p>
      <w:pPr>
        <w:pStyle w:val="Funote"/>
        <w:rPr/>
      </w:pPr>
      <w:r>
        <w:rPr>
          <w:rStyle w:val="Funotenzeichen"/>
        </w:rPr>
        <w:footnoteRef/>
      </w:r>
      <w:r>
        <w:rPr/>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978">
    <w:p>
      <w:pPr>
        <w:pStyle w:val="Funote"/>
        <w:rPr/>
      </w:pPr>
      <w:r>
        <w:rPr>
          <w:rStyle w:val="Funotenzeichen"/>
        </w:rPr>
        <w:footnoteRef/>
      </w:r>
      <w:r>
        <w:rPr/>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979">
    <w:p>
      <w:pPr>
        <w:pStyle w:val="Funote"/>
        <w:rPr/>
      </w:pPr>
      <w:r>
        <w:rPr>
          <w:rStyle w:val="Funotenzeichen"/>
        </w:rPr>
        <w:footnoteRef/>
      </w:r>
      <w:r>
        <w:rPr/>
        <w:tab/>
        <w:t>[Status: Ungeprüft]</w:t>
      </w:r>
    </w:p>
  </w:footnote>
  <w:footnote w:id="6980">
    <w:p>
      <w:pPr>
        <w:pStyle w:val="Funote"/>
        <w:rPr/>
      </w:pPr>
      <w:r>
        <w:rPr>
          <w:rStyle w:val="Funotenzeichen"/>
        </w:rPr>
        <w:footnoteRef/>
      </w:r>
      <w:r>
        <w:rPr/>
        <w:tab/>
        <w:t xml:space="preserve">Oder „dass Jesus Christus im Fleisch gekommen ist“. Attr. </w:t>
      </w:r>
      <w:hyperlink r:id="rId783">
        <w:r>
          <w:rPr>
            <w:rStyle w:val="Internetverknpfung"/>
          </w:rPr>
          <w:t>Partizip</w:t>
        </w:r>
      </w:hyperlink>
      <w:r>
        <w:rPr/>
        <w:t xml:space="preserve"> Pf. </w:t>
      </w:r>
    </w:p>
  </w:footnote>
  <w:footnote w:id="6981">
    <w:p>
      <w:pPr>
        <w:pStyle w:val="Funote"/>
        <w:rPr/>
      </w:pPr>
      <w:r>
        <w:rPr>
          <w:rStyle w:val="Funotenzeichen"/>
        </w:rPr>
        <w:footnoteRef/>
      </w:r>
      <w:r>
        <w:rPr/>
        <w:tab/>
        <w:t>W. „dieser“</w:t>
      </w:r>
    </w:p>
  </w:footnote>
  <w:footnote w:id="6982">
    <w:p>
      <w:pPr>
        <w:pStyle w:val="Funote"/>
        <w:rPr/>
      </w:pPr>
      <w:r>
        <w:rPr>
          <w:rStyle w:val="Funotenzeichen"/>
        </w:rPr>
        <w:footnoteRef/>
      </w:r>
      <w:r>
        <w:rPr/>
        <w:tab/>
        <w:t xml:space="preserve">W. „der Gott Kennende“. Subst. </w:t>
      </w:r>
      <w:hyperlink r:id="rId784">
        <w:r>
          <w:rPr>
            <w:rStyle w:val="Internetverknpfung"/>
          </w:rPr>
          <w:t>Partizip</w:t>
        </w:r>
      </w:hyperlink>
      <w:r>
        <w:rPr/>
        <w:t xml:space="preserve">, mit Relativsatz aufgelöst. </w:t>
      </w:r>
    </w:p>
  </w:footnote>
  <w:footnote w:id="6983">
    <w:p>
      <w:pPr>
        <w:pStyle w:val="Funote"/>
        <w:rPr/>
      </w:pPr>
      <w:r>
        <w:rPr>
          <w:rStyle w:val="Funotenzeichen"/>
        </w:rPr>
        <w:footnoteRef/>
      </w:r>
      <w:r>
        <w:rPr/>
        <w:tab/>
        <w:t xml:space="preserve">Kohortativer </w:t>
      </w:r>
      <w:hyperlink r:id="rId785">
        <w:r>
          <w:rPr>
            <w:rStyle w:val="Internetverknpfung"/>
          </w:rPr>
          <w:t>Konjunktiv</w:t>
        </w:r>
      </w:hyperlink>
    </w:p>
  </w:footnote>
  <w:footnote w:id="6984">
    <w:p>
      <w:pPr>
        <w:pStyle w:val="Funote"/>
        <w:rPr/>
      </w:pPr>
      <w:r>
        <w:rPr>
          <w:rStyle w:val="Funotenzeichen"/>
        </w:rPr>
        <w:footnoteRef/>
      </w:r>
      <w:r>
        <w:rPr/>
        <w:tab/>
        <w:t xml:space="preserve">W. „jeder {der} Liebende“. Subst. </w:t>
      </w:r>
      <w:hyperlink r:id="rId786">
        <w:r>
          <w:rPr>
            <w:rStyle w:val="Internetverknpfung"/>
          </w:rPr>
          <w:t>Partizip</w:t>
        </w:r>
      </w:hyperlink>
      <w:r>
        <w:rPr/>
        <w:t xml:space="preserve">, mit Relativsatz aufgelöst. Anders als in V. 6 steht hier ausdrücklich „jeder“. </w:t>
      </w:r>
    </w:p>
  </w:footnote>
  <w:footnote w:id="6985">
    <w:p>
      <w:pPr>
        <w:pStyle w:val="Funote"/>
        <w:rPr/>
      </w:pPr>
      <w:r>
        <w:rPr>
          <w:rStyle w:val="Funotenzeichen"/>
        </w:rPr>
        <w:footnoteRef/>
      </w:r>
      <w:r>
        <w:rPr/>
        <w:tab/>
        <w:t xml:space="preserve">Beim gr. </w:t>
      </w:r>
      <w:hyperlink r:id="rId787">
        <w:r>
          <w:rPr>
            <w:rStyle w:val="Internetverknpfung"/>
          </w:rPr>
          <w:t>Perfekt</w:t>
        </w:r>
      </w:hyperlink>
      <w:r>
        <w:rPr/>
        <w:t xml:space="preserve"> steht das gegenwärtige Ergebnis einer vergangenen Handlung im Vordergrund. </w:t>
      </w:r>
    </w:p>
  </w:footnote>
  <w:footnote w:id="6986">
    <w:p>
      <w:pPr>
        <w:pStyle w:val="Funote"/>
        <w:rPr/>
      </w:pPr>
      <w:r>
        <w:rPr>
          <w:rStyle w:val="Funotenzeichen"/>
        </w:rPr>
        <w:footnoteRef/>
      </w:r>
      <w:r>
        <w:rPr/>
        <w:tab/>
        <w:t xml:space="preserve">W. „der nicht Liebende“. Subst. </w:t>
      </w:r>
      <w:hyperlink r:id="rId788">
        <w:r>
          <w:rPr>
            <w:rStyle w:val="Internetverknpfung"/>
          </w:rPr>
          <w:t>Partizip</w:t>
        </w:r>
      </w:hyperlink>
      <w:r>
        <w:rPr/>
        <w:t xml:space="preserve">, mit Relativsatz aufgelöst (vgl. V. 6). </w:t>
      </w:r>
    </w:p>
  </w:footnote>
  <w:footnote w:id="6987">
    <w:p>
      <w:pPr>
        <w:pStyle w:val="Funote"/>
        <w:rPr/>
      </w:pPr>
      <w:r>
        <w:rPr>
          <w:rStyle w:val="Funotenzeichen"/>
        </w:rPr>
        <w:footnoteRef/>
      </w:r>
      <w:r>
        <w:rPr/>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988">
    <w:p>
      <w:pPr>
        <w:pStyle w:val="Funote"/>
        <w:rPr/>
      </w:pPr>
      <w:r>
        <w:rPr>
          <w:rStyle w:val="Funotenzeichen"/>
        </w:rPr>
        <w:footnoteRef/>
      </w:r>
      <w:r>
        <w:rPr/>
        <w:tab/>
        <w:t>Mittel zur Vergebung So LN 40.12. Sühneopfer So NGÜ, NeÜ. Sühne so weitere Übersetzungen (z.B. Zür).</w:t>
      </w:r>
    </w:p>
  </w:footnote>
  <w:footnote w:id="6989">
    <w:p>
      <w:pPr>
        <w:pStyle w:val="Funote"/>
        <w:rPr/>
      </w:pPr>
      <w:r>
        <w:rPr>
          <w:rStyle w:val="Funotenzeichen"/>
        </w:rPr>
        <w:footnoteRef/>
      </w:r>
      <w:r>
        <w:rPr/>
        <w:tab/>
        <w:t>W. "[einen Teil] von seinem Geist"</w:t>
      </w:r>
    </w:p>
  </w:footnote>
  <w:footnote w:id="6990">
    <w:p>
      <w:pPr>
        <w:pStyle w:val="Funote"/>
        <w:rPr/>
      </w:pPr>
      <w:r>
        <w:rPr>
          <w:rStyle w:val="Funotenzeichen"/>
        </w:rPr>
        <w:footnoteRef/>
      </w:r>
      <w:r>
        <w:rPr/>
        <w:tab/>
        <w:t xml:space="preserve">W. „der in der Liebe Lebende“. Subst. </w:t>
      </w:r>
      <w:hyperlink r:id="rId789">
        <w:r>
          <w:rPr>
            <w:rStyle w:val="Internetverknpfung"/>
          </w:rPr>
          <w:t>Partizip</w:t>
        </w:r>
      </w:hyperlink>
      <w:r>
        <w:rPr/>
        <w:t xml:space="preserve">, mit Relativsatz aufgelöst. </w:t>
      </w:r>
    </w:p>
  </w:footnote>
  <w:footnote w:id="6991">
    <w:p>
      <w:pPr>
        <w:pStyle w:val="Funote"/>
        <w:rPr/>
      </w:pPr>
      <w:r>
        <w:rPr>
          <w:rStyle w:val="Funotenzeichen"/>
        </w:rPr>
        <w:footnoteRef/>
      </w:r>
      <w:r>
        <w:rPr/>
        <w:tab/>
        <w:t xml:space="preserve">W. „der sich Fürchtende“. Subst. </w:t>
      </w:r>
      <w:hyperlink r:id="rId790">
        <w:r>
          <w:rPr>
            <w:rStyle w:val="Internetverknpfung"/>
          </w:rPr>
          <w:t>Partizip</w:t>
        </w:r>
      </w:hyperlink>
      <w:r>
        <w:rPr/>
        <w:t xml:space="preserve">, mit Relativsatz aufgelöst. </w:t>
      </w:r>
    </w:p>
  </w:footnote>
  <w:footnote w:id="6992">
    <w:p>
      <w:pPr>
        <w:pStyle w:val="Funote"/>
        <w:rPr/>
      </w:pPr>
      <w:r>
        <w:rPr>
          <w:rStyle w:val="Funotenzeichen"/>
        </w:rPr>
        <w:footnoteRef/>
      </w:r>
      <w:r>
        <w:rPr/>
        <w:tab/>
        <w:t>[Status: Ungeprüft]</w:t>
      </w:r>
    </w:p>
  </w:footnote>
  <w:footnote w:id="6993">
    <w:p>
      <w:pPr>
        <w:pStyle w:val="Funote"/>
        <w:rPr/>
      </w:pPr>
      <w:r>
        <w:rPr>
          <w:rStyle w:val="Funotenzeichen"/>
        </w:rPr>
        <w:footnoteRef/>
      </w:r>
      <w:r>
        <w:rPr/>
        <w:tab/>
        <w:t>Das kann sich auf Jesus oder den Glaubensbruder beziehen (Haubeck, Wilfried/von Siebenthal, Heinrich, Neuer sprachlicher Schlüssel zum griechischen Neuen Testament)</w:t>
      </w:r>
    </w:p>
  </w:footnote>
  <w:footnote w:id="6994">
    <w:p>
      <w:pPr>
        <w:pStyle w:val="Funote"/>
        <w:rPr/>
      </w:pPr>
      <w:r>
        <w:rPr>
          <w:rStyle w:val="Funotenzeichen"/>
        </w:rPr>
        <w:footnoteRef/>
      </w:r>
      <w:r>
        <w:rPr/>
        <w:tab/>
        <w:t xml:space="preserve">w. Liebe des Gottes. Es handelt sich um einen Genetiv des Objektes, also "Liebe zu Gott". </w:t>
      </w:r>
    </w:p>
  </w:footnote>
  <w:footnote w:id="6995">
    <w:p>
      <w:pPr>
        <w:pStyle w:val="Funote"/>
        <w:rPr/>
      </w:pPr>
      <w:r>
        <w:rPr>
          <w:rStyle w:val="Funotenzeichen"/>
        </w:rPr>
        <w:footnoteRef/>
      </w:r>
      <w:r>
        <w:rPr/>
        <w:tab/>
        <w:t>Das hier in nur wenigen griechischen und ansonsten nur lateinischen Manuskripten eingefügte sogenannte Comma Johanneum ("...") ist mit Sicherheit als sekundär und nicht zum originalen Text gehörig zu betrachten. Cf. Metzger, Bruce M., United Bible Societies (1994). A Textual Commentary on the Greek New Testament.</w:t>
      </w:r>
    </w:p>
  </w:footnote>
  <w:footnote w:id="6996">
    <w:p>
      <w:pPr>
        <w:pStyle w:val="Funote"/>
        <w:rPr/>
      </w:pPr>
      <w:r>
        <w:rPr>
          <w:rStyle w:val="Funotenzeichen"/>
        </w:rPr>
        <w:footnoteRef/>
      </w:r>
      <w:r>
        <w:rPr/>
        <w:tab/>
        <w:t>D.h. die Zeugnisse stimmen überein, vgl. Dtn 19,15</w:t>
      </w:r>
    </w:p>
  </w:footnote>
  <w:footnote w:id="6997">
    <w:p>
      <w:pPr>
        <w:pStyle w:val="Funote"/>
        <w:rPr/>
      </w:pPr>
      <w:r>
        <w:rPr>
          <w:rStyle w:val="Funotenzeichen"/>
        </w:rPr>
        <w:footnoteRef/>
      </w:r>
      <w:r>
        <w:rPr/>
        <w:tab/>
        <w:t>Im Griechischen steht „</w:t>
      </w:r>
      <w:r>
        <w:rPr>
          <w:lang w:val="el-GR"/>
        </w:rPr>
        <w:t>μαρτυρία</w:t>
      </w:r>
      <w:r>
        <w:rPr/>
        <w:t xml:space="preserve">“: das, was (von Gott, V.9) bezeugt wurde. (Wird hier näher bestimmt, </w:t>
      </w:r>
      <w:r>
        <w:rPr>
          <w:i/>
        </w:rPr>
        <w:t>was</w:t>
      </w:r>
      <w:r>
        <w:rPr/>
        <w:t xml:space="preserve"> Gott bezeugt, oder </w:t>
      </w:r>
      <w:r>
        <w:rPr>
          <w:i/>
        </w:rPr>
        <w:t>wie</w:t>
      </w:r>
      <w:r>
        <w:rPr/>
        <w:t xml:space="preserve"> er es bezeugt hat?)</w:t>
      </w:r>
    </w:p>
  </w:footnote>
  <w:footnote w:id="6998">
    <w:p>
      <w:pPr>
        <w:pStyle w:val="Funote"/>
        <w:rPr/>
      </w:pPr>
      <w:r>
        <w:rPr>
          <w:rStyle w:val="Funotenzeichen"/>
        </w:rPr>
        <w:footnoteRef/>
      </w:r>
      <w:r>
        <w:rPr/>
        <w:tab/>
        <w:t>D.h. Gott. Vgl. Rudolf Schnackenburg, Die Johannesbriefe, Freiburg, Basel, Wien 1984, S. 280 f.</w:t>
      </w:r>
    </w:p>
  </w:footnote>
  <w:footnote w:id="6999">
    <w:p>
      <w:pPr>
        <w:pStyle w:val="Funote"/>
        <w:rPr/>
      </w:pPr>
      <w:r>
        <w:rPr>
          <w:rStyle w:val="Funotenzeichen"/>
        </w:rPr>
        <w:footnoteRef/>
      </w:r>
      <w:r>
        <w:rPr/>
        <w:tab/>
        <w:t>So NA28 im Unterschied zu NA27. Gibt es schon Kommentare, die diese Variante auslegen? Die Frage "wie bewahrt man sich" wird hier nicht gestellt. Sondern vielleicht: Weil ich Kind Gottes bin, werde ich automatisch mich von Sünde fernhalten (wollen, versuchen).</w:t>
      </w:r>
    </w:p>
  </w:footnote>
  <w:footnote w:id="7000">
    <w:p>
      <w:pPr>
        <w:pStyle w:val="Funote"/>
        <w:rPr/>
      </w:pPr>
      <w:r>
        <w:rPr>
          <w:rStyle w:val="Funotenzeichen"/>
        </w:rPr>
        <w:footnoteRef/>
      </w:r>
      <w:r>
        <w:rPr/>
        <w:tab/>
        <w:t>d.i. Gott, der Vater (denn danach ist von "seinem" Sohn die Rede)</w:t>
      </w:r>
    </w:p>
  </w:footnote>
  <w:footnote w:id="7001">
    <w:p>
      <w:pPr>
        <w:pStyle w:val="Funote"/>
        <w:rPr/>
      </w:pPr>
      <w:r>
        <w:rPr>
          <w:rStyle w:val="Funotenzeichen"/>
        </w:rPr>
        <w:footnoteRef/>
      </w:r>
      <w:r>
        <w:rPr/>
        <w:tab/>
        <w:t>Diminutiv von Kinder.</w:t>
      </w:r>
    </w:p>
  </w:footnote>
  <w:footnote w:id="7002">
    <w:p>
      <w:pPr>
        <w:pStyle w:val="Funote"/>
        <w:rPr/>
      </w:pPr>
      <w:r>
        <w:rPr>
          <w:rStyle w:val="Funotenzeichen"/>
        </w:rPr>
        <w:footnoteRef/>
      </w:r>
      <w:r>
        <w:rPr/>
        <w:tab/>
        <w:t>[Status: Ungeprüft]</w:t>
      </w:r>
    </w:p>
  </w:footnote>
  <w:footnote w:id="7003">
    <w:p>
      <w:pPr>
        <w:pStyle w:val="Funote"/>
        <w:rPr/>
      </w:pPr>
      <w:r>
        <w:rPr>
          <w:rStyle w:val="Funotenzeichen"/>
        </w:rPr>
        <w:footnoteRef/>
      </w:r>
      <w:r>
        <w:rPr>
          <w:i/>
        </w:rPr>
        <w:tab/>
        <w:t>Offenbarung Jesu Christi</w:t>
      </w:r>
      <w:r>
        <w:rPr/>
        <w:t xml:space="preserve"> Dem Kontext nach ein subjektiver Genitiv auctoris („Offenbarung durch Jesus Christus“), nicht ein objektiver („Offenbarung über Jesus Christus“)(Osborne 2002, 52). </w:t>
        <w:br/>
        <w:t xml:space="preserve">Die </w:t>
      </w:r>
      <w:r>
        <w:rPr>
          <w:i/>
        </w:rPr>
        <w:t>Offenbarung</w:t>
      </w:r>
      <w:r>
        <w:rPr/>
        <w:t xml:space="preserve"> bezeichnet hier die Enthüllung von Unbekanntem, nämlich der unmittelbar bevorstehenden Zukunft (</w:t>
      </w:r>
      <w:r>
        <w:rPr>
          <w:i/>
        </w:rPr>
        <w:t>was in Kürze geschehen muss</w:t>
      </w:r>
      <w:r>
        <w:rPr/>
        <w:t xml:space="preserve">; ebd. 52f.). Dabei nimmt Johannes sprachliche und strukturelle Anleihen an </w:t>
      </w:r>
      <w:r>
        <w:fldChar w:fldCharType="begin"/>
      </w:r>
      <w:r>
        <w:rPr>
          <w:rStyle w:val="Internetverknpfung"/>
        </w:rPr>
        <w:instrText> HYPERLINK "../../../../../../../../../wiki/Daniel_2" \l "28"</w:instrText>
      </w:r>
      <w:r>
        <w:rPr>
          <w:rStyle w:val="Internetverknpfung"/>
        </w:rPr>
        <w:fldChar w:fldCharType="separate"/>
      </w:r>
      <w:r>
        <w:rPr>
          <w:rStyle w:val="Internetverknpfung"/>
        </w:rPr>
        <w:t>Dan 2,28-30</w:t>
      </w:r>
      <w:r>
        <w:rPr>
          <w:rStyle w:val="Internetverknpfung"/>
        </w:rPr>
        <w:fldChar w:fldCharType="end"/>
      </w:r>
      <w:r>
        <w:rPr/>
        <w:t xml:space="preserve"> sowie </w:t>
      </w:r>
      <w:r>
        <w:fldChar w:fldCharType="begin"/>
      </w:r>
      <w:r>
        <w:rPr>
          <w:rStyle w:val="Internetverknpfung"/>
        </w:rPr>
        <w:instrText> HYPERLINK "../../../../../../../../../wiki/Daniel_2" \l "45"</w:instrText>
      </w:r>
      <w:r>
        <w:rPr>
          <w:rStyle w:val="Internetverknpfung"/>
        </w:rPr>
        <w:fldChar w:fldCharType="separate"/>
      </w:r>
      <w:r>
        <w:rPr>
          <w:rStyle w:val="Internetverknpfung"/>
        </w:rPr>
        <w:t>2,45-47</w:t>
      </w:r>
      <w:r>
        <w:rPr>
          <w:rStyle w:val="Internetverknpfung"/>
        </w:rPr>
        <w:fldChar w:fldCharType="end"/>
      </w:r>
      <w:r>
        <w:rPr/>
        <w:t xml:space="preserve">,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w:t>
      </w:r>
      <w:r>
        <w:rPr>
          <w:i/>
        </w:rPr>
        <w:t>in Kürze</w:t>
      </w:r>
      <w:r>
        <w:rPr/>
        <w:t xml:space="preserve"> ersetzt (Beale 1999, 181f.). </w:t>
      </w:r>
    </w:p>
  </w:footnote>
  <w:footnote w:id="7004">
    <w:p>
      <w:pPr>
        <w:pStyle w:val="Funote"/>
        <w:rPr/>
      </w:pPr>
      <w:r>
        <w:rPr>
          <w:rStyle w:val="Funotenzeichen"/>
        </w:rPr>
        <w:footnoteRef/>
      </w:r>
      <w:r>
        <w:rPr>
          <w:i/>
        </w:rPr>
        <w:tab/>
        <w:t>indem er ... gesandt hat</w:t>
      </w:r>
      <w:r>
        <w:rPr/>
        <w:t xml:space="preserve"> Adverbiales Ptz. Aor., als modaler Nebensatz aufgelöst. Möglich wäre auch modal „erklärt und ... gesandt hat“ oder finaler „erklärt und dazu ... gesandt hat“.</w:t>
      </w:r>
    </w:p>
  </w:footnote>
  <w:footnote w:id="7005">
    <w:p>
      <w:pPr>
        <w:pStyle w:val="Funote"/>
        <w:rPr/>
      </w:pPr>
      <w:r>
        <w:rPr>
          <w:rStyle w:val="Funotenzeichen"/>
        </w:rPr>
        <w:footnoteRef/>
      </w:r>
      <w:r>
        <w:rPr/>
        <w:tab/>
        <w:t xml:space="preserve">[Fußnote: Schiefe Grammatik erklären.] </w:t>
      </w:r>
    </w:p>
  </w:footnote>
  <w:footnote w:id="7006">
    <w:p>
      <w:pPr>
        <w:pStyle w:val="Funote"/>
        <w:rPr/>
      </w:pPr>
      <w:r>
        <w:rPr>
          <w:rStyle w:val="Funotenzeichen"/>
        </w:rPr>
        <w:footnoteRef/>
      </w:r>
      <w:r>
        <w:rPr/>
        <w:tab/>
        <w:t>Objektiver Genitiv.</w:t>
      </w:r>
    </w:p>
  </w:footnote>
  <w:footnote w:id="7007">
    <w:p>
      <w:pPr>
        <w:pStyle w:val="Funote"/>
        <w:rPr/>
      </w:pPr>
      <w:r>
        <w:rPr>
          <w:rStyle w:val="Funotenzeichen"/>
        </w:rPr>
        <w:footnoteRef/>
      </w:r>
      <w:r>
        <w:rPr>
          <w:i/>
        </w:rPr>
        <w:tab/>
        <w:t>Gott, seinem Vater</w:t>
      </w:r>
      <w:r>
        <w:rPr/>
        <w:t xml:space="preserve"> Epexegetisches </w:t>
      </w:r>
      <w:r>
        <w:rPr>
          <w:lang w:val="el-GR"/>
        </w:rPr>
        <w:t>καὶ</w:t>
      </w:r>
      <w:r>
        <w:rPr/>
        <w:t xml:space="preserve">, sinngemäß also nicht „Gott und seinem Vater“, sondern „Gott, d.h. seinem Vater“. Die Auflösung als epexegetischer Einschub kommt dem sehr nahe. </w:t>
      </w:r>
    </w:p>
  </w:footnote>
  <w:footnote w:id="7008">
    <w:p>
      <w:pPr>
        <w:pStyle w:val="Funote"/>
        <w:rPr/>
      </w:pPr>
      <w:r>
        <w:rPr>
          <w:rStyle w:val="Funotenzeichen"/>
        </w:rPr>
        <w:footnoteRef/>
      </w:r>
      <w:r>
        <w:rPr/>
        <w:tab/>
        <w:t>Verschiedene deutsche Übersetzungen: „von Ewigkeit zu Ewigkeit“ oder „in alle Ewigkeit“.</w:t>
      </w:r>
    </w:p>
  </w:footnote>
  <w:footnote w:id="7009">
    <w:p>
      <w:pPr>
        <w:pStyle w:val="Funote"/>
        <w:rPr/>
      </w:pPr>
      <w:r>
        <w:rPr>
          <w:rStyle w:val="Funotenzeichen"/>
        </w:rPr>
        <w:footnoteRef/>
      </w:r>
      <w:r>
        <w:rPr/>
        <w:tab/>
        <w:t>das Alpha und das Omega: der erste und der letzte Buchstabe im griechischen Alphabet. Also "der Anfang und das Ende" (so auch in einigen Handschriften, s. a. Offb 22,13)</w:t>
      </w:r>
    </w:p>
  </w:footnote>
  <w:footnote w:id="7010">
    <w:p>
      <w:pPr>
        <w:pStyle w:val="Funote"/>
        <w:rPr/>
      </w:pPr>
      <w:r>
        <w:rPr>
          <w:rStyle w:val="Funotenzeichen"/>
        </w:rPr>
        <w:footnoteRef/>
      </w:r>
      <w:r>
        <w:rPr/>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7011">
    <w:p>
      <w:pPr>
        <w:pStyle w:val="Funote"/>
        <w:rPr/>
      </w:pPr>
      <w:r>
        <w:rPr>
          <w:rStyle w:val="Funotenzeichen"/>
        </w:rPr>
        <w:footnoteRef/>
      </w:r>
      <w:r>
        <w:rPr>
          <w:i/>
        </w:rPr>
        <w:tab/>
        <w:t>Der Ist (Seiende) und Der War (Gewesene) und Der Kommen Wird (Kommende)</w:t>
      </w:r>
      <w:r>
        <w:rPr/>
        <w:t xml:space="preserve"> Substantivierte </w:t>
      </w:r>
      <w:hyperlink r:id="rId791">
        <w:r>
          <w:rPr>
            <w:rStyle w:val="Internetverknpfung"/>
          </w:rPr>
          <w:t>Partizipien</w:t>
        </w:r>
      </w:hyperlink>
      <w:r>
        <w:rPr/>
        <w:t xml:space="preserve">, je als Relativsatz aufgelöst. </w:t>
      </w:r>
    </w:p>
  </w:footnote>
  <w:footnote w:id="7012">
    <w:p>
      <w:pPr>
        <w:pStyle w:val="Funote"/>
        <w:rPr/>
      </w:pPr>
      <w:r>
        <w:rPr>
          <w:rStyle w:val="Funotenzeichen"/>
        </w:rPr>
        <w:footnoteRef/>
      </w:r>
      <w:r>
        <w:rPr/>
        <w:tab/>
        <w:t xml:space="preserve">Attributives </w:t>
      </w:r>
      <w:hyperlink r:id="rId792">
        <w:r>
          <w:rPr>
            <w:rStyle w:val="Internetverknpfung"/>
          </w:rPr>
          <w:t>Ptz.</w:t>
        </w:r>
      </w:hyperlink>
      <w:r>
        <w:rPr/>
        <w:t xml:space="preserve"> Präs. Pass., als Relativsatz aufgelöst. </w:t>
      </w:r>
    </w:p>
  </w:footnote>
  <w:footnote w:id="7013">
    <w:p>
      <w:pPr>
        <w:pStyle w:val="Funote"/>
        <w:rPr/>
      </w:pPr>
      <w:r>
        <w:rPr>
          <w:rStyle w:val="Funotenzeichen"/>
        </w:rPr>
        <w:footnoteRef/>
      </w:r>
      <w:r>
        <w:rPr>
          <w:i/>
        </w:rPr>
        <w:tab/>
        <w:t>Wort Gottes</w:t>
      </w:r>
      <w:r>
        <w:rPr/>
        <w:t xml:space="preserve"> Könnte ein </w:t>
      </w:r>
      <w:hyperlink r:id="rId793">
        <w:r>
          <w:rPr>
            <w:rStyle w:val="Internetverknpfung"/>
          </w:rPr>
          <w:t>Genitivus</w:t>
        </w:r>
      </w:hyperlink>
      <w:r>
        <w:rPr/>
        <w:t xml:space="preserve"> auctoris („Wort von Gott“) oder ein Genitivus epexegeticus („Wort über Gott“) sein. An dieser Stelle lässt die Übersetzung das offen. </w:t>
      </w:r>
    </w:p>
  </w:footnote>
  <w:footnote w:id="7014">
    <w:p>
      <w:pPr>
        <w:pStyle w:val="Funote"/>
        <w:rPr/>
      </w:pPr>
      <w:r>
        <w:rPr>
          <w:rStyle w:val="Funotenzeichen"/>
        </w:rPr>
        <w:footnoteRef/>
      </w:r>
      <w:r>
        <w:rPr/>
        <w:tab/>
        <w:t xml:space="preserve">Johannes macht an dieser Stelle nicht klar, ob er sich in Gottes Auftrag nach Patmos begeben hat, oder ob er wegen seiner Predigttätigkeit dorthin verbannt wurde, wie es die frühkirchliche Tradition überliefert. </w:t>
      </w:r>
    </w:p>
  </w:footnote>
  <w:footnote w:id="7015">
    <w:p>
      <w:pPr>
        <w:pStyle w:val="Funote"/>
        <w:rPr/>
      </w:pPr>
      <w:r>
        <w:rPr>
          <w:rStyle w:val="Funotenzeichen"/>
        </w:rPr>
        <w:footnoteRef/>
      </w:r>
      <w:r>
        <w:rPr>
          <w:i/>
        </w:rPr>
        <w:tab/>
        <w:t>Tag des Herrn</w:t>
      </w:r>
      <w:r>
        <w:rPr/>
        <w:t xml:space="preserve"> Das ist der Sonntag. Gr. </w:t>
      </w:r>
      <w:r>
        <w:rPr>
          <w:lang w:val="el-GR"/>
        </w:rPr>
        <w:t>κυριακῇ ἡμέρᾳ</w:t>
      </w:r>
      <w:r>
        <w:rPr/>
        <w:t xml:space="preserve">, etwa „der zum Herrn gehörige Tag“. </w:t>
      </w:r>
    </w:p>
  </w:footnote>
  <w:footnote w:id="7016">
    <w:p>
      <w:pPr>
        <w:pStyle w:val="Funote"/>
        <w:rPr/>
      </w:pPr>
      <w:r>
        <w:rPr>
          <w:rStyle w:val="Funotenzeichen"/>
        </w:rPr>
        <w:footnoteRef/>
      </w:r>
      <w:r>
        <w:rPr>
          <w:i/>
        </w:rPr>
        <w:tab/>
        <w:t>Laut wie eine Trompete/laute Stimme wie eine Trompete</w:t>
      </w:r>
      <w:r>
        <w:rPr/>
        <w:t xml:space="preserve"> Im zweiten Fall wäre gemeint, dass die Stimme wie eine Trompete klingt. Dass die Stimme so laut ist wie eine Trompete, scheint da näher zu liegen. </w:t>
      </w:r>
    </w:p>
  </w:footnote>
  <w:footnote w:id="7017">
    <w:p>
      <w:pPr>
        <w:pStyle w:val="Funote"/>
        <w:rPr/>
      </w:pPr>
      <w:r>
        <w:rPr>
          <w:rStyle w:val="Funotenzeichen"/>
        </w:rPr>
        <w:footnoteRef/>
      </w:r>
      <w:r>
        <w:rPr>
          <w:i/>
        </w:rPr>
        <w:tab/>
        <w:t>die sprach</w:t>
      </w:r>
      <w:r>
        <w:rPr/>
        <w:t xml:space="preserve"> </w:t>
      </w:r>
      <w:hyperlink r:id="rId794">
        <w:r>
          <w:rPr>
            <w:rStyle w:val="Internetverknpfung"/>
          </w:rPr>
          <w:t>Adverbiales Ptz.</w:t>
        </w:r>
      </w:hyperlink>
      <w:r>
        <w:rPr/>
        <w:t xml:space="preserve">, als Relativsatz aufgelöst. </w:t>
      </w:r>
    </w:p>
  </w:footnote>
  <w:footnote w:id="7018">
    <w:p>
      <w:pPr>
        <w:pStyle w:val="Funote"/>
        <w:rPr/>
      </w:pPr>
      <w:r>
        <w:rPr>
          <w:rStyle w:val="Funotenzeichen"/>
        </w:rPr>
        <w:footnoteRef/>
      </w:r>
      <w:r>
        <w:rPr>
          <w:i/>
        </w:rPr>
        <w:tab/>
        <w:t>als (indem) ich mich umwandte</w:t>
      </w:r>
      <w:r>
        <w:rPr/>
        <w:t xml:space="preserve"> Temporal oder modal aufzulösendes </w:t>
      </w:r>
      <w:hyperlink r:id="rId795">
        <w:r>
          <w:rPr>
            <w:rStyle w:val="Internetverknpfung"/>
          </w:rPr>
          <w:t>Ptz. coni.</w:t>
        </w:r>
      </w:hyperlink>
      <w:r>
        <w:rPr/>
        <w:t xml:space="preserve">. </w:t>
      </w:r>
    </w:p>
  </w:footnote>
  <w:footnote w:id="7019">
    <w:p>
      <w:pPr>
        <w:pStyle w:val="Funote"/>
        <w:rPr/>
      </w:pPr>
      <w:r>
        <w:rPr>
          <w:rStyle w:val="Funotenzeichen"/>
        </w:rPr>
        <w:footnoteRef/>
      </w:r>
      <w:r>
        <w:rPr>
          <w:i/>
        </w:rPr>
        <w:tab/>
        <w:t>Sohn eines Menschen (Menschensohn)</w:t>
      </w:r>
      <w:r>
        <w:rPr/>
        <w:t xml:space="preserve"> Es handelt sich entweder um einen Bezug [Rest der Fußnote zu ergänzen!]</w:t>
        <w:br/>
      </w:r>
      <w:r>
        <w:rPr>
          <w:i/>
        </w:rPr>
        <w:t>[den]</w:t>
      </w:r>
      <w:r>
        <w:rPr/>
        <w:t xml:space="preserve">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 </w:t>
      </w:r>
    </w:p>
  </w:footnote>
  <w:footnote w:id="7020">
    <w:p>
      <w:pPr>
        <w:pStyle w:val="Funote"/>
        <w:rPr/>
      </w:pPr>
      <w:r>
        <w:rPr>
          <w:rStyle w:val="Funotenzeichen"/>
        </w:rPr>
        <w:footnoteRef/>
      </w:r>
      <w:r>
        <w:rPr/>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7021">
    <w:p>
      <w:pPr>
        <w:pStyle w:val="Funote"/>
        <w:rPr/>
      </w:pPr>
      <w:r>
        <w:rPr>
          <w:rStyle w:val="Funotenzeichen"/>
        </w:rPr>
        <w:footnoteRef/>
      </w:r>
      <w:r>
        <w:rPr>
          <w:i/>
        </w:rPr>
        <w:tab/>
        <w:t>Feuerflamme</w:t>
      </w:r>
      <w:r>
        <w:rPr/>
        <w:t xml:space="preserve"> Gr. „Flamme [aus] Feuer“ (der </w:t>
      </w:r>
      <w:hyperlink r:id="rId796">
        <w:r>
          <w:rPr>
            <w:rStyle w:val="Internetverknpfung"/>
          </w:rPr>
          <w:t>Genitiv</w:t>
        </w:r>
      </w:hyperlink>
      <w:r>
        <w:rPr/>
        <w:t xml:space="preserve"> beschreibt eine Eigenschaft). Im Deutschen empfindet man die Information, dass es sich um eine Flamme „aus Feuer“ handelt, als überflüssig, hier scheint es jedoch zum Sprachgebrauch zu gehören. </w:t>
      </w:r>
    </w:p>
  </w:footnote>
  <w:footnote w:id="7022">
    <w:p>
      <w:pPr>
        <w:pStyle w:val="Funote"/>
        <w:rPr/>
      </w:pPr>
      <w:r>
        <w:rPr>
          <w:rStyle w:val="Funotenzeichen"/>
        </w:rPr>
        <w:footnoteRef/>
      </w:r>
      <w:r>
        <w:rPr>
          <w:i/>
        </w:rPr>
        <w:tab/>
        <w:t>wie im Ofen gebrannt</w:t>
      </w:r>
      <w:r>
        <w:rPr/>
        <w:t xml:space="preserve">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w:t>
      </w:r>
      <w:hyperlink r:id="rId797">
        <w:r>
          <w:rPr>
            <w:rStyle w:val="Internetverknpfung"/>
          </w:rPr>
          <w:t>Gen. abs.</w:t>
        </w:r>
      </w:hyperlink>
      <w:r>
        <w:rPr/>
        <w:t xml:space="preserve"> handelt. Beschrieben würde dann die Bronze (so Thomas nach Beale 1999, 210). </w:t>
      </w:r>
    </w:p>
  </w:footnote>
  <w:footnote w:id="7023">
    <w:p>
      <w:pPr>
        <w:pStyle w:val="Funote"/>
        <w:rPr/>
      </w:pPr>
      <w:r>
        <w:rPr>
          <w:rStyle w:val="Funotenzeichen"/>
        </w:rPr>
        <w:footnoteRef/>
      </w:r>
      <w:r>
        <w:rPr>
          <w:i/>
        </w:rPr>
        <w:tab/>
        <w:t>hielt</w:t>
      </w:r>
      <w:r>
        <w:rPr/>
        <w:t xml:space="preserve"> und </w:t>
      </w:r>
      <w:r>
        <w:rPr>
          <w:i/>
        </w:rPr>
        <w:t>kam heraus</w:t>
      </w:r>
      <w:r>
        <w:rPr/>
        <w:t xml:space="preserve"> Prädikative Partizipien (oder evtl. modale adverbiale Ptz.), als Indikative übersetzt. </w:t>
      </w:r>
    </w:p>
  </w:footnote>
  <w:footnote w:id="7024">
    <w:p>
      <w:pPr>
        <w:pStyle w:val="Funote"/>
        <w:rPr/>
      </w:pPr>
      <w:r>
        <w:rPr>
          <w:rStyle w:val="Funotenzeichen"/>
        </w:rPr>
        <w:footnoteRef/>
      </w:r>
      <w:r>
        <w:rPr>
          <w:i/>
        </w:rPr>
        <w:tab/>
        <w:t>und sagte</w:t>
      </w:r>
      <w:r>
        <w:rPr/>
        <w:t xml:space="preserve"> Mit „und“-Kombination aufgelöstes, modales </w:t>
      </w:r>
      <w:hyperlink r:id="rId798">
        <w:r>
          <w:rPr>
            <w:rStyle w:val="Internetverknpfung"/>
          </w:rPr>
          <w:t>Ptc. coni.</w:t>
        </w:r>
      </w:hyperlink>
      <w:r>
        <w:rPr/>
        <w:t xml:space="preserve">. </w:t>
      </w:r>
    </w:p>
  </w:footnote>
  <w:footnote w:id="7025">
    <w:p>
      <w:pPr>
        <w:pStyle w:val="Funote"/>
        <w:rPr/>
      </w:pPr>
      <w:r>
        <w:rPr>
          <w:rStyle w:val="Funotenzeichen"/>
        </w:rPr>
        <w:footnoteRef/>
      </w:r>
      <w:r>
        <w:rPr/>
        <w:tab/>
        <w:t>Verschiedene deutsche Übersetzungen: „von Ewigkeit zu Ewigkeit“ oder „in alle Ewigkeit“.</w:t>
      </w:r>
    </w:p>
  </w:footnote>
  <w:footnote w:id="7026">
    <w:p>
      <w:pPr>
        <w:pStyle w:val="Funote"/>
        <w:rPr/>
      </w:pPr>
      <w:r>
        <w:rPr>
          <w:rStyle w:val="Funotenzeichen"/>
        </w:rPr>
        <w:footnoteRef/>
      </w:r>
      <w:r>
        <w:rPr>
          <w:i/>
        </w:rPr>
        <w:tab/>
        <w:t>Schlüssel [zu] Tod und Hades</w:t>
      </w:r>
      <w:r>
        <w:rPr/>
        <w:t xml:space="preserve"> </w:t>
      </w:r>
      <w:hyperlink r:id="rId799">
        <w:r>
          <w:rPr>
            <w:rStyle w:val="Internetverknpfung"/>
          </w:rPr>
          <w:t>Genitivus obiectivus</w:t>
        </w:r>
      </w:hyperlink>
      <w:r>
        <w:rPr/>
        <w:t>, w. „Schlüssel des Todes und des Hades“</w:t>
      </w:r>
    </w:p>
  </w:footnote>
  <w:footnote w:id="7027">
    <w:p>
      <w:pPr>
        <w:pStyle w:val="Funote"/>
        <w:rPr/>
      </w:pPr>
      <w:r>
        <w:rPr>
          <w:rStyle w:val="Funotenzeichen"/>
        </w:rPr>
        <w:footnoteRef/>
      </w:r>
      <w:r>
        <w:rPr/>
        <w:tab/>
        <w:t xml:space="preserve">Gr. "und" ist hier vermutlich explikativ zu verstehen. Es hat also etwa die Übersetzung "d.h.". Hier ist es als Doppelpunkt wiedergegeben. </w:t>
      </w:r>
    </w:p>
  </w:footnote>
  <w:footnote w:id="7028">
    <w:p>
      <w:pPr>
        <w:pStyle w:val="Funote"/>
        <w:rPr/>
      </w:pPr>
      <w:r>
        <w:rPr>
          <w:rStyle w:val="Funotenzeichen"/>
        </w:rPr>
        <w:footnoteRef/>
      </w:r>
      <w:r>
        <w:rPr/>
        <w:tab/>
        <w:t>[Status: Ungeprüft]</w:t>
      </w:r>
    </w:p>
  </w:footnote>
  <w:footnote w:id="7029">
    <w:p>
      <w:pPr>
        <w:pStyle w:val="Funote"/>
        <w:rPr/>
      </w:pPr>
      <w:r>
        <w:rPr>
          <w:rStyle w:val="Funotenzeichen"/>
        </w:rPr>
        <w:footnoteRef/>
      </w:r>
      <w:r>
        <w:rPr/>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7030">
    <w:p>
      <w:pPr>
        <w:pStyle w:val="Funote"/>
        <w:rPr/>
      </w:pPr>
      <w:r>
        <w:rPr>
          <w:rStyle w:val="Funotenzeichen"/>
        </w:rPr>
        <w:footnoteRef/>
      </w:r>
      <w:r>
        <w:rPr/>
        <w:tab/>
        <w:t>Bezieht sich auf Isebel.</w:t>
      </w:r>
    </w:p>
  </w:footnote>
  <w:footnote w:id="7031">
    <w:p>
      <w:pPr>
        <w:pStyle w:val="Funote"/>
        <w:rPr/>
      </w:pPr>
      <w:r>
        <w:rPr>
          <w:rStyle w:val="Funotenzeichen"/>
        </w:rPr>
        <w:footnoteRef/>
      </w:r>
      <w:r>
        <w:rPr/>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7032">
    <w:p>
      <w:pPr>
        <w:pStyle w:val="Funote"/>
        <w:rPr/>
      </w:pPr>
      <w:r>
        <w:rPr>
          <w:rStyle w:val="Funotenzeichen"/>
        </w:rPr>
        <w:footnoteRef/>
      </w:r>
      <w:r>
        <w:rPr/>
        <w:tab/>
        <w:t>Die Übersetzung ist schwierig: Es ist kein„Engel“ im Snnne des himmlischen Hofstaates, auch kein Bote, denn einem solchen müßte Johannes nicht schreiben.</w:t>
      </w:r>
    </w:p>
  </w:footnote>
  <w:footnote w:id="7033">
    <w:p>
      <w:pPr>
        <w:pStyle w:val="Funote"/>
        <w:rPr/>
      </w:pPr>
      <w:r>
        <w:rPr>
          <w:rStyle w:val="Funotenzeichen"/>
        </w:rPr>
        <w:footnoteRef/>
      </w:r>
      <w:r>
        <w:rPr/>
        <w:tab/>
        <w:t>Eher nicht „der Wahre“ weil das im Deutschen zu sehr nach „echt“ klingt.</w:t>
      </w:r>
    </w:p>
  </w:footnote>
  <w:footnote w:id="7034">
    <w:p>
      <w:pPr>
        <w:pStyle w:val="Funote"/>
        <w:rPr/>
      </w:pPr>
      <w:r>
        <w:rPr>
          <w:rStyle w:val="Funotenzeichen"/>
        </w:rPr>
        <w:footnoteRef/>
      </w:r>
      <w:r>
        <w:rPr/>
        <w:tab/>
        <w:t>„</w:t>
      </w:r>
      <w:r>
        <w:rPr/>
        <w:t>eingesetzt“: ergänzt weil das Prädikat „habe“ eine Ergänzung braucht.</w:t>
      </w:r>
    </w:p>
  </w:footnote>
  <w:footnote w:id="7035">
    <w:p>
      <w:pPr>
        <w:pStyle w:val="Funote"/>
        <w:rPr/>
      </w:pPr>
      <w:r>
        <w:rPr>
          <w:rStyle w:val="Funotenzeichen"/>
        </w:rPr>
        <w:footnoteRef/>
      </w:r>
      <w:r>
        <w:rPr/>
        <w:tab/>
        <w:t>Freier Übersetzungsvorschlag: „Schau ich halte dir dir Tür auf“</w:t>
      </w:r>
    </w:p>
  </w:footnote>
  <w:footnote w:id="7036">
    <w:p>
      <w:pPr>
        <w:pStyle w:val="Funote"/>
        <w:rPr/>
      </w:pPr>
      <w:r>
        <w:rPr>
          <w:rStyle w:val="Funotenzeichen"/>
        </w:rPr>
        <w:footnoteRef/>
      </w:r>
      <w:r>
        <w:rPr/>
        <w:tab/>
        <w:t>Wörtlich: Weil du hast das Wort des geduldigen auf mich Wartens gehalten (bewahrt) hast,</w:t>
      </w:r>
    </w:p>
  </w:footnote>
  <w:footnote w:id="7037">
    <w:p>
      <w:pPr>
        <w:pStyle w:val="Funote"/>
        <w:rPr/>
      </w:pPr>
      <w:r>
        <w:rPr>
          <w:rStyle w:val="Funotenzeichen"/>
        </w:rPr>
        <w:footnoteRef/>
      </w:r>
      <w:r>
        <w:rPr/>
        <w:tab/>
        <w:t>einfacher: »über die ganze Welt«</w:t>
      </w:r>
    </w:p>
  </w:footnote>
  <w:footnote w:id="7038">
    <w:p>
      <w:pPr>
        <w:pStyle w:val="Funote"/>
        <w:rPr/>
      </w:pPr>
      <w:r>
        <w:rPr>
          <w:rStyle w:val="Funotenzeichen"/>
        </w:rPr>
        <w:footnoteRef/>
      </w:r>
      <w:r>
        <w:rPr/>
        <w:tab/>
        <w:t>[Status: Ungeprüft]</w:t>
      </w:r>
    </w:p>
  </w:footnote>
  <w:footnote w:id="7039">
    <w:p>
      <w:pPr>
        <w:pStyle w:val="Funote"/>
        <w:rPr/>
      </w:pPr>
      <w:r>
        <w:rPr>
          <w:rStyle w:val="Funotenzeichen"/>
        </w:rPr>
        <w:footnoteRef/>
      </w:r>
      <w:r>
        <w:rPr/>
        <w:tab/>
        <w:t>Prädikatives Ptz. (AcP), als Infinitivsatz übersetzt.</w:t>
      </w:r>
    </w:p>
  </w:footnote>
  <w:footnote w:id="7040">
    <w:p>
      <w:pPr>
        <w:pStyle w:val="Funote"/>
        <w:rPr/>
      </w:pPr>
      <w:r>
        <w:rPr>
          <w:rStyle w:val="Funotenzeichen"/>
        </w:rPr>
        <w:footnoteRef/>
      </w:r>
      <w:r>
        <w:rPr/>
        <w:tab/>
        <w:t>Hier steht ein adverbiales Partizip, wo eigentlich ein Indikativ zu erwarten wäre (so die Übersetzung). Ein Semitismus? Ein fehlendes Prädikat, ersetzt durch ein pleonastisches Ptz.? Muss man genauer erforschen.</w:t>
      </w:r>
    </w:p>
  </w:footnote>
  <w:footnote w:id="7041">
    <w:p>
      <w:pPr>
        <w:pStyle w:val="Funote"/>
        <w:rPr/>
      </w:pPr>
      <w:r>
        <w:rPr>
          <w:rStyle w:val="Funotenzeichen"/>
        </w:rPr>
        <w:footnoteRef/>
      </w:r>
      <w:r>
        <w:rPr/>
        <w:tab/>
        <w:t>„</w:t>
      </w:r>
      <w:r>
        <w:rPr/>
        <w:t>danach geschehen muss“ So die Zeichensetzung im NA28. Das SBLGNT zählt „danach“ zum nächsten Satz (V. 2) und liest „was geschehen muss! Danach...“</w:t>
      </w:r>
    </w:p>
  </w:footnote>
  <w:footnote w:id="7042">
    <w:p>
      <w:pPr>
        <w:pStyle w:val="Funote"/>
        <w:rPr/>
      </w:pPr>
      <w:r>
        <w:rPr>
          <w:rStyle w:val="Funotenzeichen"/>
        </w:rPr>
        <w:footnoteRef/>
      </w:r>
      <w:r>
        <w:rPr>
          <w:i/>
        </w:rPr>
        <w:tab/>
        <w:t>[in seinem] Aussehen</w:t>
      </w:r>
      <w:r>
        <w:rPr/>
        <w:t xml:space="preserve"> Dativ</w:t>
      </w:r>
    </w:p>
  </w:footnote>
  <w:footnote w:id="7043">
    <w:p>
      <w:pPr>
        <w:pStyle w:val="Funote"/>
        <w:rPr/>
      </w:pPr>
      <w:r>
        <w:rPr>
          <w:rStyle w:val="Funotenzeichen"/>
        </w:rPr>
        <w:footnoteRef/>
      </w:r>
      <w:r>
        <w:rPr>
          <w:i/>
        </w:rPr>
        <w:tab/>
        <w:t>Smaragden</w:t>
      </w:r>
      <w:r>
        <w:rPr/>
        <w:t xml:space="preserve"> Gr. das entsprechende Adjektiv </w:t>
      </w:r>
      <w:r>
        <w:rPr>
          <w:lang w:val="el-GR"/>
        </w:rPr>
        <w:t>σμαράγδινος</w:t>
      </w:r>
      <w:r>
        <w:rPr/>
        <w:t>.</w:t>
      </w:r>
    </w:p>
  </w:footnote>
  <w:footnote w:id="7044">
    <w:p>
      <w:pPr>
        <w:pStyle w:val="Funote"/>
        <w:rPr/>
      </w:pPr>
      <w:r>
        <w:rPr>
          <w:rStyle w:val="Funotenzeichen"/>
        </w:rPr>
        <w:footnoteRef/>
      </w:r>
      <w:r>
        <w:rPr/>
        <w:tab/>
        <w:t xml:space="preserve">Prädikatives </w:t>
      </w:r>
      <w:hyperlink r:id="rId800">
        <w:r>
          <w:rPr>
            <w:rStyle w:val="Internetverknpfung"/>
          </w:rPr>
          <w:t>Partizip</w:t>
        </w:r>
      </w:hyperlink>
      <w:r>
        <w:rPr/>
        <w:t>.</w:t>
      </w:r>
    </w:p>
  </w:footnote>
  <w:footnote w:id="7045">
    <w:p>
      <w:pPr>
        <w:pStyle w:val="Funote"/>
        <w:rPr/>
      </w:pPr>
      <w:r>
        <w:rPr>
          <w:rStyle w:val="Funotenzeichen"/>
        </w:rPr>
        <w:footnoteRef/>
      </w:r>
      <w:r>
        <w:rPr/>
        <w:tab/>
        <w:t xml:space="preserve">Modales </w:t>
      </w:r>
      <w:hyperlink r:id="rId801">
        <w:r>
          <w:rPr>
            <w:rStyle w:val="Internetverknpfung"/>
          </w:rPr>
          <w:t>Ptc. Coni.</w:t>
        </w:r>
      </w:hyperlink>
      <w:r>
        <w:rPr/>
        <w:t>.</w:t>
      </w:r>
    </w:p>
  </w:footnote>
  <w:footnote w:id="7046">
    <w:p>
      <w:pPr>
        <w:pStyle w:val="Funote"/>
        <w:rPr/>
      </w:pPr>
      <w:r>
        <w:rPr>
          <w:rStyle w:val="Funotenzeichen"/>
        </w:rPr>
        <w:footnoteRef/>
      </w:r>
      <w:r>
        <w:rPr>
          <w:i/>
        </w:rPr>
        <w:tab/>
        <w:t>[mit] Feuer</w:t>
      </w:r>
      <w:r>
        <w:rPr/>
        <w:t xml:space="preserve"> Genitivus materiae?.</w:t>
      </w:r>
    </w:p>
  </w:footnote>
  <w:footnote w:id="7047">
    <w:p>
      <w:pPr>
        <w:pStyle w:val="Funote"/>
        <w:rPr/>
      </w:pPr>
      <w:r>
        <w:rPr>
          <w:rStyle w:val="Funotenzeichen"/>
        </w:rPr>
        <w:footnoteRef/>
      </w:r>
      <w:r>
        <w:rPr>
          <w:i/>
        </w:rPr>
        <w:tab/>
        <w:t>wie ein Mensch</w:t>
      </w:r>
      <w:r>
        <w:rPr/>
        <w:t xml:space="preserve"> wörtlich </w:t>
      </w:r>
      <w:r>
        <w:rPr>
          <w:i/>
        </w:rPr>
        <w:t>Gesicht wie [das] eines Menschen</w:t>
      </w:r>
      <w:r>
        <w:rPr/>
        <w:t>, was jedoch im Deutschen unnötig kompliziert klingt. Die Aussage bleibt unverändert.</w:t>
      </w:r>
    </w:p>
  </w:footnote>
  <w:footnote w:id="7048">
    <w:p>
      <w:pPr>
        <w:pStyle w:val="Funote"/>
        <w:rPr/>
      </w:pPr>
      <w:r>
        <w:rPr>
          <w:rStyle w:val="Funotenzeichen"/>
        </w:rPr>
        <w:footnoteRef/>
      </w:r>
      <w:r>
        <w:rPr>
          <w:i/>
        </w:rPr>
        <w:tab/>
        <w:t>habend</w:t>
      </w:r>
      <w:r>
        <w:rPr/>
        <w:t xml:space="preserve"> Adverbiales </w:t>
      </w:r>
      <w:hyperlink r:id="rId802">
        <w:r>
          <w:rPr>
            <w:rStyle w:val="Internetverknpfung"/>
          </w:rPr>
          <w:t>Partizip</w:t>
        </w:r>
      </w:hyperlink>
      <w:r>
        <w:rPr/>
        <w:t xml:space="preserve">, wohl modalen Sinnes. Es wurde hier nicht in einen Nebensatz aufgelöst, um den seltsamen Satzbau zu erhalten, der in der durch das Partizip markierten Parenthese im Singular, sonst aber im Plural formuliert ist. </w:t>
      </w:r>
    </w:p>
  </w:footnote>
  <w:footnote w:id="7049">
    <w:p>
      <w:pPr>
        <w:pStyle w:val="Funote"/>
        <w:rPr/>
      </w:pPr>
      <w:r>
        <w:rPr>
          <w:rStyle w:val="Funotenzeichen"/>
        </w:rPr>
        <w:footnoteRef/>
      </w:r>
      <w:r>
        <w:rPr>
          <w:i/>
        </w:rPr>
        <w:tab/>
        <w:t>Und sie rufen Tag und Nacht ohne Unterbrechung</w:t>
      </w:r>
      <w:r>
        <w:rPr/>
        <w:t xml:space="preserve"> Wörtlich etwa </w:t>
      </w:r>
      <w:r>
        <w:rPr>
          <w:i/>
        </w:rPr>
        <w:t>sie haben Tag und Nacht keine Unterbrechung, weil (wobei) sie rufen (sprechen)</w:t>
      </w:r>
      <w:r>
        <w:rPr/>
        <w:t xml:space="preserve">.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w:t>
      </w:r>
      <w:r>
        <w:rPr>
          <w:i/>
        </w:rPr>
        <w:t>ohne Unterbrechung</w:t>
      </w:r>
      <w:r>
        <w:rPr/>
        <w:t xml:space="preserve"> Der griechischen HS wurde als Präpositionalphrase übersetzt.</w:t>
      </w:r>
    </w:p>
  </w:footnote>
  <w:footnote w:id="7050">
    <w:p>
      <w:pPr>
        <w:pStyle w:val="Funote"/>
        <w:rPr/>
      </w:pPr>
      <w:r>
        <w:rPr>
          <w:rStyle w:val="Funotenzeichen"/>
        </w:rPr>
        <w:footnoteRef/>
      </w:r>
      <w:r>
        <w:rPr>
          <w:i/>
        </w:rPr>
        <w:tab/>
        <w:t>Der War (Gewesene) und Der Ist (Seiende) und Der Kommen Wird (Kommende)</w:t>
      </w:r>
      <w:r>
        <w:rPr/>
        <w:t xml:space="preserve"> Substantivierte </w:t>
      </w:r>
      <w:hyperlink r:id="rId803">
        <w:r>
          <w:rPr>
            <w:rStyle w:val="Internetverknpfung"/>
          </w:rPr>
          <w:t>Partizipien</w:t>
        </w:r>
      </w:hyperlink>
      <w:r>
        <w:rPr/>
        <w:t>, je als Relativsatz aufgelöst.</w:t>
      </w:r>
    </w:p>
  </w:footnote>
  <w:footnote w:id="7051">
    <w:p>
      <w:pPr>
        <w:pStyle w:val="Funote"/>
        <w:rPr/>
      </w:pPr>
      <w:r>
        <w:rPr>
          <w:rStyle w:val="Funotenzeichen"/>
        </w:rPr>
        <w:footnoteRef/>
      </w:r>
      <w:r>
        <w:rPr>
          <w:i/>
        </w:rPr>
        <w:tab/>
        <w:t>gaben (geben werden)</w:t>
      </w:r>
      <w:r>
        <w:rPr/>
        <w:t xml:space="preserve">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7052">
    <w:p>
      <w:pPr>
        <w:pStyle w:val="Funote"/>
        <w:rPr/>
      </w:pPr>
      <w:r>
        <w:rPr>
          <w:rStyle w:val="Funotenzeichen"/>
        </w:rPr>
        <w:footnoteRef/>
      </w:r>
      <w:r>
        <w:rPr>
          <w:i/>
        </w:rPr>
        <w:tab/>
        <w:t>der lebt</w:t>
      </w:r>
      <w:r>
        <w:rPr/>
        <w:t xml:space="preserve"> Als Relativsatz aufgelöstes substantiviertes Partizip.</w:t>
      </w:r>
    </w:p>
  </w:footnote>
  <w:footnote w:id="7053">
    <w:p>
      <w:pPr>
        <w:pStyle w:val="Funote"/>
        <w:rPr/>
      </w:pPr>
      <w:r>
        <w:rPr>
          <w:rStyle w:val="Funotenzeichen"/>
        </w:rPr>
        <w:footnoteRef/>
      </w:r>
      <w:r>
        <w:rPr/>
        <w:tab/>
        <w:t xml:space="preserve">Verschiedene deutsche Übersetzungen: </w:t>
      </w:r>
      <w:r>
        <w:rPr>
          <w:i/>
        </w:rPr>
        <w:t>von Ewigkeit zu Ewigkeit</w:t>
      </w:r>
      <w:r>
        <w:rPr/>
        <w:t xml:space="preserve"> oder </w:t>
      </w:r>
      <w:r>
        <w:rPr>
          <w:i/>
        </w:rPr>
        <w:t>in alle Ewigkeit</w:t>
      </w:r>
    </w:p>
  </w:footnote>
  <w:footnote w:id="7054">
    <w:p>
      <w:pPr>
        <w:pStyle w:val="Funote"/>
        <w:rPr/>
      </w:pPr>
      <w:r>
        <w:rPr>
          <w:rStyle w:val="Funotenzeichen"/>
        </w:rPr>
        <w:footnoteRef/>
      </w:r>
      <w:r>
        <w:rPr/>
        <w:tab/>
        <w:t>Vgl. die Fußnote zur Futurform in V. 9.</w:t>
      </w:r>
    </w:p>
  </w:footnote>
  <w:footnote w:id="7055">
    <w:p>
      <w:pPr>
        <w:pStyle w:val="Funote"/>
        <w:rPr/>
      </w:pPr>
      <w:r>
        <w:rPr>
          <w:rStyle w:val="Funotenzeichen"/>
        </w:rPr>
        <w:footnoteRef/>
      </w:r>
      <w:r>
        <w:rPr>
          <w:i/>
        </w:rPr>
        <w:tab/>
        <w:t>der lebt</w:t>
      </w:r>
      <w:r>
        <w:rPr/>
        <w:t xml:space="preserve"> Als Relativsatz aufgelöstes substantiviertes Partizip.</w:t>
      </w:r>
    </w:p>
  </w:footnote>
  <w:footnote w:id="7056">
    <w:p>
      <w:pPr>
        <w:pStyle w:val="Funote"/>
        <w:rPr/>
      </w:pPr>
      <w:r>
        <w:rPr>
          <w:rStyle w:val="Funotenzeichen"/>
        </w:rPr>
        <w:footnoteRef/>
      </w:r>
      <w:r>
        <w:rPr>
          <w:i/>
        </w:rPr>
        <w:tab/>
        <w:t>wobei (während) sie rufen</w:t>
      </w:r>
      <w:r>
        <w:rPr/>
        <w:t xml:space="preserve"> Modal oder temporal aufzulösendes adverbiales Ptz.</w:t>
      </w:r>
    </w:p>
  </w:footnote>
  <w:footnote w:id="7057">
    <w:p>
      <w:pPr>
        <w:pStyle w:val="Funote"/>
        <w:rPr/>
      </w:pPr>
      <w:r>
        <w:rPr>
          <w:rStyle w:val="Funotenzeichen"/>
        </w:rPr>
        <w:footnoteRef/>
      </w:r>
      <w:r>
        <w:rPr/>
        <w:tab/>
        <w:t>[Status: Ungeprüft]</w:t>
      </w:r>
    </w:p>
  </w:footnote>
  <w:footnote w:id="7058">
    <w:p>
      <w:pPr>
        <w:pStyle w:val="Funote"/>
        <w:rPr/>
      </w:pPr>
      <w:r>
        <w:rPr>
          <w:rStyle w:val="Funotenzeichen"/>
        </w:rPr>
        <w:footnoteRef/>
      </w:r>
      <w:r>
        <w:rPr>
          <w:i/>
        </w:rPr>
        <w:tab/>
        <w:t>sah, wie (dass) … verkündete</w:t>
      </w:r>
      <w:r>
        <w:rPr/>
        <w:t xml:space="preserve"> </w:t>
      </w:r>
      <w:hyperlink r:id="rId804">
        <w:r>
          <w:rPr>
            <w:rStyle w:val="Internetverknpfung"/>
          </w:rPr>
          <w:t>AcP</w:t>
        </w:r>
      </w:hyperlink>
      <w:r>
        <w:rPr/>
        <w:t xml:space="preserve">. </w:t>
      </w:r>
      <w:r>
        <w:rPr>
          <w:i/>
        </w:rPr>
        <w:t>Wie (dass)</w:t>
      </w:r>
      <w:r>
        <w:rPr/>
        <w:t xml:space="preserve"> wurde eingefügt, um den AcP richtig aufzulösen.</w:t>
      </w:r>
    </w:p>
  </w:footnote>
  <w:footnote w:id="7059">
    <w:p>
      <w:pPr>
        <w:pStyle w:val="Funote"/>
        <w:rPr/>
      </w:pPr>
      <w:r>
        <w:rPr>
          <w:rStyle w:val="Funotenzeichen"/>
        </w:rPr>
        <w:footnoteRef/>
      </w:r>
      <w:r>
        <w:rPr/>
        <w:tab/>
        <w:t>hineinzusehen So die meisten Übersetzungen sinngemäß. W. „sie zu sehen“ (vgl. REB), damit ist wahrscheinlich der Blick auf den Inhalt gemeint.</w:t>
      </w:r>
    </w:p>
  </w:footnote>
  <w:footnote w:id="7060">
    <w:p>
      <w:pPr>
        <w:pStyle w:val="Funote"/>
        <w:rPr/>
      </w:pPr>
      <w:r>
        <w:rPr>
          <w:rStyle w:val="Funotenzeichen"/>
        </w:rPr>
        <w:footnoteRef/>
      </w:r>
      <w:r>
        <w:rPr>
          <w:i/>
        </w:rPr>
        <w:tab/>
        <w:t>ich begann heftig zu weinen</w:t>
      </w:r>
      <w:r>
        <w:rPr/>
        <w:t xml:space="preserve"> Konativ verstandenes Imperfekt, das dann den Beginn der Handlung beschreibt, was gut in den Kontext passt.</w:t>
      </w:r>
    </w:p>
  </w:footnote>
  <w:footnote w:id="7061">
    <w:p>
      <w:pPr>
        <w:pStyle w:val="Funote"/>
        <w:rPr/>
      </w:pPr>
      <w:r>
        <w:rPr>
          <w:rStyle w:val="Funotenzeichen"/>
        </w:rPr>
        <w:footnoteRef/>
      </w:r>
      <w:r>
        <w:rPr>
          <w:i/>
        </w:rPr>
        <w:tab/>
        <w:t>[um nun] zu öffnen</w:t>
      </w:r>
      <w:r>
        <w:rPr/>
        <w:t xml:space="preserve"> Der Infinitiv-NS scheint resultative Funktion zu haben. In der Lesefassung könnte er deutlich konsekutiv oder final übersetzt werden.</w:t>
      </w:r>
    </w:p>
  </w:footnote>
  <w:footnote w:id="7062">
    <w:p>
      <w:pPr>
        <w:pStyle w:val="Funote"/>
        <w:rPr/>
      </w:pPr>
      <w:r>
        <w:rPr>
          <w:rStyle w:val="Funotenzeichen"/>
        </w:rPr>
        <w:footnoteRef/>
      </w:r>
      <w:r>
        <w:rPr>
          <w:i/>
        </w:rPr>
        <w:tab/>
        <w:t>Lamm</w:t>
      </w:r>
      <w:r>
        <w:rPr/>
        <w:t xml:space="preserve">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7063">
    <w:p>
      <w:pPr>
        <w:pStyle w:val="Funote"/>
        <w:rPr/>
      </w:pPr>
      <w:r>
        <w:rPr>
          <w:rStyle w:val="Funotenzeichen"/>
        </w:rPr>
        <w:footnoteRef/>
      </w:r>
      <w:r>
        <w:rPr>
          <w:i/>
        </w:rPr>
        <w:tab/>
        <w:t>sah, dass (wie) … stand</w:t>
      </w:r>
      <w:r>
        <w:rPr/>
        <w:t xml:space="preserve"> </w:t>
      </w:r>
      <w:hyperlink r:id="rId805">
        <w:r>
          <w:rPr>
            <w:rStyle w:val="Internetverknpfung"/>
          </w:rPr>
          <w:t>AcP</w:t>
        </w:r>
      </w:hyperlink>
      <w:r>
        <w:rPr/>
        <w:t xml:space="preserve">. </w:t>
      </w:r>
      <w:r>
        <w:rPr>
          <w:i/>
        </w:rPr>
        <w:t>Dass (wie)</w:t>
      </w:r>
      <w:r>
        <w:rPr/>
        <w:t xml:space="preserve"> wurde eingefügt, um den AcP richtig aufzulösen.</w:t>
      </w:r>
    </w:p>
  </w:footnote>
  <w:footnote w:id="7064">
    <w:p>
      <w:pPr>
        <w:pStyle w:val="Funote"/>
        <w:rPr/>
      </w:pPr>
      <w:r>
        <w:rPr>
          <w:rStyle w:val="Funotenzeichen"/>
        </w:rPr>
        <w:footnoteRef/>
      </w:r>
      <w:r>
        <w:rPr>
          <w:i/>
        </w:rPr>
        <w:tab/>
        <w:t>Es hatte und ausgesandt</w:t>
      </w:r>
      <w:r>
        <w:rPr/>
        <w:t xml:space="preserve"> Adverbiale Partizipien, jeweils modal als unabhängiger HS bzw. als Attribut aufgelöst. Beide hätte man auch als Relativsätze auflösen können.</w:t>
      </w:r>
    </w:p>
  </w:footnote>
  <w:footnote w:id="7065">
    <w:p>
      <w:pPr>
        <w:pStyle w:val="Funote"/>
        <w:rPr/>
      </w:pPr>
      <w:r>
        <w:rPr>
          <w:rStyle w:val="Funotenzeichen"/>
        </w:rPr>
        <w:footnoteRef/>
      </w:r>
      <w:r>
        <w:rPr/>
        <w:tab/>
        <w:t>Substantiviertes Partizip, hier als Relativsatz aufgelöst.</w:t>
      </w:r>
    </w:p>
  </w:footnote>
  <w:footnote w:id="7066">
    <w:p>
      <w:pPr>
        <w:pStyle w:val="Funote"/>
        <w:rPr/>
      </w:pPr>
      <w:r>
        <w:rPr>
          <w:rStyle w:val="Funotenzeichen"/>
        </w:rPr>
        <w:footnoteRef/>
      </w:r>
      <w:r>
        <w:rPr>
          <w:i/>
        </w:rPr>
        <w:tab/>
        <w:t>Zither</w:t>
      </w:r>
      <w:r>
        <w:rPr/>
        <w:t xml:space="preserve"> Eine Art kleiner Harfe mit 10-12 Saiten, ein Instrument, das im Tempelgottesdienst Verwendung fand und auch hier darauf anspielt (Osborne 2002, 258).</w:t>
      </w:r>
    </w:p>
  </w:footnote>
  <w:footnote w:id="7067">
    <w:p>
      <w:pPr>
        <w:pStyle w:val="Funote"/>
        <w:rPr/>
      </w:pPr>
      <w:r>
        <w:rPr>
          <w:rStyle w:val="Funotenzeichen"/>
        </w:rPr>
        <w:footnoteRef/>
      </w:r>
      <w:r>
        <w:rPr>
          <w:i/>
        </w:rPr>
        <w:tab/>
        <w:t>wobei hatte</w:t>
      </w:r>
      <w:r>
        <w:rPr/>
        <w:t xml:space="preserve"> Als modaler Nebensatz aufgelöstes </w:t>
      </w:r>
      <w:hyperlink r:id="rId806">
        <w:r>
          <w:rPr>
            <w:rStyle w:val="Internetverknpfung"/>
          </w:rPr>
          <w:t>Ptc. Coni.</w:t>
        </w:r>
      </w:hyperlink>
      <w:r>
        <w:rPr/>
        <w:t xml:space="preserve"> (präs. 3. Pl.). Der Plural wurde im Deutschen als Singular wiedergegeben.</w:t>
      </w:r>
    </w:p>
  </w:footnote>
  <w:footnote w:id="7068">
    <w:p>
      <w:pPr>
        <w:pStyle w:val="Funote"/>
        <w:rPr/>
      </w:pPr>
      <w:r>
        <w:rPr>
          <w:rStyle w:val="Funotenzeichen"/>
        </w:rPr>
        <w:footnoteRef/>
      </w:r>
      <w:r>
        <w:rPr>
          <w:i/>
        </w:rPr>
        <w:tab/>
        <w:t>das</w:t>
      </w:r>
      <w:r>
        <w:rPr/>
        <w:t xml:space="preserve"> Gemeint sind wahrscheinlich nur die Schüsseln mit Weihrauch (vgl. Beale 1999, 357f.).</w:t>
      </w:r>
    </w:p>
  </w:footnote>
  <w:footnote w:id="7069">
    <w:p>
      <w:pPr>
        <w:pStyle w:val="Funote"/>
        <w:rPr/>
      </w:pPr>
      <w:r>
        <w:rPr>
          <w:rStyle w:val="Funotenzeichen"/>
        </w:rPr>
        <w:footnoteRef/>
      </w:r>
      <w:r>
        <w:rPr>
          <w:i/>
        </w:rPr>
        <w:tab/>
        <w:t>{mit dem Text}</w:t>
      </w:r>
      <w:r>
        <w:rPr/>
        <w:t xml:space="preserve"> W. „sagend/wobei sie sagten“. </w:t>
      </w:r>
      <w:r>
        <w:rPr>
          <w:i/>
        </w:rPr>
        <w:t>Mit dem Text</w:t>
      </w:r>
      <w:r>
        <w:rPr/>
        <w:t xml:space="preserve"> stellt eine paraphasierende Übersetzung als modale Präpositionalphrase dar. Das Partizip markiert nämlich in einer satzzeichenlosen Schrift den Beginn des Zitats, zeigt hier also an, welchen Text das Lied hatte.</w:t>
      </w:r>
    </w:p>
  </w:footnote>
  <w:footnote w:id="7070">
    <w:p>
      <w:pPr>
        <w:pStyle w:val="Funote"/>
        <w:rPr/>
      </w:pPr>
      <w:r>
        <w:rPr>
          <w:rStyle w:val="Funotenzeichen"/>
        </w:rPr>
        <w:footnoteRef/>
      </w:r>
      <w:r>
        <w:rPr>
          <w:i/>
        </w:rPr>
        <w:tab/>
        <w:t>[für] Gott</w:t>
      </w:r>
      <w:r>
        <w:rPr/>
        <w:t xml:space="preserve"> </w:t>
      </w:r>
      <w:hyperlink r:id="rId807">
        <w:r>
          <w:rPr>
            <w:rStyle w:val="Internetverknpfung"/>
          </w:rPr>
          <w:t>Dativus commodi</w:t>
        </w:r>
      </w:hyperlink>
      <w:r>
        <w:rPr/>
        <w:t>.</w:t>
      </w:r>
    </w:p>
  </w:footnote>
  <w:footnote w:id="7071">
    <w:p>
      <w:pPr>
        <w:pStyle w:val="Funote"/>
        <w:rPr/>
      </w:pPr>
      <w:r>
        <w:rPr>
          <w:rStyle w:val="Funotenzeichen"/>
        </w:rPr>
        <w:footnoteRef/>
      </w:r>
      <w:r>
        <w:rPr>
          <w:i/>
        </w:rPr>
        <w:tab/>
        <w:t>[für] unseren Gott</w:t>
      </w:r>
      <w:r>
        <w:rPr/>
        <w:t xml:space="preserve"> </w:t>
      </w:r>
      <w:hyperlink r:id="rId808">
        <w:r>
          <w:rPr>
            <w:rStyle w:val="Internetverknpfung"/>
          </w:rPr>
          <w:t>Dativus commodi</w:t>
        </w:r>
      </w:hyperlink>
      <w:r>
        <w:rPr/>
        <w:t>.</w:t>
      </w:r>
    </w:p>
  </w:footnote>
  <w:footnote w:id="7072">
    <w:p>
      <w:pPr>
        <w:pStyle w:val="Funote"/>
        <w:rPr/>
      </w:pPr>
      <w:r>
        <w:rPr>
          <w:rStyle w:val="Funotenzeichen"/>
        </w:rPr>
        <w:footnoteRef/>
      </w:r>
      <w:r>
        <w:rPr>
          <w:i/>
        </w:rPr>
        <w:tab/>
        <w:t>Stimmen</w:t>
      </w:r>
      <w:r>
        <w:rPr/>
        <w:t xml:space="preserve"> W. „Stimme“. Im Deutschen ist ein Plural erforderlich.</w:t>
      </w:r>
    </w:p>
  </w:footnote>
  <w:footnote w:id="7073">
    <w:p>
      <w:pPr>
        <w:pStyle w:val="Funote"/>
        <w:rPr/>
      </w:pPr>
      <w:r>
        <w:rPr>
          <w:rStyle w:val="Funotenzeichen"/>
        </w:rPr>
        <w:footnoteRef/>
      </w:r>
      <w:r>
        <w:rPr>
          <w:i/>
        </w:rPr>
        <w:tab/>
        <w:t>zehntausend mal zehntausend und tausend mal tausend</w:t>
      </w:r>
      <w:r>
        <w:rPr/>
        <w:t xml:space="preserve">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7074">
    <w:p>
      <w:pPr>
        <w:pStyle w:val="Funote"/>
        <w:rPr/>
      </w:pPr>
      <w:r>
        <w:rPr>
          <w:rStyle w:val="Funotenzeichen"/>
        </w:rPr>
        <w:footnoteRef/>
      </w:r>
      <w:r>
        <w:rPr>
          <w:i/>
        </w:rPr>
        <w:tab/>
        <w:t>die … riefen</w:t>
      </w:r>
      <w:r>
        <w:rPr/>
        <w:t xml:space="preserve"> Ptc. coni., modal als Relativsatz aufgelöst.</w:t>
      </w:r>
    </w:p>
  </w:footnote>
  <w:footnote w:id="7075">
    <w:p>
      <w:pPr>
        <w:pStyle w:val="Funote"/>
        <w:rPr/>
      </w:pPr>
      <w:r>
        <w:rPr>
          <w:rStyle w:val="Funotenzeichen"/>
        </w:rPr>
        <w:footnoteRef/>
      </w:r>
      <w:r>
        <w:rPr/>
        <w:tab/>
        <w:t xml:space="preserve">Attributives </w:t>
      </w:r>
      <w:hyperlink r:id="rId809">
        <w:r>
          <w:rPr>
            <w:rStyle w:val="Internetverknpfung"/>
          </w:rPr>
          <w:t>Ptz.</w:t>
        </w:r>
      </w:hyperlink>
      <w:r>
        <w:rPr/>
        <w:t xml:space="preserve"> pf. Pass.</w:t>
      </w:r>
    </w:p>
  </w:footnote>
  <w:footnote w:id="7076">
    <w:p>
      <w:pPr>
        <w:pStyle w:val="Funote"/>
        <w:rPr/>
      </w:pPr>
      <w:r>
        <w:rPr>
          <w:rStyle w:val="Funotenzeichen"/>
        </w:rPr>
        <w:footnoteRef/>
      </w:r>
      <w:r>
        <w:rPr>
          <w:i/>
        </w:rPr>
        <w:tab/>
        <w:t>rufen</w:t>
      </w:r>
      <w:r>
        <w:rPr/>
        <w:t xml:space="preserve"> Prädikatives Partizip (AcP). Auch möglich: „...hörte, wie sie riefen“</w:t>
      </w:r>
    </w:p>
  </w:footnote>
  <w:footnote w:id="7077">
    <w:p>
      <w:pPr>
        <w:pStyle w:val="Funote"/>
        <w:rPr/>
      </w:pPr>
      <w:r>
        <w:rPr>
          <w:rStyle w:val="Funotenzeichen"/>
        </w:rPr>
        <w:footnoteRef/>
      </w:r>
      <w:r>
        <w:rPr/>
        <w:tab/>
        <w:t>Verschiedene deutsche Übersetzungen: „von Ewigkeit zu Ewigkeit“ oder „in alle Ewigkeit“</w:t>
      </w:r>
    </w:p>
  </w:footnote>
  <w:footnote w:id="7078">
    <w:p>
      <w:pPr>
        <w:pStyle w:val="Funote"/>
        <w:rPr/>
      </w:pPr>
      <w:r>
        <w:rPr>
          <w:rStyle w:val="Funotenzeichen"/>
        </w:rPr>
        <w:footnoteRef/>
      </w:r>
      <w:r>
        <w:rPr/>
        <w:tab/>
        <w:t>Amen Beteuerungsformel, sinngemäß etwa „So ist es!“ (vgl. LN 72.6). In deutschen Übersetzungen bei Aussprüchen Jesu gelegentlich „Wahrlich!“</w:t>
      </w:r>
    </w:p>
  </w:footnote>
  <w:footnote w:id="7079">
    <w:p>
      <w:pPr>
        <w:pStyle w:val="Funote"/>
        <w:rPr/>
      </w:pPr>
      <w:r>
        <w:rPr>
          <w:rStyle w:val="Funotenzeichen"/>
        </w:rPr>
        <w:footnoteRef/>
      </w:r>
      <w:r>
        <w:rPr/>
        <w:tab/>
        <w:t>[Status: Ungeprüft]</w:t>
      </w:r>
    </w:p>
  </w:footnote>
  <w:footnote w:id="7080">
    <w:p>
      <w:pPr>
        <w:pStyle w:val="Funote"/>
        <w:rPr/>
      </w:pPr>
      <w:r>
        <w:rPr>
          <w:rStyle w:val="Funotenzeichen"/>
        </w:rPr>
        <w:footnoteRef/>
      </w:r>
      <w:r>
        <w:rPr>
          <w:i/>
        </w:rPr>
        <w:tab/>
        <w:t>die … standen [und] … festhielten</w:t>
      </w:r>
      <w:r>
        <w:rPr/>
        <w:t xml:space="preserve"> AcP, mit zwei durch „und“ aneinandergehängten Relativsätzen aufgelöst. Möglich auch: „sah, dass/wie … standen...“ Oder das 1. Ptz. könnte adverbial sein, eine andere Auflösung wäre dann: „die, während/wobei sie … standen, … festhielten“</w:t>
      </w:r>
    </w:p>
  </w:footnote>
  <w:footnote w:id="7081">
    <w:p>
      <w:pPr>
        <w:pStyle w:val="Funote"/>
        <w:rPr/>
      </w:pPr>
      <w:r>
        <w:rPr>
          <w:rStyle w:val="Funotenzeichen"/>
        </w:rPr>
        <w:footnoteRef/>
      </w:r>
      <w:r>
        <w:rPr>
          <w:i/>
        </w:rPr>
        <w:tab/>
        <w:t>weil … wehen sollte</w:t>
      </w:r>
      <w:r>
        <w:rPr/>
        <w:t xml:space="preserve"> Gr. final </w:t>
      </w:r>
      <w:r>
        <w:rPr>
          <w:lang w:val="el-GR"/>
        </w:rPr>
        <w:t>ἵνα</w:t>
      </w:r>
      <w:r>
        <w:rPr/>
        <w:t xml:space="preserve">, was meist mit „damit“ übersetzt wird, aber hier eine holprige Formulierung mit Konjunktiv erforderlich machen würde. Die Übersetzung mit </w:t>
      </w:r>
      <w:r>
        <w:rPr>
          <w:i/>
        </w:rPr>
        <w:t>weil</w:t>
      </w:r>
      <w:r>
        <w:rPr/>
        <w:t xml:space="preserve"> und finalem Modalverb ist im Deutschen natürlicher. Eine andere Alternative wäre „mit dem Ziel, dass“ oder auch „um zu verhindern, dass … wehte“.</w:t>
      </w:r>
    </w:p>
  </w:footnote>
  <w:footnote w:id="7082">
    <w:p>
      <w:pPr>
        <w:pStyle w:val="Funote"/>
        <w:rPr/>
      </w:pPr>
      <w:r>
        <w:rPr>
          <w:rStyle w:val="Funotenzeichen"/>
        </w:rPr>
        <w:footnoteRef/>
      </w:r>
      <w:r>
        <w:rPr>
          <w:i/>
        </w:rPr>
        <w:tab/>
        <w:t>der … hinabstieg [und] … hatte</w:t>
      </w:r>
      <w:r>
        <w:rPr/>
        <w:t xml:space="preserve"> Dieselbe Konstruktion wie in 7,1.</w:t>
      </w:r>
    </w:p>
  </w:footnote>
  <w:footnote w:id="7083">
    <w:p>
      <w:pPr>
        <w:pStyle w:val="Funote"/>
        <w:rPr/>
      </w:pPr>
      <w:r>
        <w:rPr>
          <w:rStyle w:val="Funotenzeichen"/>
        </w:rPr>
        <w:footnoteRef/>
      </w:r>
      <w:r>
        <w:rPr>
          <w:i/>
        </w:rPr>
        <w:tab/>
        <w:t>[mit] lauter Stimme</w:t>
      </w:r>
      <w:r>
        <w:rPr/>
        <w:t xml:space="preserve"> Appositiver Genitiv?</w:t>
      </w:r>
    </w:p>
  </w:footnote>
  <w:footnote w:id="7084">
    <w:p>
      <w:pPr>
        <w:pStyle w:val="Funote"/>
        <w:rPr/>
      </w:pPr>
      <w:r>
        <w:rPr>
          <w:rStyle w:val="Funotenzeichen"/>
        </w:rPr>
        <w:footnoteRef/>
      </w:r>
      <w:r>
        <w:rPr>
          <w:i/>
        </w:rPr>
        <w:tab/>
        <w:t>{ihnen}</w:t>
      </w:r>
      <w:r>
        <w:rPr/>
        <w:t xml:space="preserve"> Wohl in einem Versuch, einen hebräischen Relativsatz nachzubilden, setzt Johannes hier ein überflüssiges Demonstrativpronomen als (nach dem Relativpronomen) zweites Subjekt.</w:t>
      </w:r>
    </w:p>
  </w:footnote>
  <w:footnote w:id="7085">
    <w:p>
      <w:pPr>
        <w:pStyle w:val="Funote"/>
        <w:rPr/>
      </w:pPr>
      <w:r>
        <w:rPr>
          <w:rStyle w:val="Funotenzeichen"/>
        </w:rPr>
        <w:footnoteRef/>
      </w:r>
      <w:r>
        <w:rPr>
          <w:i/>
        </w:rPr>
        <w:tab/>
        <w:t>{und sagte}</w:t>
      </w:r>
      <w:r>
        <w:rPr/>
        <w:t xml:space="preserve"> Im Deutschen überflüssiges, modales Ptc. coni., das im Griechischen die zitierte Rede einleitet.</w:t>
      </w:r>
    </w:p>
  </w:footnote>
  <w:footnote w:id="7086">
    <w:p>
      <w:pPr>
        <w:pStyle w:val="Funote"/>
        <w:rPr/>
      </w:pPr>
      <w:r>
        <w:rPr>
          <w:rStyle w:val="Funotenzeichen"/>
        </w:rPr>
        <w:footnoteRef/>
      </w:r>
      <w:r>
        <w:rPr/>
        <w:tab/>
        <w:t>Oder: „Fügt der Erde und dem Meer und den Bäumen keinen Schaden zu“</w:t>
      </w:r>
    </w:p>
  </w:footnote>
  <w:footnote w:id="7087">
    <w:p>
      <w:pPr>
        <w:pStyle w:val="Funote"/>
        <w:rPr/>
      </w:pPr>
      <w:r>
        <w:rPr>
          <w:rStyle w:val="Funotenzeichen"/>
        </w:rPr>
        <w:footnoteRef/>
      </w:r>
      <w:r>
        <w:rPr>
          <w:i/>
        </w:rPr>
        <w:tab/>
        <w:t>Sie waren … gekleidet</w:t>
      </w:r>
      <w:r>
        <w:rPr/>
        <w:t xml:space="preserve"> Ptz. pf. Pass. 3. Pl. m. Modales Ptc. coni., hier auch wegen der Constructio ad sensum als separater HS aufgelöst.</w:t>
      </w:r>
    </w:p>
  </w:footnote>
  <w:footnote w:id="7088">
    <w:p>
      <w:pPr>
        <w:pStyle w:val="Funote"/>
        <w:rPr/>
      </w:pPr>
      <w:r>
        <w:rPr>
          <w:rStyle w:val="Funotenzeichen"/>
        </w:rPr>
        <w:footnoteRef/>
      </w:r>
      <w:r>
        <w:rPr/>
        <w:tab/>
        <w:t>Substantiviertes Ptz., als Relativsatz aufgelöst.</w:t>
      </w:r>
    </w:p>
  </w:footnote>
  <w:footnote w:id="7089">
    <w:p>
      <w:pPr>
        <w:pStyle w:val="Funote"/>
        <w:rPr/>
      </w:pPr>
      <w:r>
        <w:rPr>
          <w:rStyle w:val="Funotenzeichen"/>
        </w:rPr>
        <w:footnoteRef/>
      </w:r>
      <w:r>
        <w:rPr/>
        <w:tab/>
        <w:t>Verschiedene deutsche Übersetzungen: „von Ewigkeit zu Ewigkeit“ oder „in alle Ewigkeit“</w:t>
      </w:r>
    </w:p>
  </w:footnote>
  <w:footnote w:id="7090">
    <w:p>
      <w:pPr>
        <w:pStyle w:val="Funote"/>
        <w:rPr/>
      </w:pPr>
      <w:r>
        <w:rPr>
          <w:rStyle w:val="Funotenzeichen"/>
        </w:rPr>
        <w:footnoteRef/>
      </w:r>
      <w:r>
        <w:rPr/>
        <w:tab/>
        <w:t>W. „entgegnete/antwortete“</w:t>
      </w:r>
    </w:p>
  </w:footnote>
  <w:footnote w:id="7091">
    <w:p>
      <w:pPr>
        <w:pStyle w:val="Funote"/>
        <w:rPr/>
      </w:pPr>
      <w:r>
        <w:rPr>
          <w:rStyle w:val="Funotenzeichen"/>
        </w:rPr>
        <w:footnoteRef/>
      </w:r>
      <w:r>
        <w:rPr>
          <w:i/>
        </w:rPr>
        <w:tab/>
        <w:t>und fragte</w:t>
      </w:r>
      <w:r>
        <w:rPr/>
        <w:t xml:space="preserve"> Als „und“-Kombination aufgelöstes temporales oder modales Ptc. coni. Man könnte es (wie anderswo im Kapitel und der ganzen Offb) auch ganz weglassen, weil es die wörtliche Rede einleitet. </w:t>
      </w:r>
    </w:p>
  </w:footnote>
  <w:footnote w:id="7092">
    <w:p>
      <w:pPr>
        <w:pStyle w:val="Funote"/>
        <w:rPr/>
      </w:pPr>
      <w:r>
        <w:rPr>
          <w:rStyle w:val="Funotenzeichen"/>
        </w:rPr>
        <w:footnoteRef/>
      </w:r>
      <w:r>
        <w:rPr/>
        <w:tab/>
        <w:t>Substantiviertes Ptz., als Relativsatz aufgelöst.</w:t>
      </w:r>
    </w:p>
  </w:footnote>
  <w:footnote w:id="7093">
    <w:p>
      <w:pPr>
        <w:pStyle w:val="Funote"/>
        <w:rPr/>
      </w:pPr>
      <w:r>
        <w:rPr>
          <w:rStyle w:val="Funotenzeichen"/>
        </w:rPr>
        <w:footnoteRef/>
      </w:r>
      <w:r>
        <w:rPr/>
        <w:tab/>
        <w:t>[Status: Ungeprüft]</w:t>
      </w:r>
    </w:p>
  </w:footnote>
  <w:footnote w:id="7094">
    <w:p>
      <w:pPr>
        <w:pStyle w:val="Funote"/>
        <w:rPr/>
      </w:pPr>
      <w:r>
        <w:rPr>
          <w:rStyle w:val="Funotenzeichen"/>
        </w:rPr>
        <w:footnoteRef/>
      </w:r>
      <w:r>
        <w:rPr/>
        <w:tab/>
        <w:t xml:space="preserve">Einige Handschriften, wie z.B. der Stephanustext der 3. Edition, der Hoskier als Obertext dient, weisen eine Vertauschung von </w:t>
      </w:r>
      <w:r>
        <w:rPr>
          <w:lang w:val="el-GR"/>
        </w:rPr>
        <w:t>κέρατα δέκα καὶ κεφαλὰς ἑπτὰ</w:t>
      </w:r>
      <w:r>
        <w:rPr/>
        <w:t xml:space="preserve"> zu </w:t>
      </w:r>
      <w:r>
        <w:rPr>
          <w:lang w:val="el-GR"/>
        </w:rPr>
        <w:t>κεφαλὰς ἑπτὰ καὶ κέρατα δέκα</w:t>
      </w:r>
      <w:r>
        <w:rPr/>
        <w:t xml:space="preserve">. Der inneren Textkritik nach kann keine Entscheidung getroffen werden. Da </w:t>
      </w:r>
      <w:r>
        <w:rPr>
          <w:lang w:val="el-GR"/>
        </w:rPr>
        <w:t>κέρατα δέκα καὶ κεφαλὰς ἑπτὰ</w:t>
      </w:r>
      <w:r>
        <w:rPr/>
        <w:t xml:space="preserve"> von A und C, sowie </w:t>
      </w:r>
      <w:r>
        <w:rPr>
          <w:rtl w:val="true"/>
          <w:lang w:bidi="he-IL"/>
        </w:rPr>
        <w:t>א</w:t>
      </w:r>
      <w:r>
        <w:rPr/>
        <w:t xml:space="preserve"> </w:t>
      </w:r>
      <w:r>
        <w:rPr/>
        <w:t>belegt sind ist dieser Lesart dem Vorzug zu geben.</w:t>
      </w:r>
    </w:p>
  </w:footnote>
  <w:footnote w:id="7095">
    <w:p>
      <w:pPr>
        <w:pStyle w:val="Funote"/>
        <w:rPr/>
      </w:pPr>
      <w:r>
        <w:rPr>
          <w:rStyle w:val="Funotenzeichen"/>
        </w:rPr>
        <w:footnoteRef/>
      </w:r>
      <w:r>
        <w:rPr/>
        <w:tab/>
        <w:t xml:space="preserve">Anstatt des Plurals, gibt es Varianten, die den Singular des Wortes </w:t>
      </w:r>
      <w:r>
        <w:rPr>
          <w:lang w:val="el-GR"/>
        </w:rPr>
        <w:t>ονομα</w:t>
      </w:r>
      <w:r>
        <w:rPr/>
        <w:t xml:space="preserve"> aufweisen. Nach Maier ist die Singularform in den Handschriften jedoch schlechter belegt (vgl. MAIER, Gerhard: Die Offenbarung des Johannes. Kapitel 12-22 (His-torisch-Theologische Auslegung: Neues Testament), Witten 2.Auflage 2014. S.77f). Allerdings liest als wichtige Handschrift nur A die Pluralform, dagegen C, sowie auch </w:t>
      </w:r>
      <w:r>
        <w:rPr>
          <w:rtl w:val="true"/>
          <w:lang w:bidi="he-IL"/>
        </w:rPr>
        <w:t>א</w:t>
      </w:r>
      <w:r>
        <w:rPr/>
        <w:t xml:space="preserve"> </w:t>
      </w:r>
      <w:r>
        <w:rPr/>
        <w:t>die Singularform. 𝔓47 ist an dieser Stelle fragmentär. Da die Lücke jedoch nur einen Buchstaben umfasst, ist davon auszugehen, dass es die Singularform belegt. Daher gebe ich der Singularform hier den Vorzug.</w:t>
      </w:r>
    </w:p>
  </w:footnote>
  <w:footnote w:id="7096">
    <w:p>
      <w:pPr>
        <w:pStyle w:val="Funote"/>
        <w:rPr/>
      </w:pPr>
      <w:r>
        <w:rPr>
          <w:rStyle w:val="Funotenzeichen"/>
        </w:rPr>
        <w:footnoteRef/>
      </w:r>
      <w:r>
        <w:rPr/>
        <w:tab/>
        <w:t xml:space="preserve">Es gibt eine Ergänzung von </w:t>
      </w:r>
      <w:r>
        <w:rPr>
          <w:lang w:val="el-GR"/>
        </w:rPr>
        <w:t>πολεμον</w:t>
      </w:r>
      <w:r>
        <w:rPr/>
        <w:t xml:space="preserve"> vor </w:t>
      </w:r>
      <w:r>
        <w:rPr>
          <w:lang w:val="el-GR"/>
        </w:rPr>
        <w:t>ποιησαι</w:t>
      </w:r>
      <w:r>
        <w:rPr/>
        <w:t xml:space="preserve">. Diese ist durch einige Hand-schriften belegt, z.B. durch den Codex Vaticanus (B), jedoch fehlen die wichtigen Handschriften A, C, </w:t>
      </w:r>
      <w:r>
        <w:rPr>
          <w:rtl w:val="true"/>
          <w:lang w:bidi="he-IL"/>
        </w:rPr>
        <w:t>א</w:t>
      </w:r>
      <w:r>
        <w:rPr/>
        <w:t xml:space="preserve"> </w:t>
      </w:r>
      <w:r>
        <w:rPr/>
        <w:t xml:space="preserve">und 𝔓47. Zudem ist der Kurztext lectio brevior und damit wird </w:t>
      </w:r>
      <w:r>
        <w:rPr>
          <w:lang w:val="el-GR"/>
        </w:rPr>
        <w:t>πολεμον</w:t>
      </w:r>
      <w:r>
        <w:rPr/>
        <w:t xml:space="preserve"> eine spätere Ergänzung sein.</w:t>
      </w:r>
    </w:p>
  </w:footnote>
  <w:footnote w:id="7097">
    <w:p>
      <w:pPr>
        <w:pStyle w:val="Funote"/>
        <w:rPr/>
      </w:pPr>
      <w:r>
        <w:rPr>
          <w:rStyle w:val="Funotenzeichen"/>
        </w:rPr>
        <w:footnoteRef/>
      </w:r>
      <w:r>
        <w:rPr/>
        <w:tab/>
        <w:t xml:space="preserve">Und ihm wurde gegeben einen Krieg mit den Heiligen zu führen und sie zu besiegen: Zur Bewertung der äußeren Textkritik stellt Tóth fest, dass der Teilvers „von der wichtigsten Handschriftengruppe […], dem sog. A-Text […] ausgelassen“ (TÓTH, Franz: Das Tier, sein Bild und der falsche Prophet. Untersuchungen zum zeitgeschichtlichen Hintergrund von Johannesoffenbarung 13 unter Einbeziehung des antiken Orakel-wesens (BThSt, 126), Neukirchen-Vluyn 2012, S.30) wurde. Daneben fehlt er auch in einigen Schriften anderer Textfamilien, wie 𝔓47 und ist erst „rund ein Jahrhundert später zunächst fragmentarisch“ (TÓTH: Tier, S.30) belegt. Die meiste Kommentarliteratur folgt, so Tóth, dem Langtext (siehe TÓTH: Tier, S.30), so vermutet z.B. Satake hinter der Auslassung eine Haplographie aufgrund des gleichen Anfang mit </w:t>
      </w:r>
      <w:r>
        <w:rPr>
          <w:lang w:val="el-GR"/>
        </w:rPr>
        <w:t>καὶ ἐδόθη αὐτῷ</w:t>
      </w:r>
      <w:r>
        <w:rPr/>
        <w:t xml:space="preserve"> (nach SATAKE, Akira: Die Offenbarung des Johannes (KEK, 16), Göttingen 2008, S.299 Fußnote: 455). Dies ist jedoch aufgrund der Parallelstruktur, welche erst durch die Ergänzung durchbrochen wird, wenig wahrscheinlich (nach TÓTH: Tier, S.30). Ebenso sieht Maier den Vers als ursprünglich an und benennt noch nicht einmal das textkritische Problem, das es bei V.7a gibt, wie er es jedoch bei anderen Versen tut (vgl. MAIER, Gerhard: Die Offenbarung des Johannes. Kapitel 12-22 (Historisch-Theologische Auslegung: Neues Testament), Witten 2.Auflage 2014, S.89ff). Nach der inneren Textkritik ist der lectio brevior den Vorzug zu geben ist. Die Fortschreibung durch V.7a kann dann als Dramatisierung verstanden werden bzw. als „einen überaus dichten apokalyptischen Fatalismus“ (KARRER, Martin: Der Text der Johannesapokalypse, in: FREY, Jörg u.a. (Hg.): Die Johannesapokalypse. Kontexte - Konzepte - Rezeption (WUNT, 287), Tübingen 2012, S. 70f.). Eine Ergänzung des Textes, wie sie Karrer annimmt, als Folge der erlebten Christenverfolgung im 2. und 3. Jahrhundert scheint daher, sehr wahrscheinlich (siehe KARRER: Text, in: FREY (Hg.): Johannesapokalypse, S.70f.).</w:t>
      </w:r>
    </w:p>
  </w:footnote>
  <w:footnote w:id="7098">
    <w:p>
      <w:pPr>
        <w:pStyle w:val="Funote"/>
        <w:rPr/>
      </w:pPr>
      <w:r>
        <w:rPr>
          <w:rStyle w:val="Funotenzeichen"/>
        </w:rPr>
        <w:footnoteRef/>
      </w:r>
      <w:r>
        <w:rPr>
          <w:lang w:val="el-GR"/>
        </w:rPr>
        <w:tab/>
        <w:t>αὐτοῦ</w:t>
      </w:r>
      <w:r>
        <w:rPr/>
        <w:t xml:space="preserve"> ausgelassen, da es sich in der deutschen Sprache nicht in diesem Kontext sinnvoll wiedergeben lässt.</w:t>
      </w:r>
    </w:p>
  </w:footnote>
  <w:footnote w:id="7099">
    <w:p>
      <w:pPr>
        <w:pStyle w:val="Funote"/>
        <w:rPr/>
      </w:pPr>
      <w:r>
        <w:rPr>
          <w:rStyle w:val="Funotenzeichen"/>
        </w:rPr>
        <w:footnoteRef/>
      </w:r>
      <w:r>
        <w:rPr/>
        <w:tab/>
        <w:t xml:space="preserve">V.10 weist viele textkritische Varianten auf, wie Maier belegt (MAIER: Offenbarung. Kapitel 12-22, S. 93). Die wichtigen Handschriften A, C und belegen jeweils einen anderen Textbestand. A belegt </w:t>
      </w:r>
      <w:r>
        <w:rPr>
          <w:lang w:val="el-GR"/>
        </w:rPr>
        <w:t>εἴ τις εἰς αἰχμαλωσίαν, εἰς αἰχμαλωσίαν ὑπάγει</w:t>
      </w:r>
      <w:r>
        <w:rPr/>
        <w:t xml:space="preserve">, </w:t>
      </w:r>
      <w:r>
        <w:rPr>
          <w:rtl w:val="true"/>
          <w:lang w:bidi="he-IL"/>
        </w:rPr>
        <w:t>א</w:t>
      </w:r>
      <w:r>
        <w:rPr/>
        <w:t xml:space="preserve"> </w:t>
      </w:r>
      <w:r>
        <w:rPr/>
        <w:t xml:space="preserve">belegt </w:t>
      </w:r>
      <w:r>
        <w:rPr>
          <w:lang w:val="el-GR"/>
        </w:rPr>
        <w:t>εἴ τις εἰς αἰχμαλωσίαν ὑπάγει, εἰς αἰχμαλωσίαν</w:t>
      </w:r>
      <w:r>
        <w:rPr/>
        <w:t xml:space="preserve"> und C ist am kürzesten mit </w:t>
      </w:r>
      <w:r>
        <w:rPr>
          <w:lang w:val="el-GR"/>
        </w:rPr>
        <w:t>ἡ τις εἰς αἰχμαλωσίαν ὑπάγει</w:t>
      </w:r>
      <w:r>
        <w:rPr/>
        <w:t xml:space="preserve">. C ist hier die unwahrscheinlichste Lesart, da weder A noch </w:t>
      </w:r>
      <w:r>
        <w:rPr>
          <w:rtl w:val="true"/>
          <w:lang w:bidi="he-IL"/>
        </w:rPr>
        <w:t>א</w:t>
      </w:r>
      <w:r>
        <w:rPr/>
        <w:t xml:space="preserve"> </w:t>
      </w:r>
      <w:r>
        <w:rPr>
          <w:lang w:val="el-GR"/>
        </w:rPr>
        <w:t>ἡ τις</w:t>
      </w:r>
      <w:r>
        <w:rPr/>
        <w:t xml:space="preserve"> bezeugen. 𝔓47 ist an dieser Stelle defizitär, jedoch ist am Ende von V.10a [</w:t>
      </w:r>
      <w:r>
        <w:rPr>
          <w:lang w:val="el-GR"/>
        </w:rPr>
        <w:t>ὑ</w:t>
      </w:r>
      <w:r>
        <w:rPr/>
        <w:t>]</w:t>
      </w:r>
      <w:r>
        <w:rPr>
          <w:lang w:val="el-GR"/>
        </w:rPr>
        <w:t>πάγει</w:t>
      </w:r>
      <w:r>
        <w:rPr/>
        <w:t xml:space="preserve"> belegt. Somit steht der S-Text gegen die Handschrift A, die zum A-Text gehört. Obwohl normalerweise der A-Text stärker gewichtet wird, folge ich hier dem S-Text, da ich A auch in V.10b nicht folge. Die ursprüngliche Lesart ist damit vermutlich </w:t>
      </w:r>
      <w:r>
        <w:rPr>
          <w:lang w:val="el-GR"/>
        </w:rPr>
        <w:t>εἴ τις εἰς αἰχμαλωσίαν ὑπάγει, εἰς αἰχμαλωσίαν</w:t>
      </w:r>
      <w:r>
        <w:rPr/>
        <w:t>.</w:t>
      </w:r>
    </w:p>
  </w:footnote>
  <w:footnote w:id="7100">
    <w:p>
      <w:pPr>
        <w:pStyle w:val="Funote"/>
        <w:rPr/>
      </w:pPr>
      <w:r>
        <w:rPr>
          <w:rStyle w:val="Funotenzeichen"/>
        </w:rPr>
        <w:footnoteRef/>
      </w:r>
      <w:r>
        <w:rPr/>
        <w:tab/>
        <w:t xml:space="preserve">Der V.10b „enthält […] in fast allen Handschriften eine andere Nuance als im heutigen Text“ (KARRER, Martin: Hellenistische und frühkaiserliche Motive in der Johannesapokalypse, in: SCHMELLER, Thomas u.a. (Hg.): Die Offenbarung des Johannes. Kommunikation im Konflikt (QD, 253), Freiburg im Breisgau 2013, S. 32–73, S.52) A liest alleine gegen alle anderen Zeugen </w:t>
      </w:r>
      <w:r>
        <w:rPr>
          <w:lang w:val="el-GR"/>
        </w:rPr>
        <w:t>εἴ τις ἐν μαχαίρῃ ἀποκτανθῆναι αὐτὸν ἐν μαχαίρῃ ἀποκτανθῆναι</w:t>
      </w:r>
      <w:r>
        <w:rPr/>
        <w:t>. Somit ist es eigentlich schlecht bezeugt, wurde aber in der Forschung des 20. Jh. als die ursprünglichere Lesart aufgefasst und ist mittlerweile wieder umstritten (Siehe KARRER: Motive, in: SCHMELLER u.a. (Hg.): Offenbarung, S.52). Karrer führt die Veränderung des Textsinnes überzeugend, ähnlich wie bei V.7a auch, auf eine Zuspitzung der Christenverfolgungen im 2. und 3. Jh. zurück (Siehe KARRER: Motive, in: SCHMELLER u.a. (Hg.): Offenbarung, S.52). Demnach zeigt sich in der Textvariante von A eine gewisse Fatalität, wohingegen die anderen Handschriften „einen Rest von Recht“ (Siehe KARRER: Motive, in: SCHMELLER u.a. (Hg.): Offenbarung, S.52) im römischen Reich sehen, nach dem die Hoffnung besteht, dass Morde noch geahndet werden.</w:t>
      </w:r>
    </w:p>
  </w:footnote>
  <w:footnote w:id="7101">
    <w:p>
      <w:pPr>
        <w:pStyle w:val="Funote"/>
        <w:rPr/>
      </w:pPr>
      <w:r>
        <w:rPr>
          <w:rStyle w:val="Funotenzeichen"/>
        </w:rPr>
        <w:footnoteRef/>
      </w:r>
      <w:r>
        <w:rPr/>
        <w:tab/>
        <w:t xml:space="preserve">Nach Art. </w:t>
      </w:r>
      <w:r>
        <w:rPr>
          <w:lang w:val="el-GR"/>
        </w:rPr>
        <w:t>λέγω</w:t>
      </w:r>
      <w:r>
        <w:rPr/>
        <w:t xml:space="preserve"> in: BAUER: Wörterbuch, Sp.951-954, hier: Sp.953.</w:t>
      </w:r>
    </w:p>
  </w:footnote>
  <w:footnote w:id="7102">
    <w:p>
      <w:pPr>
        <w:pStyle w:val="Funote"/>
        <w:rPr/>
      </w:pPr>
      <w:r>
        <w:rPr>
          <w:rStyle w:val="Funotenzeichen"/>
        </w:rPr>
        <w:footnoteRef/>
      </w:r>
      <w:r>
        <w:rPr>
          <w:lang w:val="el-GR"/>
        </w:rPr>
        <w:tab/>
        <w:t>ἵνα ὅσοι</w:t>
      </w:r>
      <w:r>
        <w:rPr/>
        <w:t>: wörtlich „so viele wie“, sinngemäß daher „alle die“.</w:t>
      </w:r>
    </w:p>
  </w:footnote>
  <w:footnote w:id="7103">
    <w:p>
      <w:pPr>
        <w:pStyle w:val="Funote"/>
        <w:rPr/>
      </w:pPr>
      <w:r>
        <w:rPr>
          <w:rStyle w:val="Funotenzeichen"/>
        </w:rPr>
        <w:footnoteRef/>
      </w:r>
      <w:r>
        <w:rPr/>
        <w:tab/>
        <w:t xml:space="preserve">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 </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
    <w:lvl w:ilvl="0">
      <w:start w:val="1"/>
      <w:numFmt w:val="none"/>
      <w:suff w:val="nothing"/>
      <w:lvlText w:val=""/>
      <w:lvlJc w:val="left"/>
      <w:pPr>
        <w:ind w:left="0" w:hanging="0"/>
      </w:pPr>
    </w:lvl>
    <w:lvl w:ilvl="1">
      <w:start w:val="1"/>
      <w:pStyle w:val="Berschrift2"/>
      <w:numFmt w:val="none"/>
      <w:suff w:val="nothing"/>
      <w:lvlText w:val=""/>
      <w:lvlJc w:val="left"/>
      <w:pPr>
        <w:ind w:left="0" w:hanging="0"/>
      </w:pPr>
    </w:lvl>
    <w:lvl w:ilvl="2">
      <w:start w:val="1"/>
      <w:pStyle w:val="Berschrift3"/>
      <w:numFmt w:val="none"/>
      <w:suff w:val="nothing"/>
      <w:lvlText w:val=""/>
      <w:lvlJc w:val="left"/>
      <w:pPr>
        <w:ind w:left="0" w:hanging="0"/>
      </w:pPr>
    </w:lvl>
    <w:lvl w:ilvl="3">
      <w:start w:val="1"/>
      <w:pStyle w:val="Berschrift4"/>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709"/>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verknpfung">
    <w:name w:val="Internetverknüpfung"/>
    <w:rPr>
      <w:color w:val="000080"/>
      <w:u w:val="single"/>
    </w:rPr>
  </w:style>
  <w:style w:type="character" w:styleId="Betont">
    <w:name w:val="Betont"/>
    <w:qFormat/>
    <w:rPr>
      <w:i/>
      <w:iCs/>
    </w:rPr>
  </w:style>
  <w:style w:type="character" w:styleId="Aufzhlungszeichen">
    <w:name w:val="Aufzählungszeichen"/>
    <w:qFormat/>
    <w:rPr>
      <w:rFonts w:ascii="OpenSymbol" w:hAnsi="OpenSymbol" w:eastAsia="OpenSymbol" w:cs="OpenSymbol"/>
    </w:rPr>
  </w:style>
  <w:style w:type="character" w:styleId="Nummerierungszeichen">
    <w:name w:val="Nummerierungszeichen"/>
    <w:qFormat/>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val="true"/>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 w:type="paragraph" w:styleId="Listeninhalt">
    <w:name w:val="Listeninhalt"/>
    <w:basedOn w:val="Normal"/>
    <w:qFormat/>
    <w:pPr>
      <w:ind w:left="567" w:hanging="0"/>
    </w:pPr>
    <w:rPr/>
  </w:style>
  <w:style w:type="paragraph" w:styleId="Listenkopf">
    <w:name w:val="Listenkopf"/>
    <w:basedOn w:val="Normal"/>
    <w:next w:val="Listeninhalt"/>
    <w:qFormat/>
    <w:pPr>
      <w:ind w:hanging="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numbering" Target="numbering.xml"/><Relationship Id="rId4" Type="http://schemas.openxmlformats.org/officeDocument/2006/relationships/fontTable" Target="fontTable.xml"/><Relationship Id="rId5" Type="http://schemas.openxmlformats.org/officeDocument/2006/relationships/settings" Target="settings.xml"/>
</Relationships>
</file>

<file path=word/_rels/footnotes.xml.rels><?xml version="1.0" encoding="UTF-8"?>
<Relationships xmlns="http://schemas.openxmlformats.org/package/2006/relationships"><Relationship Id="rId1" Type="http://schemas.openxmlformats.org/officeDocument/2006/relationships/hyperlink" Target="http://www.offene-bibel.de/wiki/index.php5?title=&#1493;&#1456;" TargetMode="External"/><Relationship Id="rId2" Type="http://schemas.openxmlformats.org/officeDocument/2006/relationships/hyperlink" Target="../../../../../../../../../mediawiki/index.php%3Ftitle=2_K%C3%B6nige_19&amp;action=edit&amp;redlink=1" TargetMode="External"/><Relationship Id="rId3" Type="http://schemas.openxmlformats.org/officeDocument/2006/relationships/hyperlink" Target="../../../../../../../../../mediawiki/index.php%3Ftitle=Jeremia_46&amp;action=edit&amp;redlink=1" TargetMode="External"/><Relationship Id="rId4" Type="http://schemas.openxmlformats.org/officeDocument/2006/relationships/hyperlink" Target="../../../../../../../../../mediawiki/index.php%3Ftitle=Deuteronomium_2&amp;action=edit&amp;redlink=1" TargetMode="External"/><Relationship Id="rId5" Type="http://schemas.openxmlformats.org/officeDocument/2006/relationships/hyperlink" Target="../../../../../../../../../mediawiki/index.php%3Ftitle=Jeremia_47&amp;action=edit&amp;redlink=1" TargetMode="External"/><Relationship Id="rId6" Type="http://schemas.openxmlformats.org/officeDocument/2006/relationships/hyperlink" Target="../../../../../../../../../mediawiki/index.php%3Ftitle=Figura_Etymologica&amp;action=edit&amp;redlink=1" TargetMode="External"/><Relationship Id="rId7" Type="http://schemas.openxmlformats.org/officeDocument/2006/relationships/hyperlink" Target="../../../../../../../../../mediawiki/index.php%3Ftitle=Figura_etymologica&amp;action=edit&amp;redlink=1" TargetMode="External"/><Relationship Id="rId8" Type="http://schemas.openxmlformats.org/officeDocument/2006/relationships/hyperlink" Target="../../../../../../../../../mediawiki/index.php%3Ftitle=Figura_etymologica&amp;action=edit&amp;redlink=1" TargetMode="External"/><Relationship Id="rId9" Type="http://schemas.openxmlformats.org/officeDocument/2006/relationships/hyperlink" Target="../../../../../../../../../mediawiki/index.php%3Ftitle=Figura_etymologica&amp;action=edit&amp;redlink=1" TargetMode="External"/><Relationship Id="rId10" Type="http://schemas.openxmlformats.org/officeDocument/2006/relationships/hyperlink" Target="../../../../../../../../../mediawiki/index.php%3Ftitle=Waw-Perfekt&amp;action=edit&amp;redlink=1" TargetMode="External"/><Relationship Id="rId11" Type="http://schemas.openxmlformats.org/officeDocument/2006/relationships/hyperlink" Target="../../../../../../../../../mediawiki/index.php%3Ftitle=Waw-Perfekt&amp;action=edit&amp;redlink=1" TargetMode="External"/><Relationship Id="rId12" Type="http://schemas.openxmlformats.org/officeDocument/2006/relationships/hyperlink" Target="../../../../../../../../../mediawiki/index.php%3Ftitle=Waw-Perfekt&amp;action=edit&amp;redlink=1" TargetMode="External"/><Relationship Id="rId13" Type="http://schemas.openxmlformats.org/officeDocument/2006/relationships/hyperlink" Target="../../../../../../../../../mediawiki/index.php%3Ftitle=Waw-Perfekt&amp;action=edit&amp;redlink=1" TargetMode="External"/><Relationship Id="rId14" Type="http://schemas.openxmlformats.org/officeDocument/2006/relationships/hyperlink" Target="../../../../../../../../../mediawiki/index.php%3Ftitle=Waw-perfekt&amp;action=edit&amp;redlink=1" TargetMode="External"/><Relationship Id="rId15" Type="http://schemas.openxmlformats.org/officeDocument/2006/relationships/hyperlink" Target="../../../../../../../../../mediawiki/index.php%3Ftitle=Fig._etym.&amp;action=edit&amp;redlink=1" TargetMode="External"/><Relationship Id="rId16" Type="http://schemas.openxmlformats.org/officeDocument/2006/relationships/hyperlink" Target="../../../../../../../../../mediawiki/index.php%3Ftitle=Waw-Perfekt&amp;action=edit&amp;redlink=1" TargetMode="External"/><Relationship Id="rId17" Type="http://schemas.openxmlformats.org/officeDocument/2006/relationships/hyperlink" Target="../../../../../../../../../mediawiki/index.php%3Ftitle=Waw-Perfekt&amp;action=edit&amp;redlink=1" TargetMode="External"/><Relationship Id="rId18" Type="http://schemas.openxmlformats.org/officeDocument/2006/relationships/hyperlink" Target="../../../../../../../../../mediawiki/index.php%3Ftitle=Waw-Perfekt&amp;action=edit&amp;redlink=1" TargetMode="External"/><Relationship Id="rId19" Type="http://schemas.openxmlformats.org/officeDocument/2006/relationships/hyperlink" Target="../../../../../../../../../mediawiki/index.php%3Ftitle=Waw-Perfekt&amp;action=edit&amp;redlink=1" TargetMode="External"/><Relationship Id="rId20" Type="http://schemas.openxmlformats.org/officeDocument/2006/relationships/hyperlink" Target="../../../../../../../../../mediawiki/index.php%3Ftitle=Waw-Perfekt&amp;action=edit&amp;redlink=1" TargetMode="External"/><Relationship Id="rId21" Type="http://schemas.openxmlformats.org/officeDocument/2006/relationships/hyperlink" Target="../../../../../../../../../mediawiki/index.php%3Ftitle=Waw-Perfekt&amp;action=edit&amp;redlink=1" TargetMode="External"/><Relationship Id="rId22" Type="http://schemas.openxmlformats.org/officeDocument/2006/relationships/hyperlink" Target="../../../../../../../../../mediawiki/index.php%3Ftitle=Hesekiel_36&amp;action=edit&amp;redlink=1" TargetMode="External"/><Relationship Id="rId23" Type="http://schemas.openxmlformats.org/officeDocument/2006/relationships/hyperlink" Target="../../../../../../../../../mediawiki/index.php%3Ftitle=Psalm_25&amp;action=edit&amp;redlink=1" TargetMode="External"/><Relationship Id="rId24" Type="http://schemas.openxmlformats.org/officeDocument/2006/relationships/hyperlink" Target="../../../../../../../../../mediawiki/index.php%3Ftitle=Deuteronomium_25&amp;action=edit&amp;redlink=1" TargetMode="External"/><Relationship Id="rId25" Type="http://schemas.openxmlformats.org/officeDocument/2006/relationships/hyperlink" Target="../../../../../../../../../mediawiki/index.php%3Ftitle=Nehemia_9,29&amp;action=edit&amp;redlink=1" TargetMode="External"/><Relationship Id="rId26" Type="http://schemas.openxmlformats.org/officeDocument/2006/relationships/hyperlink" Target="http://www.bibelwissenschaft.de/wibilex/das-bibellexikon/lexikon/sachwort/anzeigen/details/moab-moabiter-3/ch/d763214e547e5d75aa217082da90a2ea/" TargetMode="External"/><Relationship Id="rId27" Type="http://schemas.openxmlformats.org/officeDocument/2006/relationships/hyperlink" Target="../../../../../../../../../mediawiki/index.php%3Ftitle=Richter_3&amp;action=edit&amp;redlink=1" TargetMode="External"/><Relationship Id="rId28" Type="http://schemas.openxmlformats.org/officeDocument/2006/relationships/hyperlink" Target="../../../../../../../../../mediawiki/index.php%3Ftitle=Matth%C3%A4us_20&amp;action=edit&amp;redlink=1" TargetMode="External"/><Relationship Id="rId29" Type="http://schemas.openxmlformats.org/officeDocument/2006/relationships/hyperlink" Target="../../../../../../../../../mediawiki/index.php%3Ftitle=Lk_12&amp;action=edit&amp;redlink=1" TargetMode="External"/><Relationship Id="rId30" Type="http://schemas.openxmlformats.org/officeDocument/2006/relationships/hyperlink" Target="../../../../../../../../../mediawiki/index.php%3Ftitle=Deuteronomium_4&amp;action=edit&amp;redlink=1" TargetMode="External"/><Relationship Id="rId31" Type="http://schemas.openxmlformats.org/officeDocument/2006/relationships/hyperlink" Target="../../../../../../../../../mediawiki/index.php%3Ftitle=Jeremia_38&amp;action=edit&amp;redlink=1" TargetMode="External"/><Relationship Id="rId32" Type="http://schemas.openxmlformats.org/officeDocument/2006/relationships/hyperlink" Target="../../../../../../../../../mediawiki/index.php%3Ftitle=Jer_42&amp;action=edit&amp;redlink=1" TargetMode="External"/><Relationship Id="rId33" Type="http://schemas.openxmlformats.org/officeDocument/2006/relationships/hyperlink" Target="../../../../../../../../../mediawiki/index.php%3Ftitle=1Samuel_25&amp;action=edit&amp;redlink=1" TargetMode="External"/><Relationship Id="rId34" Type="http://schemas.openxmlformats.org/officeDocument/2006/relationships/hyperlink" Target="../../../../../../../../../mediawiki/index.php%3Ftitle=1K%C3%B6nige_8&amp;action=edit&amp;redlink=1" TargetMode="External"/><Relationship Id="rId35" Type="http://schemas.openxmlformats.org/officeDocument/2006/relationships/hyperlink" Target="../../../../../../../../../mediawiki/index.php%3Ftitle=Deuteronomium_25&amp;action=edit&amp;redlink=1" TargetMode="External"/><Relationship Id="rId36" Type="http://schemas.openxmlformats.org/officeDocument/2006/relationships/hyperlink" Target="../../../../../../../../../mediawiki/index.php%3Ftitle=1Samuel_20&amp;action=edit&amp;redlink=1" TargetMode="External"/><Relationship Id="rId37" Type="http://schemas.openxmlformats.org/officeDocument/2006/relationships/hyperlink" Target="../../../../../../../../../mediawiki/index.php%3Ftitle=1Samuel_20&amp;action=edit&amp;redlink=1" TargetMode="External"/><Relationship Id="rId38" Type="http://schemas.openxmlformats.org/officeDocument/2006/relationships/hyperlink" Target="../../../../../../../../../mediawiki/index.php%3Ftitle=Ijob_36&amp;action=edit&amp;redlink=1" TargetMode="External"/><Relationship Id="rId39" Type="http://schemas.openxmlformats.org/officeDocument/2006/relationships/hyperlink" Target="../../../../../../../../../mediawiki/index.php%3Ftitle=Ijob_36&amp;action=edit&amp;redlink=1" TargetMode="External"/><Relationship Id="rId40" Type="http://schemas.openxmlformats.org/officeDocument/2006/relationships/hyperlink" Target="../../../../../../../../../mediawiki/index.php%3Ftitle=Psalm_69&amp;action=edit&amp;redlink=1" TargetMode="External"/><Relationship Id="rId41" Type="http://schemas.openxmlformats.org/officeDocument/2006/relationships/hyperlink" Target="https://www.bibelwissenschaft.de/stichwort/15921/" TargetMode="External"/><Relationship Id="rId42" Type="http://schemas.openxmlformats.org/officeDocument/2006/relationships/hyperlink" Target="../../../../../../../../../mediawiki/index.php%3Ftitle=2Samuel_6&amp;action=edit&amp;redlink=1" TargetMode="External"/><Relationship Id="rId43" Type="http://schemas.openxmlformats.org/officeDocument/2006/relationships/hyperlink" Target="../../../../../../../../../mediawiki/index.php%3Ftitle=Jeremia_46&amp;action=edit&amp;redlink=1" TargetMode="External"/><Relationship Id="rId44" Type="http://schemas.openxmlformats.org/officeDocument/2006/relationships/hyperlink" Target="../../../../../../../../../mediawiki/index.php%3Ftitle=Jeremia_47&amp;action=edit&amp;redlink=1" TargetMode="External"/><Relationship Id="rId45" Type="http://schemas.openxmlformats.org/officeDocument/2006/relationships/hyperlink" Target="../../../../../../../../../mediawiki/index.php%3Ftitle=Genesis_31&amp;action=edit&amp;redlink=1" TargetMode="External"/><Relationship Id="rId46" Type="http://schemas.openxmlformats.org/officeDocument/2006/relationships/hyperlink" Target="../../../../../../../../../mediawiki/index.php%3Ftitle=1_K%C3%B6nige_6&amp;action=edit&amp;redlink=1" TargetMode="External"/><Relationship Id="rId47" Type="http://schemas.openxmlformats.org/officeDocument/2006/relationships/hyperlink" Target="../../../../../../../../../mediawiki/index.php%3Ftitle=Esra_1&amp;action=edit&amp;redlink=1" TargetMode="External"/><Relationship Id="rId48" Type="http://schemas.openxmlformats.org/officeDocument/2006/relationships/hyperlink" Target="../../../../../../../../../wiki/Generisches_Maskulinum" TargetMode="External"/><Relationship Id="rId49" Type="http://schemas.openxmlformats.org/officeDocument/2006/relationships/hyperlink" Target="../../../../../../../../../wiki/Psalter" TargetMode="External"/><Relationship Id="rId50" Type="http://schemas.openxmlformats.org/officeDocument/2006/relationships/hyperlink" Target="../../../../../../../../../mediawiki/index.php%3Ftitle=Daniel_6&amp;action=edit&amp;redlink=1" TargetMode="External"/><Relationship Id="rId51" Type="http://schemas.openxmlformats.org/officeDocument/2006/relationships/hyperlink" Target="../../../../../../../../../mediawiki/index.php%3Ftitle=2_Samuel_16&amp;action=edit&amp;redlink=1" TargetMode="External"/><Relationship Id="rId52" Type="http://schemas.openxmlformats.org/officeDocument/2006/relationships/hyperlink" Target="http://www.offene-bibel.de/wiki/index.php5?title=Sela" TargetMode="External"/><Relationship Id="rId53" Type="http://schemas.openxmlformats.org/officeDocument/2006/relationships/hyperlink" Target="https://www.bibelwissenschaft.de/stichwort/35418/" TargetMode="External"/><Relationship Id="rId54" Type="http://schemas.openxmlformats.org/officeDocument/2006/relationships/hyperlink" Target="http://www.offene-bibel.de/wiki/index.php5?title=Sela" TargetMode="External"/><Relationship Id="rId55" Type="http://schemas.openxmlformats.org/officeDocument/2006/relationships/hyperlink" Target="../../../../../../../../../mediawiki/index.php%3Ftitle=Psalm_55&amp;action=edit&amp;redlink=1" TargetMode="External"/><Relationship Id="rId56" Type="http://schemas.openxmlformats.org/officeDocument/2006/relationships/hyperlink" Target="../../../../../../../../../mediawiki/index.php%3Ftitle=Jesaja_24&amp;action=edit&amp;redlink=1" TargetMode="External"/><Relationship Id="rId57" Type="http://schemas.openxmlformats.org/officeDocument/2006/relationships/hyperlink" Target="../../../../../../../../../mediawiki/index.php%3Ftitle=Hosea_4&amp;action=edit&amp;redlink=1" TargetMode="External"/><Relationship Id="rId58" Type="http://schemas.openxmlformats.org/officeDocument/2006/relationships/hyperlink" Target="../../../../../../../../../mediawiki/index.php%3Ftitle=Habakkuk_3&amp;action=edit&amp;redlink=1" TargetMode="External"/><Relationship Id="rId59" Type="http://schemas.openxmlformats.org/officeDocument/2006/relationships/hyperlink" Target="http://www.offene-bibel.de/wiki/index.php5?title=Sela" TargetMode="External"/><Relationship Id="rId60" Type="http://schemas.openxmlformats.org/officeDocument/2006/relationships/hyperlink" Target="../../../../../../../../../mediawiki/index.php%3Ftitle=Ezechiel_33&amp;action=edit&amp;redlink=1" TargetMode="External"/><Relationship Id="rId61" Type="http://schemas.openxmlformats.org/officeDocument/2006/relationships/hyperlink" Target="../../../../../../../../../mediawiki/index.php%3Ftitle=Ezechiel_18&amp;action=edit&amp;redlink=1" TargetMode="External"/><Relationship Id="rId62" Type="http://schemas.openxmlformats.org/officeDocument/2006/relationships/hyperlink" Target="../../../../../../../../../mediawiki/index.php%3Ftitle=Jesaja_24&amp;action=edit&amp;redlink=1" TargetMode="External"/><Relationship Id="rId63" Type="http://schemas.openxmlformats.org/officeDocument/2006/relationships/hyperlink" Target="../../../../../../../../../mediawiki/index.php%3Ftitle=Klagelied_1&amp;action=edit&amp;redlink=1" TargetMode="External"/><Relationship Id="rId64" Type="http://schemas.openxmlformats.org/officeDocument/2006/relationships/hyperlink" Target="../../../../../../../../../mediawiki/index.php%3Ftitle=Genesis_30&amp;action=edit&amp;redlink=1" TargetMode="External"/><Relationship Id="rId65" Type="http://schemas.openxmlformats.org/officeDocument/2006/relationships/hyperlink" Target="../../../../../../../../../mediawiki/index.php%3Ftitle=Exodus_32&amp;action=edit&amp;redlink=1" TargetMode="External"/><Relationship Id="rId66" Type="http://schemas.openxmlformats.org/officeDocument/2006/relationships/hyperlink" Target="../../../../../../../../../mediawiki/index.php%3Ftitle=Deuteronomium_9&amp;action=edit&amp;redlink=1" TargetMode="External"/><Relationship Id="rId67" Type="http://schemas.openxmlformats.org/officeDocument/2006/relationships/hyperlink" Target="../../../../../../../../../mediawiki/index.php%3Ftitle=1Samuel_2&amp;action=edit&amp;redlink=1" TargetMode="External"/><Relationship Id="rId68" Type="http://schemas.openxmlformats.org/officeDocument/2006/relationships/hyperlink" Target="../../../../../../../../../mediawiki/index.php%3Ftitle=Psalm_21&amp;action=edit&amp;redlink=1" TargetMode="External"/><Relationship Id="rId69" Type="http://schemas.openxmlformats.org/officeDocument/2006/relationships/hyperlink" Target="../../../../../../../../../mediawiki/index.php%3Ftitle=Leviticus_26&amp;action=edit&amp;redlink=1" TargetMode="External"/><Relationship Id="rId70" Type="http://schemas.openxmlformats.org/officeDocument/2006/relationships/hyperlink" Target="../../../../../../../../../mediawiki/index.php%3Ftitle=2Chronik_25&amp;action=edit&amp;redlink=1" TargetMode="External"/><Relationship Id="rId71" Type="http://schemas.openxmlformats.org/officeDocument/2006/relationships/hyperlink" Target="../../../../../../../../../mediawiki/index.php%3Ftitle=Psalm_64&amp;action=edit&amp;redlink=1" TargetMode="External"/><Relationship Id="rId72" Type="http://schemas.openxmlformats.org/officeDocument/2006/relationships/hyperlink" Target="../../../../../../../../../mediawiki/index.php%3Ftitle=Jesaja_3&amp;action=edit&amp;redlink=1" TargetMode="External"/><Relationship Id="rId73" Type="http://schemas.openxmlformats.org/officeDocument/2006/relationships/hyperlink" Target="https://www.bibelwissenschaft.de/stichwort/23844/" TargetMode="External"/><Relationship Id="rId74" Type="http://schemas.openxmlformats.org/officeDocument/2006/relationships/hyperlink" Target="../../../../../../../../../mediawiki/index.php%3Ftitle=Psalm_89&amp;action=edit&amp;redlink=1" TargetMode="External"/><Relationship Id="rId75" Type="http://schemas.openxmlformats.org/officeDocument/2006/relationships/hyperlink" Target="../../../../../../../../../mediawiki/index.php%3Ftitle=Psalm_89&amp;action=edit&amp;redlink=1" TargetMode="External"/><Relationship Id="rId76" Type="http://schemas.openxmlformats.org/officeDocument/2006/relationships/hyperlink" Target="https://www.bibelwissenschaft.de/stichwort/35418/" TargetMode="External"/><Relationship Id="rId77" Type="http://schemas.openxmlformats.org/officeDocument/2006/relationships/hyperlink" Target="../../../../../../../../../mediawiki/index.php%3Ftitle=1Samuel_1&amp;action=edit&amp;redlink=1" TargetMode="External"/><Relationship Id="rId78" Type="http://schemas.openxmlformats.org/officeDocument/2006/relationships/hyperlink" Target="../../../../../../../../../mediawiki/index.php%3Ftitle=Psalm_44&amp;action=edit&amp;redlink=1" TargetMode="External"/><Relationship Id="rId79" Type="http://schemas.openxmlformats.org/officeDocument/2006/relationships/hyperlink" Target="../../../../../../../../../mediawiki/index.php%3Ftitle=Jesaja_49&amp;action=edit&amp;redlink=1" TargetMode="External"/><Relationship Id="rId80" Type="http://schemas.openxmlformats.org/officeDocument/2006/relationships/hyperlink" Target="../../../../../../../../../mediawiki/index.php%3Ftitle=Klagelieder_5&amp;action=edit&amp;redlink=1" TargetMode="External"/><Relationship Id="rId81" Type="http://schemas.openxmlformats.org/officeDocument/2006/relationships/hyperlink" Target="../../../../../../../../../mediawiki/index.php%3Ftitle=Psalm_92&amp;action=edit&amp;redlink=1" TargetMode="External"/><Relationship Id="rId82" Type="http://schemas.openxmlformats.org/officeDocument/2006/relationships/hyperlink" Target="http://www.offene-bibel.de/wiki/index.php5?title=Sela" TargetMode="External"/><Relationship Id="rId83" Type="http://schemas.openxmlformats.org/officeDocument/2006/relationships/hyperlink" Target="https://www.bibelwissenschaft.de/stichwort/33830/" TargetMode="External"/><Relationship Id="rId84" Type="http://schemas.openxmlformats.org/officeDocument/2006/relationships/hyperlink" Target="../../../../../../../../../wiki/Psalm_9" TargetMode="External"/><Relationship Id="rId85" Type="http://schemas.openxmlformats.org/officeDocument/2006/relationships/hyperlink" Target="../../../../../../../../../mediawiki/index.php%3Ftitle=Sprichw%C3%B6rter_10&amp;action=edit&amp;redlink=1" TargetMode="External"/><Relationship Id="rId86" Type="http://schemas.openxmlformats.org/officeDocument/2006/relationships/hyperlink" Target="../../../../../../../../../mediawiki/index.php%3Ftitle=Psalm_46&amp;action=edit&amp;redlink=1" TargetMode="External"/><Relationship Id="rId87" Type="http://schemas.openxmlformats.org/officeDocument/2006/relationships/hyperlink" Target="../../../../../../../../../mediawiki/index.php%3Ftitle=Psalm_62&amp;action=edit&amp;redlink=1" TargetMode="External"/><Relationship Id="rId88" Type="http://schemas.openxmlformats.org/officeDocument/2006/relationships/hyperlink" Target="../../../../../../../../../mediawiki/index.php%3Ftitle=Psalm_112&amp;action=edit&amp;redlink=1" TargetMode="External"/><Relationship Id="rId89" Type="http://schemas.openxmlformats.org/officeDocument/2006/relationships/hyperlink" Target="../../../../../../../../../mediawiki/index.php%3Ftitle=Psalm_125&amp;action=edit&amp;redlink=1" TargetMode="External"/><Relationship Id="rId90" Type="http://schemas.openxmlformats.org/officeDocument/2006/relationships/hyperlink" Target="../../../../../../../../../mediawiki/index.php%3Ftitle=Jeremia_16&amp;action=edit&amp;redlink=1" TargetMode="External"/><Relationship Id="rId91" Type="http://schemas.openxmlformats.org/officeDocument/2006/relationships/hyperlink" Target="../../../../../../../../../mediawiki/index.php%3Ftitle=Habakuk_1&amp;action=edit&amp;redlink=1" TargetMode="External"/><Relationship Id="rId92" Type="http://schemas.openxmlformats.org/officeDocument/2006/relationships/hyperlink" Target="../../../../../../../../../mediawiki/index.php%3Ftitle=1Samuel_1&amp;action=edit&amp;redlink=1" TargetMode="External"/><Relationship Id="rId93" Type="http://schemas.openxmlformats.org/officeDocument/2006/relationships/hyperlink" Target="../../../../../../../../../mediawiki/index.php%3Ftitle=Psalm_44&amp;action=edit&amp;redlink=1" TargetMode="External"/><Relationship Id="rId94" Type="http://schemas.openxmlformats.org/officeDocument/2006/relationships/hyperlink" Target="../../../../../../../../../mediawiki/index.php%3Ftitle=Jesaja_49&amp;action=edit&amp;redlink=1" TargetMode="External"/><Relationship Id="rId95" Type="http://schemas.openxmlformats.org/officeDocument/2006/relationships/hyperlink" Target="../../../../../../../../../mediawiki/index.php%3Ftitle=Klagelieder_5&amp;action=edit&amp;redlink=1" TargetMode="External"/><Relationship Id="rId96" Type="http://schemas.openxmlformats.org/officeDocument/2006/relationships/hyperlink" Target="../../../../../../../../../mediawiki/index.php%3Ftitle=Richter_16&amp;action=edit&amp;redlink=1" TargetMode="External"/><Relationship Id="rId97" Type="http://schemas.openxmlformats.org/officeDocument/2006/relationships/hyperlink" Target="../../../../../../../../../mediawiki/index.php%3Ftitle=Psalm_46&amp;action=edit&amp;redlink=1" TargetMode="External"/><Relationship Id="rId98" Type="http://schemas.openxmlformats.org/officeDocument/2006/relationships/hyperlink" Target="../../../../../../../../../mediawiki/index.php%3Ftitle=Psalm_48&amp;action=edit&amp;redlink=1" TargetMode="External"/><Relationship Id="rId99" Type="http://schemas.openxmlformats.org/officeDocument/2006/relationships/hyperlink" Target="../../../../../../../../../mediawiki/index.php%3Ftitle=Psalm_61&amp;action=edit&amp;redlink=1" TargetMode="External"/><Relationship Id="rId100" Type="http://schemas.openxmlformats.org/officeDocument/2006/relationships/hyperlink" Target="../../../../../../../../../mediawiki/index.php%3Ftitle=Jeremia_50&amp;action=edit&amp;redlink=1" TargetMode="External"/><Relationship Id="rId101" Type="http://schemas.openxmlformats.org/officeDocument/2006/relationships/hyperlink" Target="../../../../../../../../../mediawiki/index.php%3Ftitle=Psalm_59&amp;action=edit&amp;redlink=1" TargetMode="External"/><Relationship Id="rId102" Type="http://schemas.openxmlformats.org/officeDocument/2006/relationships/hyperlink" Target="../../../../../../../../../mediawiki/index.php%3Ftitle=Psalm_83&amp;action=edit&amp;redlink=1" TargetMode="External"/><Relationship Id="rId103" Type="http://schemas.openxmlformats.org/officeDocument/2006/relationships/hyperlink" Target="../../../../../../../../../mediawiki/index.php%3Ftitle=Ezechiel_38&amp;action=edit&amp;redlink=1" TargetMode="External"/><Relationship Id="rId104" Type="http://schemas.openxmlformats.org/officeDocument/2006/relationships/hyperlink" Target="../../../../../../../../../wiki/Genesis_25" TargetMode="External"/><Relationship Id="rId105" Type="http://schemas.openxmlformats.org/officeDocument/2006/relationships/hyperlink" Target="../../../../../../../../../mediawiki/index.php%3Ftitle=Exodus_22&amp;action=edit&amp;redlink=1" TargetMode="External"/><Relationship Id="rId106" Type="http://schemas.openxmlformats.org/officeDocument/2006/relationships/hyperlink" Target="../../../../../../../../../mediawiki/index.php%3Ftitle=Deuteronomium_23&amp;action=edit&amp;redlink=1" TargetMode="External"/><Relationship Id="rId107" Type="http://schemas.openxmlformats.org/officeDocument/2006/relationships/hyperlink" Target="../../../../../../../../../mediawiki/index.php%3Ftitle=Ezechiel_18&amp;action=edit&amp;redlink=1" TargetMode="External"/><Relationship Id="rId108" Type="http://schemas.openxmlformats.org/officeDocument/2006/relationships/hyperlink" Target="../../../../../../../../../mediawiki/index.php%3Ftitle=Exodus_23&amp;action=edit&amp;redlink=1" TargetMode="External"/><Relationship Id="rId109" Type="http://schemas.openxmlformats.org/officeDocument/2006/relationships/hyperlink" Target="../../../../../../../../../mediawiki/index.php%3Ftitle=Deuteronomium_27&amp;action=edit&amp;redlink=1" TargetMode="External"/><Relationship Id="rId110" Type="http://schemas.openxmlformats.org/officeDocument/2006/relationships/hyperlink" Target="../../../../../../../../../mediawiki/index.php%3Ftitle=Sprichw%C3%B6rter_10&amp;action=edit&amp;redlink=1" TargetMode="External"/><Relationship Id="rId111" Type="http://schemas.openxmlformats.org/officeDocument/2006/relationships/hyperlink" Target="../../../../../../../../../mediawiki/index.php%3Ftitle=Psalm_46&amp;action=edit&amp;redlink=1" TargetMode="External"/><Relationship Id="rId112" Type="http://schemas.openxmlformats.org/officeDocument/2006/relationships/hyperlink" Target="../../../../../../../../../mediawiki/index.php%3Ftitle=Psalm_62&amp;action=edit&amp;redlink=1" TargetMode="External"/><Relationship Id="rId113" Type="http://schemas.openxmlformats.org/officeDocument/2006/relationships/hyperlink" Target="../../../../../../../../../mediawiki/index.php%3Ftitle=Psalm_112&amp;action=edit&amp;redlink=1" TargetMode="External"/><Relationship Id="rId114" Type="http://schemas.openxmlformats.org/officeDocument/2006/relationships/hyperlink" Target="../../../../../../../../../mediawiki/index.php%3Ftitle=Psalm_125&amp;action=edit&amp;redlink=1" TargetMode="External"/><Relationship Id="rId115" Type="http://schemas.openxmlformats.org/officeDocument/2006/relationships/hyperlink" Target="../../../../../../../../../mediawiki/index.php%3Ftitle=Psalm_78&amp;action=edit&amp;redlink=1" TargetMode="External"/><Relationship Id="rId116" Type="http://schemas.openxmlformats.org/officeDocument/2006/relationships/hyperlink" Target="../../../../../../../../../mediawiki/index.php%3Ftitle=Micha_2&amp;action=edit&amp;redlink=1" TargetMode="External"/><Relationship Id="rId117" Type="http://schemas.openxmlformats.org/officeDocument/2006/relationships/hyperlink" Target="http://www.bibelwissenschaft.de/stichwort/33830/" TargetMode="External"/><Relationship Id="rId118" Type="http://schemas.openxmlformats.org/officeDocument/2006/relationships/hyperlink" Target="../../../../../../../../../mediawiki/index.php%3Ftitle=Sprichw%C3%B6rter_5&amp;action=edit&amp;redlink=1" TargetMode="External"/><Relationship Id="rId119" Type="http://schemas.openxmlformats.org/officeDocument/2006/relationships/hyperlink" Target="../../../../../../../../../mediawiki/index.php%3Ftitle=Sprichw%C3%B6rter_15&amp;action=edit&amp;redlink=1" TargetMode="External"/><Relationship Id="rId120" Type="http://schemas.openxmlformats.org/officeDocument/2006/relationships/hyperlink" Target="../../../../../../../../../mediawiki/index.php%3Ftitle=Ijob_15&amp;action=edit&amp;redlink=1" TargetMode="External"/><Relationship Id="rId121" Type="http://schemas.openxmlformats.org/officeDocument/2006/relationships/hyperlink" Target="../../../../../../../../../mediawiki/index.php%3Ftitle=Josua_13&amp;action=edit&amp;redlink=1" TargetMode="External"/><Relationship Id="rId122" Type="http://schemas.openxmlformats.org/officeDocument/2006/relationships/hyperlink" Target="../../../../../../../../../mediawiki/index.php%3Ftitle=Josua_14&amp;action=edit&amp;redlink=1" TargetMode="External"/><Relationship Id="rId123" Type="http://schemas.openxmlformats.org/officeDocument/2006/relationships/hyperlink" Target="../../../../../../../../../mediawiki/index.php%3Ftitle=Richter_18&amp;action=edit&amp;redlink=1" TargetMode="External"/><Relationship Id="rId124" Type="http://schemas.openxmlformats.org/officeDocument/2006/relationships/hyperlink" Target="../../../../../../../../../mediawiki/index.php%3Ftitle=Ijob_21&amp;action=edit&amp;redlink=1" TargetMode="External"/><Relationship Id="rId125" Type="http://schemas.openxmlformats.org/officeDocument/2006/relationships/hyperlink" Target="../../../../../../../../../mediawiki/index.php%3Ftitle=Sprichw%C3%B6rter_13&amp;action=edit&amp;redlink=1" TargetMode="External"/><Relationship Id="rId126" Type="http://schemas.openxmlformats.org/officeDocument/2006/relationships/hyperlink" Target="../../../../../../../../../mediawiki/index.php%3Ftitle=Ijob_20&amp;action=edit&amp;redlink=1" TargetMode="External"/><Relationship Id="rId127" Type="http://schemas.openxmlformats.org/officeDocument/2006/relationships/hyperlink" Target="../../../../../../../../../mediawiki/index.php%3Ftitle=Psalm_46&amp;action=edit&amp;redlink=1" TargetMode="External"/><Relationship Id="rId128" Type="http://schemas.openxmlformats.org/officeDocument/2006/relationships/hyperlink" Target="../../../../../../../../../mediawiki/index.php%3Ftitle=Psalm_143&amp;action=edit&amp;redlink=1" TargetMode="External"/><Relationship Id="rId129" Type="http://schemas.openxmlformats.org/officeDocument/2006/relationships/hyperlink" Target="../../../../../../../../../mediawiki/index.php%3Ftitle=Zefanja_3&amp;action=edit&amp;redlink=1" TargetMode="External"/><Relationship Id="rId130" Type="http://schemas.openxmlformats.org/officeDocument/2006/relationships/hyperlink" Target="../../../../../../../../../mediawiki/index.php%3Ftitle=Psalm_35&amp;action=edit&amp;redlink=1" TargetMode="External"/><Relationship Id="rId131" Type="http://schemas.openxmlformats.org/officeDocument/2006/relationships/hyperlink" Target="../../../../../../../../../mediawiki/index.php%3Ftitle=Psalm_44&amp;action=edit&amp;redlink=1" TargetMode="External"/><Relationship Id="rId132" Type="http://schemas.openxmlformats.org/officeDocument/2006/relationships/hyperlink" Target="../../../../../../../../../mediawiki/index.php%3Ftitle=Psalm_69&amp;action=edit&amp;redlink=1" TargetMode="External"/><Relationship Id="rId133" Type="http://schemas.openxmlformats.org/officeDocument/2006/relationships/hyperlink" Target="../../../../../../../../../mediawiki/index.php%3Ftitle=2Samuel_22&amp;action=edit&amp;redlink=1" TargetMode="External"/><Relationship Id="rId134" Type="http://schemas.openxmlformats.org/officeDocument/2006/relationships/hyperlink" Target="https://www.bibelwissenschaft.de/stichwort/15921/" TargetMode="External"/><Relationship Id="rId135" Type="http://schemas.openxmlformats.org/officeDocument/2006/relationships/hyperlink" Target="../../../../../../../../../mediawiki/index.php%3Ftitle=2Samuel_6&amp;action=edit&amp;redlink=1" TargetMode="External"/><Relationship Id="rId136" Type="http://schemas.openxmlformats.org/officeDocument/2006/relationships/hyperlink" Target="http://en.wikisource.org/wiki/Gesenius&apos;_Hebrew_Grammar/144" TargetMode="External"/><Relationship Id="rId137" Type="http://schemas.openxmlformats.org/officeDocument/2006/relationships/hyperlink" Target="http://wp.patheos.com.s3.amazonaws.com/blogs/exploringourmatrix/files/2012/11/Ancient-Hebrew-view-of-universe.png" TargetMode="External"/><Relationship Id="rId138" Type="http://schemas.openxmlformats.org/officeDocument/2006/relationships/hyperlink" Target="../../../../../../../../../mediawiki/index.php%3Ftitle=Psalm_103&amp;action=edit&amp;redlink=1" TargetMode="External"/><Relationship Id="rId139" Type="http://schemas.openxmlformats.org/officeDocument/2006/relationships/hyperlink" Target="../../../../../../../../../mediawiki/index.php%3Ftitle=Psalm_111&amp;action=edit&amp;redlink=1" TargetMode="External"/><Relationship Id="rId140" Type="http://schemas.openxmlformats.org/officeDocument/2006/relationships/hyperlink" Target="../../../../../../../../../mediawiki/index.php%3Ftitle=Psalm_119&amp;action=edit&amp;redlink=1" TargetMode="External"/><Relationship Id="rId141" Type="http://schemas.openxmlformats.org/officeDocument/2006/relationships/hyperlink" Target="../../../../../../../../../mediawiki/index.php%3Ftitle=Psalm_119&amp;action=edit&amp;redlink=1" TargetMode="External"/><Relationship Id="rId142" Type="http://schemas.openxmlformats.org/officeDocument/2006/relationships/hyperlink" Target="../../../../../../../../../mediawiki/index.php%3Ftitle=Psalm_119&amp;action=edit&amp;redlink=1" TargetMode="External"/><Relationship Id="rId143" Type="http://schemas.openxmlformats.org/officeDocument/2006/relationships/hyperlink" Target="../../../../../../../../../mediawiki/index.php%3Ftitle=Psalm_119&amp;action=edit&amp;redlink=1" TargetMode="External"/><Relationship Id="rId144" Type="http://schemas.openxmlformats.org/officeDocument/2006/relationships/hyperlink" Target="../../../../../../../../../mediawiki/index.php%3Ftitle=Psalm_119&amp;action=edit&amp;redlink=1" TargetMode="External"/><Relationship Id="rId145" Type="http://schemas.openxmlformats.org/officeDocument/2006/relationships/hyperlink" Target="../../../../../../../../../mediawiki/index.php%3Ftitle=Psalm_119&amp;action=edit&amp;redlink=1" TargetMode="External"/><Relationship Id="rId146" Type="http://schemas.openxmlformats.org/officeDocument/2006/relationships/hyperlink" Target="../../../../../../../../../mediawiki/index.php%3Ftitle=Psalm_119&amp;action=edit&amp;redlink=1" TargetMode="External"/><Relationship Id="rId147" Type="http://schemas.openxmlformats.org/officeDocument/2006/relationships/hyperlink" Target="../../../../../../../../../mediawiki/index.php%3Ftitle=Psalm_119&amp;action=edit&amp;redlink=1" TargetMode="External"/><Relationship Id="rId148" Type="http://schemas.openxmlformats.org/officeDocument/2006/relationships/hyperlink" Target="../../../../../../../../../mediawiki/index.php%3Ftitle=Psalm_119&amp;action=edit&amp;redlink=1" TargetMode="External"/><Relationship Id="rId149" Type="http://schemas.openxmlformats.org/officeDocument/2006/relationships/hyperlink" Target="../../../../../../../../../mediawiki/index.php%3Ftitle=Psalm_119&amp;action=edit&amp;redlink=1" TargetMode="External"/><Relationship Id="rId150" Type="http://schemas.openxmlformats.org/officeDocument/2006/relationships/hyperlink" Target="../../../../../../../../../mediawiki/index.php%3Ftitle=Psalm_119&amp;action=edit&amp;redlink=1" TargetMode="External"/><Relationship Id="rId151" Type="http://schemas.openxmlformats.org/officeDocument/2006/relationships/hyperlink" Target="../../../../../../../../../mediawiki/index.php%3Ftitle=Psalm_119&amp;action=edit&amp;redlink=1" TargetMode="External"/><Relationship Id="rId152" Type="http://schemas.openxmlformats.org/officeDocument/2006/relationships/hyperlink" Target="../../../../../../../../../mediawiki/index.php%3Ftitle=Deuteronomium_10&amp;action=edit&amp;redlink=1" TargetMode="External"/><Relationship Id="rId153" Type="http://schemas.openxmlformats.org/officeDocument/2006/relationships/hyperlink" Target="../../../../../../../../../mediawiki/index.php%3Ftitle=1K%C3%B6nige_8&amp;action=edit&amp;redlink=1" TargetMode="External"/><Relationship Id="rId154" Type="http://schemas.openxmlformats.org/officeDocument/2006/relationships/hyperlink" Target="../../../../../../../../../mediawiki/index.php%3Ftitle=2Chronik_2&amp;action=edit&amp;redlink=1" TargetMode="External"/><Relationship Id="rId155" Type="http://schemas.openxmlformats.org/officeDocument/2006/relationships/hyperlink" Target="../../../../../../../../../mediawiki/index.php%3Ftitle=2Chronik_6&amp;action=edit&amp;redlink=1" TargetMode="External"/><Relationship Id="rId156" Type="http://schemas.openxmlformats.org/officeDocument/2006/relationships/hyperlink" Target="../../../../../../../../../wiki/Levitikus_4" TargetMode="External"/><Relationship Id="rId157" Type="http://schemas.openxmlformats.org/officeDocument/2006/relationships/hyperlink" Target="../../../../../../../../../wiki/Levitikus_5" TargetMode="External"/><Relationship Id="rId158" Type="http://schemas.openxmlformats.org/officeDocument/2006/relationships/hyperlink" Target="../../../../../../../../../mediawiki/index.php%3Ftitle=Ijob_16&amp;action=edit&amp;redlink=1" TargetMode="External"/><Relationship Id="rId159" Type="http://schemas.openxmlformats.org/officeDocument/2006/relationships/hyperlink" Target="../../../../../../../../../mediawiki/index.php%3Ftitle=Psalm_35&amp;action=edit&amp;redlink=1" TargetMode="External"/><Relationship Id="rId160" Type="http://schemas.openxmlformats.org/officeDocument/2006/relationships/hyperlink" Target="../../../../../../../../../mediawiki/index.php%3Ftitle=Psalm_44&amp;action=edit&amp;redlink=1" TargetMode="External"/><Relationship Id="rId161" Type="http://schemas.openxmlformats.org/officeDocument/2006/relationships/hyperlink" Target="../../../../../../../../../mediawiki/index.php%3Ftitle=Psalm_64&amp;action=edit&amp;redlink=1" TargetMode="External"/><Relationship Id="rId162" Type="http://schemas.openxmlformats.org/officeDocument/2006/relationships/hyperlink" Target="../../../../../../../../../mediawiki/index.php%3Ftitle=Psalm_25&amp;action=edit&amp;redlink=1" TargetMode="External"/><Relationship Id="rId163" Type="http://schemas.openxmlformats.org/officeDocument/2006/relationships/hyperlink" Target="../../../../../../../../../mediawiki/index.php%3Ftitle=Ezechiel_39&amp;action=edit&amp;redlink=1" TargetMode="External"/><Relationship Id="rId164" Type="http://schemas.openxmlformats.org/officeDocument/2006/relationships/hyperlink" Target="../../../../../../../../../mediawiki/index.php%3Ftitle=Psalm_35&amp;action=edit&amp;redlink=1" TargetMode="External"/><Relationship Id="rId165" Type="http://schemas.openxmlformats.org/officeDocument/2006/relationships/hyperlink" Target="http://www.bibelwissenschaft.de/nc/wibilex/das-bibellexikon/details/quelle/WIBI/referenz/24713/" TargetMode="External"/><Relationship Id="rId166" Type="http://schemas.openxmlformats.org/officeDocument/2006/relationships/hyperlink" Target="../../../../../../../../../wiki/Sela" TargetMode="External"/><Relationship Id="rId167" Type="http://schemas.openxmlformats.org/officeDocument/2006/relationships/hyperlink" Target="../../../../../../../../../mediawiki/index.php%3Ftitle=1Makkab%C3%A4er_4&amp;action=edit&amp;redlink=1" TargetMode="External"/><Relationship Id="rId168" Type="http://schemas.openxmlformats.org/officeDocument/2006/relationships/hyperlink" Target="../../../../../../../../../mediawiki/index.php%3Ftitle=2Makkab%C3%A4er_10&amp;action=edit&amp;redlink=1" TargetMode="External"/><Relationship Id="rId169" Type="http://schemas.openxmlformats.org/officeDocument/2006/relationships/hyperlink" Target="http://www.bibelwissenschaft.de/nc/wibilex/das-bibellexikon/details/quelle/WIBI/referenz/24713/" TargetMode="External"/><Relationship Id="rId170" Type="http://schemas.openxmlformats.org/officeDocument/2006/relationships/hyperlink" Target="../../../../../../../../../wiki/Genesis_25" TargetMode="External"/><Relationship Id="rId171" Type="http://schemas.openxmlformats.org/officeDocument/2006/relationships/hyperlink" Target="../../../../../../../../../mediawiki/index.php%3Ftitle=Deuteronomium_28&amp;action=edit&amp;redlink=1" TargetMode="External"/><Relationship Id="rId172" Type="http://schemas.openxmlformats.org/officeDocument/2006/relationships/hyperlink" Target="../../../../../../../../../mediawiki/index.php%3Ftitle=Deuteronomium_28&amp;action=edit&amp;redlink=1" TargetMode="External"/><Relationship Id="rId173" Type="http://schemas.openxmlformats.org/officeDocument/2006/relationships/hyperlink" Target="../../../../../../../../../mediawiki/index.php%3Ftitle=Psalm_34&amp;action=edit&amp;redlink=1" TargetMode="External"/><Relationship Id="rId174" Type="http://schemas.openxmlformats.org/officeDocument/2006/relationships/hyperlink" Target="../../../../../../../../../mediawiki/index.php%3Ftitle=Psalm_47&amp;action=edit&amp;redlink=1" TargetMode="External"/><Relationship Id="rId175" Type="http://schemas.openxmlformats.org/officeDocument/2006/relationships/hyperlink" Target="../../../../../../../../../mediawiki/index.php%3Ftitle=Psalm_64&amp;action=edit&amp;redlink=1" TargetMode="External"/><Relationship Id="rId176" Type="http://schemas.openxmlformats.org/officeDocument/2006/relationships/hyperlink" Target="../../../../../../../../../wiki/Partizip" TargetMode="External"/><Relationship Id="rId177" Type="http://schemas.openxmlformats.org/officeDocument/2006/relationships/hyperlink" Target="../../../../../../../../../mediawiki/index.php%3Ftitle=1Chronik_16&amp;action=edit&amp;redlink=1" TargetMode="External"/><Relationship Id="rId178" Type="http://schemas.openxmlformats.org/officeDocument/2006/relationships/hyperlink" Target="../../../../../../../../../mediawiki/index.php%3Ftitle=Psalm_96&amp;action=edit&amp;redlink=1" TargetMode="External"/><Relationship Id="rId179" Type="http://schemas.openxmlformats.org/officeDocument/2006/relationships/hyperlink" Target="../../../../../../../../../mediawiki/index.php%3Ftitle=Psalm_111&amp;action=edit&amp;redlink=1" TargetMode="External"/><Relationship Id="rId180" Type="http://schemas.openxmlformats.org/officeDocument/2006/relationships/hyperlink" Target="../../../../../../../../../mediawiki/index.php%3Ftitle=Psalm_21&amp;action=edit&amp;redlink=1" TargetMode="External"/><Relationship Id="rId181" Type="http://schemas.openxmlformats.org/officeDocument/2006/relationships/hyperlink" Target="../../../../../../../../../mediawiki/index.php%3Ftitle=Psalm_45&amp;action=edit&amp;redlink=1" TargetMode="External"/><Relationship Id="rId182" Type="http://schemas.openxmlformats.org/officeDocument/2006/relationships/hyperlink" Target="../../../../../../../../../mediawiki/index.php%3Ftitle=Ijob_40&amp;action=edit&amp;redlink=1" TargetMode="External"/><Relationship Id="rId183" Type="http://schemas.openxmlformats.org/officeDocument/2006/relationships/hyperlink" Target="../../../../../../../../../mediawiki/index.php%3Ftitle=Ijob_40&amp;action=edit&amp;redlink=1" TargetMode="External"/><Relationship Id="rId184" Type="http://schemas.openxmlformats.org/officeDocument/2006/relationships/hyperlink" Target="../../../../../../../../../mediawiki/index.php%3Ftitle=Sprichw%C3%B6rter_31&amp;action=edit&amp;redlink=1" TargetMode="External"/><Relationship Id="rId185" Type="http://schemas.openxmlformats.org/officeDocument/2006/relationships/hyperlink" Target="../../../../../../../../../mediawiki/index.php%3Ftitle=Jesaja_63&amp;action=edit&amp;redlink=1" TargetMode="External"/><Relationship Id="rId186" Type="http://schemas.openxmlformats.org/officeDocument/2006/relationships/hyperlink" Target="../../../../../../../../../wiki/Genesis_1" TargetMode="External"/><Relationship Id="rId187" Type="http://schemas.openxmlformats.org/officeDocument/2006/relationships/hyperlink" Target="../../../../../../../../../mediawiki/index.php%3Ftitle=Ijob_37&amp;action=edit&amp;redlink=1" TargetMode="External"/><Relationship Id="rId188" Type="http://schemas.openxmlformats.org/officeDocument/2006/relationships/hyperlink" Target="../../../../../../../../../mediawiki/index.php%3Ftitle=Ezechiel_1&amp;action=edit&amp;redlink=1" TargetMode="External"/><Relationship Id="rId189" Type="http://schemas.openxmlformats.org/officeDocument/2006/relationships/hyperlink" Target="../../../../../../../../../mediawiki/index.php%3Ftitle=Ijob_9&amp;action=edit&amp;redlink=1" TargetMode="External"/><Relationship Id="rId190" Type="http://schemas.openxmlformats.org/officeDocument/2006/relationships/hyperlink" Target="../../../../../../../../../mediawiki/index.php%3Ftitle=Jesaja_42&amp;action=edit&amp;redlink=1" TargetMode="External"/><Relationship Id="rId191" Type="http://schemas.openxmlformats.org/officeDocument/2006/relationships/hyperlink" Target="../../../../../../../../../mediawiki/index.php%3Ftitle=Ijob_37&amp;action=edit&amp;redlink=1" TargetMode="External"/><Relationship Id="rId192" Type="http://schemas.openxmlformats.org/officeDocument/2006/relationships/hyperlink" Target="../../../../../../../../../mediawiki/index.php%3Ftitle=Ezechiel_31&amp;action=edit&amp;redlink=1" TargetMode="External"/><Relationship Id="rId193" Type="http://schemas.openxmlformats.org/officeDocument/2006/relationships/hyperlink" Target="../../../../../../../../../mediawiki/index.php%3Ftitle=1_K%C3%B6nige_4&amp;action=edit&amp;redlink=1" TargetMode="External"/><Relationship Id="rId194" Type="http://schemas.openxmlformats.org/officeDocument/2006/relationships/hyperlink" Target="../../../../../../../../../mediawiki/index.php%3Ftitle=Jesaja_2&amp;action=edit&amp;redlink=1" TargetMode="External"/><Relationship Id="rId195" Type="http://schemas.openxmlformats.org/officeDocument/2006/relationships/hyperlink" Target="../../../../../../../../../mediawiki/index.php%3Ftitle=Jesaja_37&amp;action=edit&amp;redlink=1" TargetMode="External"/><Relationship Id="rId196" Type="http://schemas.openxmlformats.org/officeDocument/2006/relationships/hyperlink" Target="../../../../../../../../../mediawiki/index.php%3Ftitle=Leviticus_11&amp;action=edit&amp;redlink=1" TargetMode="External"/><Relationship Id="rId197" Type="http://schemas.openxmlformats.org/officeDocument/2006/relationships/hyperlink" Target="../../../../../../../../../mediawiki/index.php%3Ftitle=Psalm_69&amp;action=edit&amp;redlink=1" TargetMode="External"/><Relationship Id="rId198" Type="http://schemas.openxmlformats.org/officeDocument/2006/relationships/hyperlink" Target="http://www.offene-bibel.de/wiki/index.php5?title=&#1493;&#1456;" TargetMode="External"/><Relationship Id="rId199" Type="http://schemas.openxmlformats.org/officeDocument/2006/relationships/hyperlink" Target="../../../../../../../../../mediawiki/index.php%3Ftitle=Jesus_Sirach_40&amp;action=edit&amp;redlink=1" TargetMode="External"/><Relationship Id="rId200" Type="http://schemas.openxmlformats.org/officeDocument/2006/relationships/hyperlink" Target="../../../../../../../../../mediawiki/index.php%3Ftitle=Ijob_30&amp;action=edit&amp;redlink=1" TargetMode="External"/><Relationship Id="rId201" Type="http://schemas.openxmlformats.org/officeDocument/2006/relationships/hyperlink" Target="../../../../../../../../../mediawiki/index.php%3Ftitle=Hohelied_4&amp;action=edit&amp;redlink=1" TargetMode="External"/><Relationship Id="rId202" Type="http://schemas.openxmlformats.org/officeDocument/2006/relationships/hyperlink" Target="../../../../../../../../../mediawiki/index.php%3Ftitle=Hohelied_4&amp;action=edit&amp;redlink=1" TargetMode="External"/><Relationship Id="rId203" Type="http://schemas.openxmlformats.org/officeDocument/2006/relationships/hyperlink" Target="../../../../../../../../../mediawiki/index.php%3Ftitle=Hohelied_5&amp;action=edit&amp;redlink=1" TargetMode="External"/><Relationship Id="rId204" Type="http://schemas.openxmlformats.org/officeDocument/2006/relationships/hyperlink" Target="../../../../../../../../../mediawiki/index.php%3Ftitle=Hohelied_6&amp;action=edit&amp;redlink=1" TargetMode="External"/><Relationship Id="rId205" Type="http://schemas.openxmlformats.org/officeDocument/2006/relationships/hyperlink" Target="../../../../../../../../../mediawiki/index.php%3Ftitle=Hohelied_4&amp;action=edit&amp;redlink=1" TargetMode="External"/><Relationship Id="rId206" Type="http://schemas.openxmlformats.org/officeDocument/2006/relationships/hyperlink" Target="../../../../../../../../../mediawiki/index.php%3Ftitle=Hohelied_4&amp;action=edit&amp;redlink=1" TargetMode="External"/><Relationship Id="rId207" Type="http://schemas.openxmlformats.org/officeDocument/2006/relationships/hyperlink" Target="../../../../../../../../../mediawiki/index.php%3Ftitle=Hohelied_5&amp;action=edit&amp;redlink=1" TargetMode="External"/><Relationship Id="rId208" Type="http://schemas.openxmlformats.org/officeDocument/2006/relationships/hyperlink" Target="../../../../../../../../../mediawiki/index.php%3Ftitle=Hohelied_6&amp;action=edit&amp;redlink=1" TargetMode="External"/><Relationship Id="rId209" Type="http://schemas.openxmlformats.org/officeDocument/2006/relationships/hyperlink" Target="../../../../../../../../../mediawiki/index.php%3Ftitle=Hohelied_5&amp;action=edit&amp;redlink=1" TargetMode="External"/><Relationship Id="rId210" Type="http://schemas.openxmlformats.org/officeDocument/2006/relationships/hyperlink" Target="../../../../../../../../../mediawiki/index.php%3Ftitle=Hohelied_6&amp;action=edit&amp;redlink=1" TargetMode="External"/><Relationship Id="rId211" Type="http://schemas.openxmlformats.org/officeDocument/2006/relationships/hyperlink" Target="../../../../../../../../../mediawiki/index.php%3Ftitle=1K%C3%B6nige_6&amp;action=edit&amp;redlink=1" TargetMode="External"/><Relationship Id="rId212" Type="http://schemas.openxmlformats.org/officeDocument/2006/relationships/hyperlink" Target="../../../../../../../../../mediawiki/index.php%3Ftitle=1K%C3%B6nige_7&amp;action=edit&amp;redlink=1" TargetMode="External"/><Relationship Id="rId213" Type="http://schemas.openxmlformats.org/officeDocument/2006/relationships/hyperlink" Target="../../../../../../../../../mediawiki/index.php%3Ftitle=1K%C3%B6nige_10&amp;action=edit&amp;redlink=1" TargetMode="External"/><Relationship Id="rId214" Type="http://schemas.openxmlformats.org/officeDocument/2006/relationships/hyperlink" Target="../../../../../../../../../mediawiki/index.php%3Ftitle=Jesaja_61&amp;action=edit&amp;redlink=1" TargetMode="External"/><Relationship Id="rId215" Type="http://schemas.openxmlformats.org/officeDocument/2006/relationships/hyperlink" Target="../../../../../../../../../mediawiki/index.php%3Ftitle=3Makkab%C3%A4er_4&amp;action=edit&amp;redlink=1" TargetMode="External"/><Relationship Id="rId216" Type="http://schemas.openxmlformats.org/officeDocument/2006/relationships/hyperlink" Target="../../../../../../../../../mediawiki/index.php%3Ftitle=Ahas&amp;action=edit&amp;redlink=1" TargetMode="External"/><Relationship Id="rId217" Type="http://schemas.openxmlformats.org/officeDocument/2006/relationships/hyperlink" Target="../../../../../../../../../wiki/Genesis_1" TargetMode="External"/><Relationship Id="rId218" Type="http://schemas.openxmlformats.org/officeDocument/2006/relationships/hyperlink" Target="../../../../../../../../../mediawiki/index.php%3Ftitle=AK&amp;action=edit&amp;redlink=1" TargetMode="External"/><Relationship Id="rId219" Type="http://schemas.openxmlformats.org/officeDocument/2006/relationships/hyperlink" Target="../../../../../../../../../mediawiki/index.php%3Ftitle=Hifil&amp;action=edit&amp;redlink=1" TargetMode="External"/><Relationship Id="rId220" Type="http://schemas.openxmlformats.org/officeDocument/2006/relationships/hyperlink" Target="http://de.wikipedia.org/wiki/Affodill" TargetMode="External"/><Relationship Id="rId221" Type="http://schemas.openxmlformats.org/officeDocument/2006/relationships/hyperlink" Target="http://de.wikipedia.org/wiki/Libanon_(Gebirge)" TargetMode="External"/><Relationship Id="rId222" Type="http://schemas.openxmlformats.org/officeDocument/2006/relationships/hyperlink" Target="http://de.wikipedia.org/wiki/Karmel_(Gebirge)" TargetMode="External"/><Relationship Id="rId223" Type="http://schemas.openxmlformats.org/officeDocument/2006/relationships/hyperlink" Target="http://de.wikipedia.org/wiki/Scharonebenea" TargetMode="External"/><Relationship Id="rId224" Type="http://schemas.openxmlformats.org/officeDocument/2006/relationships/hyperlink" Target="../../../../../../../../../wiki/Generisches_Maskulinum" TargetMode="External"/><Relationship Id="rId225" Type="http://schemas.openxmlformats.org/officeDocument/2006/relationships/hyperlink" Target="../../../../../../../../../mediawiki/index.php%3Ftitle=Ijob_29&amp;action=edit&amp;redlink=1" TargetMode="External"/><Relationship Id="rId226" Type="http://schemas.openxmlformats.org/officeDocument/2006/relationships/hyperlink" Target="../../../../../../../../../mediawiki/index.php%3Ftitle=Ijob_40&amp;action=edit&amp;redlink=1" TargetMode="External"/><Relationship Id="rId227" Type="http://schemas.openxmlformats.org/officeDocument/2006/relationships/hyperlink" Target="../../../../../../../../../mediawiki/index.php%3Ftitle=Micha_7&amp;action=edit&amp;redlink=1" TargetMode="External"/><Relationship Id="rId228" Type="http://schemas.openxmlformats.org/officeDocument/2006/relationships/hyperlink" Target="../../../../../../../../../wiki/Generisches_Maskulinum" TargetMode="External"/><Relationship Id="rId229" Type="http://schemas.openxmlformats.org/officeDocument/2006/relationships/hyperlink" Target="http://www.offene-bibel.de/wiki/index.php5?title=Diskussion:Jeremia_2" TargetMode="External"/><Relationship Id="rId230" Type="http://schemas.openxmlformats.org/officeDocument/2006/relationships/hyperlink" Target="http://www.offene-bibel.de/wiki/index.php5?title=Diskussion:Jeremia_2" TargetMode="External"/><Relationship Id="rId231" Type="http://schemas.openxmlformats.org/officeDocument/2006/relationships/hyperlink" Target="http://www.offene-bibel.de/wiki/index.php5?title=Gottesnamen" TargetMode="External"/><Relationship Id="rId232" Type="http://schemas.openxmlformats.org/officeDocument/2006/relationships/hyperlink" Target="../../../../../../../../../mediawiki/index.php%3Ftitle=2Samuel_2&amp;action=edit&amp;redlink=1" TargetMode="External"/><Relationship Id="rId233" Type="http://schemas.openxmlformats.org/officeDocument/2006/relationships/hyperlink" Target="../../../../../../../../../mediawiki/index.php%3Ftitle=Daniel_7&amp;action=edit&amp;redlink=1" TargetMode="External"/><Relationship Id="rId234" Type="http://schemas.openxmlformats.org/officeDocument/2006/relationships/hyperlink" Target="../../../../../../../../../mediawiki/index.php%3Ftitle=Genesis_31&amp;action=edit&amp;redlink=1" TargetMode="External"/><Relationship Id="rId235" Type="http://schemas.openxmlformats.org/officeDocument/2006/relationships/hyperlink" Target="http://www.sammlungen.ub.uni-frankfurt.de/freimann/content/pageview/290735" TargetMode="External"/><Relationship Id="rId236" Type="http://schemas.openxmlformats.org/officeDocument/2006/relationships/hyperlink" Target="../../../../../../../../../mediawiki/index.php%3Ftitle=Scheol&amp;action=edit&amp;redlink=1" TargetMode="External"/><Relationship Id="rId237" Type="http://schemas.openxmlformats.org/officeDocument/2006/relationships/hyperlink" Target="../../../../../../../../../mediawiki/index.php%3Ftitle=2_K%C3%B6nige_14&amp;action=edit&amp;redlink=1" TargetMode="External"/><Relationship Id="rId238" Type="http://schemas.openxmlformats.org/officeDocument/2006/relationships/hyperlink" Target="../../../../../../../../../mediawiki/index.php%3Ftitle=Deuteronomium_15&amp;action=edit&amp;redlink=1" TargetMode="External"/><Relationship Id="rId239" Type="http://schemas.openxmlformats.org/officeDocument/2006/relationships/hyperlink" Target="../../../../../../../../../mediawiki/index.php%3Ftitle=Deuteronomium_24&amp;action=edit&amp;redlink=1" TargetMode="External"/><Relationship Id="rId240" Type="http://schemas.openxmlformats.org/officeDocument/2006/relationships/hyperlink" Target="../../../../../../../../../mediawiki/index.php%3Ftitle=1_K%C3%B6nige_13&amp;action=edit&amp;redlink=1" TargetMode="External"/><Relationship Id="rId241" Type="http://schemas.openxmlformats.org/officeDocument/2006/relationships/hyperlink" Target="../../../../../../../../../mediawiki/index.php%3Ftitle=Ezechiel_38&amp;action=edit&amp;redlink=1" TargetMode="External"/><Relationship Id="rId242" Type="http://schemas.openxmlformats.org/officeDocument/2006/relationships/hyperlink" Target="../../../../../../../../../mediawiki/index.php%3Ftitle=Constructio_ad_sensum&amp;action=edit&amp;redlink=1" TargetMode="External"/><Relationship Id="rId243" Type="http://schemas.openxmlformats.org/officeDocument/2006/relationships/hyperlink" Target="../../../../../../../../../wiki/LXX" TargetMode="External"/><Relationship Id="rId244" Type="http://schemas.openxmlformats.org/officeDocument/2006/relationships/hyperlink" Target="../../../../../../../../../mediawiki/index.php%3Ftitle=Futurus_Instanz&amp;action=edit&amp;redlink=1" TargetMode="External"/><Relationship Id="rId245" Type="http://schemas.openxmlformats.org/officeDocument/2006/relationships/hyperlink" Target="../../../../../../../../../wiki/Partizip" TargetMode="External"/><Relationship Id="rId246" Type="http://schemas.openxmlformats.org/officeDocument/2006/relationships/hyperlink" Target="../../../../../../../../../wiki/Partizip" TargetMode="External"/><Relationship Id="rId247" Type="http://schemas.openxmlformats.org/officeDocument/2006/relationships/hyperlink" Target="../../../../../../../../../wiki/Partizip" TargetMode="External"/><Relationship Id="rId248" Type="http://schemas.openxmlformats.org/officeDocument/2006/relationships/hyperlink" Target="../../../../../../../../../wiki/Partizip" TargetMode="External"/><Relationship Id="rId249" Type="http://schemas.openxmlformats.org/officeDocument/2006/relationships/hyperlink" Target="../../../../../../../../../mediawiki/index.php%3Ftitle=Status_constructus&amp;action=edit&amp;redlink=1" TargetMode="External"/><Relationship Id="rId250" Type="http://schemas.openxmlformats.org/officeDocument/2006/relationships/hyperlink" Target="../../../../../../../../../wiki/Diskussion:Matth%C3%A4us_1" TargetMode="External"/><Relationship Id="rId251" Type="http://schemas.openxmlformats.org/officeDocument/2006/relationships/hyperlink" Target="../../../../../../../../../wiki/Magier" TargetMode="External"/><Relationship Id="rId252" Type="http://schemas.openxmlformats.org/officeDocument/2006/relationships/hyperlink" Target="../../../../../../../../../wiki/Partizip" TargetMode="External"/><Relationship Id="rId253" Type="http://schemas.openxmlformats.org/officeDocument/2006/relationships/hyperlink" Target="../../../../../../../../../wiki/Generisches_Maskulinum" TargetMode="External"/><Relationship Id="rId254" Type="http://schemas.openxmlformats.org/officeDocument/2006/relationships/hyperlink" Target="../../../../../../../../../wiki/Exodus_3" TargetMode="External"/><Relationship Id="rId255" Type="http://schemas.openxmlformats.org/officeDocument/2006/relationships/hyperlink" Target="../../../../../../../../../mediawiki/index.php%3Ftitle=Richter_6&amp;action=edit&amp;redlink=1" TargetMode="External"/><Relationship Id="rId256" Type="http://schemas.openxmlformats.org/officeDocument/2006/relationships/hyperlink" Target="../../../../../../../../../wiki/Generisches_Maskulinum" TargetMode="External"/><Relationship Id="rId257" Type="http://schemas.openxmlformats.org/officeDocument/2006/relationships/hyperlink" Target="../../../../../../../../../wiki/Genitivus_absolutus" TargetMode="External"/><Relationship Id="rId258" Type="http://schemas.openxmlformats.org/officeDocument/2006/relationships/hyperlink" Target="../../../../../../../../../wiki/%E1%BD%8D%CF%84%CE%B9_recitativum" TargetMode="External"/><Relationship Id="rId259" Type="http://schemas.openxmlformats.org/officeDocument/2006/relationships/hyperlink" Target="../../../../../../../../../mediawiki/index.php%3Ftitle=Passivum_divinum&amp;action=edit&amp;redlink=1" TargetMode="External"/><Relationship Id="rId260" Type="http://schemas.openxmlformats.org/officeDocument/2006/relationships/hyperlink" Target="../../../../../../../../../mediawiki/index.php%3Ftitle=Imperfekt&amp;action=edit&amp;redlink=1" TargetMode="External"/><Relationship Id="rId261" Type="http://schemas.openxmlformats.org/officeDocument/2006/relationships/hyperlink" Target="../../../../../../../../../wiki/Partizip" TargetMode="External"/><Relationship Id="rId262" Type="http://schemas.openxmlformats.org/officeDocument/2006/relationships/hyperlink" Target="../../../../../../../../../wiki/Ptz._coni." TargetMode="External"/><Relationship Id="rId263" Type="http://schemas.openxmlformats.org/officeDocument/2006/relationships/hyperlink" Target="../../../../../../../../../wiki/Ptz._conj." TargetMode="External"/><Relationship Id="rId264" Type="http://schemas.openxmlformats.org/officeDocument/2006/relationships/hyperlink" Target="../../../../../../../../../wiki/Ptz._conj." TargetMode="External"/><Relationship Id="rId265" Type="http://schemas.openxmlformats.org/officeDocument/2006/relationships/hyperlink" Target="../../../../../../../../../wiki/Ptz._conj." TargetMode="External"/><Relationship Id="rId266" Type="http://schemas.openxmlformats.org/officeDocument/2006/relationships/hyperlink" Target="../../../../../../../../../mediawiki/index.php%3Ftitle=AcI&amp;action=edit&amp;redlink=1" TargetMode="External"/><Relationship Id="rId267" Type="http://schemas.openxmlformats.org/officeDocument/2006/relationships/hyperlink" Target="../../../../../../../../../wiki/Ptc._coni." TargetMode="External"/><Relationship Id="rId268" Type="http://schemas.openxmlformats.org/officeDocument/2006/relationships/hyperlink" Target="../../../../../../../../../wiki/Ptc._coni." TargetMode="External"/><Relationship Id="rId269" Type="http://schemas.openxmlformats.org/officeDocument/2006/relationships/hyperlink" Target="../../../../../../../../../wiki/Ptz._conj." TargetMode="External"/><Relationship Id="rId270" Type="http://schemas.openxmlformats.org/officeDocument/2006/relationships/hyperlink" Target="../../../../../../../../../mediawiki/index.php%3Ftitle=Inchoatives_Imperfekt&amp;action=edit&amp;redlink=1" TargetMode="External"/><Relationship Id="rId271" Type="http://schemas.openxmlformats.org/officeDocument/2006/relationships/hyperlink" Target="../../../../../../../../../wiki/Ptz._conj." TargetMode="External"/><Relationship Id="rId272" Type="http://schemas.openxmlformats.org/officeDocument/2006/relationships/hyperlink" Target="../../../../../../../../../wiki/Ptz._conj." TargetMode="External"/><Relationship Id="rId273" Type="http://schemas.openxmlformats.org/officeDocument/2006/relationships/hyperlink" Target="../../../../../../../../../wiki/Beschreibendes_Partizip" TargetMode="External"/><Relationship Id="rId274" Type="http://schemas.openxmlformats.org/officeDocument/2006/relationships/hyperlink" Target="../../../../../../../../../wiki/Ptz._conj." TargetMode="External"/><Relationship Id="rId275" Type="http://schemas.openxmlformats.org/officeDocument/2006/relationships/hyperlink" Target="../../../../../../../../../mediawiki/index.php%3Ftitle=Inchoatives_Imperfekt&amp;action=edit&amp;redlink=1" TargetMode="External"/><Relationship Id="rId276" Type="http://schemas.openxmlformats.org/officeDocument/2006/relationships/hyperlink" Target="../../../../../../../../../wiki/Gen._abs." TargetMode="External"/><Relationship Id="rId277" Type="http://schemas.openxmlformats.org/officeDocument/2006/relationships/hyperlink" Target="../../../../../../../../../mediawiki/index.php%3Ftitle=Imperfekt&amp;action=edit&amp;redlink=1" TargetMode="External"/><Relationship Id="rId278" Type="http://schemas.openxmlformats.org/officeDocument/2006/relationships/hyperlink" Target="../../../../../../../../../wiki/Ptz._conj." TargetMode="External"/><Relationship Id="rId279" Type="http://schemas.openxmlformats.org/officeDocument/2006/relationships/hyperlink" Target="../../../../../../../../../mediawiki/index.php%3Ftitle=Imperfekt&amp;action=edit&amp;redlink=1" TargetMode="External"/><Relationship Id="rId280" Type="http://schemas.openxmlformats.org/officeDocument/2006/relationships/hyperlink" Target="../../../../../../../../../wiki/Ptz._conj." TargetMode="External"/><Relationship Id="rId281" Type="http://schemas.openxmlformats.org/officeDocument/2006/relationships/hyperlink" Target="../../../../../../../../../wiki/Ptz._conj." TargetMode="External"/><Relationship Id="rId282" Type="http://schemas.openxmlformats.org/officeDocument/2006/relationships/hyperlink" Target="../../../../../../../../../wiki/Ptz._conj." TargetMode="External"/><Relationship Id="rId283" Type="http://schemas.openxmlformats.org/officeDocument/2006/relationships/hyperlink" Target="../../../../../../../../../wiki/Ptz._conj." TargetMode="External"/><Relationship Id="rId284" Type="http://schemas.openxmlformats.org/officeDocument/2006/relationships/hyperlink" Target="../../../../../../../../../mediawiki/index.php%3Ftitle=Imperfekt&amp;action=edit&amp;redlink=1" TargetMode="External"/><Relationship Id="rId285" Type="http://schemas.openxmlformats.org/officeDocument/2006/relationships/hyperlink" Target="../../../../../../../../../wiki/Ptz._conj." TargetMode="External"/><Relationship Id="rId286" Type="http://schemas.openxmlformats.org/officeDocument/2006/relationships/hyperlink" Target="../../../../../../../../../wiki/Historisches_Pr%C3%A4sens" TargetMode="External"/><Relationship Id="rId287" Type="http://schemas.openxmlformats.org/officeDocument/2006/relationships/hyperlink" Target="../../../../../../../../../wiki/Attributives_Partizip" TargetMode="External"/><Relationship Id="rId288" Type="http://schemas.openxmlformats.org/officeDocument/2006/relationships/hyperlink" Target="../../../../../../../../../wiki/Historisches_Pr%C3%A4sens" TargetMode="External"/><Relationship Id="rId289" Type="http://schemas.openxmlformats.org/officeDocument/2006/relationships/hyperlink" Target="../../../../../../../../../wiki/Historisches_Pr%C3%A4sens" TargetMode="External"/><Relationship Id="rId290" Type="http://schemas.openxmlformats.org/officeDocument/2006/relationships/hyperlink" Target="../../../../../../../../../wiki/Historisches_Pr%C3%A4sens" TargetMode="External"/><Relationship Id="rId291" Type="http://schemas.openxmlformats.org/officeDocument/2006/relationships/hyperlink" Target="../../../../../../../../../wiki/Ptz._conj." TargetMode="External"/><Relationship Id="rId292" Type="http://schemas.openxmlformats.org/officeDocument/2006/relationships/hyperlink" Target="../../../../../../../../../wiki/Ptz._conj." TargetMode="External"/><Relationship Id="rId293" Type="http://schemas.openxmlformats.org/officeDocument/2006/relationships/hyperlink" Target="../../../../../../../../../wiki/Pleonastisches_Partizip" TargetMode="External"/><Relationship Id="rId294" Type="http://schemas.openxmlformats.org/officeDocument/2006/relationships/hyperlink" Target="../../../../../../../../../mediawiki/index.php%3Ftitle=Imperfekt&amp;action=edit&amp;redlink=1" TargetMode="External"/><Relationship Id="rId295" Type="http://schemas.openxmlformats.org/officeDocument/2006/relationships/hyperlink" Target="../../../../../../../../../wiki/Ptz._conj." TargetMode="External"/><Relationship Id="rId296" Type="http://schemas.openxmlformats.org/officeDocument/2006/relationships/hyperlink" Target="../../../../../../../../../wiki/AcP" TargetMode="External"/><Relationship Id="rId297" Type="http://schemas.openxmlformats.org/officeDocument/2006/relationships/hyperlink" Target="../../../../../../../../../wiki/Beschreibendes_Partizip" TargetMode="External"/><Relationship Id="rId298" Type="http://schemas.openxmlformats.org/officeDocument/2006/relationships/hyperlink" Target="../../../../../../../../../mediawiki/index.php%3Ftitle=Imperfekt&amp;action=edit&amp;redlink=1" TargetMode="External"/><Relationship Id="rId299" Type="http://schemas.openxmlformats.org/officeDocument/2006/relationships/hyperlink" Target="../../../../../../../../../mediawiki/index.php%3Ftitle=Gen._part.&amp;action=edit&amp;redlink=1" TargetMode="External"/><Relationship Id="rId300" Type="http://schemas.openxmlformats.org/officeDocument/2006/relationships/hyperlink" Target="../../../../../../../../../wiki/Ptz._conj." TargetMode="External"/><Relationship Id="rId301" Type="http://schemas.openxmlformats.org/officeDocument/2006/relationships/hyperlink" Target="../../../../../../../../../wiki/Ptz._conj." TargetMode="External"/><Relationship Id="rId302" Type="http://schemas.openxmlformats.org/officeDocument/2006/relationships/hyperlink" Target="../../../../../../../../../wiki/%E1%BD%8D%CF%84%CE%B9_recitativum" TargetMode="External"/><Relationship Id="rId303" Type="http://schemas.openxmlformats.org/officeDocument/2006/relationships/hyperlink" Target="../../../../../../../../../wiki/Subst._Ptz." TargetMode="External"/><Relationship Id="rId304" Type="http://schemas.openxmlformats.org/officeDocument/2006/relationships/hyperlink" Target="../../../../../../../../../wiki/Historisches_Pr%C3%A4sens" TargetMode="External"/><Relationship Id="rId305" Type="http://schemas.openxmlformats.org/officeDocument/2006/relationships/hyperlink" Target="../../../../../../../../../mediawiki/index.php%3Ftitle=AcI&amp;action=edit&amp;redlink=1" TargetMode="External"/><Relationship Id="rId306" Type="http://schemas.openxmlformats.org/officeDocument/2006/relationships/hyperlink" Target="../../../../../../../../../wiki/Attributives_Partizip" TargetMode="External"/><Relationship Id="rId307" Type="http://schemas.openxmlformats.org/officeDocument/2006/relationships/hyperlink" Target="../../../../../../../../../mediawiki/index.php%3Ftitle=Temporaler_Dativ&amp;action=edit&amp;redlink=1" TargetMode="External"/><Relationship Id="rId308" Type="http://schemas.openxmlformats.org/officeDocument/2006/relationships/hyperlink" Target="../../../../../../../../../wiki/Historisches_Pr%C3%A4sens" TargetMode="External"/><Relationship Id="rId309" Type="http://schemas.openxmlformats.org/officeDocument/2006/relationships/hyperlink" Target="../../../../../../../../../mediawiki/index.php%3Ftitle=Attr._Ptz.&amp;action=edit&amp;redlink=1" TargetMode="External"/><Relationship Id="rId310" Type="http://schemas.openxmlformats.org/officeDocument/2006/relationships/hyperlink" Target="../../../../../../../../../wiki/Historisches_Pr%C3%A4sens" TargetMode="External"/><Relationship Id="rId311" Type="http://schemas.openxmlformats.org/officeDocument/2006/relationships/hyperlink" Target="../../../../../../../../../mediawiki/index.php%3Ftitle=Temporaler_Dativ&amp;action=edit&amp;redlink=1" TargetMode="External"/><Relationship Id="rId312" Type="http://schemas.openxmlformats.org/officeDocument/2006/relationships/hyperlink" Target="../../../../../../../../../wiki/Ptz._conj." TargetMode="External"/><Relationship Id="rId313" Type="http://schemas.openxmlformats.org/officeDocument/2006/relationships/hyperlink" Target="../../../../../../../../../mediawiki/index.php%3Ftitle=Constructio_ad_sensum&amp;action=edit&amp;redlink=1" TargetMode="External"/><Relationship Id="rId314" Type="http://schemas.openxmlformats.org/officeDocument/2006/relationships/hyperlink" Target="../../../../../../../../../wiki/Ptz._conj." TargetMode="External"/><Relationship Id="rId315" Type="http://schemas.openxmlformats.org/officeDocument/2006/relationships/hyperlink" Target="../../../../../../../../../wiki/Pleonastisches_Partizip" TargetMode="External"/><Relationship Id="rId316" Type="http://schemas.openxmlformats.org/officeDocument/2006/relationships/hyperlink" Target="../../../../../../../../../wiki/%E1%BD%8D%CF%84%CE%B9_recitativum" TargetMode="External"/><Relationship Id="rId317" Type="http://schemas.openxmlformats.org/officeDocument/2006/relationships/hyperlink" Target="../../../../../../../../../wiki/Historisches_Pr%C3%A4sens" TargetMode="External"/><Relationship Id="rId318" Type="http://schemas.openxmlformats.org/officeDocument/2006/relationships/hyperlink" Target="../../../../../../../../../wiki/Historisches_Pr%C3%A4sens" TargetMode="External"/><Relationship Id="rId319" Type="http://schemas.openxmlformats.org/officeDocument/2006/relationships/hyperlink" Target="../../../../../../../../../mediawiki/index.php%3Ftitle=Attr._Ptz.&amp;action=edit&amp;redlink=1" TargetMode="External"/><Relationship Id="rId320" Type="http://schemas.openxmlformats.org/officeDocument/2006/relationships/hyperlink" Target="../../../../../../../../../wiki/Ptz._conj." TargetMode="External"/><Relationship Id="rId321" Type="http://schemas.openxmlformats.org/officeDocument/2006/relationships/hyperlink" Target="../../../../../../../../../wiki/Ptz._conj." TargetMode="External"/><Relationship Id="rId322" Type="http://schemas.openxmlformats.org/officeDocument/2006/relationships/hyperlink" Target="../../../../../../../../../wiki/Generisches_Maskulinum" TargetMode="External"/><Relationship Id="rId323" Type="http://schemas.openxmlformats.org/officeDocument/2006/relationships/hyperlink" Target="../../../../../../../../../wiki/Historisches_Pr%C3%A4sens" TargetMode="External"/><Relationship Id="rId324" Type="http://schemas.openxmlformats.org/officeDocument/2006/relationships/hyperlink" Target="../../../../../../../../../wiki/Ptz._conj." TargetMode="External"/><Relationship Id="rId325" Type="http://schemas.openxmlformats.org/officeDocument/2006/relationships/hyperlink" Target="../../../../../../../../../wiki/Ptz._conj." TargetMode="External"/><Relationship Id="rId326" Type="http://schemas.openxmlformats.org/officeDocument/2006/relationships/hyperlink" Target="../../../../../../../../../wiki/Historisches_Pr%C3%A4sens" TargetMode="External"/><Relationship Id="rId327" Type="http://schemas.openxmlformats.org/officeDocument/2006/relationships/hyperlink" Target="../../../../../../../../../wiki/Ptz._conj." TargetMode="External"/><Relationship Id="rId328" Type="http://schemas.openxmlformats.org/officeDocument/2006/relationships/hyperlink" Target="../../../../../../../../../wiki/Substantiviertes_Partizip" TargetMode="External"/><Relationship Id="rId329" Type="http://schemas.openxmlformats.org/officeDocument/2006/relationships/hyperlink" Target="../../../../../../../../../wiki/Ptz._conj." TargetMode="External"/><Relationship Id="rId330" Type="http://schemas.openxmlformats.org/officeDocument/2006/relationships/hyperlink" Target="../../../../../../../../../mediawiki/index.php%3Ftitle=Constructio_ad_sensum&amp;action=edit&amp;redlink=1" TargetMode="External"/><Relationship Id="rId331" Type="http://schemas.openxmlformats.org/officeDocument/2006/relationships/hyperlink" Target="../../../../../../../../../wiki/Ptz._conj." TargetMode="External"/><Relationship Id="rId332" Type="http://schemas.openxmlformats.org/officeDocument/2006/relationships/hyperlink" Target="../../../../../../../../../mediawiki/index.php%3Ftitle=Imperfekt&amp;action=edit&amp;redlink=1" TargetMode="External"/><Relationship Id="rId333" Type="http://schemas.openxmlformats.org/officeDocument/2006/relationships/hyperlink" Target="../../../../../../../../../wiki/Genitivus_absolutus" TargetMode="External"/><Relationship Id="rId334" Type="http://schemas.openxmlformats.org/officeDocument/2006/relationships/hyperlink" Target="../../../../../../../../../wiki/Substantiviertes_Partizip" TargetMode="External"/><Relationship Id="rId335" Type="http://schemas.openxmlformats.org/officeDocument/2006/relationships/hyperlink" Target="../../../../../../../../../mediawiki/index.php%3Ftitle=Appositiver_Genitiv&amp;action=edit&amp;redlink=1" TargetMode="External"/><Relationship Id="rId336" Type="http://schemas.openxmlformats.org/officeDocument/2006/relationships/hyperlink" Target="../../../../../../../../../wiki/Ptz._conj." TargetMode="External"/><Relationship Id="rId337" Type="http://schemas.openxmlformats.org/officeDocument/2006/relationships/hyperlink" Target="../../../../../../../../../wiki/Subst._Ptz." TargetMode="External"/><Relationship Id="rId338" Type="http://schemas.openxmlformats.org/officeDocument/2006/relationships/hyperlink" Target="../../../../../../../../../mediawiki/index.php%3Ftitle=Imperfekt&amp;action=edit&amp;redlink=1" TargetMode="External"/><Relationship Id="rId339" Type="http://schemas.openxmlformats.org/officeDocument/2006/relationships/hyperlink" Target="../../../../../../../../../wiki/Gen._abs." TargetMode="External"/><Relationship Id="rId340" Type="http://schemas.openxmlformats.org/officeDocument/2006/relationships/hyperlink" Target="../../../../../../../../../wiki/Ptz._conj." TargetMode="External"/><Relationship Id="rId341" Type="http://schemas.openxmlformats.org/officeDocument/2006/relationships/hyperlink" Target="../../../../../../../../../mediawiki/index.php%3Ftitle=Imperfekt&amp;action=edit&amp;redlink=1" TargetMode="External"/><Relationship Id="rId342" Type="http://schemas.openxmlformats.org/officeDocument/2006/relationships/hyperlink" Target="../../../../../../../../../mediawiki/index.php%3Ftitle=Infinitiv&amp;action=edit&amp;redlink=1" TargetMode="External"/><Relationship Id="rId343" Type="http://schemas.openxmlformats.org/officeDocument/2006/relationships/hyperlink" Target="../../../../../../../../../wiki/Ptz._conj." TargetMode="External"/><Relationship Id="rId344" Type="http://schemas.openxmlformats.org/officeDocument/2006/relationships/hyperlink" Target="../../../../../../../../../wiki/Gen._abs." TargetMode="External"/><Relationship Id="rId345" Type="http://schemas.openxmlformats.org/officeDocument/2006/relationships/hyperlink" Target="../../../../../../../../../wiki/Umschreibendes_Partizip" TargetMode="External"/><Relationship Id="rId346" Type="http://schemas.openxmlformats.org/officeDocument/2006/relationships/hyperlink" Target="../../../../../../../../../wiki/Ptz._conj." TargetMode="External"/><Relationship Id="rId347" Type="http://schemas.openxmlformats.org/officeDocument/2006/relationships/hyperlink" Target="../../../../../../../../../wiki/Ptz._conj." TargetMode="External"/><Relationship Id="rId348" Type="http://schemas.openxmlformats.org/officeDocument/2006/relationships/hyperlink" Target="../../../../../../../../../wiki/Ptz._conj." TargetMode="External"/><Relationship Id="rId349" Type="http://schemas.openxmlformats.org/officeDocument/2006/relationships/hyperlink" Target="../../../../../../../../../wiki/Periphrastische_Konjugation" TargetMode="External"/><Relationship Id="rId350" Type="http://schemas.openxmlformats.org/officeDocument/2006/relationships/hyperlink" Target="../../../../../../../../../wiki/Ptz._conj." TargetMode="External"/><Relationship Id="rId351" Type="http://schemas.openxmlformats.org/officeDocument/2006/relationships/hyperlink" Target="../../../../../../../../../wiki/AcP" TargetMode="External"/><Relationship Id="rId352" Type="http://schemas.openxmlformats.org/officeDocument/2006/relationships/hyperlink" Target="../../../../../../../../../wiki/Ptz._conj." TargetMode="External"/><Relationship Id="rId353" Type="http://schemas.openxmlformats.org/officeDocument/2006/relationships/hyperlink" Target="../../../../../../../../../wiki/Gen._abs." TargetMode="External"/><Relationship Id="rId354" Type="http://schemas.openxmlformats.org/officeDocument/2006/relationships/hyperlink" Target="../../../../../../../../../wiki/Dekapolis" TargetMode="External"/><Relationship Id="rId355" Type="http://schemas.openxmlformats.org/officeDocument/2006/relationships/hyperlink" Target="../../../../../../../../../wiki/Gen._abs." TargetMode="External"/><Relationship Id="rId356" Type="http://schemas.openxmlformats.org/officeDocument/2006/relationships/hyperlink" Target="../../../../../../../../../wiki/Ptz._conj." TargetMode="External"/><Relationship Id="rId357" Type="http://schemas.openxmlformats.org/officeDocument/2006/relationships/hyperlink" Target="../../../../../../../../../wiki/Beschreibendes_Partizip" TargetMode="External"/><Relationship Id="rId358" Type="http://schemas.openxmlformats.org/officeDocument/2006/relationships/hyperlink" Target="../../../../../../../../../wiki/Ptz._conj." TargetMode="External"/><Relationship Id="rId359" Type="http://schemas.openxmlformats.org/officeDocument/2006/relationships/hyperlink" Target="../../../../../../../../../wiki/Beschreibendes_Partizip" TargetMode="External"/><Relationship Id="rId360" Type="http://schemas.openxmlformats.org/officeDocument/2006/relationships/hyperlink" Target="http://lsj.translatum.gr/wiki/&#963;&#965;&#957;&#952;&#955;&#943;&#946;&#969;" TargetMode="External"/><Relationship Id="rId361" Type="http://schemas.openxmlformats.org/officeDocument/2006/relationships/hyperlink" Target="../../../../../../../../../wiki/Ptz._conj." TargetMode="External"/><Relationship Id="rId362" Type="http://schemas.openxmlformats.org/officeDocument/2006/relationships/hyperlink" Target="../../../../../../../../../mediawiki/index.php%3Ftitle=Attr._Ptz.&amp;action=edit&amp;redlink=1" TargetMode="External"/><Relationship Id="rId363" Type="http://schemas.openxmlformats.org/officeDocument/2006/relationships/hyperlink" Target="../../../../../../../../../mediawiki/index.php%3Ftitle=Imperfekt&amp;action=edit&amp;redlink=1" TargetMode="External"/><Relationship Id="rId364" Type="http://schemas.openxmlformats.org/officeDocument/2006/relationships/hyperlink" Target="../../../../../../../../../wiki/Ptz._conj." TargetMode="External"/><Relationship Id="rId365" Type="http://schemas.openxmlformats.org/officeDocument/2006/relationships/hyperlink" Target="../../../../../../../../../mediawiki/index.php%3Ftitle=Imperfekt&amp;action=edit&amp;redlink=1" TargetMode="External"/><Relationship Id="rId366" Type="http://schemas.openxmlformats.org/officeDocument/2006/relationships/hyperlink" Target="../../../../../../../../../mediawiki/index.php%3Ftitle=Atr._Ptz.&amp;action=edit&amp;redlink=1" TargetMode="External"/><Relationship Id="rId367" Type="http://schemas.openxmlformats.org/officeDocument/2006/relationships/hyperlink" Target="../../../../../../../../../wiki/Gen._abs." TargetMode="External"/><Relationship Id="rId368" Type="http://schemas.openxmlformats.org/officeDocument/2006/relationships/hyperlink" Target="../../../../../../../../../wiki/Ptz._conj." TargetMode="External"/><Relationship Id="rId369" Type="http://schemas.openxmlformats.org/officeDocument/2006/relationships/hyperlink" Target="../../../../../../../../../wiki/AcP" TargetMode="External"/><Relationship Id="rId370" Type="http://schemas.openxmlformats.org/officeDocument/2006/relationships/hyperlink" Target="../../../../../../../../../wiki/Ptz._conj." TargetMode="External"/><Relationship Id="rId371" Type="http://schemas.openxmlformats.org/officeDocument/2006/relationships/hyperlink" Target="../../../../../../../../../wiki/Gen._abs." TargetMode="External"/><Relationship Id="rId372" Type="http://schemas.openxmlformats.org/officeDocument/2006/relationships/hyperlink" Target="../../../../../../../../../wiki/Gen._abs." TargetMode="External"/><Relationship Id="rId373" Type="http://schemas.openxmlformats.org/officeDocument/2006/relationships/hyperlink" Target="../../../../../../../../../wiki/Ptz._conj." TargetMode="External"/><Relationship Id="rId374" Type="http://schemas.openxmlformats.org/officeDocument/2006/relationships/hyperlink" Target="../../../../../../../../../wiki/Ptz._conj." TargetMode="External"/><Relationship Id="rId375" Type="http://schemas.openxmlformats.org/officeDocument/2006/relationships/hyperlink" Target="../../../../../../../../../wiki/Ptz._conj." TargetMode="External"/><Relationship Id="rId376" Type="http://schemas.openxmlformats.org/officeDocument/2006/relationships/hyperlink" Target="../../../../../../../../../wiki/Ptz._conj." TargetMode="External"/><Relationship Id="rId377" Type="http://schemas.openxmlformats.org/officeDocument/2006/relationships/hyperlink" Target="../../../../../../../../../wiki/Ptz._conj." TargetMode="External"/><Relationship Id="rId378" Type="http://schemas.openxmlformats.org/officeDocument/2006/relationships/hyperlink" Target="../../../../../../../../../mediawiki/index.php%3Ftitle=Imperfekt&amp;action=edit&amp;redlink=1" TargetMode="External"/><Relationship Id="rId379" Type="http://schemas.openxmlformats.org/officeDocument/2006/relationships/hyperlink" Target="../../../../../../../../../wiki/Ptz._conj." TargetMode="External"/><Relationship Id="rId380" Type="http://schemas.openxmlformats.org/officeDocument/2006/relationships/hyperlink" Target="../../../../../../../../../wiki/Gen._abs." TargetMode="External"/><Relationship Id="rId381" Type="http://schemas.openxmlformats.org/officeDocument/2006/relationships/hyperlink" Target="../../../../../../../../../mediawiki/index.php%3Ftitle=Temporaler_Dativ&amp;action=edit&amp;redlink=1" TargetMode="External"/><Relationship Id="rId382" Type="http://schemas.openxmlformats.org/officeDocument/2006/relationships/hyperlink" Target="../../../../../../../../../wiki/Gen._abs." TargetMode="External"/><Relationship Id="rId383" Type="http://schemas.openxmlformats.org/officeDocument/2006/relationships/hyperlink" Target="../../../../../../../../../wiki/Beschreibendes_Partizip" TargetMode="External"/><Relationship Id="rId384" Type="http://schemas.openxmlformats.org/officeDocument/2006/relationships/hyperlink" Target="../../../../../../../../../wiki/Beschreibendes_Partizip" TargetMode="External"/><Relationship Id="rId385" Type="http://schemas.openxmlformats.org/officeDocument/2006/relationships/hyperlink" Target="../../../../../../../../../wiki/Ptz._conj." TargetMode="External"/><Relationship Id="rId386" Type="http://schemas.openxmlformats.org/officeDocument/2006/relationships/hyperlink" Target="../../../../../../../../../wiki/Ptz._conj." TargetMode="External"/><Relationship Id="rId387" Type="http://schemas.openxmlformats.org/officeDocument/2006/relationships/hyperlink" Target="../../../../../../../../../wiki/Ptz._conj." TargetMode="External"/><Relationship Id="rId388" Type="http://schemas.openxmlformats.org/officeDocument/2006/relationships/hyperlink" Target="../../../../../../../../../wiki/Ptz._conj." TargetMode="External"/><Relationship Id="rId389" Type="http://schemas.openxmlformats.org/officeDocument/2006/relationships/hyperlink" Target="../../../../../../../../../wiki/Ptz._conj." TargetMode="External"/><Relationship Id="rId390" Type="http://schemas.openxmlformats.org/officeDocument/2006/relationships/hyperlink" Target="../../../../../../../../../wiki/Beschreibendes_Partizip" TargetMode="External"/><Relationship Id="rId391" Type="http://schemas.openxmlformats.org/officeDocument/2006/relationships/hyperlink" Target="../../../../../../../../../wiki/Ptz._conj." TargetMode="External"/><Relationship Id="rId392" Type="http://schemas.openxmlformats.org/officeDocument/2006/relationships/hyperlink" Target="../../../../../../../../../wiki/Ptz._conj." TargetMode="External"/><Relationship Id="rId393" Type="http://schemas.openxmlformats.org/officeDocument/2006/relationships/hyperlink" Target="../../../../../../../../../wiki/Ptz._conj." TargetMode="External"/><Relationship Id="rId394" Type="http://schemas.openxmlformats.org/officeDocument/2006/relationships/hyperlink" Target="../../../../../../../../../wiki/Gen._abs." TargetMode="External"/><Relationship Id="rId395" Type="http://schemas.openxmlformats.org/officeDocument/2006/relationships/hyperlink" Target="../../../../../../../../../mediawiki/index.php%3Ftitle=Ptc._conj.&amp;action=edit&amp;redlink=1" TargetMode="External"/><Relationship Id="rId396" Type="http://schemas.openxmlformats.org/officeDocument/2006/relationships/hyperlink" Target="../../../../../../../../../mediawiki/index.php%3Ftitle=Imperfekt&amp;action=edit&amp;redlink=1" TargetMode="External"/><Relationship Id="rId397" Type="http://schemas.openxmlformats.org/officeDocument/2006/relationships/hyperlink" Target="../../../../../../../../../wiki/Ptz._conj." TargetMode="External"/><Relationship Id="rId398" Type="http://schemas.openxmlformats.org/officeDocument/2006/relationships/hyperlink" Target="../../../../../../../../../mediawiki/index.php%3Ftitle=Ingressiver_Aorist&amp;action=edit&amp;redlink=1" TargetMode="External"/><Relationship Id="rId399" Type="http://schemas.openxmlformats.org/officeDocument/2006/relationships/hyperlink" Target="../../../../../../../../../wiki/Ptz._conj." TargetMode="External"/><Relationship Id="rId400" Type="http://schemas.openxmlformats.org/officeDocument/2006/relationships/hyperlink" Target="../../../../../../../../../wiki/Ptz._conj." TargetMode="External"/><Relationship Id="rId401" Type="http://schemas.openxmlformats.org/officeDocument/2006/relationships/hyperlink" Target="../../../../../../../../../wiki/Subst._Ptz." TargetMode="External"/><Relationship Id="rId402" Type="http://schemas.openxmlformats.org/officeDocument/2006/relationships/hyperlink" Target="../../../../../../../../../mediawiki/index.php%3Ftitle=Attr._Ptz.&amp;action=edit&amp;redlink=1" TargetMode="External"/><Relationship Id="rId403" Type="http://schemas.openxmlformats.org/officeDocument/2006/relationships/hyperlink" Target="../../../../../../../../../wiki/Ptz._conj." TargetMode="External"/><Relationship Id="rId404" Type="http://schemas.openxmlformats.org/officeDocument/2006/relationships/hyperlink" Target="../../../../../../../../../mediawiki/index.php%3Ftitle=Instr._Dativ&amp;action=edit&amp;redlink=1" TargetMode="External"/><Relationship Id="rId405" Type="http://schemas.openxmlformats.org/officeDocument/2006/relationships/hyperlink" Target="../../../../../../../../../mediawiki/index.php%3Ftitle=Instr._Dativ&amp;action=edit&amp;redlink=1" TargetMode="External"/><Relationship Id="rId406" Type="http://schemas.openxmlformats.org/officeDocument/2006/relationships/hyperlink" Target="../../../../../../../../../mediawiki/index.php%3Ftitle=Instr._Dativ&amp;action=edit&amp;redlink=1" TargetMode="External"/><Relationship Id="rId407" Type="http://schemas.openxmlformats.org/officeDocument/2006/relationships/hyperlink" Target="../../../../../../../../../mediawiki/index.php%3Ftitle=Imperfekt&amp;action=edit&amp;redlink=1" TargetMode="External"/><Relationship Id="rId408" Type="http://schemas.openxmlformats.org/officeDocument/2006/relationships/hyperlink" Target="../../../../../../../../../mediawiki/index.php%3Ftitle=Instr._Dat.&amp;action=edit&amp;redlink=1" TargetMode="External"/><Relationship Id="rId409" Type="http://schemas.openxmlformats.org/officeDocument/2006/relationships/hyperlink" Target="../../../../../../../../../wiki/Ptz._conj." TargetMode="External"/><Relationship Id="rId410" Type="http://schemas.openxmlformats.org/officeDocument/2006/relationships/hyperlink" Target="../../../../../../../../../mediawiki/index.php%3Ftitle=Imperfekt&amp;action=edit&amp;redlink=1" TargetMode="External"/><Relationship Id="rId411" Type="http://schemas.openxmlformats.org/officeDocument/2006/relationships/hyperlink" Target="../../../../../../../../../wiki/Subst._Ptz." TargetMode="External"/><Relationship Id="rId412" Type="http://schemas.openxmlformats.org/officeDocument/2006/relationships/hyperlink" Target="../../../../../../../../../wiki/Umschreibendes_Partizip" TargetMode="External"/><Relationship Id="rId413" Type="http://schemas.openxmlformats.org/officeDocument/2006/relationships/hyperlink" Target="../../../../../../../../../wiki/Historisches_Pr%C3%A4sens" TargetMode="External"/><Relationship Id="rId414" Type="http://schemas.openxmlformats.org/officeDocument/2006/relationships/hyperlink" Target="../../../../../../../../../wiki/Subst._Ptz." TargetMode="External"/><Relationship Id="rId415" Type="http://schemas.openxmlformats.org/officeDocument/2006/relationships/hyperlink" Target="../../../../../../../../../wiki/Ptz._conj." TargetMode="External"/><Relationship Id="rId416" Type="http://schemas.openxmlformats.org/officeDocument/2006/relationships/hyperlink" Target="../../../../../../../../../wiki/Ptz._conj." TargetMode="External"/><Relationship Id="rId417" Type="http://schemas.openxmlformats.org/officeDocument/2006/relationships/hyperlink" Target="../../../../../../../../../mediawiki/index.php%3Ftitle=Imperfekt&amp;action=edit&amp;redlink=1" TargetMode="External"/><Relationship Id="rId418" Type="http://schemas.openxmlformats.org/officeDocument/2006/relationships/hyperlink" Target="../../../../../../../../../wiki/Ptz._conj." TargetMode="External"/><Relationship Id="rId419" Type="http://schemas.openxmlformats.org/officeDocument/2006/relationships/hyperlink" Target="../../../../../../../../../wiki/Ptz._conj." TargetMode="External"/><Relationship Id="rId420" Type="http://schemas.openxmlformats.org/officeDocument/2006/relationships/hyperlink" Target="../../../../../../../../../wiki/Ptz._conj." TargetMode="External"/><Relationship Id="rId421" Type="http://schemas.openxmlformats.org/officeDocument/2006/relationships/hyperlink" Target="../../../../../../../../../wiki/Ptz._conj." TargetMode="External"/><Relationship Id="rId422" Type="http://schemas.openxmlformats.org/officeDocument/2006/relationships/hyperlink" Target="../../../../../../../../../wiki/Ptz._conj." TargetMode="External"/><Relationship Id="rId423" Type="http://schemas.openxmlformats.org/officeDocument/2006/relationships/hyperlink" Target="../../../../../../../../../wiki/Ptz._conj." TargetMode="External"/><Relationship Id="rId424" Type="http://schemas.openxmlformats.org/officeDocument/2006/relationships/hyperlink" Target="../../../../../../../../../wiki/Ptz._conj." TargetMode="External"/><Relationship Id="rId425" Type="http://schemas.openxmlformats.org/officeDocument/2006/relationships/hyperlink" Target="../../../../../../../../../wiki/Ptz._conj." TargetMode="External"/><Relationship Id="rId426" Type="http://schemas.openxmlformats.org/officeDocument/2006/relationships/hyperlink" Target="../../../../../../../../../wiki/Ptz._conj." TargetMode="External"/><Relationship Id="rId427" Type="http://schemas.openxmlformats.org/officeDocument/2006/relationships/hyperlink" Target="../../../../../../../../../wiki/Ptz._conj." TargetMode="External"/><Relationship Id="rId428" Type="http://schemas.openxmlformats.org/officeDocument/2006/relationships/hyperlink" Target="../../../../../../../../../mediawiki/index.php%3Ftitle=Attr._Ptz.&amp;action=edit&amp;redlink=1" TargetMode="External"/><Relationship Id="rId429" Type="http://schemas.openxmlformats.org/officeDocument/2006/relationships/hyperlink" Target="../../../../../../../../../mediawiki/index.php%3Ftitle=Imperfekt&amp;action=edit&amp;redlink=1" TargetMode="External"/><Relationship Id="rId430" Type="http://schemas.openxmlformats.org/officeDocument/2006/relationships/hyperlink" Target="../../../../../../../../../wiki/Ptz._conj." TargetMode="External"/><Relationship Id="rId431" Type="http://schemas.openxmlformats.org/officeDocument/2006/relationships/hyperlink" Target="../../../../../../../../../wiki/Ptz._conj." TargetMode="External"/><Relationship Id="rId432" Type="http://schemas.openxmlformats.org/officeDocument/2006/relationships/hyperlink" Target="../../../../../../../../../wiki/Ptz._conj." TargetMode="External"/><Relationship Id="rId433" Type="http://schemas.openxmlformats.org/officeDocument/2006/relationships/hyperlink" Target="../../../../../../../../../wiki/Pleonastisches_Partizip" TargetMode="External"/><Relationship Id="rId434" Type="http://schemas.openxmlformats.org/officeDocument/2006/relationships/hyperlink" Target="../../../../../../../../../mediawiki/index.php%3Ftitle=AcI&amp;action=edit&amp;redlink=1" TargetMode="External"/><Relationship Id="rId435" Type="http://schemas.openxmlformats.org/officeDocument/2006/relationships/hyperlink" Target="../../../../../../../../../wiki/Pleonastisches_Partizip" TargetMode="External"/><Relationship Id="rId436" Type="http://schemas.openxmlformats.org/officeDocument/2006/relationships/hyperlink" Target="../../../../../../../../../mediawiki/index.php%3Ftitle=AcI&amp;action=edit&amp;redlink=1" TargetMode="External"/><Relationship Id="rId437" Type="http://schemas.openxmlformats.org/officeDocument/2006/relationships/hyperlink" Target="../../../../../../../../../wiki/Pleonastisches_Partizip" TargetMode="External"/><Relationship Id="rId438" Type="http://schemas.openxmlformats.org/officeDocument/2006/relationships/hyperlink" Target="../../../../../../../../../wiki/Ptz._conj." TargetMode="External"/><Relationship Id="rId439" Type="http://schemas.openxmlformats.org/officeDocument/2006/relationships/hyperlink" Target="../../../../../../../../../mediawiki/index.php%3Ftitle=Reich_Gottes&amp;action=edit&amp;redlink=1" TargetMode="External"/><Relationship Id="rId440" Type="http://schemas.openxmlformats.org/officeDocument/2006/relationships/hyperlink" Target="http://www.zeno.org/Pape-1880/A/&#960;&#959;&#955;&#973;&#962;" TargetMode="External"/><Relationship Id="rId441" Type="http://schemas.openxmlformats.org/officeDocument/2006/relationships/hyperlink" Target="../../../../../../../../../mediawiki/index.php%3Ftitle=2K%C3%B6nige_16&amp;action=edit&amp;redlink=1" TargetMode="External"/><Relationship Id="rId442" Type="http://schemas.openxmlformats.org/officeDocument/2006/relationships/hyperlink" Target="../../../../../../../../../mediawiki/index.php%3Ftitle=2K%C3%B6nige_21&amp;action=edit&amp;redlink=1" TargetMode="External"/><Relationship Id="rId443" Type="http://schemas.openxmlformats.org/officeDocument/2006/relationships/hyperlink" Target="../../../../../../../../../wiki/Ptz._conj." TargetMode="External"/><Relationship Id="rId444" Type="http://schemas.openxmlformats.org/officeDocument/2006/relationships/hyperlink" Target="../../../../../../../../../wiki/Ptz._conj." TargetMode="External"/><Relationship Id="rId445" Type="http://schemas.openxmlformats.org/officeDocument/2006/relationships/hyperlink" Target="../../../../../../../../../wiki/Ptz._conj." TargetMode="External"/><Relationship Id="rId446" Type="http://schemas.openxmlformats.org/officeDocument/2006/relationships/hyperlink" Target="../../../../../../../../../wiki/Ptz._conj." TargetMode="External"/><Relationship Id="rId447" Type="http://schemas.openxmlformats.org/officeDocument/2006/relationships/hyperlink" Target="../../../../../../../../../wiki/Ptz._conj." TargetMode="External"/><Relationship Id="rId448" Type="http://schemas.openxmlformats.org/officeDocument/2006/relationships/hyperlink" Target="../../../../../../../../../wiki/Ptz._conj." TargetMode="External"/><Relationship Id="rId449" Type="http://schemas.openxmlformats.org/officeDocument/2006/relationships/hyperlink" Target="../../../../../../../../../wiki/Ptz._conj." TargetMode="External"/><Relationship Id="rId450" Type="http://schemas.openxmlformats.org/officeDocument/2006/relationships/hyperlink" Target="../../../../../../../../../wiki/Ptz._conj." TargetMode="External"/><Relationship Id="rId451" Type="http://schemas.openxmlformats.org/officeDocument/2006/relationships/hyperlink" Target="../../../../../../../../../wiki/Ptz._conj." TargetMode="External"/><Relationship Id="rId452" Type="http://schemas.openxmlformats.org/officeDocument/2006/relationships/hyperlink" Target="../../../../../../../../../mediawiki/index.php%3Ftitle=Pleonastisches_Ptz.&amp;action=edit&amp;redlink=1" TargetMode="External"/><Relationship Id="rId453" Type="http://schemas.openxmlformats.org/officeDocument/2006/relationships/hyperlink" Target="../../../../../../../../../wiki/Ptz._conj." TargetMode="External"/><Relationship Id="rId454" Type="http://schemas.openxmlformats.org/officeDocument/2006/relationships/hyperlink" Target="../../../../../../../../../wiki/Ptz._conj." TargetMode="External"/><Relationship Id="rId455" Type="http://schemas.openxmlformats.org/officeDocument/2006/relationships/hyperlink" Target="../../../../../../../../../wiki/Ptz._conj." TargetMode="External"/><Relationship Id="rId456" Type="http://schemas.openxmlformats.org/officeDocument/2006/relationships/hyperlink" Target="../../../../../../../../../wiki/Ptz._conj." TargetMode="External"/><Relationship Id="rId457" Type="http://schemas.openxmlformats.org/officeDocument/2006/relationships/hyperlink" Target="../../../../../../../../../mediawiki/index.php%3Ftitle=Dat._commodi&amp;action=edit&amp;redlink=1" TargetMode="External"/><Relationship Id="rId458" Type="http://schemas.openxmlformats.org/officeDocument/2006/relationships/hyperlink" Target="../../../../../../../../../mediawiki/index.php%3Ftitle=Dat._commodi&amp;action=edit&amp;redlink=1" TargetMode="External"/><Relationship Id="rId459" Type="http://schemas.openxmlformats.org/officeDocument/2006/relationships/hyperlink" Target="../../../../../../../../../mediawiki/index.php%3Ftitle=Hebr%C3%A4er_2&amp;action=edit&amp;redlink=1" TargetMode="External"/><Relationship Id="rId460" Type="http://schemas.openxmlformats.org/officeDocument/2006/relationships/hyperlink" Target="../../../../../../../../../wiki/Ptz._conj." TargetMode="External"/><Relationship Id="rId461" Type="http://schemas.openxmlformats.org/officeDocument/2006/relationships/hyperlink" Target="../../../../../../../../../wiki/Ptz._conj." TargetMode="External"/><Relationship Id="rId462" Type="http://schemas.openxmlformats.org/officeDocument/2006/relationships/hyperlink" Target="../../../../../../../../../wiki/Ptz._conj." TargetMode="External"/><Relationship Id="rId463" Type="http://schemas.openxmlformats.org/officeDocument/2006/relationships/hyperlink" Target="../../../../../../../../../wiki/Ptz._conj." TargetMode="External"/><Relationship Id="rId464" Type="http://schemas.openxmlformats.org/officeDocument/2006/relationships/hyperlink" Target="../../../../../../../../../wiki/Ptz._conj." TargetMode="External"/><Relationship Id="rId465" Type="http://schemas.openxmlformats.org/officeDocument/2006/relationships/hyperlink" Target="../../../../../../../../../wiki/Ptz._conj." TargetMode="External"/><Relationship Id="rId466" Type="http://schemas.openxmlformats.org/officeDocument/2006/relationships/hyperlink" Target="../../../../../../../../../mediawiki/index.php%3Ftitle=Impferfekt&amp;action=edit&amp;redlink=1" TargetMode="External"/><Relationship Id="rId467" Type="http://schemas.openxmlformats.org/officeDocument/2006/relationships/hyperlink" Target="../../../../../../../../../mediawiki/index.php%3Ftitle=Ingressives_Aorist&amp;action=edit&amp;redlink=1" TargetMode="External"/><Relationship Id="rId468" Type="http://schemas.openxmlformats.org/officeDocument/2006/relationships/hyperlink" Target="../../../../../../../../../wiki/Ptz._conj." TargetMode="External"/><Relationship Id="rId469" Type="http://schemas.openxmlformats.org/officeDocument/2006/relationships/hyperlink" Target="../../../../../../../../../wiki/Ptz._conj." TargetMode="External"/><Relationship Id="rId470" Type="http://schemas.openxmlformats.org/officeDocument/2006/relationships/hyperlink" Target="../../../../../../../../../mediawiki/index.php%3Ftitle=Imperfekt&amp;action=edit&amp;redlink=1" TargetMode="External"/><Relationship Id="rId471" Type="http://schemas.openxmlformats.org/officeDocument/2006/relationships/hyperlink" Target="../../../../../../../../../wiki/Ptz._conj." TargetMode="External"/><Relationship Id="rId472" Type="http://schemas.openxmlformats.org/officeDocument/2006/relationships/hyperlink" Target="../../../../../../../../../mediawiki/index.php%3Ftitle=Pleonatische_Partizip&amp;action=edit&amp;redlink=1" TargetMode="External"/><Relationship Id="rId473" Type="http://schemas.openxmlformats.org/officeDocument/2006/relationships/hyperlink" Target="http://nbn-resolving.de/urn:nbn:de:bsz:21-opus-68738" TargetMode="External"/><Relationship Id="rId474" Type="http://schemas.openxmlformats.org/officeDocument/2006/relationships/hyperlink" Target="http://nbn-resolving.de/urn:nbn:de:bsz:21-opus-68738" TargetMode="External"/><Relationship Id="rId475" Type="http://schemas.openxmlformats.org/officeDocument/2006/relationships/hyperlink" Target="../../../../../../../../../wiki/Ptz._conj." TargetMode="External"/><Relationship Id="rId476" Type="http://schemas.openxmlformats.org/officeDocument/2006/relationships/hyperlink" Target="../../../../../../../../../wiki/Ptz._conj." TargetMode="External"/><Relationship Id="rId477" Type="http://schemas.openxmlformats.org/officeDocument/2006/relationships/hyperlink" Target="../../../../../../../../../wiki/Ptz._conj." TargetMode="External"/><Relationship Id="rId478" Type="http://schemas.openxmlformats.org/officeDocument/2006/relationships/hyperlink" Target="../../../../../../../../../wiki/Ptz._conj." TargetMode="External"/><Relationship Id="rId479" Type="http://schemas.openxmlformats.org/officeDocument/2006/relationships/hyperlink" Target="../../../../../../../../../wiki/Ptz._conj." TargetMode="External"/><Relationship Id="rId480" Type="http://schemas.openxmlformats.org/officeDocument/2006/relationships/hyperlink" Target="http://erwin-reidinger.heimat.eu/HP_Bilder/TempelanlageInJerusalem.pdf" TargetMode="External"/><Relationship Id="rId481" Type="http://schemas.openxmlformats.org/officeDocument/2006/relationships/hyperlink" Target="../../../../../../../../../mediawiki/index.php%3Ftitle=Lukas_22&amp;action=edit&amp;redlink=1" TargetMode="External"/><Relationship Id="rId482" Type="http://schemas.openxmlformats.org/officeDocument/2006/relationships/hyperlink" Target="../../../../../../../../../mediawiki/index.php%3Ftitle=Jeremia_31&amp;action=edit&amp;redlink=1" TargetMode="External"/><Relationship Id="rId483" Type="http://schemas.openxmlformats.org/officeDocument/2006/relationships/hyperlink" Target="../../../../../../../../../mediawiki/index.php%3Ftitle=Jeremia_33&amp;action=edit&amp;redlink=1" TargetMode="External"/><Relationship Id="rId484" Type="http://schemas.openxmlformats.org/officeDocument/2006/relationships/hyperlink" Target="../../../../../../../../../mediawiki/index.php%3Ftitle=Joel_3&amp;action=edit&amp;redlink=1" TargetMode="External"/><Relationship Id="rId485" Type="http://schemas.openxmlformats.org/officeDocument/2006/relationships/hyperlink" Target="../../../../../../../../../mediawiki/index.php%3Ftitle=Sacharja_8&amp;action=edit&amp;redlink=1" TargetMode="External"/><Relationship Id="rId486" Type="http://schemas.openxmlformats.org/officeDocument/2006/relationships/hyperlink" Target="http://www.unifr.ch/bkv/kapitel3689.htm" TargetMode="External"/><Relationship Id="rId487" Type="http://schemas.openxmlformats.org/officeDocument/2006/relationships/hyperlink" Target="../../../../../../../../../mediawiki/index.php%3Ftitle=Jesaja_34&amp;action=edit&amp;redlink=1" TargetMode="External"/><Relationship Id="rId488" Type="http://schemas.openxmlformats.org/officeDocument/2006/relationships/hyperlink" Target="https://www.bibelwissenschaft.de/stichwort/30031/" TargetMode="External"/><Relationship Id="rId489" Type="http://schemas.openxmlformats.org/officeDocument/2006/relationships/hyperlink" Target="https://goo.gl/cxyLrL" TargetMode="External"/><Relationship Id="rId490" Type="http://schemas.openxmlformats.org/officeDocument/2006/relationships/hyperlink" Target="https://www.bibelwissenschaft.de/stichwort/25696/" TargetMode="External"/><Relationship Id="rId491" Type="http://schemas.openxmlformats.org/officeDocument/2006/relationships/hyperlink" Target="../../../../../../../../../wiki/Historisches_Pr%C3%A4sens" TargetMode="External"/><Relationship Id="rId492" Type="http://schemas.openxmlformats.org/officeDocument/2006/relationships/hyperlink" Target="../../../../../../../../../mediawiki/index.php%3Ftitle=Lukas_22&amp;action=edit&amp;redlink=1" TargetMode="External"/><Relationship Id="rId493" Type="http://schemas.openxmlformats.org/officeDocument/2006/relationships/hyperlink" Target="../../../../../../../../../mediawiki/index.php%3Ftitle=Matth%C3%A4us_27&amp;action=edit&amp;redlink=1" TargetMode="External"/><Relationship Id="rId494" Type="http://schemas.openxmlformats.org/officeDocument/2006/relationships/hyperlink" Target="../../../../../../../../../mediawiki/index.php%3Ftitle=Lukas_22&amp;action=edit&amp;redlink=1" TargetMode="External"/><Relationship Id="rId495" Type="http://schemas.openxmlformats.org/officeDocument/2006/relationships/hyperlink" Target="../../../../../../../../../mediawiki/index.php%3Ftitle=Sacharja_13&amp;action=edit&amp;redlink=1" TargetMode="External"/><Relationship Id="rId496" Type="http://schemas.openxmlformats.org/officeDocument/2006/relationships/hyperlink" Target="../../../../../../../../../mediawiki/index.php%3Ftitle=Imperfekt&amp;action=edit&amp;redlink=1" TargetMode="External"/><Relationship Id="rId497" Type="http://schemas.openxmlformats.org/officeDocument/2006/relationships/hyperlink" Target="../../../../../../../../../mediawiki/index.php%3Ftitle=Matth%C3%A4us_26&amp;action=edit&amp;redlink=1" TargetMode="External"/><Relationship Id="rId498" Type="http://schemas.openxmlformats.org/officeDocument/2006/relationships/hyperlink" Target="http://www.learningsites.com/Jerusalem/BurntHouse_home.php" TargetMode="External"/><Relationship Id="rId499" Type="http://schemas.openxmlformats.org/officeDocument/2006/relationships/hyperlink" Target="../../../../../../../../../wiki/Gen._abs." TargetMode="External"/><Relationship Id="rId500" Type="http://schemas.openxmlformats.org/officeDocument/2006/relationships/hyperlink" Target="../../../../../../../../../wiki/Gen._abs." TargetMode="External"/><Relationship Id="rId501" Type="http://schemas.openxmlformats.org/officeDocument/2006/relationships/hyperlink" Target="../../../../../../../../../wiki/Ptz._coni." TargetMode="External"/><Relationship Id="rId502" Type="http://schemas.openxmlformats.org/officeDocument/2006/relationships/hyperlink" Target="../../../../../../../../../wiki/Ptz._coni." TargetMode="External"/><Relationship Id="rId503" Type="http://schemas.openxmlformats.org/officeDocument/2006/relationships/hyperlink" Target="../../../../../../../../../wiki/Historisches_Pr%C3%A4sens" TargetMode="External"/><Relationship Id="rId504" Type="http://schemas.openxmlformats.org/officeDocument/2006/relationships/hyperlink" Target="../../../../../../../../../wiki/%E1%BD%8D%CF%84%CE%B9_recitativum" TargetMode="External"/><Relationship Id="rId505" Type="http://schemas.openxmlformats.org/officeDocument/2006/relationships/hyperlink" Target="../../../../../../../../../wiki/Ptz._coni." TargetMode="External"/><Relationship Id="rId506" Type="http://schemas.openxmlformats.org/officeDocument/2006/relationships/hyperlink" Target="../../../../../../../../../wiki/Generisches_Maskulinum" TargetMode="External"/><Relationship Id="rId507" Type="http://schemas.openxmlformats.org/officeDocument/2006/relationships/hyperlink" Target="../../../../../../../../../wiki/Partizip" TargetMode="External"/><Relationship Id="rId508" Type="http://schemas.openxmlformats.org/officeDocument/2006/relationships/hyperlink" Target="../../../../../../../../../wiki/Ptz" TargetMode="External"/><Relationship Id="rId509" Type="http://schemas.openxmlformats.org/officeDocument/2006/relationships/hyperlink" Target="../../../../../../../../../wiki/%E1%BD%8D%CF%84%CE%B9_recitativum" TargetMode="External"/><Relationship Id="rId510" Type="http://schemas.openxmlformats.org/officeDocument/2006/relationships/hyperlink" Target="../../../../../../../../../wiki/Ptz._coni." TargetMode="External"/><Relationship Id="rId511" Type="http://schemas.openxmlformats.org/officeDocument/2006/relationships/hyperlink" Target="../../../../../../../../../wiki/Ptz._coni." TargetMode="External"/><Relationship Id="rId512" Type="http://schemas.openxmlformats.org/officeDocument/2006/relationships/hyperlink" Target="../../../../../../../../../mediawiki/index.php%3Ftitle=Exodus_12&amp;action=edit&amp;redlink=1" TargetMode="External"/><Relationship Id="rId513" Type="http://schemas.openxmlformats.org/officeDocument/2006/relationships/hyperlink" Target="../../../../../../../../../mediawiki/index.php%3Ftitle=Ptz.coni.&amp;action=edit&amp;redlink=1" TargetMode="External"/><Relationship Id="rId514" Type="http://schemas.openxmlformats.org/officeDocument/2006/relationships/hyperlink" Target="../../../../../../../../../wiki/Gen._abs." TargetMode="External"/><Relationship Id="rId515" Type="http://schemas.openxmlformats.org/officeDocument/2006/relationships/hyperlink" Target="../../../../../../../../../wiki/Ptz._coni." TargetMode="External"/><Relationship Id="rId516" Type="http://schemas.openxmlformats.org/officeDocument/2006/relationships/hyperlink" Target="../../../../../../../../../wiki/Ptz._coni." TargetMode="External"/><Relationship Id="rId517" Type="http://schemas.openxmlformats.org/officeDocument/2006/relationships/hyperlink" Target="../../../../../../../../../wiki/Ptz._coni." TargetMode="External"/><Relationship Id="rId518" Type="http://schemas.openxmlformats.org/officeDocument/2006/relationships/hyperlink" Target="../../../../../../../../../mediawiki/index.php%3Ftitle=Reich_Gottes&amp;action=edit&amp;redlink=1" TargetMode="External"/><Relationship Id="rId519" Type="http://schemas.openxmlformats.org/officeDocument/2006/relationships/hyperlink" Target="../../../../../../../../../mediawiki/index.php%3Ftitle=Handschrift&amp;action=edit&amp;redlink=1" TargetMode="External"/><Relationship Id="rId520" Type="http://schemas.openxmlformats.org/officeDocument/2006/relationships/hyperlink" Target="../../../../../../../../../wiki/Ptz._coni." TargetMode="External"/><Relationship Id="rId521" Type="http://schemas.openxmlformats.org/officeDocument/2006/relationships/hyperlink" Target="../../../../../../../../../wiki/Ptz._coni." TargetMode="External"/><Relationship Id="rId522" Type="http://schemas.openxmlformats.org/officeDocument/2006/relationships/hyperlink" Target="../../../../../../../../../mediawiki/index.php%3Ftitle=%E1%BD%89%CF%84%CE%B9_rezitativum&amp;action=edit&amp;redlink=1" TargetMode="External"/><Relationship Id="rId523" Type="http://schemas.openxmlformats.org/officeDocument/2006/relationships/hyperlink" Target="../../../../../../../../../wiki/Ptz._coni." TargetMode="External"/><Relationship Id="rId524" Type="http://schemas.openxmlformats.org/officeDocument/2006/relationships/hyperlink" Target="../../../../../../../../../wiki/Ptz._coni." TargetMode="External"/><Relationship Id="rId525" Type="http://schemas.openxmlformats.org/officeDocument/2006/relationships/hyperlink" Target="../../../../../../../../../wiki/Ptz._coni." TargetMode="External"/><Relationship Id="rId526" Type="http://schemas.openxmlformats.org/officeDocument/2006/relationships/hyperlink" Target="../../../../../../../../../mediawiki/index.php%3Ftitle=Hoti_recitativum&amp;action=edit&amp;redlink=1" TargetMode="External"/><Relationship Id="rId527" Type="http://schemas.openxmlformats.org/officeDocument/2006/relationships/hyperlink" Target="../../../../../../../../../wiki/Johannes_7,53-8,11" TargetMode="External"/><Relationship Id="rId528" Type="http://schemas.openxmlformats.org/officeDocument/2006/relationships/hyperlink" Target="../../../../../../../../../wiki/Johannes_7,53-8,11" TargetMode="External"/><Relationship Id="rId529" Type="http://schemas.openxmlformats.org/officeDocument/2006/relationships/hyperlink" Target="../../../../../../../../../wiki/%E1%BD%8D%CF%84%CE%B9_recitativum" TargetMode="External"/><Relationship Id="rId530" Type="http://schemas.openxmlformats.org/officeDocument/2006/relationships/hyperlink" Target="../../../../../../../../../wiki/Historisches_Pr%C3%A4sens" TargetMode="External"/><Relationship Id="rId531" Type="http://schemas.openxmlformats.org/officeDocument/2006/relationships/hyperlink" Target="../../../../../../../../../wiki/%CE%9F%E1%BD%96%CE%BD" TargetMode="External"/><Relationship Id="rId532" Type="http://schemas.openxmlformats.org/officeDocument/2006/relationships/hyperlink" Target="../../../../../../../../../wiki/Historisches_Pr%C3%A4sens" TargetMode="External"/><Relationship Id="rId533" Type="http://schemas.openxmlformats.org/officeDocument/2006/relationships/hyperlink" Target="../../../../../../../../../wiki/Historisches_Pr%C3%A4sens" TargetMode="External"/><Relationship Id="rId534" Type="http://schemas.openxmlformats.org/officeDocument/2006/relationships/hyperlink" Target="../../../../../../../../../wiki/Historisches_Pr%C3%A4sens" TargetMode="External"/><Relationship Id="rId535" Type="http://schemas.openxmlformats.org/officeDocument/2006/relationships/hyperlink" Target="../../../../../../../../../wiki/Historisches_Pr%C3%A4sens" TargetMode="External"/><Relationship Id="rId536" Type="http://schemas.openxmlformats.org/officeDocument/2006/relationships/hyperlink" Target="../../../../../../../../../mediawiki/index.php%3Ftitle=Sacharja_9&amp;action=edit&amp;redlink=1" TargetMode="External"/><Relationship Id="rId537" Type="http://schemas.openxmlformats.org/officeDocument/2006/relationships/hyperlink" Target="../../../../../../../../../wiki/Historisches_Pr%C3%A4sens" TargetMode="External"/><Relationship Id="rId538" Type="http://schemas.openxmlformats.org/officeDocument/2006/relationships/hyperlink" Target="../../../../../../../../../wiki/%E1%BD%8D%CF%84%CE%B9_recitativum" TargetMode="External"/><Relationship Id="rId539" Type="http://schemas.openxmlformats.org/officeDocument/2006/relationships/hyperlink" Target="../../../../../../../../../mediawiki/index.php%3Ftitle=Psalmen_35&amp;action=edit&amp;redlink=1" TargetMode="External"/><Relationship Id="rId540" Type="http://schemas.openxmlformats.org/officeDocument/2006/relationships/hyperlink" Target="../../../../../../../../../mediawiki/index.php%3Ftitle=Psalmen_69&amp;action=edit&amp;redlink=1" TargetMode="External"/><Relationship Id="rId541" Type="http://schemas.openxmlformats.org/officeDocument/2006/relationships/hyperlink" Target="../../../../../../../../../wiki/%CE%9F%E1%BD%96%CE%BD" TargetMode="External"/><Relationship Id="rId542" Type="http://schemas.openxmlformats.org/officeDocument/2006/relationships/hyperlink" Target="../../../../../../../../../wiki/Historisches_Pr%C3%A4sens" TargetMode="External"/><Relationship Id="rId543" Type="http://schemas.openxmlformats.org/officeDocument/2006/relationships/hyperlink" Target="../../../../../../../../../wiki/JHWH" TargetMode="External"/><Relationship Id="rId544" Type="http://schemas.openxmlformats.org/officeDocument/2006/relationships/hyperlink" Target="../../../../../../../../../wiki/%CE%9F%E1%BD%96%CE%BD" TargetMode="External"/><Relationship Id="rId545" Type="http://schemas.openxmlformats.org/officeDocument/2006/relationships/hyperlink" Target="../../../../../../../../../wiki/%E1%BD%8D%CF%84%CE%B9_recitativum" TargetMode="External"/><Relationship Id="rId546" Type="http://schemas.openxmlformats.org/officeDocument/2006/relationships/hyperlink" Target="../../../../../../../../../wiki/Gen._abs." TargetMode="External"/><Relationship Id="rId547" Type="http://schemas.openxmlformats.org/officeDocument/2006/relationships/hyperlink" Target="../../../../../../../../../wiki/AcP" TargetMode="External"/><Relationship Id="rId548" Type="http://schemas.openxmlformats.org/officeDocument/2006/relationships/hyperlink" Target="../../../../../../../../../wiki/Ptc._coni." TargetMode="External"/><Relationship Id="rId549" Type="http://schemas.openxmlformats.org/officeDocument/2006/relationships/hyperlink" Target="../../../../../../../../../wiki/Ptc._coni." TargetMode="External"/><Relationship Id="rId550" Type="http://schemas.openxmlformats.org/officeDocument/2006/relationships/hyperlink" Target="../../../../../../../../../wiki/AcP" TargetMode="External"/><Relationship Id="rId551" Type="http://schemas.openxmlformats.org/officeDocument/2006/relationships/hyperlink" Target="../../../../../../../../../mediawiki/index.php%3Ftitle=Attr._Ptz.&amp;action=edit&amp;redlink=1" TargetMode="External"/><Relationship Id="rId552" Type="http://schemas.openxmlformats.org/officeDocument/2006/relationships/hyperlink" Target="../../../../../../../../../wiki/Ptc._coni." TargetMode="External"/><Relationship Id="rId553" Type="http://schemas.openxmlformats.org/officeDocument/2006/relationships/hyperlink" Target="../../../../../../../../../wiki/AcP" TargetMode="External"/><Relationship Id="rId554" Type="http://schemas.openxmlformats.org/officeDocument/2006/relationships/hyperlink" Target="../../../../../../../../../wiki/Ptc._coni." TargetMode="External"/><Relationship Id="rId555" Type="http://schemas.openxmlformats.org/officeDocument/2006/relationships/hyperlink" Target="../../../../../../../../../wiki/Ptc._coni." TargetMode="External"/><Relationship Id="rId556" Type="http://schemas.openxmlformats.org/officeDocument/2006/relationships/hyperlink" Target="../../../../../../../../../wiki/Gen._abs." TargetMode="External"/><Relationship Id="rId557" Type="http://schemas.openxmlformats.org/officeDocument/2006/relationships/hyperlink" Target="../../../../../../../../../wiki/Ptz._conj." TargetMode="External"/><Relationship Id="rId558" Type="http://schemas.openxmlformats.org/officeDocument/2006/relationships/hyperlink" Target="../../../../../../../../../wiki/Ptz._conj." TargetMode="External"/><Relationship Id="rId559" Type="http://schemas.openxmlformats.org/officeDocument/2006/relationships/hyperlink" Target="../../../../../../../../../wiki/Ptz._conj." TargetMode="External"/><Relationship Id="rId560" Type="http://schemas.openxmlformats.org/officeDocument/2006/relationships/hyperlink" Target="../../../../../../../../../wiki/Gen._abs." TargetMode="External"/><Relationship Id="rId561" Type="http://schemas.openxmlformats.org/officeDocument/2006/relationships/hyperlink" Target="../../../../../../../../../wiki/Subst._Ptz." TargetMode="External"/><Relationship Id="rId562" Type="http://schemas.openxmlformats.org/officeDocument/2006/relationships/hyperlink" Target="../../../../../../../../../wiki/Historisches_Pr%C3%A4sens" TargetMode="External"/><Relationship Id="rId563" Type="http://schemas.openxmlformats.org/officeDocument/2006/relationships/hyperlink" Target="../../../../../../../../../mediawiki/index.php%3Ftitle=Die_griechischen_Kasus&amp;action=edit&amp;redlink=1" TargetMode="External"/><Relationship Id="rId564" Type="http://schemas.openxmlformats.org/officeDocument/2006/relationships/hyperlink" Target="../../../../../../../../../wiki/Historisches_Pr%C3%A4sens" TargetMode="External"/><Relationship Id="rId565" Type="http://schemas.openxmlformats.org/officeDocument/2006/relationships/hyperlink" Target="../../../../../../../../../wiki/Ptz._coni." TargetMode="External"/><Relationship Id="rId566" Type="http://schemas.openxmlformats.org/officeDocument/2006/relationships/hyperlink" Target="../../../../../../../../../wiki/Ptz._coni." TargetMode="External"/><Relationship Id="rId567" Type="http://schemas.openxmlformats.org/officeDocument/2006/relationships/hyperlink" Target="../../../../../../../../../wiki/Ptz._coni." TargetMode="External"/><Relationship Id="rId568" Type="http://schemas.openxmlformats.org/officeDocument/2006/relationships/hyperlink" Target="../../../../../../../../../wiki/Ptz._coni." TargetMode="External"/><Relationship Id="rId569" Type="http://schemas.openxmlformats.org/officeDocument/2006/relationships/hyperlink" Target="../../../../../../../../../wiki/Ptz._coni." TargetMode="External"/><Relationship Id="rId570" Type="http://schemas.openxmlformats.org/officeDocument/2006/relationships/hyperlink" Target="../../../../../../../../../wiki/Ptz._coni." TargetMode="External"/><Relationship Id="rId571" Type="http://schemas.openxmlformats.org/officeDocument/2006/relationships/hyperlink" Target="../../../../../../../../../wiki/Ptz._coni." TargetMode="External"/><Relationship Id="rId572" Type="http://schemas.openxmlformats.org/officeDocument/2006/relationships/hyperlink" Target="../../../../../../../../../wiki/Ptz._coni." TargetMode="External"/><Relationship Id="rId573" Type="http://schemas.openxmlformats.org/officeDocument/2006/relationships/hyperlink" Target="../../../../../../../../../mediawiki/index.php%3Ftitle=Apostelgeschichte_10&amp;action=edit&amp;redlink=1" TargetMode="External"/><Relationship Id="rId574" Type="http://schemas.openxmlformats.org/officeDocument/2006/relationships/hyperlink" Target="../../../../../../../../../mediawiki/index.php%3Ftitle=1K%C3%B6nige_13&amp;action=edit&amp;redlink=1" TargetMode="External"/><Relationship Id="rId575" Type="http://schemas.openxmlformats.org/officeDocument/2006/relationships/hyperlink" Target="../../../../../../../../../mediawiki/index.php%3Ftitle=Ezechiel_12&amp;action=edit&amp;redlink=1" TargetMode="External"/><Relationship Id="rId576" Type="http://schemas.openxmlformats.org/officeDocument/2006/relationships/hyperlink" Target="../../../../../../../../../mediawiki/index.php%3Ftitle=Joel_2&amp;action=edit&amp;redlink=1" TargetMode="External"/><Relationship Id="rId577" Type="http://schemas.openxmlformats.org/officeDocument/2006/relationships/hyperlink" Target="../../../../../../../../../mediawiki/index.php%3Ftitle=Apostelgeschichte_14&amp;action=edit&amp;redlink=1" TargetMode="External"/><Relationship Id="rId578" Type="http://schemas.openxmlformats.org/officeDocument/2006/relationships/hyperlink" Target="../../../../../../../../../mediawiki/index.php%3Ftitle=Apostelgeschichte_3&amp;action=edit&amp;redlink=1" TargetMode="External"/><Relationship Id="rId579" Type="http://schemas.openxmlformats.org/officeDocument/2006/relationships/hyperlink" Target="../../../../../../../../../mediawiki/index.php%3Ftitle=1K%C3%B6nige_2&amp;action=edit&amp;redlink=1" TargetMode="External"/><Relationship Id="rId580" Type="http://schemas.openxmlformats.org/officeDocument/2006/relationships/hyperlink" Target="../../../../../../../../../mediawiki/index.php%3Ftitle=Nehemia_3&amp;action=edit&amp;redlink=1" TargetMode="External"/><Relationship Id="rId581" Type="http://schemas.openxmlformats.org/officeDocument/2006/relationships/hyperlink" Target="http://sacred-texts.com/jud/josephus/ant-16.htm" TargetMode="External"/><Relationship Id="rId582" Type="http://schemas.openxmlformats.org/officeDocument/2006/relationships/hyperlink" Target="../../../../../../../../../mediawiki/index.php%3Ftitle=Apostelgeschichte_27&amp;action=edit&amp;redlink=1" TargetMode="External"/><Relationship Id="rId583" Type="http://schemas.openxmlformats.org/officeDocument/2006/relationships/hyperlink" Target="../../../../../../../../../mediawiki/index.php%3Ftitle=Joel_3&amp;action=edit&amp;redlink=1" TargetMode="External"/><Relationship Id="rId584" Type="http://schemas.openxmlformats.org/officeDocument/2006/relationships/hyperlink" Target="../../../../../../../../../mediawiki/index.php%3Ftitle=Ptz.coni.&amp;action=edit&amp;redlink=1" TargetMode="External"/><Relationship Id="rId585" Type="http://schemas.openxmlformats.org/officeDocument/2006/relationships/hyperlink" Target="../../../../../../../../../mediawiki/index.php%3Ftitle=Ptz.coni.&amp;action=edit&amp;redlink=1" TargetMode="External"/><Relationship Id="rId586" Type="http://schemas.openxmlformats.org/officeDocument/2006/relationships/hyperlink" Target="../../../../../../../../../mediawiki/index.php%3Ftitle=Ptz.coni.&amp;action=edit&amp;redlink=1" TargetMode="External"/><Relationship Id="rId587" Type="http://schemas.openxmlformats.org/officeDocument/2006/relationships/hyperlink" Target="../../../../../../../../../mediawiki/index.php%3Ftitle=Apg_15,40&amp;action=edit&amp;redlink=1" TargetMode="External"/><Relationship Id="rId588" Type="http://schemas.openxmlformats.org/officeDocument/2006/relationships/hyperlink" Target="../../../../../../../../../mediawiki/index.php%3Ftitle=Ptz.coni.&amp;action=edit&amp;redlink=1" TargetMode="External"/><Relationship Id="rId589" Type="http://schemas.openxmlformats.org/officeDocument/2006/relationships/hyperlink" Target="../../../../../../../../../mediawiki/index.php%3Ftitle=Ptz.coni.&amp;action=edit&amp;redlink=1" TargetMode="External"/><Relationship Id="rId590" Type="http://schemas.openxmlformats.org/officeDocument/2006/relationships/hyperlink" Target="../../../../../../../../../mediawiki/index.php%3Ftitle=Ptz.coni.&amp;action=edit&amp;redlink=1" TargetMode="External"/><Relationship Id="rId591" Type="http://schemas.openxmlformats.org/officeDocument/2006/relationships/hyperlink" Target="../../../../../../../../../mediawiki/index.php%3Ftitle=Ptz.coni.&amp;action=edit&amp;redlink=1" TargetMode="External"/><Relationship Id="rId592" Type="http://schemas.openxmlformats.org/officeDocument/2006/relationships/hyperlink" Target="../../../../../../../../../mediawiki/index.php%3Ftitle=Ptz.coni.&amp;action=edit&amp;redlink=1" TargetMode="External"/><Relationship Id="rId593" Type="http://schemas.openxmlformats.org/officeDocument/2006/relationships/hyperlink" Target="../../../../../../../../../mediawiki/index.php%3Ftitle=Ptz.coni.&amp;action=edit&amp;redlink=1" TargetMode="External"/><Relationship Id="rId594" Type="http://schemas.openxmlformats.org/officeDocument/2006/relationships/hyperlink" Target="../../../../../../../../../mediawiki/index.php%3Ftitle=Ptz.coni.&amp;action=edit&amp;redlink=1" TargetMode="External"/><Relationship Id="rId595" Type="http://schemas.openxmlformats.org/officeDocument/2006/relationships/hyperlink" Target="../../../../../../../../../mediawiki/index.php%3Ftitle=Ptz.coni.&amp;action=edit&amp;redlink=1" TargetMode="External"/><Relationship Id="rId596" Type="http://schemas.openxmlformats.org/officeDocument/2006/relationships/hyperlink" Target="../../../../../../../../../mediawiki/index.php%3Ftitle=Ptz.coni.&amp;action=edit&amp;redlink=1" TargetMode="External"/><Relationship Id="rId597" Type="http://schemas.openxmlformats.org/officeDocument/2006/relationships/hyperlink" Target="../../../../../../../../../mediawiki/index.php%3Ftitle=Ptz.coni.&amp;action=edit&amp;redlink=1" TargetMode="External"/><Relationship Id="rId598" Type="http://schemas.openxmlformats.org/officeDocument/2006/relationships/hyperlink" Target="../../../../../../../../../mediawiki/index.php%3Ftitle=Ptz.coni.&amp;action=edit&amp;redlink=1" TargetMode="External"/><Relationship Id="rId599" Type="http://schemas.openxmlformats.org/officeDocument/2006/relationships/hyperlink" Target="../../../../../../../../../mediawiki/index.php%3Ftitle=Ptz.coni.&amp;action=edit&amp;redlink=1" TargetMode="External"/><Relationship Id="rId600" Type="http://schemas.openxmlformats.org/officeDocument/2006/relationships/hyperlink" Target="../../../../../../../../../mediawiki/index.php%3Ftitle=Ptz.coni.&amp;action=edit&amp;redlink=1" TargetMode="External"/><Relationship Id="rId601" Type="http://schemas.openxmlformats.org/officeDocument/2006/relationships/hyperlink" Target="../../../../../../../../../mediawiki/index.php%3Ftitle=Ptz.coni.&amp;action=edit&amp;redlink=1" TargetMode="External"/><Relationship Id="rId602" Type="http://schemas.openxmlformats.org/officeDocument/2006/relationships/hyperlink" Target="../../../../../../../../../mediawiki/index.php%3Ftitle=Ptz.coni.&amp;action=edit&amp;redlink=1" TargetMode="External"/><Relationship Id="rId603" Type="http://schemas.openxmlformats.org/officeDocument/2006/relationships/hyperlink" Target="../../../../../../../../../mediawiki/index.php%3Ftitle=Ptz.coni.&amp;action=edit&amp;redlink=1" TargetMode="External"/><Relationship Id="rId604" Type="http://schemas.openxmlformats.org/officeDocument/2006/relationships/hyperlink" Target="../../../../../../../../../mediawiki/index.php%3Ftitle=Ptz.coni.&amp;action=edit&amp;redlink=1" TargetMode="External"/><Relationship Id="rId605" Type="http://schemas.openxmlformats.org/officeDocument/2006/relationships/hyperlink" Target="../../../../../../../../../mediawiki/index.php%3Ftitle=Ptz.coni.&amp;action=edit&amp;redlink=1" TargetMode="External"/><Relationship Id="rId606" Type="http://schemas.openxmlformats.org/officeDocument/2006/relationships/hyperlink" Target="../../../../../../../../../mediawiki/index.php%3Ftitle=Ptz.coni.&amp;action=edit&amp;redlink=1" TargetMode="External"/><Relationship Id="rId607" Type="http://schemas.openxmlformats.org/officeDocument/2006/relationships/hyperlink" Target="../../../../../../../../../mediawiki/index.php%3Ftitle=Ptz.coni.&amp;action=edit&amp;redlink=1" TargetMode="External"/><Relationship Id="rId608" Type="http://schemas.openxmlformats.org/officeDocument/2006/relationships/hyperlink" Target="../../../../../../../../../mediawiki/index.php%3Ftitle=Ptz.coni.&amp;action=edit&amp;redlink=1" TargetMode="External"/><Relationship Id="rId609" Type="http://schemas.openxmlformats.org/officeDocument/2006/relationships/hyperlink" Target="../../../../../../../../../mediawiki/index.php%3Ftitle=Ptz.coni.&amp;action=edit&amp;redlink=1" TargetMode="External"/><Relationship Id="rId610" Type="http://schemas.openxmlformats.org/officeDocument/2006/relationships/hyperlink" Target="../../../../../../../../../mediawiki/index.php%3Ftitle=Ptz.coni.&amp;action=edit&amp;redlink=1" TargetMode="External"/><Relationship Id="rId611" Type="http://schemas.openxmlformats.org/officeDocument/2006/relationships/hyperlink" Target="../../../../../../../../../mediawiki/index.php%3Ftitle=Ptz.coni.&amp;action=edit&amp;redlink=1" TargetMode="External"/><Relationship Id="rId612" Type="http://schemas.openxmlformats.org/officeDocument/2006/relationships/hyperlink" Target="../../../../../../../../../mediawiki/index.php%3Ftitle=Ptz.coni.&amp;action=edit&amp;redlink=1" TargetMode="External"/><Relationship Id="rId613" Type="http://schemas.openxmlformats.org/officeDocument/2006/relationships/hyperlink" Target="../../../../../../../../../mediawiki/index.php%3Ftitle=Ptz.coni.&amp;action=edit&amp;redlink=1" TargetMode="External"/><Relationship Id="rId614" Type="http://schemas.openxmlformats.org/officeDocument/2006/relationships/hyperlink" Target="../../../../../../../../../mediawiki/index.php%3Ftitle=Ptz.coni.&amp;action=edit&amp;redlink=1" TargetMode="External"/><Relationship Id="rId615" Type="http://schemas.openxmlformats.org/officeDocument/2006/relationships/hyperlink" Target="../../../../../../../../../mediawiki/index.php%3Ftitle=Ptz.coni.&amp;action=edit&amp;redlink=1" TargetMode="External"/><Relationship Id="rId616" Type="http://schemas.openxmlformats.org/officeDocument/2006/relationships/hyperlink" Target="../../../../../../../../../mediawiki/index.php%3Ftitle=Ptz.coni.&amp;action=edit&amp;redlink=1" TargetMode="External"/><Relationship Id="rId617" Type="http://schemas.openxmlformats.org/officeDocument/2006/relationships/hyperlink" Target="../../../../../../../../../mediawiki/index.php%3Ftitle=Ptz.coni.&amp;action=edit&amp;redlink=1" TargetMode="External"/><Relationship Id="rId618" Type="http://schemas.openxmlformats.org/officeDocument/2006/relationships/hyperlink" Target="../../../../../../../../../mediawiki/index.php%3Ftitle=Ptz.coni.&amp;action=edit&amp;redlink=1" TargetMode="External"/><Relationship Id="rId619" Type="http://schemas.openxmlformats.org/officeDocument/2006/relationships/hyperlink" Target="../../../../../../../../../mediawiki/index.php%3Ftitle=Ptz.coni.&amp;action=edit&amp;redlink=1" TargetMode="External"/><Relationship Id="rId620" Type="http://schemas.openxmlformats.org/officeDocument/2006/relationships/hyperlink" Target="../../../../../../../../../mediawiki/index.php%3Ftitle=Ptz.coni.&amp;action=edit&amp;redlink=1" TargetMode="External"/><Relationship Id="rId621" Type="http://schemas.openxmlformats.org/officeDocument/2006/relationships/hyperlink" Target="../../../../../../../../../mediawiki/index.php%3Ftitle=Ptz.coni.&amp;action=edit&amp;redlink=1" TargetMode="External"/><Relationship Id="rId622" Type="http://schemas.openxmlformats.org/officeDocument/2006/relationships/hyperlink" Target="../../../../../../../../../mediawiki/index.php%3Ftitle=AcI&amp;action=edit&amp;redlink=1" TargetMode="External"/><Relationship Id="rId623" Type="http://schemas.openxmlformats.org/officeDocument/2006/relationships/hyperlink" Target="../../../../../../../../../mediawiki/index.php%3Ftitle=1_Samuel_18&amp;action=edit&amp;redlink=1" TargetMode="External"/><Relationship Id="rId624" Type="http://schemas.openxmlformats.org/officeDocument/2006/relationships/hyperlink" Target="../../../../../../../../../mediawiki/index.php%3Ftitle=1_Samuel_19&amp;action=edit&amp;redlink=1" TargetMode="External"/><Relationship Id="rId625" Type="http://schemas.openxmlformats.org/officeDocument/2006/relationships/hyperlink" Target="../../../../../../../../../wiki/Galater_5" TargetMode="External"/><Relationship Id="rId626" Type="http://schemas.openxmlformats.org/officeDocument/2006/relationships/hyperlink" Target="../../../../../../../../../wiki/Partizip" TargetMode="External"/><Relationship Id="rId627" Type="http://schemas.openxmlformats.org/officeDocument/2006/relationships/hyperlink" Target="../../../../../../../../../wiki/Generisches_Maskulinum" TargetMode="External"/><Relationship Id="rId628" Type="http://schemas.openxmlformats.org/officeDocument/2006/relationships/hyperlink" Target="../../../../../../../../../wiki/Generisches_Maskulinum" TargetMode="External"/><Relationship Id="rId629" Type="http://schemas.openxmlformats.org/officeDocument/2006/relationships/hyperlink" Target="../../../../../../../../../mediawiki/index.php%3Ftitle=BDR&amp;action=edit&amp;redlink=1" TargetMode="External"/><Relationship Id="rId630" Type="http://schemas.openxmlformats.org/officeDocument/2006/relationships/hyperlink" Target="../../../../../../../../../mediawiki/index.php%3Ftitle=BW&amp;action=edit&amp;redlink=1" TargetMode="External"/><Relationship Id="rId631" Type="http://schemas.openxmlformats.org/officeDocument/2006/relationships/hyperlink" Target="../../../../../../../../../mediawiki/index.php%3Ftitle=Part._coni.&amp;action=edit&amp;redlink=1" TargetMode="External"/><Relationship Id="rId632" Type="http://schemas.openxmlformats.org/officeDocument/2006/relationships/hyperlink" Target="../../../../../../../../../mediawiki/index.php%3Ftitle=BDR&amp;action=edit&amp;redlink=1" TargetMode="External"/><Relationship Id="rId633" Type="http://schemas.openxmlformats.org/officeDocument/2006/relationships/hyperlink" Target="https://de.wikipedia.org/wiki/Zimbel" TargetMode="External"/><Relationship Id="rId634" Type="http://schemas.openxmlformats.org/officeDocument/2006/relationships/hyperlink" Target="../../../../../../../../../mediawiki/index.php%3Ftitle=%E1%BD%8D%CF%84%CE%B9_citativum&amp;action=edit&amp;redlink=1" TargetMode="External"/><Relationship Id="rId635" Type="http://schemas.openxmlformats.org/officeDocument/2006/relationships/hyperlink" Target="../../../../../../../../../mediawiki/index.php%3Ftitle=Lexikon:Apostel&amp;action=edit&amp;redlink=1" TargetMode="External"/><Relationship Id="rId636" Type="http://schemas.openxmlformats.org/officeDocument/2006/relationships/hyperlink" Target="../../../../../../../../../mediawiki/index.php%3Ftitle=Lexikon:Gnade&amp;action=edit&amp;redlink=1" TargetMode="External"/><Relationship Id="rId637" Type="http://schemas.openxmlformats.org/officeDocument/2006/relationships/hyperlink" Target="../../../../../../../../../mediawiki/index.php%3Ftitle=Lexikon:Friede&amp;action=edit&amp;redlink=1" TargetMode="External"/><Relationship Id="rId638" Type="http://schemas.openxmlformats.org/officeDocument/2006/relationships/hyperlink" Target="../../../../../../../../../mediawiki/index.php%3Ftitle=Part._coni.&amp;action=edit&amp;redlink=1" TargetMode="External"/><Relationship Id="rId639" Type="http://schemas.openxmlformats.org/officeDocument/2006/relationships/hyperlink" Target="../../../../../../../../../mediawiki/index.php%3Ftitle=Lexikon:Fleisch&amp;action=edit&amp;redlink=1" TargetMode="External"/><Relationship Id="rId640" Type="http://schemas.openxmlformats.org/officeDocument/2006/relationships/hyperlink" Target="../../../../../../../../../mediawiki/index.php%3Ftitle=Lexikon:Gnade&amp;action=edit&amp;redlink=1" TargetMode="External"/><Relationship Id="rId641" Type="http://schemas.openxmlformats.org/officeDocument/2006/relationships/hyperlink" Target="../../../../../../../../../mediawiki/index.php%3Ftitle=Part._coni.&amp;action=edit&amp;redlink=1" TargetMode="External"/><Relationship Id="rId642" Type="http://schemas.openxmlformats.org/officeDocument/2006/relationships/hyperlink" Target="../../../../../../../../../mediawiki/index.php%3Ftitle=Lexikon:Amen&amp;action=edit&amp;redlink=1" TargetMode="External"/><Relationship Id="rId643" Type="http://schemas.openxmlformats.org/officeDocument/2006/relationships/hyperlink" Target="../../../../../../../../../mediawiki/index.php%3Ftitle=BW&amp;action=edit&amp;redlink=1" TargetMode="External"/><Relationship Id="rId644" Type="http://schemas.openxmlformats.org/officeDocument/2006/relationships/hyperlink" Target="../../../../../../../../../mediawiki/index.php%3Ftitle=Lexikon:Seele&amp;action=edit&amp;redlink=1" TargetMode="External"/><Relationship Id="rId645" Type="http://schemas.openxmlformats.org/officeDocument/2006/relationships/hyperlink" Target="../../../../../../../../../wiki/Ptz" TargetMode="External"/><Relationship Id="rId646" Type="http://schemas.openxmlformats.org/officeDocument/2006/relationships/hyperlink" Target="../../../../../../../../../mediawiki/index.php%3Ftitle=Dativus_commodi&amp;action=edit&amp;redlink=1" TargetMode="External"/><Relationship Id="rId647" Type="http://schemas.openxmlformats.org/officeDocument/2006/relationships/hyperlink" Target="../../../../../../../../../wiki/Ptz" TargetMode="External"/><Relationship Id="rId648" Type="http://schemas.openxmlformats.org/officeDocument/2006/relationships/hyperlink" Target="../../../../../../../../../wiki/Ptz" TargetMode="External"/><Relationship Id="rId649" Type="http://schemas.openxmlformats.org/officeDocument/2006/relationships/hyperlink" Target="../../../../../../../../../wiki/Ptz._coni." TargetMode="External"/><Relationship Id="rId650" Type="http://schemas.openxmlformats.org/officeDocument/2006/relationships/hyperlink" Target="../../../../../../../../../mediawiki/index.php%3Ftitle=Lexikon:Evangelium&amp;action=edit&amp;redlink=1" TargetMode="External"/><Relationship Id="rId651" Type="http://schemas.openxmlformats.org/officeDocument/2006/relationships/hyperlink" Target="../../../../../../../../../wiki/Ptz._coni." TargetMode="External"/><Relationship Id="rId652" Type="http://schemas.openxmlformats.org/officeDocument/2006/relationships/hyperlink" Target="../../../../../../../../../mediawiki/index.php%3Ftitle=Lexikon:Herrlichkeit&amp;action=edit&amp;redlink=1" TargetMode="External"/><Relationship Id="rId653" Type="http://schemas.openxmlformats.org/officeDocument/2006/relationships/hyperlink" Target="../../../../../../../../../wiki/Ptz._coni." TargetMode="External"/><Relationship Id="rId654" Type="http://schemas.openxmlformats.org/officeDocument/2006/relationships/hyperlink" Target="../../../../../../../../../mediawiki/index.php%3Ftitle=Lexikon:Geist&amp;action=edit&amp;redlink=1" TargetMode="External"/><Relationship Id="rId655" Type="http://schemas.openxmlformats.org/officeDocument/2006/relationships/hyperlink" Target="../../../../../../../../../mediawiki/index.php%3Ftitle=Ptz._coni&amp;action=edit&amp;redlink=1" TargetMode="External"/><Relationship Id="rId656" Type="http://schemas.openxmlformats.org/officeDocument/2006/relationships/hyperlink" Target="../../../../../../../../../mediawiki/index.php%3Ftitle=BW&amp;action=edit&amp;redlink=1" TargetMode="External"/><Relationship Id="rId657" Type="http://schemas.openxmlformats.org/officeDocument/2006/relationships/hyperlink" Target="../../../../../../../../../mediawiki/index.php%3Ftitle=Lexikon:Gnade&amp;action=edit&amp;redlink=1" TargetMode="External"/><Relationship Id="rId658" Type="http://schemas.openxmlformats.org/officeDocument/2006/relationships/hyperlink" Target="../../../../../../../../../wiki/Ptz._coni." TargetMode="External"/><Relationship Id="rId659" Type="http://schemas.openxmlformats.org/officeDocument/2006/relationships/hyperlink" Target="../../../../../../../../../wiki/Ptz._coni." TargetMode="External"/><Relationship Id="rId660" Type="http://schemas.openxmlformats.org/officeDocument/2006/relationships/hyperlink" Target="../../../../../../../../../wiki/Ptz._coni." TargetMode="External"/><Relationship Id="rId661" Type="http://schemas.openxmlformats.org/officeDocument/2006/relationships/hyperlink" Target="../../../../../../../../../wiki/Ptz._coni." TargetMode="External"/><Relationship Id="rId662" Type="http://schemas.openxmlformats.org/officeDocument/2006/relationships/hyperlink" Target="../../../../../../../../../wiki/Ptz._coni." TargetMode="External"/><Relationship Id="rId663" Type="http://schemas.openxmlformats.org/officeDocument/2006/relationships/hyperlink" Target="../../../../../../../../../wiki/Ptz._coni." TargetMode="External"/><Relationship Id="rId664" Type="http://schemas.openxmlformats.org/officeDocument/2006/relationships/hyperlink" Target="../../../../../../../../../wiki/Ptz._coni." TargetMode="External"/><Relationship Id="rId665" Type="http://schemas.openxmlformats.org/officeDocument/2006/relationships/hyperlink" Target="../../../../../../../../../wiki/Ptz._coni." TargetMode="External"/><Relationship Id="rId666" Type="http://schemas.openxmlformats.org/officeDocument/2006/relationships/hyperlink" Target="../../../../../../../../../wiki/Ptz._coni." TargetMode="External"/><Relationship Id="rId667" Type="http://schemas.openxmlformats.org/officeDocument/2006/relationships/hyperlink" Target="../../../../../../../../../wiki/Ptz._coni." TargetMode="External"/><Relationship Id="rId668" Type="http://schemas.openxmlformats.org/officeDocument/2006/relationships/hyperlink" Target="../../../../../../../../../wiki/Ptz._coni." TargetMode="External"/><Relationship Id="rId669" Type="http://schemas.openxmlformats.org/officeDocument/2006/relationships/hyperlink" Target="../../../../../../../../../wiki/Ptz._coni." TargetMode="External"/><Relationship Id="rId670" Type="http://schemas.openxmlformats.org/officeDocument/2006/relationships/hyperlink" Target="../../../../../../../../../wiki/Ptz._coni." TargetMode="External"/><Relationship Id="rId671" Type="http://schemas.openxmlformats.org/officeDocument/2006/relationships/hyperlink" Target="../../../../../../../../../wiki/Ptz._coni." TargetMode="External"/><Relationship Id="rId672" Type="http://schemas.openxmlformats.org/officeDocument/2006/relationships/hyperlink" Target="../../../../../../../../../mediawiki/index.php%3Ftitle=Lexikon:Gnade&amp;action=edit&amp;redlink=1" TargetMode="External"/><Relationship Id="rId673" Type="http://schemas.openxmlformats.org/officeDocument/2006/relationships/hyperlink" Target="../../../../../../../../../mediawiki/index.php%3Ftitle=Lexikon:Gerechtigkeit&amp;action=edit&amp;redlink=1" TargetMode="External"/><Relationship Id="rId674" Type="http://schemas.openxmlformats.org/officeDocument/2006/relationships/hyperlink" Target="../../../../../../../../../mediawiki/index.php%3Ftitle=Part._coni.&amp;action=edit&amp;redlink=1" TargetMode="External"/><Relationship Id="rId675" Type="http://schemas.openxmlformats.org/officeDocument/2006/relationships/hyperlink" Target="../../../../../../../../../mediawiki/index.php%3Ftitle=BDR_%C2%A7_354,1&amp;action=edit&amp;redlink=1" TargetMode="External"/><Relationship Id="rId676" Type="http://schemas.openxmlformats.org/officeDocument/2006/relationships/hyperlink" Target="../../../../../../../../../mediawiki/index.php%3Ftitle=Lexikon:Gerechtigkeit&amp;action=edit&amp;redlink=1" TargetMode="External"/><Relationship Id="rId677" Type="http://schemas.openxmlformats.org/officeDocument/2006/relationships/hyperlink" Target="../../../../../../../../../wiki/Ptz._coni." TargetMode="External"/><Relationship Id="rId678" Type="http://schemas.openxmlformats.org/officeDocument/2006/relationships/hyperlink" Target="../../../../../../../../../wiki/Ptz._coni." TargetMode="External"/><Relationship Id="rId679" Type="http://schemas.openxmlformats.org/officeDocument/2006/relationships/hyperlink" Target="../../../../../../../../../wiki/Ptz._coni." TargetMode="External"/><Relationship Id="rId680" Type="http://schemas.openxmlformats.org/officeDocument/2006/relationships/hyperlink" Target="../../../../../../../../../wiki/Ptz._coni." TargetMode="External"/><Relationship Id="rId681" Type="http://schemas.openxmlformats.org/officeDocument/2006/relationships/hyperlink" Target="../../../../../../../../../wiki/Ptz._coni." TargetMode="External"/><Relationship Id="rId682" Type="http://schemas.openxmlformats.org/officeDocument/2006/relationships/hyperlink" Target="../../../../../../../../../wiki/Ptz._coni." TargetMode="External"/><Relationship Id="rId683" Type="http://schemas.openxmlformats.org/officeDocument/2006/relationships/hyperlink" Target="../../../../../../../../../wiki/Generisches_Maskulinum" TargetMode="External"/><Relationship Id="rId684" Type="http://schemas.openxmlformats.org/officeDocument/2006/relationships/hyperlink" Target="../../../../../../../../../wiki/Generisches_Maskulinum" TargetMode="External"/><Relationship Id="rId685" Type="http://schemas.openxmlformats.org/officeDocument/2006/relationships/hyperlink" Target="../../../../../../../../../mediawiki/index.php%3Ftitle=Offenbarung_17&amp;action=edit&amp;redlink=1" TargetMode="External"/><Relationship Id="rId686" Type="http://schemas.openxmlformats.org/officeDocument/2006/relationships/hyperlink" Target="../../../../../../../../../mediawiki/index.php%3Ftitle=Deuteronomium_30&amp;action=edit&amp;redlink=1" TargetMode="External"/><Relationship Id="rId687" Type="http://schemas.openxmlformats.org/officeDocument/2006/relationships/hyperlink" Target="../../../../../../../../../mediawiki/index.php%3Ftitle=1_Samuel_16&amp;action=edit&amp;redlink=1" TargetMode="External"/><Relationship Id="rId688" Type="http://schemas.openxmlformats.org/officeDocument/2006/relationships/hyperlink" Target="../../../../../../../../../mediawiki/index.php%3Ftitle=Deuteronomium_7&amp;action=edit&amp;redlink=1" TargetMode="External"/><Relationship Id="rId689" Type="http://schemas.openxmlformats.org/officeDocument/2006/relationships/hyperlink" Target="../../../../../../../../../wiki/Ptz._coni." TargetMode="External"/><Relationship Id="rId690" Type="http://schemas.openxmlformats.org/officeDocument/2006/relationships/hyperlink" Target="../../../../../../../../../wiki/Ptz._coni." TargetMode="External"/><Relationship Id="rId691" Type="http://schemas.openxmlformats.org/officeDocument/2006/relationships/hyperlink" Target="../../../../../../../../../wiki/Ptz._coni." TargetMode="External"/><Relationship Id="rId692" Type="http://schemas.openxmlformats.org/officeDocument/2006/relationships/hyperlink" Target="../../../../../../../../../wiki/Ptz._coni." TargetMode="External"/><Relationship Id="rId693" Type="http://schemas.openxmlformats.org/officeDocument/2006/relationships/hyperlink" Target="../../../../../../../../../wiki/Ptz._coni." TargetMode="External"/><Relationship Id="rId694" Type="http://schemas.openxmlformats.org/officeDocument/2006/relationships/hyperlink" Target="../../../../../../../../../wiki/Ptz._coni." TargetMode="External"/><Relationship Id="rId695" Type="http://schemas.openxmlformats.org/officeDocument/2006/relationships/hyperlink" Target="../../../../../../../../../wiki/Ptz._coni." TargetMode="External"/><Relationship Id="rId696" Type="http://schemas.openxmlformats.org/officeDocument/2006/relationships/hyperlink" Target="../../../../../../../../../mediawiki/index.php%3Ftitle=Ptz.&amp;action=edit&amp;redlink=1" TargetMode="External"/><Relationship Id="rId697" Type="http://schemas.openxmlformats.org/officeDocument/2006/relationships/hyperlink" Target="../../../../../../../../../mediawiki/index.php%3Ftitle=Ptz.&amp;action=edit&amp;redlink=1" TargetMode="External"/><Relationship Id="rId698" Type="http://schemas.openxmlformats.org/officeDocument/2006/relationships/hyperlink" Target="../../../../../../../../../wiki/Ptz._coni." TargetMode="External"/><Relationship Id="rId699" Type="http://schemas.openxmlformats.org/officeDocument/2006/relationships/hyperlink" Target="../../../../../../../../../wiki/Ptz._coni." TargetMode="External"/><Relationship Id="rId700" Type="http://schemas.openxmlformats.org/officeDocument/2006/relationships/hyperlink" Target="../../../../../../../../../wiki/Ptz._coni." TargetMode="External"/><Relationship Id="rId701" Type="http://schemas.openxmlformats.org/officeDocument/2006/relationships/hyperlink" Target="../../../../../../../../../wiki/Ptz._coni." TargetMode="External"/><Relationship Id="rId702" Type="http://schemas.openxmlformats.org/officeDocument/2006/relationships/hyperlink" Target="../../../../../../../../../wiki/Ptz._coni." TargetMode="External"/><Relationship Id="rId703" Type="http://schemas.openxmlformats.org/officeDocument/2006/relationships/hyperlink" Target="../../../../../../../../../wiki/Ptz._coni." TargetMode="External"/><Relationship Id="rId704" Type="http://schemas.openxmlformats.org/officeDocument/2006/relationships/hyperlink" Target="../../../../../../../../../wiki/Ptz._coni." TargetMode="External"/><Relationship Id="rId705" Type="http://schemas.openxmlformats.org/officeDocument/2006/relationships/hyperlink" Target="../../../../../../../../../wiki/Ptz._coni." TargetMode="External"/><Relationship Id="rId706" Type="http://schemas.openxmlformats.org/officeDocument/2006/relationships/hyperlink" Target="../../../../../../../../../wiki/Ptz._coni." TargetMode="External"/><Relationship Id="rId707" Type="http://schemas.openxmlformats.org/officeDocument/2006/relationships/hyperlink" Target="../../../../../../../../../wiki/Ptz._coni." TargetMode="External"/><Relationship Id="rId708" Type="http://schemas.openxmlformats.org/officeDocument/2006/relationships/hyperlink" Target="../../../../../../../../../wiki/Ptz._coni." TargetMode="External"/><Relationship Id="rId709" Type="http://schemas.openxmlformats.org/officeDocument/2006/relationships/hyperlink" Target="../../../../../../../../../wiki/Ptz._coni." TargetMode="External"/><Relationship Id="rId710" Type="http://schemas.openxmlformats.org/officeDocument/2006/relationships/hyperlink" Target="../../../../../../../../../wiki/Ptz._coni." TargetMode="External"/><Relationship Id="rId711" Type="http://schemas.openxmlformats.org/officeDocument/2006/relationships/hyperlink" Target="../../../../../../../../../wiki/Ptz._coni." TargetMode="External"/><Relationship Id="rId712" Type="http://schemas.openxmlformats.org/officeDocument/2006/relationships/hyperlink" Target="../../../../../../../../../mediawiki/index.php%3Ftitle=1_Thessalonicher_1&amp;action=edit&amp;redlink=1" TargetMode="External"/><Relationship Id="rId713" Type="http://schemas.openxmlformats.org/officeDocument/2006/relationships/hyperlink" Target="../../../../../../../../../mediawiki/index.php%3Ftitle=2_Thessalonicher_1&amp;action=edit&amp;redlink=1" TargetMode="External"/><Relationship Id="rId714" Type="http://schemas.openxmlformats.org/officeDocument/2006/relationships/hyperlink" Target="../../../../../../../../../wiki/Generisches_Maskulinum" TargetMode="External"/><Relationship Id="rId715" Type="http://schemas.openxmlformats.org/officeDocument/2006/relationships/hyperlink" Target="../../../../../../../../../mediawiki/index.php%3Ftitle=Kolosser_4&amp;action=edit&amp;redlink=1" TargetMode="External"/><Relationship Id="rId716" Type="http://schemas.openxmlformats.org/officeDocument/2006/relationships/hyperlink" Target="../../../../../../../../../mediawiki/index.php%3Ftitle=Epheser_4&amp;action=edit&amp;redlink=1" TargetMode="External"/><Relationship Id="rId717" Type="http://schemas.openxmlformats.org/officeDocument/2006/relationships/hyperlink" Target="../../../../../../../../../mediawiki/index.php%3Ftitle=Ptz.coni.&amp;action=edit&amp;redlink=1" TargetMode="External"/><Relationship Id="rId718" Type="http://schemas.openxmlformats.org/officeDocument/2006/relationships/hyperlink" Target="../../../../../../../../../mediawiki/index.php%3Ftitle=BDR&amp;action=edit&amp;redlink=1" TargetMode="External"/><Relationship Id="rId719" Type="http://schemas.openxmlformats.org/officeDocument/2006/relationships/hyperlink" Target="../../../../../../../../../mediawiki/index.php%3Ftitle=Ptz.coni.&amp;action=edit&amp;redlink=1" TargetMode="External"/><Relationship Id="rId720" Type="http://schemas.openxmlformats.org/officeDocument/2006/relationships/hyperlink" Target="../../../../../../../../../mediawiki/index.php%3Ftitle=Ptz.coni.&amp;action=edit&amp;redlink=1" TargetMode="External"/><Relationship Id="rId721" Type="http://schemas.openxmlformats.org/officeDocument/2006/relationships/hyperlink" Target="../../../../../../../../../mediawiki/index.php%3Ftitle=Ptz.coni.&amp;action=edit&amp;redlink=1" TargetMode="External"/><Relationship Id="rId722" Type="http://schemas.openxmlformats.org/officeDocument/2006/relationships/hyperlink" Target="../../../../../../../../../mediawiki/index.php%3Ftitle=Ptz.coni.&amp;action=edit&amp;redlink=1" TargetMode="External"/><Relationship Id="rId723" Type="http://schemas.openxmlformats.org/officeDocument/2006/relationships/hyperlink" Target="../../../../../../../../../mediawiki/index.php%3Ftitle=Kol_1,16&amp;action=edit&amp;redlink=1" TargetMode="External"/><Relationship Id="rId724" Type="http://schemas.openxmlformats.org/officeDocument/2006/relationships/hyperlink" Target="../../../../../../../../../mediawiki/index.php%3Ftitle=Ptz.coni.&amp;action=edit&amp;redlink=1" TargetMode="External"/><Relationship Id="rId725" Type="http://schemas.openxmlformats.org/officeDocument/2006/relationships/hyperlink" Target="../../../../../../../../../mediawiki/index.php%3Ftitle=Ptz.coni.&amp;action=edit&amp;redlink=1" TargetMode="External"/><Relationship Id="rId726" Type="http://schemas.openxmlformats.org/officeDocument/2006/relationships/hyperlink" Target="../../../../../../../../../mediawiki/index.php%3Ftitle=Phm_19&amp;action=edit&amp;redlink=1" TargetMode="External"/><Relationship Id="rId727" Type="http://schemas.openxmlformats.org/officeDocument/2006/relationships/hyperlink" Target="../../../../../../../../../mediawiki/index.php%3Ftitle=Ptz.coni.&amp;action=edit&amp;redlink=1" TargetMode="External"/><Relationship Id="rId728" Type="http://schemas.openxmlformats.org/officeDocument/2006/relationships/hyperlink" Target="../../../../../../../../../mediawiki/index.php%3Ftitle=Ptz.coni.&amp;action=edit&amp;redlink=1" TargetMode="External"/><Relationship Id="rId729" Type="http://schemas.openxmlformats.org/officeDocument/2006/relationships/hyperlink" Target="../../../../../../../../../mediawiki/index.php%3Ftitle=Ptz.coni.&amp;action=edit&amp;redlink=1" TargetMode="External"/><Relationship Id="rId730" Type="http://schemas.openxmlformats.org/officeDocument/2006/relationships/hyperlink" Target="../../../../../../../../../wiki/Ptz._coni." TargetMode="External"/><Relationship Id="rId731" Type="http://schemas.openxmlformats.org/officeDocument/2006/relationships/hyperlink" Target="../../../../../../../../../wiki/Ptz._coni." TargetMode="External"/><Relationship Id="rId732" Type="http://schemas.openxmlformats.org/officeDocument/2006/relationships/hyperlink" Target="../../../../../../../../../mediawiki/index.php%3Ftitle=%E1%BD%8D%CF%84%CE%B9_citativum&amp;action=edit&amp;redlink=1" TargetMode="External"/><Relationship Id="rId733" Type="http://schemas.openxmlformats.org/officeDocument/2006/relationships/hyperlink" Target="../../../../../../../../../wiki/Ptz._coni." TargetMode="External"/><Relationship Id="rId734" Type="http://schemas.openxmlformats.org/officeDocument/2006/relationships/hyperlink" Target="../../../../../../../../../wiki/Gen._abs." TargetMode="External"/><Relationship Id="rId735" Type="http://schemas.openxmlformats.org/officeDocument/2006/relationships/hyperlink" Target="../../../../../../../../../mediawiki/index.php%3Ftitle=Psalm_147&amp;action=edit&amp;redlink=1" TargetMode="External"/><Relationship Id="rId736" Type="http://schemas.openxmlformats.org/officeDocument/2006/relationships/hyperlink" Target="../../../../../../../../../mediawiki/index.php%3Ftitle=Jeremia_31&amp;action=edit&amp;redlink=1" TargetMode="External"/><Relationship Id="rId737" Type="http://schemas.openxmlformats.org/officeDocument/2006/relationships/hyperlink" Target="../../../../../../../../../mediawiki/index.php%3Ftitle=Ezechiel_28&amp;action=edit&amp;redlink=1" TargetMode="External"/><Relationship Id="rId738" Type="http://schemas.openxmlformats.org/officeDocument/2006/relationships/hyperlink" Target="../../../../../../../../../mediawiki/index.php%3Ftitle=Nehemia_1&amp;action=edit&amp;redlink=1" TargetMode="External"/><Relationship Id="rId739" Type="http://schemas.openxmlformats.org/officeDocument/2006/relationships/hyperlink" Target="../../../../../../../../../wiki/Generisches_Maskulinum" TargetMode="External"/><Relationship Id="rId740" Type="http://schemas.openxmlformats.org/officeDocument/2006/relationships/hyperlink" Target="../../../../../../../../../mediawiki/index.php%3Ftitle=Sprichw%C3%B6rter_1&amp;action=edit&amp;redlink=1" TargetMode="External"/><Relationship Id="rId741" Type="http://schemas.openxmlformats.org/officeDocument/2006/relationships/hyperlink" Target="../../../../../../../../../mediawiki/index.php%3Ftitle=Jesus_Sirach_39,5&amp;action=edit&amp;redlink=1" TargetMode="External"/><Relationship Id="rId742" Type="http://schemas.openxmlformats.org/officeDocument/2006/relationships/hyperlink" Target="../../../../../../../../../mediawiki/index.php%3Ftitle=Weisheit_7&amp;action=edit&amp;redlink=1" TargetMode="External"/><Relationship Id="rId743" Type="http://schemas.openxmlformats.org/officeDocument/2006/relationships/hyperlink" Target="../../../../../../../../../mediawiki/index.php%3Ftitle=Weisheit_7&amp;action=edit&amp;redlink=1" TargetMode="External"/><Relationship Id="rId744" Type="http://schemas.openxmlformats.org/officeDocument/2006/relationships/hyperlink" Target="../../../../../../../../../mediawiki/index.php%3Ftitle=Weisheit_7&amp;action=edit&amp;redlink=1" TargetMode="External"/><Relationship Id="rId745" Type="http://schemas.openxmlformats.org/officeDocument/2006/relationships/hyperlink" Target="../../../../../../../../../mediawiki/index.php%3Ftitle=1Korinther_2&amp;action=edit&amp;redlink=1" TargetMode="External"/><Relationship Id="rId746" Type="http://schemas.openxmlformats.org/officeDocument/2006/relationships/hyperlink" Target="../../../../../../../../../mediawiki/index.php%3Ftitle=1Korinther_12&amp;action=edit&amp;redlink=1" TargetMode="External"/><Relationship Id="rId747" Type="http://schemas.openxmlformats.org/officeDocument/2006/relationships/hyperlink" Target="../../../../../../../../../mediawiki/index.php%3Ftitle=1Korinther_1&amp;action=edit&amp;redlink=1" TargetMode="External"/><Relationship Id="rId748" Type="http://schemas.openxmlformats.org/officeDocument/2006/relationships/hyperlink" Target="../../../../../../../../../mediawiki/index.php%3Ftitle=1Korinther_2&amp;action=edit&amp;redlink=1" TargetMode="External"/><Relationship Id="rId749" Type="http://schemas.openxmlformats.org/officeDocument/2006/relationships/hyperlink" Target="../../../../../../../../../mediawiki/index.php%3Ftitle=Weisheit_7&amp;action=edit&amp;redlink=1" TargetMode="External"/><Relationship Id="rId750" Type="http://schemas.openxmlformats.org/officeDocument/2006/relationships/hyperlink" Target="../../../../../../../../../mediawiki/index.php%3Ftitle=Weisheit_8&amp;action=edit&amp;redlink=1" TargetMode="External"/><Relationship Id="rId751" Type="http://schemas.openxmlformats.org/officeDocument/2006/relationships/hyperlink" Target="../../../../../../../../../mediawiki/index.php%3Ftitle=Weisheit_9&amp;action=edit&amp;redlink=1" TargetMode="External"/><Relationship Id="rId752" Type="http://schemas.openxmlformats.org/officeDocument/2006/relationships/hyperlink" Target="../../../../../../../../../mediawiki/index.php%3Ftitle=Weisheit_9&amp;action=edit&amp;redlink=1" TargetMode="External"/><Relationship Id="rId753" Type="http://schemas.openxmlformats.org/officeDocument/2006/relationships/hyperlink" Target="../../../../../../../../../mediawiki/index.php%3Ftitle=Weisheit_9&amp;action=edit&amp;redlink=1" TargetMode="External"/><Relationship Id="rId754" Type="http://schemas.openxmlformats.org/officeDocument/2006/relationships/hyperlink" Target="http://de.wikisource.org/wiki/Das_vierte_Buch_der_Makkab&#228;er" TargetMode="External"/><Relationship Id="rId755" Type="http://schemas.openxmlformats.org/officeDocument/2006/relationships/hyperlink" Target="http://de.wikisource.org/wiki/Das_vierte_Buch_der_Makkab&#228;er" TargetMode="External"/><Relationship Id="rId756" Type="http://schemas.openxmlformats.org/officeDocument/2006/relationships/hyperlink" Target="../../../../../../../../../wiki/Generisches_Maskulinum" TargetMode="External"/><Relationship Id="rId757" Type="http://schemas.openxmlformats.org/officeDocument/2006/relationships/hyperlink" Target="../../../../../../../../../wiki/Partizip" TargetMode="External"/><Relationship Id="rId758" Type="http://schemas.openxmlformats.org/officeDocument/2006/relationships/hyperlink" Target="../../../../../../../../../wiki/Partizip" TargetMode="External"/><Relationship Id="rId759" Type="http://schemas.openxmlformats.org/officeDocument/2006/relationships/hyperlink" Target="../../../../../../../../../wiki/Generisches_Maskulinum" TargetMode="External"/><Relationship Id="rId760" Type="http://schemas.openxmlformats.org/officeDocument/2006/relationships/hyperlink" Target="../../../../../../../../../mediawiki/index.php%3Ftitle=Sprichw%C3%B6rter_3&amp;action=edit&amp;redlink=1" TargetMode="External"/><Relationship Id="rId761" Type="http://schemas.openxmlformats.org/officeDocument/2006/relationships/hyperlink" Target="../../../../../../../../../wiki/Ptz._coni." TargetMode="External"/><Relationship Id="rId762" Type="http://schemas.openxmlformats.org/officeDocument/2006/relationships/hyperlink" Target="../../../../../../../../../wiki/Ptz._coni." TargetMode="External"/><Relationship Id="rId763" Type="http://schemas.openxmlformats.org/officeDocument/2006/relationships/hyperlink" Target="../../../../../../../../../wiki/Ptz._coni." TargetMode="External"/><Relationship Id="rId764" Type="http://schemas.openxmlformats.org/officeDocument/2006/relationships/hyperlink" Target="../../../../../../../../../wiki/Ptz._coni." TargetMode="External"/><Relationship Id="rId765" Type="http://schemas.openxmlformats.org/officeDocument/2006/relationships/hyperlink" Target="../../../../../../../../../wiki/Ptz._coni." TargetMode="External"/><Relationship Id="rId766" Type="http://schemas.openxmlformats.org/officeDocument/2006/relationships/hyperlink" Target="../../../../../../../../../wiki/Ptz._coni." TargetMode="External"/><Relationship Id="rId767" Type="http://schemas.openxmlformats.org/officeDocument/2006/relationships/hyperlink" Target="../../../../../../../../../wiki/Ptz._coni." TargetMode="External"/><Relationship Id="rId768" Type="http://schemas.openxmlformats.org/officeDocument/2006/relationships/hyperlink" Target="../../../../../../../../../wiki/Ptz._coni." TargetMode="External"/><Relationship Id="rId769" Type="http://schemas.openxmlformats.org/officeDocument/2006/relationships/hyperlink" Target="../../../../../../../../../wiki/Ptz._coni." TargetMode="External"/><Relationship Id="rId770" Type="http://schemas.openxmlformats.org/officeDocument/2006/relationships/hyperlink" Target="../../../../../../../../../wiki/Ptz._coni." TargetMode="External"/><Relationship Id="rId771" Type="http://schemas.openxmlformats.org/officeDocument/2006/relationships/hyperlink" Target="../../../../../../../../../wiki/Gen._abs." TargetMode="External"/><Relationship Id="rId772" Type="http://schemas.openxmlformats.org/officeDocument/2006/relationships/hyperlink" Target="../../../../../../../../../wiki/Ptz._coni." TargetMode="External"/><Relationship Id="rId773" Type="http://schemas.openxmlformats.org/officeDocument/2006/relationships/hyperlink" Target="../../../../../../../../../wiki/Ptz._coni." TargetMode="External"/><Relationship Id="rId774" Type="http://schemas.openxmlformats.org/officeDocument/2006/relationships/hyperlink" Target="../../../../../../../../../wiki/Ptz._coni." TargetMode="External"/><Relationship Id="rId775" Type="http://schemas.openxmlformats.org/officeDocument/2006/relationships/hyperlink" Target="../../../../../../../../../wiki/Ptz._coni." TargetMode="External"/><Relationship Id="rId776" Type="http://schemas.openxmlformats.org/officeDocument/2006/relationships/hyperlink" Target="../../../../../../../../../wiki/Ptz._coni." TargetMode="External"/><Relationship Id="rId777" Type="http://schemas.openxmlformats.org/officeDocument/2006/relationships/hyperlink" Target="../../../../../../../../../wiki/Ptz._coni." TargetMode="External"/><Relationship Id="rId778" Type="http://schemas.openxmlformats.org/officeDocument/2006/relationships/hyperlink" Target="../../../../../../../../../wiki/Ptz._coni." TargetMode="External"/><Relationship Id="rId779" Type="http://schemas.openxmlformats.org/officeDocument/2006/relationships/hyperlink" Target="../../../../../../../../../wiki/Ptz._coni." TargetMode="External"/><Relationship Id="rId780" Type="http://schemas.openxmlformats.org/officeDocument/2006/relationships/hyperlink" Target="../../../../../../../../../wiki/Ptz._coni." TargetMode="External"/><Relationship Id="rId781" Type="http://schemas.openxmlformats.org/officeDocument/2006/relationships/hyperlink" Target="../../../../../../../../../wiki/Ptz._coni." TargetMode="External"/><Relationship Id="rId782" Type="http://schemas.openxmlformats.org/officeDocument/2006/relationships/hyperlink" Target="../../../../../../../../../wiki/Hapax_legomenon" TargetMode="External"/><Relationship Id="rId783" Type="http://schemas.openxmlformats.org/officeDocument/2006/relationships/hyperlink" Target="../../../../../../../../../wiki/Partizip" TargetMode="External"/><Relationship Id="rId784" Type="http://schemas.openxmlformats.org/officeDocument/2006/relationships/hyperlink" Target="../../../../../../../../../wiki/Partizip" TargetMode="External"/><Relationship Id="rId785" Type="http://schemas.openxmlformats.org/officeDocument/2006/relationships/hyperlink" Target="../../../../../../../../../wiki/Griechische_Verbformen" TargetMode="External"/><Relationship Id="rId786" Type="http://schemas.openxmlformats.org/officeDocument/2006/relationships/hyperlink" Target="../../../../../../../../../wiki/Partizip" TargetMode="External"/><Relationship Id="rId787" Type="http://schemas.openxmlformats.org/officeDocument/2006/relationships/hyperlink" Target="../../../../../../../../../wiki/Griechische_Verbformen" TargetMode="External"/><Relationship Id="rId788" Type="http://schemas.openxmlformats.org/officeDocument/2006/relationships/hyperlink" Target="../../../../../../../../../wiki/Partizip" TargetMode="External"/><Relationship Id="rId789" Type="http://schemas.openxmlformats.org/officeDocument/2006/relationships/hyperlink" Target="../../../../../../../../../wiki/Partizip" TargetMode="External"/><Relationship Id="rId790" Type="http://schemas.openxmlformats.org/officeDocument/2006/relationships/hyperlink" Target="../../../../../../../../../wiki/Partizip" TargetMode="External"/><Relationship Id="rId791" Type="http://schemas.openxmlformats.org/officeDocument/2006/relationships/hyperlink" Target="../../../../../../../../../wiki/Partizip" TargetMode="External"/><Relationship Id="rId792" Type="http://schemas.openxmlformats.org/officeDocument/2006/relationships/hyperlink" Target="../../../../../../../../../wiki/Partizip" TargetMode="External"/><Relationship Id="rId793" Type="http://schemas.openxmlformats.org/officeDocument/2006/relationships/hyperlink" Target="../../../../../../../../../mediawiki/index.php%3Ftitle=Die_griechischen_Kasus&amp;action=edit&amp;redlink=1" TargetMode="External"/><Relationship Id="rId794" Type="http://schemas.openxmlformats.org/officeDocument/2006/relationships/hyperlink" Target="../../../../../../../../../wiki/Partizip" TargetMode="External"/><Relationship Id="rId795" Type="http://schemas.openxmlformats.org/officeDocument/2006/relationships/hyperlink" Target="../../../../../../../../../wiki/Partizip" TargetMode="External"/><Relationship Id="rId796" Type="http://schemas.openxmlformats.org/officeDocument/2006/relationships/hyperlink" Target="../../../../../../../../../mediawiki/index.php%3Ftitle=Die_griechischen_Kasus&amp;action=edit&amp;redlink=1" TargetMode="External"/><Relationship Id="rId797" Type="http://schemas.openxmlformats.org/officeDocument/2006/relationships/hyperlink" Target="../../../../../../../../../wiki/Partizip" TargetMode="External"/><Relationship Id="rId798" Type="http://schemas.openxmlformats.org/officeDocument/2006/relationships/hyperlink" Target="../../../../../../../../../wiki/Partizip" TargetMode="External"/><Relationship Id="rId799" Type="http://schemas.openxmlformats.org/officeDocument/2006/relationships/hyperlink" Target="../../../../../../../../../mediawiki/index.php%3Ftitle=Die_griechischen_Kasus&amp;action=edit&amp;redlink=1" TargetMode="External"/><Relationship Id="rId800" Type="http://schemas.openxmlformats.org/officeDocument/2006/relationships/hyperlink" Target="../../../../../../../../../wiki/Partizip" TargetMode="External"/><Relationship Id="rId801" Type="http://schemas.openxmlformats.org/officeDocument/2006/relationships/hyperlink" Target="../../../../../../../../../mediawiki/index.php%3Ftitle=Ptc._Coni.&amp;action=edit&amp;redlink=1" TargetMode="External"/><Relationship Id="rId802" Type="http://schemas.openxmlformats.org/officeDocument/2006/relationships/hyperlink" Target="../../../../../../../../../wiki/Partizip" TargetMode="External"/><Relationship Id="rId803" Type="http://schemas.openxmlformats.org/officeDocument/2006/relationships/hyperlink" Target="../../../../../../../../../wiki/Partizip" TargetMode="External"/><Relationship Id="rId804" Type="http://schemas.openxmlformats.org/officeDocument/2006/relationships/hyperlink" Target="../../../../../../../../../wiki/Partizip" TargetMode="External"/><Relationship Id="rId805" Type="http://schemas.openxmlformats.org/officeDocument/2006/relationships/hyperlink" Target="../../../../../../../../../wiki/Partizip" TargetMode="External"/><Relationship Id="rId806" Type="http://schemas.openxmlformats.org/officeDocument/2006/relationships/hyperlink" Target="../../../../../../../../../wiki/Partizip" TargetMode="External"/><Relationship Id="rId807" Type="http://schemas.openxmlformats.org/officeDocument/2006/relationships/hyperlink" Target="../../../../../../../../../mediawiki/index.php%3Ftitle=Die_griechischen_Kasus&amp;action=edit&amp;redlink=1" TargetMode="External"/><Relationship Id="rId808" Type="http://schemas.openxmlformats.org/officeDocument/2006/relationships/hyperlink" Target="../../../../../../../../../mediawiki/index.php%3Ftitle=Die_griechischen_Kasus&amp;action=edit&amp;redlink=1" TargetMode="External"/><Relationship Id="rId809" Type="http://schemas.openxmlformats.org/officeDocument/2006/relationships/hyperlink" Target="../../../../../../../../../mediawiki/index.php%3Ftitle=Ptz.&amp;action=edit&amp;redlink=1" TargetMode="External"/>
</Relationships>
</file>

<file path=docProps/app.xml><?xml version="1.0" encoding="utf-8"?>
<Properties xmlns="http://schemas.openxmlformats.org/officeDocument/2006/extended-properties" xmlns:vt="http://schemas.openxmlformats.org/officeDocument/2006/docPropsVTypes">
  <Template/>
  <TotalTime>0</TotalTime>
  <Application>LibreOffice/6.0.7.3$Windows_X86_64 LibreOffice_project/dc89aa7a9eabfd848af146d5086077aeed2ae4a5</Application>
  <Pages>78</Pages>
  <Words>402126</Words>
  <Characters>2579040</Characters>
  <CharactersWithSpaces>2986566</CharactersWithSpaces>
  <Paragraphs>5718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