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[2018-12-15]</w:t>
        <w:br/>
        <w:t xml:space="preserve">Lizenz: Copyright (C) 2009-2018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br/>
        <w:t>[[@BibleTOBIBLE:Ru 1:1]]</w:t>
      </w:r>
      <w:r>
        <w:rPr>
          <w:b/>
        </w:rPr>
        <w:t>1</w:t>
      </w:r>
      <w:r>
        <w:rPr/>
        <w:t xml:space="preserve"> {{field-on:bible}} </w:t>
      </w:r>
      <w:r>
        <w:rPr>
          <w:rStyle w:val="Funotenanker"/>
        </w:rPr>
        <w:footnoteReference w:customMarkFollows="1" w:id="151"/>
        <w:t>Status</w:t>
      </w:r>
      <w:r>
        <w:rPr/>
        <w:t xml:space="preserve"> Zur Zeit </w:t>
      </w:r>
      <w:r>
        <w:rPr>
          <w:color w:val="808080"/>
        </w:rPr>
        <w:t>(in den Tagen)</w:t>
      </w:r>
      <w:r>
        <w:rPr/>
        <w:t xml:space="preserve"> des Richtens der Richter</w:t>
      </w:r>
      <w:r>
        <w:rPr>
          <w:rStyle w:val="Funotenanker"/>
        </w:rPr>
        <w:footnoteReference w:customMarkFollows="1" w:id="152"/>
        <w:t>a</w:t>
      </w:r>
      <w:r>
        <w:rPr/>
        <w:t xml:space="preserve"> war </w:t>
      </w:r>
      <w:r>
        <w:rPr>
          <w:color w:val="808080"/>
        </w:rPr>
        <w:t>(herrschte)</w:t>
      </w:r>
      <w:r>
        <w:rPr/>
        <w:t xml:space="preserve"> eine Hungersnot im Land</w:t>
      </w:r>
      <w:r>
        <w:rPr>
          <w:rStyle w:val="Funotenanker"/>
        </w:rPr>
        <w:footnoteReference w:customMarkFollows="1" w:id="153"/>
        <w:t>b</w:t>
      </w:r>
      <w:r>
        <w:rPr/>
        <w:t xml:space="preserve"> </w:t>
      </w:r>
      <w:r>
        <w:rPr>
          <w:color w:val="808080"/>
        </w:rPr>
        <w:t>(kam eine Hungersnot über das Land)</w:t>
      </w:r>
      <w:r>
        <w:rPr/>
        <w:t>. Da verließ</w:t>
      </w:r>
      <w:r>
        <w:rPr>
          <w:rStyle w:val="Funotenanker"/>
        </w:rPr>
        <w:footnoteReference w:customMarkFollows="1" w:id="154"/>
        <w:t>c</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55"/>
        <w:t>d</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56"/>
        <w:t>e</w:t>
      </w:r>
      <w:r>
        <w:rPr/>
        <w:t xml:space="preserve"> Moab</w:t>
      </w:r>
      <w:r>
        <w:rPr>
          <w:rStyle w:val="Funotenanker"/>
        </w:rPr>
        <w:footnoteReference w:customMarkFollows="1" w:id="157"/>
        <w:t>f</w:t>
      </w:r>
      <w:r>
        <w:rPr/>
        <w:t xml:space="preserve"> niederzulassen</w:t>
      </w:r>
      <w:r>
        <w:rPr>
          <w:rStyle w:val="Funotenanker"/>
        </w:rPr>
        <w:footnoteReference w:customMarkFollows="1" w:id="158"/>
        <w:t>g</w:t>
      </w:r>
      <w:r>
        <w:rPr/>
        <w:t xml:space="preserve"> - er, seine Frau und seine beiden Söhne</w:t>
      </w:r>
      <w:r>
        <w:rPr>
          <w:rStyle w:val="Funotenanker"/>
        </w:rPr>
        <w:footnoteReference w:customMarkFollows="1" w:id="159"/>
        <w:t>h</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0"/>
        <w:t>i</w:t>
      </w:r>
      <w:r>
        <w:rPr/>
        <w:t xml:space="preserve"> Machlon </w:t>
      </w:r>
      <w:r>
        <w:rPr>
          <w:color w:val="808080"/>
        </w:rPr>
        <w:t>(krank?)</w:t>
      </w:r>
      <w:r>
        <w:rPr/>
        <w:t xml:space="preserve"> </w:t>
      </w:r>
      <w:r>
        <w:rPr>
          <w:rStyle w:val="Funotenanker"/>
        </w:rPr>
        <w:footnoteReference w:customMarkFollows="1" w:id="161"/>
        <w:t>j</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2"/>
        <w:t>k</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3"/>
        <w:t>l</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4"/>
        <w:t>m</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65"/>
        <w:t>n</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66"/>
        <w:t>o</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67"/>
        <w:t>p</w:t>
      </w:r>
      <w:r>
        <w:rPr/>
        <w:t xml:space="preserve"> - sie und ihre Schwiegertöchter</w:t>
      </w:r>
      <w:r>
        <w:rPr>
          <w:rStyle w:val="Funotenanker"/>
        </w:rPr>
        <w:footnoteReference w:customMarkFollows="1" w:id="168"/>
        <w:t>q</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69"/>
        <w:t>r</w:t>
      </w:r>
      <w:r>
        <w:rPr/>
        <w:t xml:space="preserve">, dass </w:t>
      </w:r>
      <w:r>
        <w:rPr>
          <w:smallCaps/>
          <w:color w:val="FF0000"/>
        </w:rPr>
        <w:t>JHWH</w:t>
      </w:r>
      <w:r>
        <w:rPr/>
        <w:t xml:space="preserve"> sein Volk besucht hatte</w:t>
      </w:r>
      <w:r>
        <w:rPr>
          <w:rStyle w:val="Funotenanker"/>
        </w:rPr>
        <w:footnoteReference w:customMarkFollows="1" w:id="170"/>
        <w:t>s</w:t>
      </w:r>
      <w:r>
        <w:rPr/>
        <w:t>, indem er ihm Brot</w:t>
      </w:r>
      <w:r>
        <w:rPr>
          <w:rStyle w:val="Funotenanker"/>
        </w:rPr>
        <w:footnoteReference w:customMarkFollows="1" w:id="171"/>
        <w:t>t</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2"/>
        <w:t>u</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3"/>
        <w:t>v</w:t>
      </w:r>
      <w:r>
        <w:rPr/>
        <w:t>, jede in das Haus ihrer</w:t>
      </w:r>
      <w:r>
        <w:rPr>
          <w:rStyle w:val="Funotenanker"/>
        </w:rPr>
        <w:footnoteReference w:customMarkFollows="1" w:id="174"/>
        <w:t>w</w:t>
      </w:r>
      <w:r>
        <w:rPr/>
        <w:t xml:space="preserve"> Mutter</w:t>
      </w:r>
      <w:r>
        <w:rPr>
          <w:rStyle w:val="Funotenanker"/>
        </w:rPr>
        <w:footnoteReference w:customMarkFollows="1" w:id="175"/>
        <w:t>x</w:t>
      </w:r>
      <w:r>
        <w:rPr/>
        <w:t>!</w:t>
      </w:r>
      <w:r>
        <w:rPr>
          <w:rStyle w:val="Funotenanker"/>
        </w:rPr>
        <w:footnoteReference w:customMarkFollows="1" w:id="176"/>
        <w:t>y</w:t>
      </w:r>
      <w:r>
        <w:rPr/>
        <w:t xml:space="preserve"> </w:t>
      </w:r>
      <w:r>
        <w:rPr>
          <w:smallCaps/>
          <w:color w:val="FF0000"/>
        </w:rPr>
        <w:t>JHWH</w:t>
      </w:r>
      <w:r>
        <w:rPr/>
        <w:t xml:space="preserve"> erweise euch Güte</w:t>
      </w:r>
      <w:r>
        <w:rPr>
          <w:rStyle w:val="Funotenanker"/>
        </w:rPr>
        <w:footnoteReference w:customMarkFollows="1" w:id="177"/>
        <w:t>z</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78"/>
        <w:t>aa</w:t>
      </w:r>
      <w:r>
        <w:rPr/>
        <w:t xml:space="preserve"> findet</w:t>
      </w:r>
      <w:r>
        <w:rPr>
          <w:rStyle w:val="Funotenanker"/>
        </w:rPr>
        <w:footnoteReference w:customMarkFollows="1" w:id="179"/>
        <w:t>ab</w:t>
      </w:r>
      <w:r>
        <w:rPr/>
        <w:t xml:space="preserve"> - jede im Haus ihres Mannes</w:t>
      </w:r>
      <w:r>
        <w:rPr>
          <w:rStyle w:val="Funotenanker"/>
        </w:rPr>
        <w:footnoteReference w:customMarkFollows="1" w:id="180"/>
        <w:t>ac</w:t>
      </w:r>
      <w:r>
        <w:rPr/>
        <w:t>!“ - und sie küsste sie. Da erhoben sie ihre Stimmen, weinten</w:t>
      </w:r>
      <w:r>
        <w:rPr>
          <w:rStyle w:val="Funotenanker"/>
        </w:rPr>
        <w:footnoteReference w:customMarkFollows="1" w:id="181"/>
        <w:t>ad</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2"/>
        <w:t>ae</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3"/>
        <w:t>af</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4"/>
        <w:t>ag</w:t>
      </w:r>
      <w:r>
        <w:rPr/>
        <w:t xml:space="preserve"> </w:t>
      </w:r>
      <w:r>
        <w:rPr>
          <w:b/>
          <w:color w:val="808080"/>
        </w:rPr>
        <w:t>[</w:t>
      </w:r>
      <w:r>
        <w:rPr/>
        <w:t>selbst, wenn</w:t>
      </w:r>
      <w:r>
        <w:rPr>
          <w:b/>
          <w:color w:val="808080"/>
        </w:rPr>
        <w:t>]</w:t>
      </w:r>
      <w:r>
        <w:rPr/>
        <w:t xml:space="preserve"> </w:t>
      </w:r>
      <w:r>
        <w:rPr>
          <w:rStyle w:val="Funotenanker"/>
        </w:rPr>
        <w:footnoteReference w:customMarkFollows="1" w:id="185"/>
        <w:t>ah</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86"/>
        <w:t>ai</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87"/>
        <w:t>aj</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88"/>
        <w:t>ak</w:t>
      </w:r>
      <w:r>
        <w:rPr/>
        <w:t xml:space="preserve"> Nein, meine Töchter! Ach, mir ist es um euretwillen sehr bitter, dass</w:t>
      </w:r>
      <w:r>
        <w:rPr>
          <w:rStyle w:val="Funotenanker"/>
        </w:rPr>
        <w:footnoteReference w:customMarkFollows="1" w:id="189"/>
        <w:t>al</w:t>
      </w:r>
      <w:r>
        <w:rPr/>
        <w:t xml:space="preserve"> die Hand </w:t>
      </w:r>
      <w:r>
        <w:rPr>
          <w:smallCaps/>
          <w:color w:val="FF0000"/>
        </w:rPr>
        <w:t>JHWH</w:t>
      </w:r>
      <w:r>
        <w:rPr/>
        <w:t>s gegen mich ging</w:t>
      </w:r>
      <w:r>
        <w:rPr>
          <w:rStyle w:val="Funotenanker"/>
        </w:rPr>
        <w:footnoteReference w:customMarkFollows="1" w:id="190"/>
        <w:t>am</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1"/>
        <w:t>an</w:t>
      </w:r>
      <w:r>
        <w:rPr/>
        <w:t xml:space="preserve">.Dann küsste Orpa ihre Schwiegermutter und </w:t>
      </w:r>
      <w:r>
        <w:rPr>
          <w:color w:val="808080"/>
        </w:rPr>
        <w:t>(aber)</w:t>
      </w:r>
      <w:r>
        <w:rPr/>
        <w:t xml:space="preserve"> Rut hängte sich an sie.</w:t>
      </w:r>
      <w:r>
        <w:rPr>
          <w:rStyle w:val="Funotenanker"/>
        </w:rPr>
        <w:footnoteReference w:customMarkFollows="1" w:id="192"/>
        <w:t>ao</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3"/>
        <w:t>ap</w:t>
      </w:r>
      <w:r>
        <w:rPr/>
        <w:t xml:space="preserve">, deine Schwägerin kehrt zu ihrem Volk und ihrem Gott </w:t>
      </w:r>
      <w:r>
        <w:rPr>
          <w:color w:val="808080"/>
        </w:rPr>
        <w:t>(ihren Göttern)</w:t>
      </w:r>
      <w:r>
        <w:rPr/>
        <w:t xml:space="preserve"> zurück</w:t>
      </w:r>
      <w:r>
        <w:rPr>
          <w:rStyle w:val="Funotenanker"/>
        </w:rPr>
        <w:footnoteReference w:customMarkFollows="1" w:id="194"/>
        <w:t>aq</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195"/>
        <w:t>ar</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196"/>
        <w:t>as</w:t>
      </w:r>
      <w:r>
        <w:rPr/>
        <w:t xml:space="preserve"> der Tod uns scheiden wird.</w:t>
      </w:r>
      <w:r>
        <w:rPr>
          <w:rStyle w:val="Funotenanker"/>
        </w:rPr>
        <w:footnoteReference w:customMarkFollows="1" w:id="197"/>
        <w:t>at</w:t>
      </w:r>
      <w:r>
        <w:rPr/>
        <w:t xml:space="preserve">«{{field-off:bible}} </w:t>
        <w:br/>
        <w:t>[[@BibleTOBIBLE:Ru 1:18]]</w:t>
      </w:r>
      <w:r>
        <w:rPr>
          <w:b/>
        </w:rPr>
        <w:t>18</w:t>
      </w:r>
      <w:r>
        <w:rPr/>
        <w:t xml:space="preserve"> {{field-on:bible}}Da sah sie, wie entschlossen</w:t>
      </w:r>
      <w:r>
        <w:rPr>
          <w:rStyle w:val="Funotenanker"/>
        </w:rPr>
        <w:footnoteReference w:customMarkFollows="1" w:id="198"/>
        <w:t>au</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199"/>
        <w:t>av</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0"/>
        <w:t>aw</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1"/>
        <w:t>ax</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2"/>
        <w:t>ay</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3"/>
        <w:t>az</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4"/>
        <w:t>ba</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05"/>
        <w:t>bb</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06"/>
        <w:t>bc</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07"/>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08"/>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09"/>
        <w:t>Status</w:t>
      </w:r>
      <w:r>
        <w:rPr/>
        <w:t xml:space="preserve"> Noomi hatte einen Verwandten </w:t>
      </w:r>
      <w:r>
        <w:rPr>
          <w:color w:val="808080"/>
        </w:rPr>
        <w:t>(Bekannten)</w:t>
      </w:r>
      <w:r>
        <w:rPr/>
        <w:t xml:space="preserve"> </w:t>
      </w:r>
      <w:r>
        <w:rPr>
          <w:rStyle w:val="Funotenanker"/>
        </w:rPr>
        <w:footnoteReference w:customMarkFollows="1" w:id="210"/>
        <w:t>c</w:t>
      </w:r>
      <w:r>
        <w:rPr/>
        <w:t xml:space="preserve"> ihres Mannes; einen mächtigen, fähigen Mann</w:t>
      </w:r>
      <w:r>
        <w:rPr>
          <w:rStyle w:val="Funotenanker"/>
        </w:rPr>
        <w:footnoteReference w:customMarkFollows="1" w:id="211"/>
        <w:t>d</w:t>
      </w:r>
      <w:r>
        <w:rPr/>
        <w:t xml:space="preserve"> aus der Sippe Elimelechs</w:t>
      </w:r>
      <w:r>
        <w:rPr>
          <w:rStyle w:val="Funotenanker"/>
        </w:rPr>
        <w:footnoteReference w:customMarkFollows="1" w:id="212"/>
        <w:t>e</w:t>
      </w:r>
      <w:r>
        <w:rPr/>
        <w:t xml:space="preserve">. Sein Name war: Boas </w:t>
      </w:r>
      <w:r>
        <w:rPr>
          <w:color w:val="808080"/>
        </w:rPr>
        <w:t>(in ihm ist Kraft, der Scharfsinnige)</w:t>
      </w:r>
      <w:r>
        <w:rPr/>
        <w:t xml:space="preserve"> </w:t>
      </w:r>
      <w:r>
        <w:rPr>
          <w:rStyle w:val="Funotenanker"/>
        </w:rPr>
        <w:footnoteReference w:customMarkFollows="1" w:id="213"/>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4"/>
        <w:t>g</w:t>
      </w:r>
      <w:r>
        <w:rPr/>
        <w:t xml:space="preserve"> gehen</w:t>
      </w:r>
      <w:r>
        <w:rPr>
          <w:rStyle w:val="Funotenanker"/>
        </w:rPr>
        <w:footnoteReference w:customMarkFollows="1" w:id="215"/>
        <w:t>h</w:t>
      </w:r>
      <w:r>
        <w:rPr/>
        <w:t xml:space="preserve"> und an den Ähren mitlesen</w:t>
      </w:r>
      <w:r>
        <w:rPr>
          <w:rStyle w:val="Funotenanker"/>
        </w:rPr>
        <w:footnoteReference w:customMarkFollows="1" w:id="216"/>
        <w:t>i</w:t>
      </w:r>
      <w:r>
        <w:rPr/>
        <w:t xml:space="preserve"> hinter dem, in dessen Augen ich Gefallen finde</w:t>
      </w:r>
      <w:r>
        <w:rPr>
          <w:rStyle w:val="Funotenanker"/>
        </w:rPr>
        <w:footnoteReference w:customMarkFollows="1" w:id="217"/>
        <w:t>j</w:t>
      </w:r>
      <w:r>
        <w:rPr/>
        <w:t>.“ Sie sagte zu ihr: „Geh, meine Tochter!“</w:t>
      </w:r>
      <w:r>
        <w:rPr>
          <w:rStyle w:val="Funotenanker"/>
        </w:rPr>
        <w:footnoteReference w:customMarkFollows="1" w:id="218"/>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19"/>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0"/>
        <w:t>m</w:t>
      </w:r>
      <w:r>
        <w:rPr/>
        <w:t xml:space="preserve"> Zufällig geriet sie</w:t>
      </w:r>
      <w:r>
        <w:rPr>
          <w:rStyle w:val="Funotenanker"/>
        </w:rPr>
        <w:footnoteReference w:customMarkFollows="1" w:id="221"/>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2"/>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3"/>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4"/>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25"/>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26"/>
        <w:t>s</w:t>
      </w:r>
      <w:r>
        <w:rPr/>
        <w:t>.</w:t>
      </w:r>
      <w:r>
        <w:rPr>
          <w:rStyle w:val="Funotenanker"/>
        </w:rPr>
        <w:footnoteReference w:customMarkFollows="1" w:id="227"/>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28"/>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29"/>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0"/>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1"/>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2"/>
        <w:t>y</w:t>
      </w:r>
      <w:r>
        <w:rPr/>
        <w:t xml:space="preserve">. Gehe hinter ihnen </w:t>
      </w:r>
      <w:r>
        <w:rPr>
          <w:color w:val="808080"/>
        </w:rPr>
        <w:t>(zusammen mit ihnen)</w:t>
      </w:r>
      <w:r>
        <w:rPr/>
        <w:t xml:space="preserve"> </w:t>
      </w:r>
      <w:r>
        <w:rPr>
          <w:rStyle w:val="Funotenanker"/>
        </w:rPr>
        <w:footnoteReference w:customMarkFollows="1" w:id="233"/>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4"/>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35"/>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36"/>
        <w:t>ac</w:t>
      </w:r>
      <w:r>
        <w:rPr/>
        <w:t xml:space="preserve"> ihr: „Berichtet </w:t>
      </w:r>
      <w:r>
        <w:rPr>
          <w:strike/>
          <w:color w:val="808080"/>
        </w:rPr>
        <w:t>{berichtet}</w:t>
      </w:r>
      <w:r>
        <w:rPr/>
        <w:t xml:space="preserve"> </w:t>
      </w:r>
      <w:r>
        <w:rPr>
          <w:rStyle w:val="Funotenanker"/>
        </w:rPr>
        <w:footnoteReference w:customMarkFollows="1" w:id="237"/>
        <w:t>ad</w:t>
      </w:r>
      <w:r>
        <w:rPr/>
        <w:t xml:space="preserve"> wurde mir alles, was du für deine Schwiegermutter nach dem Tod deines Mannes getan hast</w:t>
      </w:r>
      <w:r>
        <w:rPr>
          <w:rStyle w:val="Funotenanker"/>
        </w:rPr>
        <w:footnoteReference w:customMarkFollows="1" w:id="238"/>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39"/>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0"/>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1"/>
        <w:t>ah</w:t>
      </w:r>
      <w:r>
        <w:rPr/>
        <w:t>, mein Herr</w:t>
      </w:r>
      <w:r>
        <w:rPr>
          <w:rStyle w:val="Funotenanker"/>
        </w:rPr>
        <w:footnoteReference w:customMarkFollows="1" w:id="242"/>
        <w:t>ai</w:t>
      </w:r>
      <w:r>
        <w:rPr/>
        <w:t>, weil du mich getröstet und weil du zum Herzen deiner Magd gesprochen hast</w:t>
      </w:r>
      <w:r>
        <w:rPr>
          <w:rStyle w:val="Funotenanker"/>
        </w:rPr>
        <w:footnoteReference w:customMarkFollows="1" w:id="243"/>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4"/>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45"/>
        <w:t>al</w:t>
      </w:r>
      <w:r>
        <w:rPr/>
        <w:t xml:space="preserve"> </w:t>
      </w:r>
      <w:r>
        <w:rPr>
          <w:color w:val="808080"/>
        </w:rPr>
        <w:t>)</w:t>
      </w:r>
      <w:r>
        <w:rPr/>
        <w:t>! Iss von dem Brot und tunke deinen Brocken in den Essig</w:t>
      </w:r>
      <w:r>
        <w:rPr>
          <w:rStyle w:val="Funotenanker"/>
        </w:rPr>
        <w:footnoteReference w:customMarkFollows="1" w:id="246"/>
        <w:t>am</w:t>
      </w:r>
      <w:r>
        <w:rPr/>
        <w:t>!“ - Also setzte sich sich an die Seite der Schnitter, er reichte</w:t>
      </w:r>
      <w:r>
        <w:rPr>
          <w:rStyle w:val="Funotenanker"/>
        </w:rPr>
        <w:footnoteReference w:customMarkFollows="1" w:id="247"/>
        <w:t>an</w:t>
      </w:r>
      <w:r>
        <w:rPr/>
        <w:t xml:space="preserve"> ihr Röstkorn</w:t>
      </w:r>
      <w:r>
        <w:rPr>
          <w:rStyle w:val="Funotenanker"/>
        </w:rPr>
        <w:footnoteReference w:customMarkFollows="1" w:id="248"/>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49"/>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0"/>
        <w:t>aq</w:t>
      </w:r>
      <w:r>
        <w:rPr/>
        <w:t xml:space="preserve"> aus den Handbündeln</w:t>
      </w:r>
      <w:r>
        <w:rPr>
          <w:rStyle w:val="Funotenanker"/>
        </w:rPr>
        <w:footnoteReference w:customMarkFollows="1" w:id="251"/>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2"/>
        <w:t>as</w:t>
      </w:r>
      <w:r>
        <w:rPr/>
        <w:t xml:space="preserve"> - und es ergab ungefähr ein Efa </w:t>
      </w:r>
      <w:r>
        <w:rPr>
          <w:color w:val="808080"/>
        </w:rPr>
        <w:t>(genau ein Efa, ein ganzes Efa)</w:t>
      </w:r>
      <w:r>
        <w:rPr/>
        <w:t xml:space="preserve"> </w:t>
      </w:r>
      <w:r>
        <w:rPr>
          <w:rStyle w:val="Funotenanker"/>
        </w:rPr>
        <w:footnoteReference w:customMarkFollows="1" w:id="253"/>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4"/>
        <w:t>au</w:t>
      </w:r>
      <w:r>
        <w:rPr/>
        <w:t xml:space="preserve">, kam in die Stadt und zeigte ihrer Schwiegermutter </w:t>
      </w:r>
      <w:r>
        <w:rPr>
          <w:color w:val="808080"/>
        </w:rPr>
        <w:t>(ihre Schwiegermutter sah)</w:t>
      </w:r>
      <w:r>
        <w:rPr/>
        <w:t xml:space="preserve"> </w:t>
      </w:r>
      <w:r>
        <w:rPr>
          <w:rStyle w:val="Funotenanker"/>
        </w:rPr>
        <w:footnoteReference w:customMarkFollows="1" w:id="255"/>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56"/>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57"/>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58"/>
        <w:t>ay</w:t>
      </w:r>
      <w:r>
        <w:rPr/>
        <w:t>, der nicht von seiner Treue zu den Lebenden und den Toten abgelassen hat</w:t>
      </w:r>
      <w:r>
        <w:rPr>
          <w:rStyle w:val="Funotenanker"/>
        </w:rPr>
        <w:footnoteReference w:customMarkFollows="1" w:id="259"/>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0"/>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1"/>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2"/>
        <w:t>bc</w:t>
      </w:r>
      <w:r>
        <w:rPr/>
        <w:t xml:space="preserve"> er zu mir gesagt hat: »An die Jungen</w:t>
      </w:r>
      <w:r>
        <w:rPr>
          <w:rStyle w:val="Funotenanker"/>
        </w:rPr>
        <w:footnoteReference w:customMarkFollows="1" w:id="263"/>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4"/>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65"/>
        <w:t>a</w:t>
      </w:r>
      <w:r>
        <w:rPr/>
        <w:t xml:space="preserve"> Israel wieder „Brot gegeben“ habe - doch das Brot von Noomi und Rut stammt von Boas. * In Rut 2,12 verwendet Boas die sog. „Lohnknecht-Metapher“</w:t>
      </w:r>
      <w:r>
        <w:rPr>
          <w:rStyle w:val="Funotenanker"/>
        </w:rPr>
        <w:footnoteReference w:customMarkFollows="1" w:id="266"/>
        <w:t>b</w:t>
      </w:r>
      <w:r>
        <w:rPr/>
        <w:t xml:space="preserve"> und stellt so </w:t>
      </w:r>
      <w:r>
        <w:rPr>
          <w:rStyle w:val="Funotenanker"/>
        </w:rPr>
        <w:footnoteReference w:customMarkFollows="1" w:id="267"/>
        <w:t>c</w:t>
      </w:r>
      <w:r>
        <w:rPr/>
        <w:t xml:space="preserve"> als Lohnherrn der Rut vor („</w:t>
      </w:r>
      <w:r>
        <w:rPr>
          <w:rStyle w:val="Funotenanker"/>
        </w:rPr>
        <w:footnoteReference w:customMarkFollows="1" w:id="268"/>
        <w:t>d</w:t>
      </w:r>
      <w:r>
        <w:rPr/>
        <w:t xml:space="preserve"> vergelte dein Tun und dein Lohn sei voll von JHWH, dem Gott Israel“) - doch auch hier: Der Lohn für die Arbeit Ruts stammt von Boas.</w:t>
      </w:r>
      <w:r>
        <w:rPr>
          <w:rStyle w:val="Funotenanker"/>
        </w:rPr>
        <w:footnoteReference w:customMarkFollows="1" w:id="269"/>
        <w:t>e</w:t>
      </w:r>
      <w:r>
        <w:rPr/>
        <w:t xml:space="preserve"> * Zu diesem Phänomen gehört auch die Ambiguität von Rut 2,20, wo unsicher ist, ob der Relativsatz auf Boas oder </w:t>
      </w:r>
      <w:r>
        <w:rPr>
          <w:rStyle w:val="Funotenanker"/>
        </w:rPr>
        <w:footnoteReference w:customMarkFollows="1" w:id="270"/>
        <w:t>f</w:t>
      </w:r>
      <w:r>
        <w:rPr/>
        <w:t xml:space="preserve"> zu beziehen ist (s. FN ax).</w:t>
      </w:r>
      <w:r>
        <w:rPr>
          <w:rStyle w:val="Funotenanker"/>
        </w:rPr>
        <w:footnoteReference w:customMarkFollows="1" w:id="271"/>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2"/>
        <w:t>h</w:t>
      </w:r>
      <w:r>
        <w:rPr/>
        <w:t>s schlechthin ausdrückt.</w:t>
      </w:r>
      <w:r>
        <w:rPr>
          <w:rStyle w:val="Funotenanker"/>
        </w:rPr>
        <w:footnoteReference w:customMarkFollows="1" w:id="273"/>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4"/>
        <w:t>j</w:t>
      </w:r>
      <w:r>
        <w:rPr/>
        <w:t>s „Flügeln“ Schutz suchen wolle.</w:t>
      </w:r>
      <w:r>
        <w:rPr>
          <w:rStyle w:val="Funotenanker"/>
        </w:rPr>
        <w:footnoteReference w:customMarkFollows="1" w:id="275"/>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76"/>
        <w:t>l</w:t>
      </w:r>
      <w:r>
        <w:rPr/>
        <w:t>s vorausgesagt werden.</w:t>
      </w:r>
      <w:r>
        <w:rPr>
          <w:rStyle w:val="Funotenanker"/>
        </w:rPr>
        <w:footnoteReference w:customMarkFollows="1" w:id="277"/>
        <w:t>m</w:t>
      </w:r>
      <w:r>
        <w:rPr/>
        <w:t xml:space="preserve"> * In Rut 4,15 findet sich eine ganz ähnliche Ambivalenz wie in 2,20 (s. FN am) * Auffällig ist schließlich in Rut 4,13f., wie </w:t>
      </w:r>
      <w:r>
        <w:rPr>
          <w:rStyle w:val="Funotenanker"/>
        </w:rPr>
        <w:footnoteReference w:customMarkFollows="1" w:id="278"/>
        <w:t>n</w:t>
      </w:r>
      <w:r>
        <w:rPr/>
        <w:t xml:space="preserve"> und die beiden Eheleute bei der Zeugung Obeds zusammenwirken: „Der Nachkomme, den </w:t>
      </w:r>
      <w:r>
        <w:rPr>
          <w:rStyle w:val="Funotenanker"/>
        </w:rPr>
        <w:footnoteReference w:customMarkFollows="1" w:id="279"/>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0"/>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1"/>
        <w:t>q</w:t>
      </w:r>
      <w:r>
        <w:rPr/>
        <w:t xml:space="preserve"> parallelisiert, und das „damit es dir gut geht“ ist hier gerade nicht die Folge von </w:t>
      </w:r>
      <w:r>
        <w:rPr>
          <w:rStyle w:val="Funotenanker"/>
        </w:rPr>
        <w:footnoteReference w:customMarkFollows="1" w:id="282"/>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3"/>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4"/>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85"/>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86"/>
        <w:t>u</w:t>
      </w:r>
      <w:r>
        <w:rPr/>
        <w:t xml:space="preserve"> für dich Ruhe </w:t>
      </w:r>
      <w:r>
        <w:rPr>
          <w:color w:val="808080"/>
        </w:rPr>
        <w:t>(eine Heimstatt)</w:t>
      </w:r>
      <w:r>
        <w:rPr/>
        <w:t xml:space="preserve"> </w:t>
      </w:r>
      <w:r>
        <w:rPr>
          <w:rStyle w:val="Funotenanker"/>
        </w:rPr>
        <w:footnoteReference w:customMarkFollows="1" w:id="287"/>
        <w:t>v</w:t>
      </w:r>
      <w:r>
        <w:rPr/>
        <w:t xml:space="preserve"> suchen, damit </w:t>
      </w:r>
      <w:r>
        <w:rPr>
          <w:color w:val="808080"/>
        </w:rPr>
        <w:t>(wo)</w:t>
      </w:r>
      <w:r>
        <w:rPr/>
        <w:t xml:space="preserve"> es dir gut geht?</w:t>
      </w:r>
      <w:r>
        <w:rPr>
          <w:rStyle w:val="Funotenanker"/>
        </w:rPr>
        <w:footnoteReference w:customMarkFollows="1" w:id="288"/>
        <w:t>w</w:t>
      </w:r>
      <w:r>
        <w:rPr/>
        <w:t xml:space="preserve"> {{field-off:bible}} </w:t>
        <w:br/>
        <w:t>[[@BibleTOBIBLE:Ru 3:2]]</w:t>
      </w:r>
      <w:r>
        <w:rPr>
          <w:b/>
        </w:rPr>
        <w:t>2</w:t>
      </w:r>
      <w:r>
        <w:rPr/>
        <w:t xml:space="preserve"> {{field-on:bible}}Und weiter</w:t>
      </w:r>
      <w:r>
        <w:rPr>
          <w:rStyle w:val="Funotenanker"/>
        </w:rPr>
        <w:footnoteReference w:customMarkFollows="1" w:id="289"/>
        <w:t>x</w:t>
      </w:r>
      <w:r>
        <w:rPr/>
        <w:t>: Ist nicht Boas, bei dessen Mägden du warst, unser Verwandter</w:t>
      </w:r>
      <w:r>
        <w:rPr>
          <w:rStyle w:val="Funotenanker"/>
        </w:rPr>
        <w:footnoteReference w:customMarkFollows="1" w:id="290"/>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1"/>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2"/>
        <w:t>aa</w:t>
      </w:r>
      <w:r>
        <w:rPr/>
        <w:t xml:space="preserve"> wasche dich, salbe dich, wirf deine Kleider </w:t>
      </w:r>
      <w:r>
        <w:rPr>
          <w:color w:val="808080"/>
        </w:rPr>
        <w:t>(dein Kleid)</w:t>
      </w:r>
      <w:r>
        <w:rPr/>
        <w:t xml:space="preserve"> </w:t>
      </w:r>
      <w:r>
        <w:rPr>
          <w:rStyle w:val="Funotenanker"/>
        </w:rPr>
        <w:footnoteReference w:customMarkFollows="1" w:id="293"/>
        <w:t>ab</w:t>
      </w:r>
      <w:r>
        <w:rPr/>
        <w:t xml:space="preserve"> um dich </w:t>
      </w:r>
      <w:r>
        <w:rPr>
          <w:color w:val="808080"/>
        </w:rPr>
        <w:t>(zieh deine Kleider/dein Kleid an)</w:t>
      </w:r>
      <w:r>
        <w:rPr/>
        <w:t xml:space="preserve"> </w:t>
      </w:r>
      <w:r>
        <w:rPr>
          <w:rStyle w:val="Funotenanker"/>
        </w:rPr>
        <w:footnoteReference w:customMarkFollows="1" w:id="294"/>
        <w:t>ac</w:t>
      </w:r>
      <w:r>
        <w:rPr/>
        <w:t xml:space="preserve"> und geh zur Tenne hinab</w:t>
      </w:r>
      <w:r>
        <w:rPr>
          <w:rStyle w:val="Funotenanker"/>
        </w:rPr>
        <w:footnoteReference w:customMarkFollows="1" w:id="295"/>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296"/>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297"/>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298"/>
        <w:t>ag</w:t>
      </w:r>
      <w:r>
        <w:rPr/>
        <w:t xml:space="preserve"> sagst </w:t>
      </w:r>
      <w:r>
        <w:rPr>
          <w:color w:val="808080"/>
        </w:rPr>
        <w:t>(je sagen wirst)</w:t>
      </w:r>
      <w:r>
        <w:rPr/>
        <w:t xml:space="preserve"> </w:t>
      </w:r>
      <w:r>
        <w:rPr>
          <w:rStyle w:val="Funotenanker"/>
        </w:rPr>
        <w:footnoteReference w:customMarkFollows="1" w:id="299"/>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0"/>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1"/>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2"/>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3"/>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4"/>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05"/>
        <w:t>an</w:t>
      </w:r>
      <w:r>
        <w:rPr/>
        <w:t xml:space="preserve"> - daher breite deinen Gewandzipfel </w:t>
      </w:r>
      <w:r>
        <w:rPr>
          <w:color w:val="808080"/>
        </w:rPr>
        <w:t>(deine Decke, deine Flügel)</w:t>
      </w:r>
      <w:r>
        <w:rPr/>
        <w:t xml:space="preserve"> </w:t>
      </w:r>
      <w:r>
        <w:rPr>
          <w:rStyle w:val="Funotenanker"/>
        </w:rPr>
        <w:footnoteReference w:customMarkFollows="1" w:id="306"/>
        <w:t>ao</w:t>
      </w:r>
      <w:r>
        <w:rPr/>
        <w:t xml:space="preserve"> über deine Magd, denn du bist Goel!</w:t>
      </w:r>
      <w:r>
        <w:rPr>
          <w:rStyle w:val="Funotenanker"/>
        </w:rPr>
        <w:footnoteReference w:customMarkFollows="1" w:id="307"/>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08"/>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09"/>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0"/>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1"/>
        <w:t>at</w:t>
      </w:r>
      <w:r>
        <w:rPr/>
        <w:t>, dass du eine fähige Frau</w:t>
      </w:r>
      <w:r>
        <w:rPr>
          <w:rStyle w:val="Funotenanker"/>
        </w:rPr>
        <w:footnoteReference w:customMarkFollows="1" w:id="312"/>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3"/>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4"/>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15"/>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16"/>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17"/>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18"/>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19"/>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0"/>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1"/>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2"/>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3"/>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4"/>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25"/>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26"/>
        <w:t>Status</w:t>
      </w:r>
      <w:r>
        <w:rPr/>
        <w:t xml:space="preserve"> Boas aber ging ins Tor</w:t>
      </w:r>
      <w:r>
        <w:rPr>
          <w:rStyle w:val="Funotenanker"/>
        </w:rPr>
        <w:footnoteReference w:customMarkFollows="1" w:id="327"/>
        <w:t>b</w:t>
      </w:r>
      <w:r>
        <w:rPr/>
        <w:t xml:space="preserve"> hinauf und setzte sich dort hin. Und, siehe da!,</w:t>
      </w:r>
      <w:r>
        <w:rPr>
          <w:rStyle w:val="Funotenanker"/>
        </w:rPr>
        <w:footnoteReference w:customMarkFollows="1" w:id="328"/>
        <w:t>c</w:t>
      </w:r>
      <w:r>
        <w:rPr/>
        <w:t xml:space="preserve"> der Löser</w:t>
      </w:r>
      <w:r>
        <w:rPr>
          <w:rStyle w:val="Funotenanker"/>
        </w:rPr>
        <w:footnoteReference w:customMarkFollows="1" w:id="329"/>
        <w:t>d</w:t>
      </w:r>
      <w:r>
        <w:rPr/>
        <w:t xml:space="preserve"> kam vorüber, von dem Boas gesprochen hatte. Da sagte er: „Bieg ab!</w:t>
      </w:r>
      <w:r>
        <w:rPr>
          <w:rStyle w:val="Funotenanker"/>
        </w:rPr>
        <w:footnoteReference w:customMarkFollows="1" w:id="330"/>
        <w:t>e</w:t>
      </w:r>
      <w:r>
        <w:rPr/>
        <w:t xml:space="preserve"> Setz dich hier irgendwo hin </w:t>
      </w:r>
      <w:r>
        <w:rPr>
          <w:color w:val="808080"/>
        </w:rPr>
        <w:t>(setz dich hier hin, Soundso)</w:t>
      </w:r>
      <w:r>
        <w:rPr/>
        <w:t>!“</w:t>
      </w:r>
      <w:r>
        <w:rPr>
          <w:rStyle w:val="Funotenanker"/>
        </w:rPr>
        <w:footnoteReference w:customMarkFollows="1" w:id="331"/>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2"/>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3"/>
        <w:t>h</w:t>
      </w:r>
      <w:r>
        <w:rPr/>
        <w:t xml:space="preserve"> das unserem Bruder</w:t>
      </w:r>
      <w:r>
        <w:rPr>
          <w:rStyle w:val="Funotenanker"/>
        </w:rPr>
        <w:footnoteReference w:customMarkFollows="1" w:id="334"/>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35"/>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36"/>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37"/>
        <w:t>l</w:t>
      </w:r>
      <w:r>
        <w:rPr/>
        <w:t xml:space="preserve"> ich will dir folgendes zu Gehör bringen:</w:t>
      </w:r>
      <w:r>
        <w:rPr>
          <w:rStyle w:val="Funotenanker"/>
        </w:rPr>
        <w:footnoteReference w:customMarkFollows="1" w:id="338"/>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39"/>
        <w:t>n</w:t>
      </w:r>
      <w:r>
        <w:rPr/>
        <w:t xml:space="preserve"> - wenn du lösen willst, dann löse.</w:t>
      </w:r>
      <w:r>
        <w:rPr>
          <w:rStyle w:val="Funotenanker"/>
        </w:rPr>
        <w:footnoteReference w:customMarkFollows="1" w:id="340"/>
        <w:t>o</w:t>
      </w:r>
      <w:r>
        <w:rPr/>
        <w:t xml:space="preserve"> Wenn aber niemand lösen will </w:t>
      </w:r>
      <w:r>
        <w:rPr>
          <w:color w:val="808080"/>
        </w:rPr>
        <w:t>(wenn du aber nicht lösen willst)</w:t>
      </w:r>
      <w:r>
        <w:rPr/>
        <w:t>,</w:t>
      </w:r>
      <w:r>
        <w:rPr>
          <w:rStyle w:val="Funotenanker"/>
        </w:rPr>
        <w:footnoteReference w:customMarkFollows="1" w:id="341"/>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2"/>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3"/>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4"/>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45"/>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46"/>
        <w:t>u</w:t>
      </w:r>
      <w:r>
        <w:rPr/>
        <w:t xml:space="preserve"> um irgendetwas</w:t>
      </w:r>
      <w:r>
        <w:rPr>
          <w:rStyle w:val="Funotenanker"/>
        </w:rPr>
        <w:footnoteReference w:customMarkFollows="1" w:id="347"/>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48"/>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49"/>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0"/>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1"/>
        <w:t>z</w:t>
      </w:r>
      <w:r>
        <w:rPr/>
        <w:t xml:space="preserve"> aus dem Volk seiner Brüder und aus dem Tor seines Ortes.</w:t>
      </w:r>
      <w:r>
        <w:rPr>
          <w:rStyle w:val="Funotenanker"/>
        </w:rPr>
        <w:footnoteReference w:customMarkFollows="1" w:id="352"/>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3"/>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4"/>
        <w:t>ac</w:t>
      </w:r>
      <w:r>
        <w:rPr/>
        <w:t xml:space="preserve"> </w:t>
      </w:r>
      <w:r>
        <w:rPr>
          <w:b/>
          <w:color w:val="808080"/>
        </w:rPr>
        <w:t>[</w:t>
      </w:r>
      <w:r>
        <w:rPr/>
        <w:t>werde</w:t>
      </w:r>
      <w:r>
        <w:rPr>
          <w:b/>
          <w:color w:val="808080"/>
        </w:rPr>
        <w:t>]</w:t>
      </w:r>
      <w:r>
        <w:rPr/>
        <w:t>,Die beide</w:t>
      </w:r>
      <w:r>
        <w:rPr>
          <w:rStyle w:val="Funotenanker"/>
        </w:rPr>
        <w:footnoteReference w:customMarkFollows="1" w:id="355"/>
        <w:t>ad</w:t>
      </w:r>
      <w:r>
        <w:rPr/>
        <w:t xml:space="preserve"> das Haus Israel erbauten!</w:t>
      </w:r>
      <w:r>
        <w:rPr>
          <w:rStyle w:val="Funotenanker"/>
        </w:rPr>
        <w:footnoteReference w:customMarkFollows="1" w:id="356"/>
        <w:t>ae</w:t>
      </w:r>
      <w:r>
        <w:rPr/>
        <w:t xml:space="preserve"> </w:t>
        <w:br/>
        <w:t xml:space="preserve">Vollbringe </w:t>
      </w:r>
      <w:r>
        <w:rPr>
          <w:color w:val="808080"/>
        </w:rPr>
        <w:t>(erzeuge)</w:t>
      </w:r>
      <w:r>
        <w:rPr/>
        <w:t xml:space="preserve"> Tüchtiges</w:t>
      </w:r>
      <w:r>
        <w:rPr>
          <w:rStyle w:val="Funotenanker"/>
        </w:rPr>
        <w:footnoteReference w:customMarkFollows="1" w:id="357"/>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58"/>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59"/>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0"/>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1"/>
        <w:t>aj</w:t>
      </w:r>
      <w:r>
        <w:rPr/>
        <w:t xml:space="preserve"> sie wurde seine Frau,</w:t>
      </w:r>
      <w:r>
        <w:rPr>
          <w:rStyle w:val="Funotenanker"/>
        </w:rPr>
        <w:footnoteReference w:customMarkFollows="1" w:id="362"/>
        <w:t>ak</w:t>
      </w:r>
      <w:r>
        <w:rPr/>
        <w:t xml:space="preserve"> er ging zu ihr,</w:t>
      </w:r>
      <w:r>
        <w:rPr>
          <w:rStyle w:val="Funotenanker"/>
        </w:rPr>
        <w:footnoteReference w:customMarkFollows="1" w:id="363"/>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4"/>
        <w:t>am</w:t>
      </w:r>
      <w:r>
        <w:rPr/>
        <w:t xml:space="preserve"> dir heute einen Löser nicht hat fehlen lassen,Sein Name werde gerufen</w:t>
      </w:r>
      <w:r>
        <w:rPr>
          <w:rStyle w:val="Funotenanker"/>
        </w:rPr>
        <w:footnoteReference w:customMarkFollows="1" w:id="365"/>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66"/>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67"/>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68"/>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69"/>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0"/>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1"/>
        <w:t>at</w:t>
      </w:r>
      <w:r>
        <w:rPr/>
        <w:t xml:space="preserve"> {{field-off:bible}} </w:t>
      </w:r>
    </w:p>
    <w:p>
      <w:pPr>
        <w:pStyle w:val="Berschrift2"/>
        <w:rPr/>
      </w:pPr>
      <w:r>
        <w:rPr/>
        <w:t>[[@BibleTOBIBLE:2Sa]]2 Samuel</w:t>
      </w:r>
    </w:p>
    <w:p>
      <w:pPr>
        <w:pStyle w:val="Berschrift3"/>
        <w:rPr/>
      </w:pPr>
      <w:r>
        <w:rPr/>
        <w:t>[[@BibleTOBIBLE:2Sa 22]]Kapitel 22</w:t>
      </w:r>
    </w:p>
    <w:p>
      <w:pPr>
        <w:pStyle w:val="Textkrper"/>
        <w:rPr/>
      </w:pPr>
      <w:r>
        <w:rPr/>
        <w:br/>
        <w:t>[[@BibleTOBIBLE:2Sa 22:1]]</w:t>
      </w:r>
      <w:r>
        <w:rPr>
          <w:b/>
        </w:rPr>
        <w:t>1</w:t>
      </w:r>
      <w:r>
        <w:rPr/>
        <w:t xml:space="preserve"> {{field-on:bible}} </w:t>
      </w:r>
      <w:r>
        <w:rPr>
          <w:rStyle w:val="Funotenanker"/>
        </w:rPr>
        <w:footnoteReference w:customMarkFollows="1" w:id="372"/>
        <w:t>Status</w:t>
      </w:r>
      <w:r>
        <w:rPr/>
        <w:t xml:space="preserve"> David sprach zu </w:t>
      </w:r>
      <w:r>
        <w:rPr>
          <w:smallCaps/>
          <w:color w:val="FF0000"/>
        </w:rPr>
        <w:t>JHWH</w:t>
      </w:r>
      <w:r>
        <w:rPr/>
        <w:t xml:space="preserve"> die Worte dieses Lieds am Tag, als JHWH ihn rettete aus der Handfläche all seiner Feinde und aus der Handfläche</w:t>
      </w:r>
      <w:r>
        <w:rPr>
          <w:rStyle w:val="Funotenanker"/>
        </w:rPr>
        <w:footnoteReference w:customMarkFollows="1" w:id="373"/>
        <w:t>a</w:t>
      </w:r>
      <w:r>
        <w:rPr/>
        <w:t xml:space="preserve"> Sauls.{{field-off:bible}} </w:t>
        <w:br/>
        <w:t>[[@BibleTOBIBLE:2Sa 22:2]]</w:t>
      </w:r>
      <w:r>
        <w:rPr>
          <w:b/>
        </w:rPr>
        <w:t>2</w:t>
      </w:r>
      <w:r>
        <w:rPr/>
        <w:t xml:space="preserve"> {{field-on:bible}}Und er sagte: </w:t>
        <w:br/>
      </w:r>
      <w:r>
        <w:rPr>
          <w:smallCaps/>
          <w:color w:val="FF0000"/>
        </w:rPr>
        <w:t>JHWH</w:t>
      </w:r>
      <w:r>
        <w:rPr/>
        <w:t xml:space="preserve"> </w:t>
      </w:r>
      <w:r>
        <w:rPr>
          <w:b/>
          <w:color w:val="808080"/>
        </w:rPr>
        <w:t>[</w:t>
      </w:r>
      <w:r>
        <w:rPr/>
        <w:t>ist</w:t>
      </w:r>
      <w:r>
        <w:rPr>
          <w:b/>
          <w:color w:val="808080"/>
        </w:rPr>
        <w:t>]</w:t>
      </w:r>
      <w:r>
        <w:rPr/>
        <w:t xml:space="preserve"> mein Fels und meine Burg und mein Retter,</w:t>
        <w:br/>
        <w:t xml:space="preserve">{{field-off:bible}} </w:t>
        <w:br/>
        <w:t>[[@BibleTOBIBLE:2Sa 22:3]]</w:t>
      </w:r>
      <w:r>
        <w:rPr>
          <w:b/>
        </w:rPr>
        <w:t>3</w:t>
      </w:r>
      <w:r>
        <w:rPr/>
        <w:t xml:space="preserve"> {{field-on:bible}} </w:t>
        <w:br/>
        <w:t xml:space="preserve">Mein Gott </w:t>
      </w:r>
      <w:r>
        <w:rPr>
          <w:b/>
          <w:color w:val="808080"/>
        </w:rPr>
        <w:t>[</w:t>
      </w:r>
      <w:r>
        <w:rPr/>
        <w:t>ist</w:t>
      </w:r>
      <w:r>
        <w:rPr>
          <w:b/>
          <w:color w:val="808080"/>
        </w:rPr>
        <w:t>]</w:t>
      </w:r>
      <w:r>
        <w:rPr/>
        <w:t xml:space="preserve"> </w:t>
      </w:r>
      <w:r>
        <w:rPr>
          <w:color w:val="808080"/>
        </w:rPr>
        <w:t>(,)</w:t>
      </w:r>
      <w:r>
        <w:rPr/>
        <w:t xml:space="preserve"> mein Berg, zu dem ich fliehe </w:t>
      </w:r>
      <w:r>
        <w:rPr>
          <w:color w:val="808080"/>
        </w:rPr>
        <w:t>(auf den ich vertraue)</w:t>
      </w:r>
      <w:r>
        <w:rPr/>
        <w:t>,</w:t>
        <w:br/>
        <w:t xml:space="preserve">Mein Schild, das Horn meiner Rettung, meine Klippe </w:t>
      </w:r>
      <w:r>
        <w:rPr>
          <w:color w:val="808080"/>
        </w:rPr>
        <w:t>(Festung)</w:t>
      </w:r>
      <w:r>
        <w:rPr/>
        <w:t xml:space="preserve"> und meine Zuflucht,Mein Retter, vor Gewalttat wirst du mich retten!</w:t>
        <w:br/>
        <w:t xml:space="preserve">{{field-off:bible}} </w:t>
        <w:br/>
        <w:t>[[@BibleTOBIBLE:2Sa 22:4]]</w:t>
      </w:r>
      <w:r>
        <w:rPr>
          <w:b/>
        </w:rPr>
        <w:t>4</w:t>
      </w:r>
      <w:r>
        <w:rPr/>
        <w:t xml:space="preserve"> {{field-on:bible}} </w:t>
        <w:br/>
        <w:t xml:space="preserve">Als Lobenswerten will ich anrufen </w:t>
      </w:r>
      <w:r>
        <w:rPr>
          <w:smallCaps/>
          <w:color w:val="FF0000"/>
        </w:rPr>
        <w:t>JHWH</w:t>
      </w:r>
      <w:r>
        <w:rPr/>
        <w:t xml:space="preserve">Und von meinen Feinden will </w:t>
      </w:r>
      <w:r>
        <w:rPr>
          <w:color w:val="808080"/>
        </w:rPr>
        <w:t>(werde)</w:t>
      </w:r>
      <w:r>
        <w:rPr/>
        <w:t xml:space="preserve"> ich gerettet werden.</w:t>
        <w:br/>
        <w:br/>
        <w:t xml:space="preserve">{{field-off:bible}} </w:t>
        <w:br/>
        <w:t>[[@BibleTOBIBLE:2Sa 22:5]]</w:t>
      </w:r>
      <w:r>
        <w:rPr>
          <w:b/>
        </w:rPr>
        <w:t>5</w:t>
      </w:r>
      <w:r>
        <w:rPr/>
        <w:t xml:space="preserve"> {{field-on:bible}} </w:t>
        <w:br/>
        <w:t>Denn es umgaben mich Wogen des Todes,Die Flüsse Belias werden mich erschrecken!</w:t>
      </w:r>
      <w:r>
        <w:rPr>
          <w:rStyle w:val="Funotenanker"/>
        </w:rPr>
        <w:footnoteReference w:customMarkFollows="1" w:id="374"/>
        <w:t>b</w:t>
      </w:r>
      <w:r>
        <w:rPr/>
        <w:t xml:space="preserve"> </w:t>
        <w:br/>
        <w:t xml:space="preserve">{{field-off:bible}} </w:t>
        <w:br/>
        <w:t>[[@BibleTOBIBLE:2Sa 22:6]]</w:t>
      </w:r>
      <w:r>
        <w:rPr>
          <w:b/>
        </w:rPr>
        <w:t>6</w:t>
      </w:r>
      <w:r>
        <w:rPr/>
        <w:t xml:space="preserve"> {{field-on:bible}} </w:t>
        <w:br/>
        <w:t>Die Stricke des Scheol</w:t>
      </w:r>
      <w:r>
        <w:rPr>
          <w:rStyle w:val="Funotenanker"/>
        </w:rPr>
        <w:footnoteReference w:customMarkFollows="1" w:id="375"/>
        <w:t>c</w:t>
      </w:r>
      <w:r>
        <w:rPr/>
        <w:t xml:space="preserve"> umfingen mich, Es ereilten mich die Schlingen des Todes.</w:t>
        <w:br/>
        <w:t xml:space="preserve">{{field-off:bible}} </w:t>
        <w:br/>
        <w:t>[[@BibleTOBIBLE:2Sa 22:7]]</w:t>
      </w:r>
      <w:r>
        <w:rPr>
          <w:b/>
        </w:rPr>
        <w:t>7</w:t>
      </w:r>
      <w:r>
        <w:rPr/>
        <w:t xml:space="preserve"> {{field-on:bible}} </w:t>
        <w:br/>
      </w:r>
      <w:r>
        <w:rPr>
          <w:b/>
          <w:color w:val="808080"/>
        </w:rPr>
        <w:t>[</w:t>
      </w:r>
      <w:r>
        <w:rPr/>
        <w:t>Ich sprach:</w:t>
      </w:r>
      <w:r>
        <w:rPr>
          <w:b/>
          <w:color w:val="808080"/>
        </w:rPr>
        <w:t>]</w:t>
      </w:r>
      <w:r>
        <w:rPr/>
        <w:t xml:space="preserve"> „In meiner Not will ich anrufen </w:t>
      </w:r>
      <w:r>
        <w:rPr>
          <w:smallCaps/>
          <w:color w:val="FF0000"/>
        </w:rPr>
        <w:t>JHWH</w:t>
      </w:r>
      <w:r>
        <w:rPr/>
        <w:t>Und meinen Gott will ich anrufen.</w:t>
        <w:br/>
        <w:t>Er soll hören in seinem Tempel meine StimmeUnd mein Schreien soll kommen in seinem Ohr!“</w:t>
        <w:br/>
        <w:br/>
        <w:br/>
        <w:t xml:space="preserve">{{field-off:bible}} </w:t>
        <w:br/>
        <w:t>[[@BibleTOBIBLE:2Sa 22:8]]</w:t>
      </w:r>
      <w:r>
        <w:rPr>
          <w:b/>
        </w:rPr>
        <w:t>8</w:t>
      </w:r>
      <w:r>
        <w:rPr/>
        <w:t xml:space="preserve"> {{field-on:bible}} </w:t>
        <w:br/>
        <w:t>Da wankte und schwankte die ErdeUnd die Pfeiler des Himmels</w:t>
      </w:r>
      <w:r>
        <w:rPr>
          <w:rStyle w:val="Funotenanker"/>
        </w:rPr>
        <w:footnoteReference w:customMarkFollows="1" w:id="376"/>
        <w:t>d</w:t>
      </w:r>
      <w:r>
        <w:rPr/>
        <w:t xml:space="preserve"> bebten und wanktenDenn es loderte in ihm.</w:t>
        <w:br/>
        <w:t xml:space="preserve">{{field-off:bible}} </w:t>
        <w:br/>
        <w:t>[[@BibleTOBIBLE:2Sa 22:9]]</w:t>
      </w:r>
      <w:r>
        <w:rPr>
          <w:b/>
        </w:rPr>
        <w:t>9</w:t>
      </w:r>
      <w:r>
        <w:rPr/>
        <w:t xml:space="preserve"> {{field-on:bible}} </w:t>
        <w:br/>
        <w:t xml:space="preserve">Es stieg Rauch aus seiner NaseUnd Feuer fraß aus seinem Mund;Kohlen brannten aus ihm hervor </w:t>
      </w:r>
      <w:r>
        <w:rPr>
          <w:color w:val="808080"/>
        </w:rPr>
        <w:t>(entbrannten durch es)</w:t>
      </w:r>
      <w:r>
        <w:rPr/>
        <w:t>.</w:t>
        <w:br/>
        <w:t xml:space="preserve">{{field-off:bible}} </w:t>
        <w:br/>
        <w:t>[[@BibleTOBIBLE:2Sa 22:10]]</w:t>
      </w:r>
      <w:r>
        <w:rPr>
          <w:b/>
        </w:rPr>
        <w:t>10</w:t>
      </w:r>
      <w:r>
        <w:rPr/>
        <w:t xml:space="preserve"> {{field-on:bible}} </w:t>
        <w:br/>
        <w:t xml:space="preserve">Und er öffnete </w:t>
      </w:r>
      <w:r>
        <w:rPr>
          <w:color w:val="808080"/>
        </w:rPr>
        <w:t>(neigte)</w:t>
      </w:r>
      <w:r>
        <w:rPr/>
        <w:t xml:space="preserve"> den Himmel</w:t>
      </w:r>
      <w:r>
        <w:rPr>
          <w:rStyle w:val="Funotenanker"/>
        </w:rPr>
        <w:footnoteReference w:customMarkFollows="1" w:id="377"/>
        <w:t>e</w:t>
      </w:r>
      <w:r>
        <w:rPr/>
        <w:t xml:space="preserve"> und stieg herabUnd eine Wolke </w:t>
      </w:r>
      <w:r>
        <w:rPr>
          <w:color w:val="808080"/>
        </w:rPr>
        <w:t>(Dunkelheit)</w:t>
      </w:r>
      <w:r>
        <w:rPr/>
        <w:t xml:space="preserve"> </w:t>
      </w:r>
      <w:r>
        <w:rPr>
          <w:b/>
          <w:color w:val="808080"/>
        </w:rPr>
        <w:t>[</w:t>
      </w:r>
      <w:r>
        <w:rPr/>
        <w:t>war</w:t>
      </w:r>
      <w:r>
        <w:rPr>
          <w:b/>
          <w:color w:val="808080"/>
        </w:rPr>
        <w:t>]</w:t>
      </w:r>
      <w:r>
        <w:rPr/>
        <w:t xml:space="preserve"> unter seinen Füßen.</w:t>
        <w:br/>
        <w:t xml:space="preserve">{{field-off:bible}} </w:t>
        <w:br/>
        <w:t>[[@BibleTOBIBLE:2Sa 22:11]]</w:t>
      </w:r>
      <w:r>
        <w:rPr>
          <w:b/>
        </w:rPr>
        <w:t>11</w:t>
      </w:r>
      <w:r>
        <w:rPr/>
        <w:t xml:space="preserve"> {{field-on:bible}} </w:t>
        <w:br/>
        <w:t>Und er ritt auf einem Kerub</w:t>
      </w:r>
      <w:r>
        <w:rPr>
          <w:rStyle w:val="Funotenanker"/>
        </w:rPr>
        <w:footnoteReference w:customMarkFollows="1" w:id="378"/>
        <w:t>f</w:t>
      </w:r>
      <w:r>
        <w:rPr/>
        <w:t xml:space="preserve"> und flogUnd schoß herab auf den Flügeln des Windes.</w:t>
        <w:br/>
        <w:br/>
        <w:t xml:space="preserve">{{field-off:bible}} </w:t>
        <w:br/>
        <w:t>[[@BibleTOBIBLE:2Sa 22:12]]</w:t>
      </w:r>
      <w:r>
        <w:rPr>
          <w:b/>
        </w:rPr>
        <w:t>12</w:t>
      </w:r>
      <w:r>
        <w:rPr/>
        <w:t xml:space="preserve"> {{field-on:bible}} </w:t>
        <w:br/>
        <w:t xml:space="preserve">Und er setzte Dunkelheit als seine Bedeckung um sich,Seine Hütte </w:t>
      </w:r>
      <w:r>
        <w:rPr>
          <w:b/>
          <w:color w:val="808080"/>
        </w:rPr>
        <w:t>[</w:t>
      </w:r>
      <w:r>
        <w:rPr/>
        <w:t>waren aus</w:t>
      </w:r>
      <w:r>
        <w:rPr>
          <w:b/>
          <w:color w:val="808080"/>
        </w:rPr>
        <w:t>]</w:t>
      </w:r>
      <w:r>
        <w:rPr/>
        <w:t xml:space="preserve"> Massen von Wassern in den Wolken des Himmels.</w:t>
        <w:br/>
        <w:t xml:space="preserve">{{field-off:bible}} </w:t>
        <w:br/>
        <w:t>[[@BibleTOBIBLE:2Sa 22:13]]</w:t>
      </w:r>
      <w:r>
        <w:rPr>
          <w:b/>
        </w:rPr>
        <w:t>13</w:t>
      </w:r>
      <w:r>
        <w:rPr/>
        <w:t xml:space="preserve"> {{field-on:bible}} </w:t>
        <w:br/>
        <w:t>Aus dem Glanz vor ihm gingen ausHagel und Kohlen von Feuer.</w:t>
        <w:br/>
        <w:t xml:space="preserve">{{field-off:bible}} </w:t>
        <w:br/>
        <w:t>[[@BibleTOBIBLE:2Sa 22:14]]</w:t>
      </w:r>
      <w:r>
        <w:rPr>
          <w:b/>
        </w:rPr>
        <w:t>14</w:t>
      </w:r>
      <w:r>
        <w:rPr/>
        <w:t xml:space="preserve"> {{field-on:bible}} </w:t>
        <w:br/>
        <w:t xml:space="preserve">Und es donnerte aus dem Himmel </w:t>
      </w:r>
      <w:r>
        <w:rPr>
          <w:smallCaps/>
          <w:color w:val="FF0000"/>
        </w:rPr>
        <w:t>JHWH</w:t>
      </w:r>
      <w:r>
        <w:rPr/>
        <w:t xml:space="preserve"> Und Eljon wird geben</w:t>
      </w:r>
      <w:r>
        <w:rPr>
          <w:rStyle w:val="Funotenanker"/>
        </w:rPr>
        <w:footnoteReference w:customMarkFollows="1" w:id="379"/>
        <w:t>g</w:t>
      </w:r>
      <w:r>
        <w:rPr/>
        <w:t xml:space="preserve"> seine Stimme.</w:t>
        <w:br/>
        <w:t xml:space="preserve">{{field-off:bible}} </w:t>
        <w:br/>
        <w:t>[[@BibleTOBIBLE:2Sa 22:15]]</w:t>
      </w:r>
      <w:r>
        <w:rPr>
          <w:b/>
        </w:rPr>
        <w:t>15</w:t>
      </w:r>
      <w:r>
        <w:rPr/>
        <w:t xml:space="preserve"> {{field-on:bible}} </w:t>
        <w:br/>
        <w:t>Und er warf Pfeile und zerstreute diese,Einen Blitz schoß er und verwirrte er.</w:t>
      </w:r>
      <w:r>
        <w:rPr>
          <w:rStyle w:val="Funotenanker"/>
        </w:rPr>
        <w:footnoteReference w:customMarkFollows="1" w:id="380"/>
        <w:t>h</w:t>
      </w:r>
      <w:r>
        <w:rPr/>
        <w:t xml:space="preserve"> </w:t>
        <w:br/>
        <w:t xml:space="preserve">{{field-off:bible}} </w:t>
        <w:br/>
        <w:t>[[@BibleTOBIBLE:2Sa 22:16]]</w:t>
      </w:r>
      <w:r>
        <w:rPr>
          <w:b/>
        </w:rPr>
        <w:t>16</w:t>
      </w:r>
      <w:r>
        <w:rPr/>
        <w:t xml:space="preserve"> {{field-on:bible}} </w:t>
        <w:br/>
        <w:t>Und es wurden gesehen die Betten der Wasser,Es werden bloßgelegt werden</w:t>
      </w:r>
      <w:r>
        <w:rPr>
          <w:rStyle w:val="Funotenanker"/>
        </w:rPr>
        <w:footnoteReference w:customMarkFollows="1" w:id="381"/>
        <w:t>i</w:t>
      </w:r>
      <w:r>
        <w:rPr/>
        <w:t xml:space="preserve"> die Fundamente der Erde.</w:t>
      </w:r>
      <w:r>
        <w:rPr>
          <w:rStyle w:val="Funotenanker"/>
        </w:rPr>
        <w:footnoteReference w:customMarkFollows="1" w:id="382"/>
        <w:t>j</w:t>
      </w:r>
      <w:r>
        <w:rPr/>
        <w:t xml:space="preserve"> </w:t>
        <w:br/>
        <w:t xml:space="preserve">Durch dein Schelten, </w:t>
      </w:r>
      <w:r>
        <w:rPr>
          <w:smallCaps/>
          <w:color w:val="FF0000"/>
        </w:rPr>
        <w:t>JHWH</w:t>
      </w:r>
      <w:r>
        <w:rPr/>
        <w:t>,Durch das Schnauben des Windes deiner Nase.</w:t>
        <w:br/>
        <w:br/>
        <w:t xml:space="preserve">{{field-off:bible}} </w:t>
        <w:br/>
        <w:t>[[@BibleTOBIBLE:2Sa 22:17]]</w:t>
      </w:r>
      <w:r>
        <w:rPr>
          <w:b/>
        </w:rPr>
        <w:t>17</w:t>
      </w:r>
      <w:r>
        <w:rPr/>
        <w:t xml:space="preserve"> {{field-on:bible}} </w:t>
        <w:br/>
      </w:r>
      <w:r>
        <w:rPr>
          <w:b/>
          <w:color w:val="808080"/>
        </w:rPr>
        <w:t>[</w:t>
      </w:r>
      <w:r>
        <w:rPr/>
        <w:t>Ich sprach:</w:t>
      </w:r>
      <w:r>
        <w:rPr>
          <w:b/>
          <w:color w:val="808080"/>
        </w:rPr>
        <w:t>]</w:t>
      </w:r>
      <w:r>
        <w:rPr/>
        <w:t xml:space="preserve"> „Er möge </w:t>
      </w:r>
      <w:r>
        <w:rPr>
          <w:color w:val="808080"/>
        </w:rPr>
        <w:t>(wird)</w:t>
      </w:r>
      <w:r>
        <w:rPr/>
        <w:t xml:space="preserve"> senden aus der Höhe,</w:t>
      </w:r>
      <w:r>
        <w:rPr>
          <w:rStyle w:val="Funotenanker"/>
        </w:rPr>
        <w:footnoteReference w:customMarkFollows="1" w:id="383"/>
        <w:t>k</w:t>
      </w:r>
      <w:r>
        <w:rPr/>
        <w:t xml:space="preserve"> mich ergreifen,Mich herausziehen aus vielen Wassern,</w:t>
      </w:r>
      <w:r>
        <w:rPr>
          <w:rStyle w:val="Funotenanker"/>
        </w:rPr>
        <w:footnoteReference w:customMarkFollows="1" w:id="384"/>
        <w:t>l</w:t>
      </w:r>
      <w:r>
        <w:rPr/>
        <w:t xml:space="preserve"> </w:t>
        <w:br/>
        <w:t xml:space="preserve">{{field-off:bible}} </w:t>
        <w:br/>
        <w:t>[[@BibleTOBIBLE:2Sa 22:18]]</w:t>
      </w:r>
      <w:r>
        <w:rPr>
          <w:b/>
        </w:rPr>
        <w:t>18</w:t>
      </w:r>
      <w:r>
        <w:rPr/>
        <w:t xml:space="preserve"> {{field-on:bible}} </w:t>
        <w:br/>
        <w:t>Es möge mich retten vor meinem Feind der Starke Und vor meinen Hassern, weil sie kräftiger sind als ich!</w:t>
        <w:br/>
        <w:t xml:space="preserve">{{field-off:bible}} </w:t>
        <w:br/>
        <w:t>[[@BibleTOBIBLE:2Sa 22:19]]</w:t>
      </w:r>
      <w:r>
        <w:rPr>
          <w:b/>
        </w:rPr>
        <w:t>19</w:t>
      </w:r>
      <w:r>
        <w:rPr/>
        <w:t xml:space="preserve"> {{field-on:bible}} </w:t>
        <w:br/>
        <w:t>Sie werden mir entgegentreten am Tag meines Unglücks!“</w:t>
        <w:br/>
        <w:t xml:space="preserve">Und </w:t>
      </w:r>
      <w:r>
        <w:rPr>
          <w:smallCaps/>
          <w:color w:val="FF0000"/>
        </w:rPr>
        <w:t>JHWH</w:t>
      </w:r>
      <w:r>
        <w:rPr/>
        <w:t xml:space="preserve"> war meine Stütze:</w:t>
        <w:br/>
        <w:t xml:space="preserve">{{field-off:bible}} </w:t>
        <w:br/>
        <w:t>[[@BibleTOBIBLE:2Sa 22:20]]</w:t>
      </w:r>
      <w:r>
        <w:rPr>
          <w:b/>
        </w:rPr>
        <w:t>20</w:t>
      </w:r>
      <w:r>
        <w:rPr/>
        <w:t xml:space="preserve"> {{field-on:bible}} </w:t>
        <w:br/>
        <w:t>Er führte mich ins Weite.</w:t>
        <w:br/>
        <w:br/>
      </w:r>
      <w:r>
        <w:rPr>
          <w:b/>
          <w:color w:val="808080"/>
        </w:rPr>
        <w:t>[</w:t>
      </w:r>
      <w:r>
        <w:rPr/>
        <w:t>Ich wusste:</w:t>
      </w:r>
      <w:r>
        <w:rPr>
          <w:b/>
          <w:color w:val="808080"/>
        </w:rPr>
        <w:t>]</w:t>
      </w:r>
      <w:r>
        <w:rPr/>
        <w:t xml:space="preserve"> „Er wird mich retten, weil er Gefallen hat an mir:</w:t>
        <w:br/>
        <w:t xml:space="preserve">{{field-off:bible}} </w:t>
        <w:br/>
        <w:t>[[@BibleTOBIBLE:2Sa 22:21]]</w:t>
      </w:r>
      <w:r>
        <w:rPr>
          <w:b/>
        </w:rPr>
        <w:t>21</w:t>
      </w:r>
      <w:r>
        <w:rPr/>
        <w:t xml:space="preserve"> {{field-on:bible}} </w:t>
        <w:br/>
        <w:t xml:space="preserve">Es wird mich belohnen </w:t>
      </w:r>
      <w:r>
        <w:rPr>
          <w:smallCaps/>
          <w:color w:val="FF0000"/>
        </w:rPr>
        <w:t>JHWH</w:t>
      </w:r>
      <w:r>
        <w:rPr/>
        <w:t xml:space="preserve"> entsprechend meiner Gerechtigkeit,Entsprechend der Reinheit meiner Hände wird er mir zurückgeben,</w:t>
        <w:br/>
        <w:t xml:space="preserve">{{field-off:bible}} </w:t>
        <w:br/>
        <w:t>[[@BibleTOBIBLE:2Sa 22:22]]</w:t>
      </w:r>
      <w:r>
        <w:rPr>
          <w:b/>
        </w:rPr>
        <w:t>22</w:t>
      </w:r>
      <w:r>
        <w:rPr/>
        <w:t xml:space="preserve"> {{field-on:bible}} </w:t>
        <w:br/>
        <w:t xml:space="preserve">Denn ich wahrte die Wege </w:t>
      </w:r>
      <w:r>
        <w:rPr>
          <w:smallCaps/>
          <w:color w:val="FF0000"/>
        </w:rPr>
        <w:t>JHWH</w:t>
      </w:r>
      <w:r>
        <w:rPr/>
        <w:t>sUnd handelte nicht böse von</w:t>
      </w:r>
      <w:r>
        <w:rPr>
          <w:rStyle w:val="Funotenanker"/>
        </w:rPr>
        <w:footnoteReference w:customMarkFollows="1" w:id="385"/>
        <w:t>m</w:t>
      </w:r>
      <w:r>
        <w:rPr/>
        <w:t xml:space="preserve"> meinem Gott,</w:t>
        <w:br/>
        <w:t xml:space="preserve">{{field-off:bible}} </w:t>
        <w:br/>
        <w:t>[[@BibleTOBIBLE:2Sa 22:23]]</w:t>
      </w:r>
      <w:r>
        <w:rPr>
          <w:b/>
        </w:rPr>
        <w:t>23</w:t>
      </w:r>
      <w:r>
        <w:rPr/>
        <w:t xml:space="preserve"> {{field-on:bible}} </w:t>
        <w:br/>
        <w:t xml:space="preserve">Denn all seine Gesetze </w:t>
      </w:r>
      <w:r>
        <w:rPr>
          <w:b/>
          <w:color w:val="808080"/>
        </w:rPr>
        <w:t>[</w:t>
      </w:r>
      <w:r>
        <w:rPr/>
        <w:t>waren</w:t>
      </w:r>
      <w:r>
        <w:rPr>
          <w:b/>
          <w:color w:val="808080"/>
        </w:rPr>
        <w:t>]</w:t>
      </w:r>
      <w:r>
        <w:rPr/>
        <w:t xml:space="preserve"> vor mir</w:t>
      </w:r>
      <w:r>
        <w:rPr>
          <w:rStyle w:val="Funotenanker"/>
        </w:rPr>
        <w:footnoteReference w:customMarkFollows="1" w:id="386"/>
        <w:t>n</w:t>
      </w:r>
      <w:r>
        <w:rPr/>
        <w:t>Und seine Satzungen werde ich nicht von mir stoßen</w:t>
        <w:br/>
        <w:t xml:space="preserve">{{field-off:bible}} </w:t>
        <w:br/>
        <w:t>[[@BibleTOBIBLE:2Sa 22:24]]</w:t>
      </w:r>
      <w:r>
        <w:rPr>
          <w:b/>
        </w:rPr>
        <w:t>24</w:t>
      </w:r>
      <w:r>
        <w:rPr/>
        <w:t xml:space="preserve"> {{field-on:bible}} </w:t>
        <w:br/>
        <w:t>Und ich verhielt mich gegen ihn perfektUnd ich hütete mich vor meinen Fehlern.“</w:t>
        <w:br/>
        <w:t xml:space="preserve">{{field-off:bible}} </w:t>
        <w:br/>
        <w:t>[[@BibleTOBIBLE:2Sa 22:25]]</w:t>
      </w:r>
      <w:r>
        <w:rPr>
          <w:b/>
        </w:rPr>
        <w:t>25</w:t>
      </w:r>
      <w:r>
        <w:rPr/>
        <w:t xml:space="preserve"> {{field-on:bible}} </w:t>
        <w:br/>
        <w:t xml:space="preserve">Und es gab </w:t>
      </w:r>
      <w:r>
        <w:rPr>
          <w:smallCaps/>
          <w:color w:val="FF0000"/>
        </w:rPr>
        <w:t>JHWH</w:t>
      </w:r>
      <w:r>
        <w:rPr/>
        <w:t xml:space="preserve"> mir zurück entsprechend meiner Gerechtigkeit,Entsprechend meiner Reinheit vor seinen Augen.</w:t>
        <w:br/>
        <w:br/>
        <w:t xml:space="preserve">{{field-off:bible}} </w:t>
        <w:br/>
        <w:t>[[@BibleTOBIBLE:2Sa 22:26]]</w:t>
      </w:r>
      <w:r>
        <w:rPr>
          <w:b/>
        </w:rPr>
        <w:t>26</w:t>
      </w:r>
      <w:r>
        <w:rPr/>
        <w:t xml:space="preserve"> {{field-on:bible}} </w:t>
        <w:br/>
      </w:r>
      <w:r>
        <w:rPr>
          <w:b/>
          <w:color w:val="808080"/>
        </w:rPr>
        <w:t>[</w:t>
      </w:r>
      <w:r>
        <w:rPr/>
        <w:t>Dem</w:t>
      </w:r>
      <w:r>
        <w:rPr>
          <w:b/>
          <w:color w:val="808080"/>
        </w:rPr>
        <w:t>]</w:t>
      </w:r>
      <w:r>
        <w:rPr/>
        <w:t xml:space="preserve"> Bundestreuen gegenüber wirst du dich bundestreu erweisen,Und </w:t>
      </w:r>
      <w:r>
        <w:rPr>
          <w:b/>
          <w:color w:val="808080"/>
        </w:rPr>
        <w:t>[</w:t>
      </w:r>
      <w:r>
        <w:rPr/>
        <w:t>dem</w:t>
      </w:r>
      <w:r>
        <w:rPr>
          <w:b/>
          <w:color w:val="808080"/>
        </w:rPr>
        <w:t>]</w:t>
      </w:r>
      <w:r>
        <w:rPr/>
        <w:t xml:space="preserve"> perfekten Mann gegenüber wirst du dich perfekt erweisen,</w:t>
        <w:br/>
        <w:t xml:space="preserve">{{field-off:bible}} </w:t>
        <w:br/>
        <w:t>[[@BibleTOBIBLE:2Sa 22:27]]</w:t>
      </w:r>
      <w:r>
        <w:rPr>
          <w:b/>
        </w:rPr>
        <w:t>27</w:t>
      </w:r>
      <w:r>
        <w:rPr/>
        <w:t xml:space="preserve"> {{field-on:bible}} </w:t>
        <w:br/>
      </w:r>
      <w:r>
        <w:rPr>
          <w:b/>
          <w:color w:val="808080"/>
        </w:rPr>
        <w:t>[</w:t>
      </w:r>
      <w:r>
        <w:rPr/>
        <w:t>Dem</w:t>
      </w:r>
      <w:r>
        <w:rPr>
          <w:b/>
          <w:color w:val="808080"/>
        </w:rPr>
        <w:t>]</w:t>
      </w:r>
      <w:r>
        <w:rPr/>
        <w:t xml:space="preserve"> Reinen gegenüber wirst du dich rein erweisen,Dem Falschen gegenüber wirst du dich verkehrt erweisen.</w:t>
        <w:br/>
        <w:t xml:space="preserve">{{field-off:bible}} </w:t>
        <w:br/>
        <w:t>[[@BibleTOBIBLE:2Sa 22:28]]</w:t>
      </w:r>
      <w:r>
        <w:rPr>
          <w:b/>
        </w:rPr>
        <w:t>28</w:t>
      </w:r>
      <w:r>
        <w:rPr/>
        <w:t xml:space="preserve"> {{field-on:bible}} </w:t>
        <w:br/>
        <w:t>Du rettest das arme Volk,Doch die Augen Hochmütiger beugst du nieder.</w:t>
        <w:br/>
        <w:t xml:space="preserve">{{field-off:bible}} </w:t>
        <w:br/>
        <w:t>[[@BibleTOBIBLE:2Sa 22:29]]</w:t>
      </w:r>
      <w:r>
        <w:rPr>
          <w:b/>
        </w:rPr>
        <w:t>29</w:t>
      </w:r>
      <w:r>
        <w:rPr/>
        <w:t xml:space="preserve"> {{field-on:bible}} </w:t>
        <w:br/>
        <w:t xml:space="preserve">Ja, du bist meine Lampe, </w:t>
      </w:r>
      <w:r>
        <w:rPr>
          <w:smallCaps/>
          <w:color w:val="FF0000"/>
        </w:rPr>
        <w:t>JHWH</w:t>
      </w:r>
      <w:r>
        <w:rPr/>
        <w:t>,</w:t>
      </w:r>
      <w:r>
        <w:rPr>
          <w:smallCaps/>
          <w:color w:val="FF0000"/>
        </w:rPr>
        <w:t>JHWH</w:t>
      </w:r>
      <w:r>
        <w:rPr/>
        <w:t xml:space="preserve"> wird erhellen meine Dunkelheit.</w:t>
        <w:br/>
        <w:t xml:space="preserve">{{field-off:bible}} </w:t>
        <w:br/>
        <w:t>[[@BibleTOBIBLE:2Sa 22:30]]</w:t>
      </w:r>
      <w:r>
        <w:rPr>
          <w:b/>
        </w:rPr>
        <w:t>30</w:t>
      </w:r>
      <w:r>
        <w:rPr/>
        <w:t xml:space="preserve"> {{field-on:bible}} </w:t>
        <w:br/>
        <w:t xml:space="preserve">Ja, mit dir werde </w:t>
      </w:r>
      <w:r>
        <w:rPr>
          <w:color w:val="808080"/>
        </w:rPr>
        <w:t>(kann)</w:t>
      </w:r>
      <w:r>
        <w:rPr/>
        <w:t xml:space="preserve"> ich überrennen </w:t>
      </w:r>
      <w:r>
        <w:rPr>
          <w:color w:val="808080"/>
        </w:rPr>
        <w:t>(zerschmettern)</w:t>
      </w:r>
      <w:r>
        <w:rPr/>
        <w:t xml:space="preserve"> eine TruppeUnd mit meinem Gott werde </w:t>
      </w:r>
      <w:r>
        <w:rPr>
          <w:color w:val="808080"/>
        </w:rPr>
        <w:t>(kann)</w:t>
      </w:r>
      <w:r>
        <w:rPr/>
        <w:t xml:space="preserve"> ich eine Mauer überspringen.</w:t>
        <w:br/>
        <w:br/>
        <w:t xml:space="preserve">{{field-off:bible}} </w:t>
        <w:br/>
        <w:t>[[@BibleTOBIBLE:2Sa 22:31]]</w:t>
      </w:r>
      <w:r>
        <w:rPr>
          <w:b/>
        </w:rPr>
        <w:t>31</w:t>
      </w:r>
      <w:r>
        <w:rPr/>
        <w:t xml:space="preserve"> {{field-on:bible}} </w:t>
        <w:br/>
        <w:t xml:space="preserve">Gott - vollkommen </w:t>
      </w:r>
      <w:r>
        <w:rPr>
          <w:b/>
          <w:color w:val="808080"/>
        </w:rPr>
        <w:t>[</w:t>
      </w:r>
      <w:r>
        <w:rPr/>
        <w:t>ist</w:t>
      </w:r>
      <w:r>
        <w:rPr>
          <w:b/>
          <w:color w:val="808080"/>
        </w:rPr>
        <w:t>]</w:t>
      </w:r>
      <w:r>
        <w:rPr/>
        <w:t xml:space="preserve"> sein Weg. Das Wort </w:t>
      </w:r>
      <w:r>
        <w:rPr>
          <w:smallCaps/>
          <w:color w:val="FF0000"/>
        </w:rPr>
        <w:t>JHWH</w:t>
      </w:r>
      <w:r>
        <w:rPr/>
        <w:t xml:space="preserve">s ist erprobt, Ein Schild </w:t>
      </w:r>
      <w:r>
        <w:rPr>
          <w:b/>
          <w:color w:val="808080"/>
        </w:rPr>
        <w:t>[</w:t>
      </w:r>
      <w:r>
        <w:rPr/>
        <w:t>ist</w:t>
      </w:r>
      <w:r>
        <w:rPr>
          <w:b/>
          <w:color w:val="808080"/>
        </w:rPr>
        <w:t>]</w:t>
      </w:r>
      <w:r>
        <w:rPr/>
        <w:t xml:space="preserve"> er für alle, die auf ihn vertrauen </w:t>
      </w:r>
      <w:r>
        <w:rPr>
          <w:color w:val="808080"/>
        </w:rPr>
        <w:t>(die zu ihm flüchten)</w:t>
      </w:r>
      <w:r>
        <w:rPr/>
        <w:t>.</w:t>
        <w:br/>
        <w:t xml:space="preserve">{{field-off:bible}} </w:t>
        <w:br/>
        <w:t>[[@BibleTOBIBLE:2Sa 22:32]]</w:t>
      </w:r>
      <w:r>
        <w:rPr>
          <w:b/>
        </w:rPr>
        <w:t>32</w:t>
      </w:r>
      <w:r>
        <w:rPr/>
        <w:t xml:space="preserve"> {{field-on:bible}} </w:t>
        <w:br/>
        <w:t xml:space="preserve">Ja, wer ist Gott außer </w:t>
      </w:r>
      <w:r>
        <w:rPr>
          <w:smallCaps/>
          <w:color w:val="FF0000"/>
        </w:rPr>
        <w:t>JHWH</w:t>
      </w:r>
      <w:r>
        <w:rPr/>
        <w:t>Und wer ein Berg außer unserem Gott –</w:t>
        <w:br/>
        <w:t xml:space="preserve">{{field-off:bible}} </w:t>
        <w:br/>
        <w:t>[[@BibleTOBIBLE:2Sa 22:33]]</w:t>
      </w:r>
      <w:r>
        <w:rPr>
          <w:b/>
        </w:rPr>
        <w:t>33</w:t>
      </w:r>
      <w:r>
        <w:rPr/>
        <w:t xml:space="preserve"> {{field-on:bible}} </w:t>
        <w:br/>
        <w:t xml:space="preserve">Dem Gott, </w:t>
      </w:r>
      <w:r>
        <w:rPr>
          <w:b/>
          <w:color w:val="808080"/>
        </w:rPr>
        <w:t>[</w:t>
      </w:r>
      <w:r>
        <w:rPr/>
        <w:t>der</w:t>
      </w:r>
      <w:r>
        <w:rPr>
          <w:b/>
          <w:color w:val="808080"/>
        </w:rPr>
        <w:t>]</w:t>
      </w:r>
      <w:r>
        <w:rPr/>
        <w:t xml:space="preserve"> mich stärkt </w:t>
      </w:r>
      <w:r>
        <w:rPr>
          <w:b/>
          <w:color w:val="808080"/>
        </w:rPr>
        <w:t>[</w:t>
      </w:r>
      <w:r>
        <w:rPr/>
        <w:t>mit</w:t>
      </w:r>
      <w:r>
        <w:rPr>
          <w:b/>
          <w:color w:val="808080"/>
        </w:rPr>
        <w:t>]</w:t>
      </w:r>
      <w:r>
        <w:rPr/>
        <w:t xml:space="preserve"> KraftUnd der meinen Weg perfekt machte,</w:t>
        <w:br/>
        <w:t xml:space="preserve">{{field-off:bible}} </w:t>
        <w:br/>
        <w:t>[[@BibleTOBIBLE:2Sa 22:34]]</w:t>
      </w:r>
      <w:r>
        <w:rPr>
          <w:b/>
        </w:rPr>
        <w:t>34</w:t>
      </w:r>
      <w:r>
        <w:rPr/>
        <w:t xml:space="preserve"> {{field-on:bible}} </w:t>
        <w:br/>
        <w:t>Der meinen Fuß einer Gazelle gleich machteUnd mich auf meine Höhen stellte,</w:t>
        <w:br/>
        <w:t xml:space="preserve">{{field-off:bible}} </w:t>
        <w:br/>
        <w:t>[[@BibleTOBIBLE:2Sa 22:35]]</w:t>
      </w:r>
      <w:r>
        <w:rPr>
          <w:b/>
        </w:rPr>
        <w:t>35</w:t>
      </w:r>
      <w:r>
        <w:rPr/>
        <w:t xml:space="preserve"> {{field-on:bible}} </w:t>
        <w:br/>
        <w:t>Der meine Hände für den Kampf trainierte,Um zu stärken</w:t>
      </w:r>
      <w:r>
        <w:rPr>
          <w:rStyle w:val="Funotenanker"/>
        </w:rPr>
        <w:footnoteReference w:customMarkFollows="1" w:id="387"/>
        <w:t>o</w:t>
      </w:r>
      <w:r>
        <w:rPr/>
        <w:t xml:space="preserve"> </w:t>
      </w:r>
      <w:r>
        <w:rPr>
          <w:b/>
          <w:color w:val="808080"/>
        </w:rPr>
        <w:t>[</w:t>
      </w:r>
      <w:r>
        <w:rPr/>
        <w:t>wie</w:t>
      </w:r>
      <w:r>
        <w:rPr>
          <w:b/>
          <w:color w:val="808080"/>
        </w:rPr>
        <w:t>]</w:t>
      </w:r>
      <w:r>
        <w:rPr/>
        <w:t xml:space="preserve"> einen Kupferbogen meine Arme!?</w:t>
        <w:br/>
        <w:t xml:space="preserve">{{field-off:bible}} </w:t>
        <w:br/>
        <w:t>[[@BibleTOBIBLE:2Sa 22:36]]</w:t>
      </w:r>
      <w:r>
        <w:rPr>
          <w:b/>
        </w:rPr>
        <w:t>36</w:t>
      </w:r>
      <w:r>
        <w:rPr/>
        <w:t xml:space="preserve"> {{field-on:bible}} </w:t>
        <w:br/>
        <w:t>Und du gabst mir den Schild der Rettung Und deine rechte Hand wird mich stützenUnd deine Erhörung wird mich vergrößern.</w:t>
        <w:br/>
        <w:t xml:space="preserve">{{field-off:bible}} </w:t>
        <w:br/>
        <w:t>[[@BibleTOBIBLE:2Sa 22:37]]</w:t>
      </w:r>
      <w:r>
        <w:rPr>
          <w:b/>
        </w:rPr>
        <w:t>37</w:t>
      </w:r>
      <w:r>
        <w:rPr/>
        <w:t xml:space="preserve"> {{field-on:bible}} </w:t>
        <w:br/>
        <w:t>Du wirst weit machen meine Schritte unter mirUnd meine Knöchel wanken nicht.</w:t>
        <w:br/>
        <w:br/>
        <w:t xml:space="preserve">{{field-off:bible}} </w:t>
        <w:br/>
        <w:t>[[@BibleTOBIBLE:2Sa 22:38]]</w:t>
      </w:r>
      <w:r>
        <w:rPr>
          <w:b/>
        </w:rPr>
        <w:t>38</w:t>
      </w:r>
      <w:r>
        <w:rPr/>
        <w:t xml:space="preserve"> {{field-on:bible}} </w:t>
        <w:br/>
        <w:t>Ich werde nachjagen meinen Feinden und sie erreichenUnd werde nicht umkehren, bis ich sie zerstört habe.</w:t>
        <w:br/>
        <w:t xml:space="preserve">{{field-off:bible}} </w:t>
        <w:br/>
        <w:t>[[@BibleTOBIBLE:2Sa 22:39]]</w:t>
      </w:r>
      <w:r>
        <w:rPr>
          <w:b/>
        </w:rPr>
        <w:t>39</w:t>
      </w:r>
      <w:r>
        <w:rPr/>
        <w:t xml:space="preserve"> {{field-on:bible}} </w:t>
        <w:br/>
        <w:t>Ich werde sie zerschmettern und sie werden sich nicht erheben können,Sie werden unter meine Füße fallen!</w:t>
        <w:br/>
        <w:t xml:space="preserve">{{field-off:bible}} </w:t>
        <w:br/>
        <w:t>[[@BibleTOBIBLE:2Sa 22:40]]</w:t>
      </w:r>
      <w:r>
        <w:rPr>
          <w:b/>
        </w:rPr>
        <w:t>40</w:t>
      </w:r>
      <w:r>
        <w:rPr/>
        <w:t xml:space="preserve"> {{field-on:bible}} </w:t>
        <w:br/>
        <w:t xml:space="preserve">Und du gürtetest mich mit Kraft für den Kampf,Du wirst beugen </w:t>
      </w:r>
      <w:r>
        <w:rPr>
          <w:b/>
          <w:color w:val="808080"/>
        </w:rPr>
        <w:t>[</w:t>
      </w:r>
      <w:r>
        <w:rPr/>
        <w:t>die</w:t>
      </w:r>
      <w:r>
        <w:rPr>
          <w:b/>
          <w:color w:val="808080"/>
        </w:rPr>
        <w:t>]</w:t>
      </w:r>
      <w:r>
        <w:rPr/>
        <w:t xml:space="preserve">, die sich </w:t>
      </w:r>
      <w:r>
        <w:rPr>
          <w:b/>
          <w:color w:val="808080"/>
        </w:rPr>
        <w:t>[</w:t>
      </w:r>
      <w:r>
        <w:rPr/>
        <w:t>gegen</w:t>
      </w:r>
      <w:r>
        <w:rPr>
          <w:b/>
          <w:color w:val="808080"/>
        </w:rPr>
        <w:t>]</w:t>
      </w:r>
      <w:r>
        <w:rPr/>
        <w:t xml:space="preserve"> mich erheben, unter mich!</w:t>
        <w:br/>
        <w:t xml:space="preserve">{{field-off:bible}} </w:t>
        <w:br/>
        <w:t>[[@BibleTOBIBLE:2Sa 22:41]]</w:t>
      </w:r>
      <w:r>
        <w:rPr>
          <w:b/>
        </w:rPr>
        <w:t>41</w:t>
      </w:r>
      <w:r>
        <w:rPr/>
        <w:t xml:space="preserve"> {{field-on:bible}} </w:t>
        <w:br/>
        <w:t xml:space="preserve">Und meine Feinde – du gabst mir </w:t>
      </w:r>
      <w:r>
        <w:rPr>
          <w:b/>
          <w:color w:val="808080"/>
        </w:rPr>
        <w:t>[</w:t>
      </w:r>
      <w:r>
        <w:rPr/>
        <w:t>ihren</w:t>
      </w:r>
      <w:r>
        <w:rPr>
          <w:b/>
          <w:color w:val="808080"/>
        </w:rPr>
        <w:t>]</w:t>
      </w:r>
      <w:r>
        <w:rPr/>
        <w:t xml:space="preserve"> Rücken;</w:t>
      </w:r>
      <w:r>
        <w:rPr>
          <w:rStyle w:val="Funotenanker"/>
        </w:rPr>
        <w:footnoteReference w:customMarkFollows="1" w:id="388"/>
        <w:t>p</w:t>
      </w:r>
      <w:r>
        <w:rPr/>
        <w:t>Meine Hasser werde ich vernichten.</w:t>
        <w:br/>
        <w:t xml:space="preserve">{{field-off:bible}} </w:t>
        <w:br/>
        <w:t>[[@BibleTOBIBLE:2Sa 22:42]]</w:t>
      </w:r>
      <w:r>
        <w:rPr>
          <w:b/>
        </w:rPr>
        <w:t>42</w:t>
      </w:r>
      <w:r>
        <w:rPr/>
        <w:t xml:space="preserve"> {{field-on:bible}} </w:t>
        <w:br/>
        <w:t xml:space="preserve">Sie werden schreien, doch es </w:t>
      </w:r>
      <w:r>
        <w:rPr>
          <w:b/>
          <w:color w:val="808080"/>
        </w:rPr>
        <w:t>[</w:t>
      </w:r>
      <w:r>
        <w:rPr/>
        <w:t>wird für sie</w:t>
      </w:r>
      <w:r>
        <w:rPr>
          <w:b/>
          <w:color w:val="808080"/>
        </w:rPr>
        <w:t>]</w:t>
      </w:r>
      <w:r>
        <w:rPr/>
        <w:t xml:space="preserve"> nicht geben einen Retter,Zu </w:t>
      </w:r>
      <w:r>
        <w:rPr>
          <w:smallCaps/>
          <w:color w:val="FF0000"/>
        </w:rPr>
        <w:t>JHWH</w:t>
      </w:r>
      <w:r>
        <w:rPr/>
        <w:t>,</w:t>
      </w:r>
      <w:r>
        <w:rPr>
          <w:rStyle w:val="Funotenanker"/>
        </w:rPr>
        <w:footnoteReference w:customMarkFollows="1" w:id="389"/>
        <w:t>q</w:t>
      </w:r>
      <w:r>
        <w:rPr/>
        <w:t xml:space="preserve"> aber er antwortete ihnen nicht.</w:t>
      </w:r>
      <w:r>
        <w:rPr>
          <w:rStyle w:val="Funotenanker"/>
        </w:rPr>
        <w:footnoteReference w:customMarkFollows="1" w:id="390"/>
        <w:t>r</w:t>
      </w:r>
      <w:r>
        <w:rPr/>
        <w:t xml:space="preserve"> </w:t>
        <w:br/>
        <w:t xml:space="preserve">{{field-off:bible}} </w:t>
        <w:br/>
        <w:t>[[@BibleTOBIBLE:2Sa 22:43]]</w:t>
      </w:r>
      <w:r>
        <w:rPr>
          <w:b/>
        </w:rPr>
        <w:t>43</w:t>
      </w:r>
      <w:r>
        <w:rPr/>
        <w:t xml:space="preserve"> {{field-on:bible}} </w:t>
        <w:br/>
        <w:t xml:space="preserve">Ich werde sie zermalmen wie Staub auf dem </w:t>
      </w:r>
      <w:r>
        <w:rPr>
          <w:strike/>
          <w:color w:val="808080"/>
        </w:rPr>
        <w:t>{Gesicht des}</w:t>
      </w:r>
      <w:r>
        <w:rPr/>
        <w:t xml:space="preserve"> Weg</w:t>
      </w:r>
      <w:r>
        <w:rPr>
          <w:strike/>
          <w:color w:val="808080"/>
        </w:rPr>
        <w:t>{es}</w:t>
      </w:r>
      <w:r>
        <w:rPr/>
        <w:t xml:space="preserve">,Wie Kot </w:t>
      </w:r>
      <w:r>
        <w:rPr>
          <w:b/>
          <w:color w:val="808080"/>
        </w:rPr>
        <w:t>[</w:t>
      </w:r>
      <w:r>
        <w:rPr/>
        <w:t>auf</w:t>
      </w:r>
      <w:r>
        <w:rPr>
          <w:b/>
          <w:color w:val="808080"/>
        </w:rPr>
        <w:t>]</w:t>
      </w:r>
      <w:r>
        <w:rPr/>
        <w:t xml:space="preserve"> der Straße werde ich sie ausschütten!</w:t>
        <w:br/>
        <w:br/>
        <w:t xml:space="preserve">{{field-off:bible}} </w:t>
        <w:br/>
        <w:t>[[@BibleTOBIBLE:2Sa 22:44]]</w:t>
      </w:r>
      <w:r>
        <w:rPr>
          <w:b/>
        </w:rPr>
        <w:t>44</w:t>
      </w:r>
      <w:r>
        <w:rPr/>
        <w:t xml:space="preserve"> {{field-on:bible}} </w:t>
        <w:br/>
        <w:t xml:space="preserve">Du wirst mich retten aus den Auseinandersetzungen des Volkes,Du wirst mich einsetzen als Haupt der Heiden,Ein Volk, </w:t>
      </w:r>
      <w:r>
        <w:rPr>
          <w:b/>
          <w:color w:val="808080"/>
        </w:rPr>
        <w:t>[</w:t>
      </w:r>
      <w:r>
        <w:rPr/>
        <w:t>das</w:t>
      </w:r>
      <w:r>
        <w:rPr>
          <w:b/>
          <w:color w:val="808080"/>
        </w:rPr>
        <w:t>]</w:t>
      </w:r>
      <w:r>
        <w:rPr/>
        <w:t xml:space="preserve"> ich nicht kenne </w:t>
      </w:r>
      <w:r>
        <w:rPr>
          <w:color w:val="808080"/>
        </w:rPr>
        <w:t>(kannte)</w:t>
      </w:r>
      <w:r>
        <w:rPr/>
        <w:t>, wird mir dienen.</w:t>
        <w:br/>
        <w:t xml:space="preserve">{{field-off:bible}} </w:t>
        <w:br/>
        <w:t>[[@BibleTOBIBLE:2Sa 22:45]]</w:t>
      </w:r>
      <w:r>
        <w:rPr>
          <w:b/>
        </w:rPr>
        <w:t>45</w:t>
      </w:r>
      <w:r>
        <w:rPr/>
        <w:t xml:space="preserve"> {{field-on:bible}} </w:t>
        <w:br/>
        <w:t xml:space="preserve">Auf Gehörtes des Ohrs </w:t>
      </w:r>
      <w:r>
        <w:rPr>
          <w:b/>
          <w:color w:val="808080"/>
        </w:rPr>
        <w:t>[</w:t>
      </w:r>
      <w:r>
        <w:rPr/>
        <w:t>hin</w:t>
      </w:r>
      <w:r>
        <w:rPr>
          <w:b/>
          <w:color w:val="808080"/>
        </w:rPr>
        <w:t>]</w:t>
      </w:r>
      <w:r>
        <w:rPr/>
        <w:t xml:space="preserve"> werden sie auf mich hören,</w:t>
      </w:r>
      <w:r>
        <w:rPr>
          <w:strike/>
          <w:color w:val="808080"/>
        </w:rPr>
        <w:t>{Kinder von }</w:t>
      </w:r>
      <w:r>
        <w:rPr/>
        <w:t>Ausländer</w:t>
      </w:r>
      <w:r>
        <w:rPr>
          <w:strike/>
          <w:color w:val="808080"/>
        </w:rPr>
        <w:t>{n}</w:t>
      </w:r>
      <w:r>
        <w:rPr/>
        <w:t xml:space="preserve"> werden mir </w:t>
      </w:r>
      <w:r>
        <w:rPr>
          <w:b/>
          <w:color w:val="808080"/>
        </w:rPr>
        <w:t>[</w:t>
      </w:r>
      <w:r>
        <w:rPr/>
        <w:t>Ergebung</w:t>
      </w:r>
      <w:r>
        <w:rPr>
          <w:b/>
          <w:color w:val="808080"/>
        </w:rPr>
        <w:t>]</w:t>
      </w:r>
      <w:r>
        <w:rPr/>
        <w:t xml:space="preserve"> heucheln </w:t>
      </w:r>
      <w:r>
        <w:rPr>
          <w:color w:val="808080"/>
        </w:rPr>
        <w:t>(mir schmeicheln)</w:t>
      </w:r>
      <w:r>
        <w:rPr/>
        <w:t>,</w:t>
      </w:r>
      <w:r>
        <w:rPr>
          <w:rStyle w:val="Funotenanker"/>
        </w:rPr>
        <w:footnoteReference w:customMarkFollows="1" w:id="391"/>
        <w:t>s</w:t>
      </w:r>
      <w:r>
        <w:rPr/>
        <w:t xml:space="preserve"> </w:t>
        <w:br/>
        <w:t xml:space="preserve">{{field-off:bible}} </w:t>
        <w:br/>
        <w:t>[[@BibleTOBIBLE:2Sa 22:46]]</w:t>
      </w:r>
      <w:r>
        <w:rPr>
          <w:b/>
        </w:rPr>
        <w:t>46</w:t>
      </w:r>
      <w:r>
        <w:rPr/>
        <w:t xml:space="preserve"> {{field-on:bible}} </w:t>
        <w:br/>
      </w:r>
      <w:r>
        <w:rPr>
          <w:strike/>
          <w:color w:val="808080"/>
        </w:rPr>
        <w:t>{Kinder von }</w:t>
      </w:r>
      <w:r>
        <w:rPr/>
        <w:t>Ausländer</w:t>
      </w:r>
      <w:r>
        <w:rPr>
          <w:strike/>
          <w:color w:val="808080"/>
        </w:rPr>
        <w:t>{n}</w:t>
      </w:r>
      <w:r>
        <w:rPr/>
        <w:t xml:space="preserve"> werden vergehen</w:t>
        <w:br/>
        <w:t xml:space="preserve">Und sich </w:t>
      </w:r>
      <w:r>
        <w:rPr>
          <w:b/>
          <w:color w:val="808080"/>
        </w:rPr>
        <w:t>[</w:t>
      </w:r>
      <w:r>
        <w:rPr/>
        <w:t>selbst</w:t>
      </w:r>
      <w:r>
        <w:rPr>
          <w:b/>
          <w:color w:val="808080"/>
        </w:rPr>
        <w:t>]</w:t>
      </w:r>
      <w:r>
        <w:rPr/>
        <w:t xml:space="preserve"> gürten mit ihren Banden.</w:t>
        <w:br/>
        <w:br/>
        <w:t xml:space="preserve">{{field-off:bible}} </w:t>
        <w:br/>
        <w:t>[[@BibleTOBIBLE:2Sa 22:47]]</w:t>
      </w:r>
      <w:r>
        <w:rPr>
          <w:b/>
        </w:rPr>
        <w:t>47</w:t>
      </w:r>
      <w:r>
        <w:rPr/>
        <w:t xml:space="preserve"> {{field-on:bible}} </w:t>
        <w:br/>
      </w:r>
      <w:r>
        <w:rPr>
          <w:b/>
          <w:color w:val="808080"/>
        </w:rPr>
        <w:t>[</w:t>
      </w:r>
      <w:r>
        <w:rPr/>
        <w:t>So wahr</w:t>
      </w:r>
      <w:r>
        <w:rPr>
          <w:b/>
          <w:color w:val="808080"/>
        </w:rPr>
        <w:t>]</w:t>
      </w:r>
      <w:r>
        <w:rPr/>
        <w:t xml:space="preserve"> Gott lebt: Gesegnet </w:t>
      </w:r>
      <w:r>
        <w:rPr>
          <w:b/>
          <w:color w:val="808080"/>
        </w:rPr>
        <w:t>[</w:t>
      </w:r>
      <w:r>
        <w:rPr/>
        <w:t>sei</w:t>
      </w:r>
      <w:r>
        <w:rPr>
          <w:b/>
          <w:color w:val="808080"/>
        </w:rPr>
        <w:t>]</w:t>
      </w:r>
      <w:r>
        <w:rPr/>
        <w:t xml:space="preserve"> mein FelsUnd erhoben werden soll der Gott meiner Rettung,</w:t>
        <w:br/>
        <w:t xml:space="preserve">{{field-off:bible}} </w:t>
        <w:br/>
        <w:t>[[@BibleTOBIBLE:2Sa 22:48]]</w:t>
      </w:r>
      <w:r>
        <w:rPr>
          <w:b/>
        </w:rPr>
        <w:t>48</w:t>
      </w:r>
      <w:r>
        <w:rPr/>
        <w:t xml:space="preserve"> {{field-on:bible}} </w:t>
        <w:br/>
        <w:t xml:space="preserve">Der Gott, </w:t>
      </w:r>
      <w:r>
        <w:rPr>
          <w:b/>
          <w:color w:val="808080"/>
        </w:rPr>
        <w:t>[</w:t>
      </w:r>
      <w:r>
        <w:rPr/>
        <w:t>der</w:t>
      </w:r>
      <w:r>
        <w:rPr>
          <w:b/>
          <w:color w:val="808080"/>
        </w:rPr>
        <w:t>]</w:t>
      </w:r>
      <w:r>
        <w:rPr/>
        <w:t xml:space="preserve"> mir Rache gab </w:t>
      </w:r>
      <w:r>
        <w:rPr>
          <w:color w:val="808080"/>
        </w:rPr>
        <w:t>(gibt)</w:t>
      </w:r>
      <w:r>
        <w:rPr/>
        <w:t>Und Völker unter mich unterjocht hat,</w:t>
        <w:br/>
        <w:t xml:space="preserve">{{field-off:bible}} </w:t>
        <w:br/>
        <w:t>[[@BibleTOBIBLE:2Sa 22:49]]</w:t>
      </w:r>
      <w:r>
        <w:rPr>
          <w:b/>
        </w:rPr>
        <w:t>49</w:t>
      </w:r>
      <w:r>
        <w:rPr/>
        <w:t xml:space="preserve"> {{field-on:bible}} </w:t>
        <w:br/>
        <w:t>Der mich aus meinen Feinden herausholt,</w:t>
      </w:r>
      <w:r>
        <w:rPr>
          <w:rStyle w:val="Funotenanker"/>
        </w:rPr>
        <w:footnoteReference w:customMarkFollows="1" w:id="392"/>
        <w:t>t</w:t>
      </w:r>
      <w:r>
        <w:rPr/>
        <w:t>Mich erhöhen wird über die, die sich gegen mich erheben,Der du mich von dem gewalttätigen Mann befreien wirst.</w:t>
        <w:br/>
        <w:br/>
        <w:t xml:space="preserve">{{field-off:bible}} </w:t>
        <w:br/>
        <w:t>[[@BibleTOBIBLE:2Sa 22:50]]</w:t>
      </w:r>
      <w:r>
        <w:rPr>
          <w:b/>
        </w:rPr>
        <w:t>50</w:t>
      </w:r>
      <w:r>
        <w:rPr/>
        <w:t xml:space="preserve"> {{field-on:bible}} </w:t>
        <w:br/>
        <w:t xml:space="preserve">Darum will ich dich preisen, </w:t>
      </w:r>
      <w:r>
        <w:rPr>
          <w:smallCaps/>
          <w:color w:val="FF0000"/>
        </w:rPr>
        <w:t>JHWH</w:t>
      </w:r>
      <w:r>
        <w:rPr/>
        <w:t xml:space="preserve">, </w:t>
      </w:r>
      <w:r>
        <w:rPr>
          <w:b/>
          <w:color w:val="808080"/>
        </w:rPr>
        <w:t>[</w:t>
      </w:r>
      <w:r>
        <w:rPr/>
        <w:t>mitten</w:t>
      </w:r>
      <w:r>
        <w:rPr>
          <w:b/>
          <w:color w:val="808080"/>
        </w:rPr>
        <w:t>]</w:t>
      </w:r>
      <w:r>
        <w:rPr/>
        <w:t xml:space="preserve"> unter den Heiden,Und deinem Namen singen,</w:t>
        <w:br/>
        <w:t xml:space="preserve">{{field-off:bible}} </w:t>
        <w:br/>
        <w:t>[[@BibleTOBIBLE:2Sa 22:51]]</w:t>
      </w:r>
      <w:r>
        <w:rPr>
          <w:b/>
        </w:rPr>
        <w:t>51</w:t>
      </w:r>
      <w:r>
        <w:rPr/>
        <w:t xml:space="preserve"> {{field-on:bible}} </w:t>
        <w:br/>
        <w:t xml:space="preserve">Der groß macht das Heil </w:t>
      </w:r>
      <w:r>
        <w:rPr>
          <w:color w:val="808080"/>
        </w:rPr>
        <w:t xml:space="preserve">(der ein Turm des Heils </w:t>
      </w:r>
      <w:r>
        <w:rPr>
          <w:b/>
          <w:color w:val="808080"/>
        </w:rPr>
        <w:t>[</w:t>
      </w:r>
      <w:r>
        <w:rPr>
          <w:color w:val="808080"/>
        </w:rPr>
        <w:t>ist</w:t>
      </w:r>
      <w:r>
        <w:rPr>
          <w:b/>
          <w:color w:val="808080"/>
        </w:rPr>
        <w:t>]</w:t>
      </w:r>
      <w:r>
        <w:rPr>
          <w:color w:val="808080"/>
        </w:rPr>
        <w:t xml:space="preserve"> für)</w:t>
      </w:r>
      <w:r>
        <w:rPr/>
        <w:t xml:space="preserve"> </w:t>
      </w:r>
      <w:r>
        <w:rPr>
          <w:rStyle w:val="Funotenanker"/>
        </w:rPr>
        <w:footnoteReference w:customMarkFollows="1" w:id="393"/>
        <w:t>u</w:t>
      </w:r>
      <w:r>
        <w:rPr/>
        <w:t xml:space="preserve"> seines KönigsUnd seinem Gesalbten Bundestreue erweist,David und seinen Nachkommen auf ewig.</w:t>
        <w:br/>
        <w:t xml:space="preserve">{{field-off:bible}}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94"/>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95"/>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96"/>
        <w:t>b</w:t>
      </w:r>
      <w:r>
        <w:rPr/>
        <w:t xml:space="preserve">, </w:t>
        <w:br/>
        <w:t xml:space="preserve">der nicht dem Rat </w:t>
      </w:r>
      <w:r>
        <w:rPr>
          <w:color w:val="808080"/>
        </w:rPr>
        <w:t>(den Plänen)</w:t>
      </w:r>
      <w:r>
        <w:rPr/>
        <w:t xml:space="preserve"> </w:t>
      </w:r>
      <w:r>
        <w:rPr>
          <w:rStyle w:val="Funotenanker"/>
        </w:rPr>
        <w:footnoteReference w:customMarkFollows="1" w:id="397"/>
        <w:t>c</w:t>
      </w:r>
      <w:r>
        <w:rPr/>
        <w:t xml:space="preserve"> der Gottlosen </w:t>
      </w:r>
      <w:r>
        <w:rPr>
          <w:color w:val="808080"/>
        </w:rPr>
        <w:t>(Übeltäter)</w:t>
      </w:r>
      <w:r>
        <w:rPr/>
        <w:t xml:space="preserve"> </w:t>
      </w:r>
      <w:r>
        <w:rPr>
          <w:rStyle w:val="Funotenanker"/>
        </w:rPr>
        <w:footnoteReference w:customMarkFollows="1" w:id="398"/>
        <w:t>d</w:t>
      </w:r>
      <w:r>
        <w:rPr/>
        <w:t xml:space="preserve"> folgt </w:t>
      </w:r>
      <w:r>
        <w:rPr>
          <w:color w:val="808080"/>
        </w:rPr>
        <w:t>(gefolgt ist)</w:t>
      </w:r>
      <w:r>
        <w:rPr/>
        <w:t xml:space="preserve"> </w:t>
      </w:r>
      <w:r>
        <w:rPr>
          <w:rStyle w:val="Funotenanker"/>
        </w:rPr>
        <w:footnoteReference w:customMarkFollows="1" w:id="399"/>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400"/>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401"/>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402"/>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403"/>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404"/>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405"/>
        <w:t>k</w:t>
      </w:r>
      <w:r>
        <w:rPr/>
        <w:t>.</w:t>
      </w:r>
      <w:r>
        <w:rPr>
          <w:rStyle w:val="Funotenanker"/>
        </w:rPr>
        <w:footnoteReference w:customMarkFollows="1" w:id="406"/>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407"/>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408"/>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409"/>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410"/>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411"/>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412"/>
        <w:t>a</w:t>
      </w:r>
      <w:r>
        <w:rPr/>
        <w:t xml:space="preserve"> </w:t>
      </w:r>
      <w:r>
        <w:rPr>
          <w:rStyle w:val="Funotenanker"/>
        </w:rPr>
        <w:footnoteReference w:customMarkFollows="1" w:id="413"/>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414"/>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415"/>
        <w:t>d</w:t>
      </w:r>
      <w:r>
        <w:rPr/>
        <w:t xml:space="preserve"> stellen die Könige der Erde </w:t>
      </w:r>
      <w:r>
        <w:rPr>
          <w:color w:val="808080"/>
        </w:rPr>
        <w:t>(des Landes; irdischen Könige)</w:t>
      </w:r>
      <w:r>
        <w:rPr/>
        <w:t xml:space="preserve"> </w:t>
      </w:r>
      <w:r>
        <w:rPr>
          <w:rStyle w:val="Funotenanker"/>
        </w:rPr>
        <w:footnoteReference w:customMarkFollows="1" w:id="416"/>
        <w:t>e</w:t>
      </w:r>
      <w:r>
        <w:rPr/>
        <w:t xml:space="preserve"> sich </w:t>
      </w:r>
      <w:r>
        <w:rPr>
          <w:b/>
          <w:color w:val="808080"/>
        </w:rPr>
        <w:t>[</w:t>
      </w:r>
      <w:r>
        <w:rPr/>
        <w:t>zum Kampf</w:t>
      </w:r>
      <w:r>
        <w:rPr>
          <w:b/>
          <w:color w:val="808080"/>
        </w:rPr>
        <w:t>]</w:t>
      </w:r>
      <w:r>
        <w:rPr/>
        <w:t xml:space="preserve"> </w:t>
      </w:r>
      <w:r>
        <w:rPr>
          <w:rStyle w:val="Funotenanker"/>
        </w:rPr>
        <w:footnoteReference w:customMarkFollows="1" w:id="417"/>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18"/>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19"/>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20"/>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21"/>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22"/>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23"/>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24"/>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25"/>
        <w:t>n</w:t>
      </w:r>
      <w:r>
        <w:rPr/>
        <w:t xml:space="preserve"> habe meinen König auf Zion, meinem heiligen Berg</w:t>
      </w:r>
      <w:r>
        <w:rPr>
          <w:rStyle w:val="Funotenanker"/>
        </w:rPr>
        <w:footnoteReference w:customMarkFollows="1" w:id="426"/>
        <w:t>o</w:t>
      </w:r>
      <w:r>
        <w:rPr/>
        <w:t xml:space="preserve">, eingesetzt </w:t>
      </w:r>
      <w:r>
        <w:rPr>
          <w:color w:val="808080"/>
        </w:rPr>
        <w:t>(geweiht; setze ein)</w:t>
      </w:r>
      <w:r>
        <w:rPr/>
        <w:t xml:space="preserve"> </w:t>
      </w:r>
      <w:r>
        <w:rPr>
          <w:rStyle w:val="Funotenanker"/>
        </w:rPr>
        <w:footnoteReference w:customMarkFollows="1" w:id="427"/>
        <w:t>p</w:t>
      </w:r>
      <w:r>
        <w:rPr/>
        <w:t>.“</w:t>
        <w:br/>
        <w:br/>
        <w:t xml:space="preserve">{{field-off:bible}} </w:t>
        <w:br/>
        <w:t>[[@BibleTOBIBLE:Ps 2:7]]</w:t>
      </w:r>
      <w:r>
        <w:rPr>
          <w:b/>
        </w:rPr>
        <w:t>7</w:t>
      </w:r>
      <w:r>
        <w:rPr/>
        <w:t xml:space="preserve"> {{field-on:bible}} </w:t>
        <w:br/>
      </w:r>
      <w:r>
        <w:rPr>
          <w:rStyle w:val="Funotenanker"/>
        </w:rPr>
        <w:footnoteReference w:customMarkFollows="1" w:id="428"/>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29"/>
        <w:t>r</w:t>
      </w:r>
      <w:r>
        <w:rPr/>
        <w:t xml:space="preserve"> der Anordnung </w:t>
      </w:r>
      <w:r>
        <w:rPr>
          <w:color w:val="808080"/>
        </w:rPr>
        <w:t>(Einsetzungsurkunde, Königsprotokoll, Gesetz)</w:t>
      </w:r>
      <w:r>
        <w:rPr/>
        <w:t xml:space="preserve"> </w:t>
      </w:r>
      <w:r>
        <w:rPr>
          <w:rStyle w:val="Funotenanker"/>
        </w:rPr>
        <w:footnoteReference w:customMarkFollows="1" w:id="430"/>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31"/>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32"/>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33"/>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34"/>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35"/>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36"/>
        <w:t>y</w:t>
      </w:r>
      <w:r>
        <w:rPr/>
        <w:t xml:space="preserve"> zerschmettern </w:t>
      </w:r>
      <w:r>
        <w:rPr>
          <w:color w:val="808080"/>
        </w:rPr>
        <w:t>(weiden)</w:t>
      </w:r>
      <w:r>
        <w:rPr/>
        <w:t xml:space="preserve"> </w:t>
      </w:r>
      <w:r>
        <w:rPr>
          <w:rStyle w:val="Funotenanker"/>
        </w:rPr>
        <w:footnoteReference w:customMarkFollows="1" w:id="437"/>
        <w:t>z</w:t>
      </w:r>
      <w:r>
        <w:rPr/>
        <w:t>,</w:t>
        <w:br/>
        <w:t>wie Töpferware</w:t>
      </w:r>
      <w:r>
        <w:rPr>
          <w:rStyle w:val="Funotenanker"/>
        </w:rPr>
        <w:footnoteReference w:customMarkFollows="1" w:id="438"/>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39"/>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40"/>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41"/>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42"/>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43"/>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44"/>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45"/>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46"/>
        <w:t>e</w:t>
      </w:r>
      <w:r>
        <w:rPr/>
        <w:t xml:space="preserve"> </w:t>
      </w:r>
      <w:r>
        <w:rPr>
          <w:rStyle w:val="Funotenanker"/>
        </w:rPr>
        <w:footnoteReference w:customMarkFollows="1" w:id="447"/>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48"/>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49"/>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50"/>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51"/>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52"/>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53"/>
        <w:t>l</w:t>
      </w:r>
      <w:r>
        <w:rPr/>
        <w:t xml:space="preserve"> </w:t>
      </w:r>
      <w:r>
        <w:rPr>
          <w:color w:val="808080"/>
        </w:rPr>
        <w:t>)</w:t>
      </w:r>
      <w:r>
        <w:rPr/>
        <w:t xml:space="preserve"> </w:t>
      </w:r>
      <w:r>
        <w:rPr>
          <w:rStyle w:val="Funotenanker"/>
        </w:rPr>
        <w:footnoteReference w:customMarkFollows="1" w:id="454"/>
        <w:t>m</w:t>
      </w:r>
      <w:r>
        <w:rPr/>
        <w:t xml:space="preserve"> er mir von seinem heiligen Berg </w:t>
      </w:r>
      <w:r>
        <w:rPr>
          <w:color w:val="808080"/>
        </w:rPr>
        <w:t>(vom Berg seiner Heiligkeit)</w:t>
      </w:r>
      <w:r>
        <w:rPr/>
        <w:t>.</w:t>
      </w:r>
      <w:r>
        <w:rPr>
          <w:rStyle w:val="Funotenanker"/>
        </w:rPr>
        <w:footnoteReference w:customMarkFollows="1" w:id="455"/>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56"/>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57"/>
        <w:t>p</w:t>
      </w:r>
      <w:r>
        <w:rPr/>
        <w:t xml:space="preserve"> Zerschlage</w:t>
      </w:r>
      <w:r>
        <w:rPr>
          <w:rStyle w:val="Funotenanker"/>
        </w:rPr>
        <w:footnoteReference w:customMarkFollows="1" w:id="458"/>
        <w:t>q</w:t>
      </w:r>
      <w:r>
        <w:rPr/>
        <w:t xml:space="preserve"> </w:t>
      </w:r>
      <w:r>
        <w:rPr>
          <w:color w:val="808080"/>
        </w:rPr>
        <w:t>(Schlage auf)</w:t>
      </w:r>
      <w:r>
        <w:rPr/>
        <w:t xml:space="preserve"> </w:t>
      </w:r>
      <w:r>
        <w:rPr>
          <w:rStyle w:val="Funotenanker"/>
        </w:rPr>
        <w:footnoteReference w:customMarkFollows="1" w:id="459"/>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60"/>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61"/>
        <w:t>Status</w:t>
      </w:r>
      <w:r>
        <w:rPr/>
        <w:t xml:space="preserve"> ''Für den Chorleiter </w:t>
      </w:r>
      <w:r>
        <w:rPr>
          <w:color w:val="808080"/>
        </w:rPr>
        <w:t>(Dirigenten, Singenden, Musizierenden)</w:t>
      </w:r>
      <w:r>
        <w:rPr/>
        <w:t xml:space="preserve">. Mit Saitenspiel </w:t>
      </w:r>
      <w:r>
        <w:rPr>
          <w:color w:val="808080"/>
        </w:rPr>
        <w:t>(Flötenspiel)</w:t>
      </w:r>
      <w:r>
        <w:rPr/>
        <w:t>''</w:t>
      </w:r>
      <w:r>
        <w:rPr>
          <w:rStyle w:val="Funotenanker"/>
        </w:rPr>
        <w:footnoteReference w:customMarkFollows="1" w:id="462"/>
        <w:t>a</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63"/>
        <w:t>b</w:t>
      </w:r>
      <w:r>
        <w:rPr/>
        <w:t xml:space="preserve">, oh du mein wahrer Gott </w:t>
      </w:r>
      <w:r>
        <w:rPr>
          <w:color w:val="808080"/>
        </w:rPr>
        <w:t>(mein gerechter Gott, Gott meines Heils, Gott meiner Gerechtigkeit)</w:t>
      </w:r>
      <w:r>
        <w:rPr/>
        <w:t>!</w:t>
      </w:r>
      <w:r>
        <w:rPr>
          <w:rStyle w:val="Funotenanker"/>
        </w:rPr>
        <w:footnoteReference w:customMarkFollows="1" w:id="464"/>
        <w:t>c</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65"/>
        <w:t>d</w:t>
      </w:r>
      <w:r>
        <w:rPr/>
        <w:t xml:space="preserve"> Weite </w:t>
      </w:r>
      <w:r>
        <w:rPr>
          <w:color w:val="808080"/>
        </w:rPr>
        <w:t>(hilf mir in meiner Not)</w:t>
      </w:r>
      <w:r>
        <w:rPr/>
        <w:t xml:space="preserve"> </w:t>
      </w:r>
      <w:r>
        <w:rPr>
          <w:rStyle w:val="Funotenanker"/>
        </w:rPr>
        <w:footnoteReference w:customMarkFollows="1" w:id="466"/>
        <w:t>e</w:t>
      </w:r>
      <w:r>
        <w:rPr/>
        <w:t xml:space="preserve"> Erbarme dich meiner und höre </w:t>
      </w:r>
      <w:r>
        <w:rPr>
          <w:color w:val="808080"/>
        </w:rPr>
        <w:t>(erhöre)</w:t>
      </w:r>
      <w:r>
        <w:rPr/>
        <w:t xml:space="preserve"> </w:t>
      </w:r>
      <w:r>
        <w:rPr>
          <w:rStyle w:val="Funotenanker"/>
        </w:rPr>
        <w:footnoteReference w:customMarkFollows="1" w:id="467"/>
        <w:t>f</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68"/>
        <w:t>g</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69"/>
        <w:t>h</w:t>
      </w:r>
      <w:r>
        <w:rPr/>
        <w:t xml:space="preserve"> geschmäht </w:t>
      </w:r>
      <w:r>
        <w:rPr>
          <w:color w:val="808080"/>
        </w:rPr>
        <w:t>(zum Schimpf)</w:t>
      </w:r>
      <w:r>
        <w:rPr/>
        <w:t>?</w:t>
      </w:r>
      <w:r>
        <w:rPr>
          <w:rStyle w:val="Funotenanker"/>
        </w:rPr>
        <w:footnoteReference w:customMarkFollows="1" w:id="470"/>
        <w:t>i</w:t>
      </w:r>
      <w:r>
        <w:rPr/>
        <w:t xml:space="preserve"> </w:t>
      </w:r>
      <w:r>
        <w:rPr>
          <w:b/>
          <w:color w:val="808080"/>
        </w:rPr>
        <w:t>[</w:t>
      </w:r>
      <w:r>
        <w:rPr/>
        <w:t>Wie lange</w:t>
      </w:r>
      <w:r>
        <w:rPr>
          <w:b/>
          <w:color w:val="808080"/>
        </w:rPr>
        <w:t>]</w:t>
      </w:r>
      <w:r>
        <w:rPr/>
        <w:t xml:space="preserve"> wollt ihr Nichtiges </w:t>
      </w:r>
      <w:r>
        <w:rPr>
          <w:color w:val="808080"/>
        </w:rPr>
        <w:t>(Leeres, Abgötter)</w:t>
      </w:r>
      <w:r>
        <w:rPr/>
        <w:t xml:space="preserve"> </w:t>
      </w:r>
      <w:r>
        <w:rPr>
          <w:rStyle w:val="Funotenanker"/>
        </w:rPr>
        <w:footnoteReference w:customMarkFollows="1" w:id="471"/>
        <w:t>j</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72"/>
        <w:t>k</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73"/>
        <w:t>l</w:t>
      </w:r>
      <w:r>
        <w:rPr/>
        <w:t xml:space="preserve"> den ihm Frommen </w:t>
      </w:r>
      <w:r>
        <w:rPr>
          <w:color w:val="808080"/>
        </w:rPr>
        <w:t>(seinem Frommen)</w:t>
      </w:r>
      <w:r>
        <w:rPr/>
        <w:t>;</w:t>
      </w:r>
      <w:r>
        <w:rPr>
          <w:rStyle w:val="Funotenanker"/>
        </w:rPr>
        <w:footnoteReference w:customMarkFollows="1" w:id="474"/>
        <w:t>m</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75"/>
        <w:t>n</w:t>
      </w:r>
      <w:r>
        <w:rPr/>
        <w:t xml:space="preserve"> unruhig seid </w:t>
      </w:r>
      <w:r>
        <w:rPr>
          <w:color w:val="808080"/>
        </w:rPr>
        <w:t>(seid unruhig!, Zittert!)</w:t>
      </w:r>
      <w:r>
        <w:rPr/>
        <w:t>:</w:t>
      </w:r>
      <w:r>
        <w:rPr>
          <w:rStyle w:val="Funotenanker"/>
        </w:rPr>
        <w:footnoteReference w:customMarkFollows="1" w:id="476"/>
        <w:t>o</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77"/>
        <w:t>p</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78"/>
        <w:t>q</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79"/>
        <w:t>r</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80"/>
        <w:t>s</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81"/>
        <w:t>t</w:t>
      </w:r>
      <w:r>
        <w:rPr/>
        <w:t xml:space="preserve"> geflohen ist</w:t>
      </w:r>
      <w:r>
        <w:rPr>
          <w:rStyle w:val="Funotenanker"/>
        </w:rPr>
        <w:footnoteReference w:customMarkFollows="1" w:id="482"/>
        <w:t>u</w:t>
      </w:r>
      <w:r>
        <w:rPr/>
        <w:t xml:space="preserve"> von über</w:t>
      </w:r>
      <w:r>
        <w:rPr>
          <w:rStyle w:val="Funotenanker"/>
        </w:rPr>
        <w:footnoteReference w:customMarkFollows="1" w:id="483"/>
        <w:t>v</w:t>
      </w:r>
      <w:r>
        <w:rPr/>
        <w:t xml:space="preserve"> uns das Licht deines Angesichts</w:t>
      </w:r>
      <w:r>
        <w:rPr>
          <w:rStyle w:val="Funotenanker"/>
        </w:rPr>
        <w:footnoteReference w:customMarkFollows="1" w:id="484"/>
        <w:t>w</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Freude in mein HerzZur Zeit </w:t>
      </w:r>
      <w:r>
        <w:rPr>
          <w:color w:val="808080"/>
        </w:rPr>
        <w:t>(mehr als zur Zeit)</w:t>
      </w:r>
      <w:r>
        <w:rPr/>
        <w:t xml:space="preserve">, als </w:t>
      </w:r>
      <w:r>
        <w:rPr>
          <w:strike/>
          <w:color w:val="808080"/>
        </w:rPr>
        <w:t>{ihr}</w:t>
      </w:r>
      <w:r>
        <w:rPr/>
        <w:t xml:space="preserve"> </w:t>
      </w:r>
      <w:r>
        <w:rPr>
          <w:rStyle w:val="Funotenanker"/>
        </w:rPr>
        <w:footnoteReference w:customMarkFollows="1" w:id="485"/>
        <w:t>x</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86"/>
        <w:t>y</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87"/>
        <w:t>z</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Weil ihr Inneres durch und durch verdorben ist, sollen sie bestraft werden, untergehen und fortgetrieben werden. Ähnlich wie Vv. 5-7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88"/>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89"/>
        <w:t>Status</w:t>
      </w:r>
      <w:r>
        <w:rPr/>
        <w:t xml:space="preserve"> ''Für den Chorleiter </w:t>
      </w:r>
      <w:r>
        <w:rPr>
          <w:color w:val="808080"/>
        </w:rPr>
        <w:t>(Dirigenten, Singenden, Musizierenden)</w:t>
      </w:r>
      <w:r>
        <w:rPr/>
        <w:t xml:space="preserve">. Zu Flötenspiel </w:t>
      </w:r>
      <w:r>
        <w:rPr>
          <w:color w:val="808080"/>
        </w:rPr>
        <w:t>(nach „das Erbe“)</w:t>
      </w:r>
      <w:r>
        <w:rPr/>
        <w:t>.''</w:t>
      </w:r>
      <w:r>
        <w:rPr>
          <w:rStyle w:val="Funotenanker"/>
        </w:rPr>
        <w:footnoteReference w:customMarkFollows="1" w:id="490"/>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91"/>
        <w:t>c</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92"/>
        <w:t>d</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93"/>
        <w:t>e</w:t>
      </w:r>
      <w:r>
        <w:rPr/>
        <w:t xml:space="preserve"> und </w:t>
      </w:r>
      <w:r>
        <w:rPr>
          <w:b/>
          <w:color w:val="808080"/>
        </w:rPr>
        <w:t>[</w:t>
      </w:r>
      <w:r>
        <w:rPr/>
        <w:t>auf dich</w:t>
      </w:r>
      <w:r>
        <w:rPr>
          <w:b/>
          <w:color w:val="808080"/>
        </w:rPr>
        <w:t>]</w:t>
      </w:r>
      <w:r>
        <w:rPr/>
        <w:t xml:space="preserve"> </w:t>
      </w:r>
      <w:r>
        <w:rPr>
          <w:rStyle w:val="Funotenanker"/>
        </w:rPr>
        <w:footnoteReference w:customMarkFollows="1" w:id="494"/>
        <w:t>f</w:t>
      </w:r>
      <w:r>
        <w:rPr/>
        <w:t xml:space="preserve"> warten.</w:t>
        <w:br/>
        <w:br/>
        <w:t xml:space="preserve">{{field-off:bible}} </w:t>
        <w:br/>
        <w:t>[[@BibleTOBIBLE:Ps 5:5]]</w:t>
      </w:r>
      <w:r>
        <w:rPr>
          <w:b/>
        </w:rPr>
        <w:t>5</w:t>
      </w:r>
      <w:r>
        <w:rPr/>
        <w:t xml:space="preserve"> {{field-on:bible}} </w:t>
        <w:br/>
      </w:r>
      <w:r>
        <w:rPr>
          <w:strike/>
          <w:color w:val="808080"/>
        </w:rPr>
        <w:t>{Oh!}</w:t>
      </w:r>
      <w:r>
        <w:rPr/>
        <w:t xml:space="preserve"> </w:t>
      </w:r>
      <w:r>
        <w:rPr>
          <w:rStyle w:val="Funotenanker"/>
        </w:rPr>
        <w:footnoteReference w:customMarkFollows="1" w:id="495"/>
        <w:t>g</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96"/>
        <w:t>h</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97"/>
        <w:t>i</w:t>
      </w:r>
      <w:r>
        <w:rPr/>
        <w:t xml:space="preserve"> vor deinen Augen.</w:t>
      </w:r>
      <w:r>
        <w:rPr>
          <w:rStyle w:val="Funotenanker"/>
        </w:rPr>
        <w:footnoteReference w:customMarkFollows="1" w:id="498"/>
        <w:t>j</w:t>
      </w:r>
      <w:r>
        <w:rPr/>
        <w:t xml:space="preserve"> </w:t>
        <w:br/>
      </w:r>
      <w:r>
        <w:rPr>
          <w:color w:val="808080"/>
        </w:rPr>
        <w:t>(Weil)</w:t>
      </w:r>
      <w:r>
        <w:rPr/>
        <w:t xml:space="preserve"> Du hasst alle Tuer von Unheil </w:t>
      </w:r>
      <w:r>
        <w:rPr>
          <w:color w:val="808080"/>
        </w:rPr>
        <w:t>(Unholde)</w:t>
      </w:r>
      <w:r>
        <w:rPr/>
        <w:t>:</w:t>
      </w:r>
      <w:r>
        <w:rPr>
          <w:rStyle w:val="Funotenanker"/>
        </w:rPr>
        <w:footnoteReference w:customMarkFollows="1" w:id="499"/>
        <w:t>k</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smallCaps/>
          <w:color w:val="FF0000"/>
        </w:rPr>
        <w:t>JHWH</w:t>
      </w:r>
      <w:r>
        <w:rPr/>
        <w:t>.</w:t>
      </w:r>
      <w:r>
        <w:rPr>
          <w:rStyle w:val="Funotenanker"/>
        </w:rPr>
        <w:footnoteReference w:customMarkFollows="1" w:id="500"/>
        <w:t>l</w:t>
      </w:r>
      <w:r>
        <w:rPr/>
        <w:t xml:space="preserve"> </w:t>
        <w:br/>
        <w:br/>
        <w:t xml:space="preserve">{{field-off:bible}} </w:t>
        <w:br/>
        <w:t>[[@BibleTOBIBLE:Ps 5:8]]</w:t>
      </w:r>
      <w:r>
        <w:rPr>
          <w:b/>
        </w:rPr>
        <w:t>8</w:t>
      </w:r>
      <w:r>
        <w:rPr/>
        <w:t xml:space="preserve"> {{field-on:bible}} </w:t>
        <w:br/>
        <w:t>Ich dagegen darf in der Menge deiner Gnade</w:t>
      </w:r>
      <w:r>
        <w:rPr>
          <w:rStyle w:val="Funotenanker"/>
        </w:rPr>
        <w:footnoteReference w:customMarkFollows="1" w:id="501"/>
        <w:t>m</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502"/>
        <w:t>n</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503"/>
        <w:t>o</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504"/>
        <w:t>p</w:t>
      </w:r>
      <w:r>
        <w:rPr/>
        <w:t xml:space="preserve"> </w:t>
        <w:br/>
        <w:br/>
        <w:t xml:space="preserve">{{field-off:bible}} </w:t>
        <w:br/>
        <w:t>[[@BibleTOBIBLE:Ps 5:10]]</w:t>
      </w:r>
      <w:r>
        <w:rPr>
          <w:b/>
        </w:rPr>
        <w:t>10</w:t>
      </w:r>
      <w:r>
        <w:rPr/>
        <w:t xml:space="preserve"> {{field-on:bible}} </w:t>
        <w:br/>
        <w:t xml:space="preserve">Weil in seinem </w:t>
      </w:r>
      <w:r>
        <w:rPr>
          <w:color w:val="808080"/>
        </w:rPr>
        <w:t>(ihrem)</w:t>
      </w:r>
      <w:r>
        <w:rPr/>
        <w:t xml:space="preserve"> </w:t>
      </w:r>
      <w:r>
        <w:rPr>
          <w:rStyle w:val="Funotenanker"/>
        </w:rPr>
        <w:footnoteReference w:customMarkFollows="1" w:id="505"/>
        <w:t>q</w:t>
      </w:r>
      <w:r>
        <w:rPr/>
        <w:t xml:space="preserve"> Reden </w:t>
      </w:r>
      <w:r>
        <w:rPr>
          <w:color w:val="808080"/>
        </w:rPr>
        <w:t>(Mund)</w:t>
      </w:r>
      <w:r>
        <w:rPr/>
        <w:t xml:space="preserve"> nichts Aufrichtiges ist, </w:t>
      </w:r>
      <w:r>
        <w:rPr>
          <w:b/>
          <w:color w:val="808080"/>
        </w:rPr>
        <w:t>[</w:t>
      </w:r>
      <w:r>
        <w:rPr/>
        <w:t>Sei</w:t>
      </w:r>
      <w:r>
        <w:rPr>
          <w:b/>
          <w:color w:val="808080"/>
        </w:rPr>
        <w:t>]</w:t>
      </w:r>
      <w:r>
        <w:rPr/>
        <w:t xml:space="preserve"> ihr Inneres </w:t>
      </w:r>
      <w:r>
        <w:rPr>
          <w:b/>
          <w:color w:val="808080"/>
        </w:rPr>
        <w:t>[</w:t>
      </w:r>
      <w:r>
        <w:rPr/>
        <w:t>ihr</w:t>
      </w:r>
      <w:r>
        <w:rPr>
          <w:b/>
          <w:color w:val="808080"/>
        </w:rPr>
        <w:t>]</w:t>
      </w:r>
      <w:r>
        <w:rPr/>
        <w:t xml:space="preserve"> Verderben </w:t>
      </w:r>
      <w:r>
        <w:rPr>
          <w:color w:val="808080"/>
        </w:rPr>
        <w:t>(Böses, sie sind verdorben/böse</w:t>
      </w:r>
      <w:r>
        <w:rPr/>
        <w:t xml:space="preserve"> </w:t>
      </w:r>
      <w:r>
        <w:rPr>
          <w:rStyle w:val="Funotenanker"/>
        </w:rPr>
        <w:footnoteReference w:customMarkFollows="1" w:id="506"/>
        <w:t>r</w:t>
      </w:r>
      <w:r>
        <w:rPr/>
        <w:t xml:space="preserve"> </w:t>
      </w:r>
      <w:r>
        <w:rPr>
          <w:color w:val="808080"/>
        </w:rPr>
        <w:t>)</w:t>
      </w:r>
      <w:r>
        <w:rPr/>
        <w:t>.</w:t>
        <w:br/>
      </w:r>
      <w:r>
        <w:rPr>
          <w:b/>
          <w:color w:val="808080"/>
        </w:rPr>
        <w:t>[</w:t>
      </w:r>
      <w:r>
        <w:rPr/>
        <w:t>Ihr</w:t>
      </w:r>
      <w:r>
        <w:rPr>
          <w:b/>
          <w:color w:val="808080"/>
        </w:rPr>
        <w:t>]</w:t>
      </w:r>
      <w:r>
        <w:rPr/>
        <w:t xml:space="preserve"> </w:t>
      </w:r>
      <w:r>
        <w:rPr>
          <w:color w:val="808080"/>
        </w:rPr>
        <w:t>(ein)</w:t>
      </w:r>
      <w:r>
        <w:rPr/>
        <w:t xml:space="preserve"> offenes Grab </w:t>
      </w:r>
      <w:r>
        <w:rPr>
          <w:color w:val="808080"/>
        </w:rPr>
        <w:t>(Tod)</w:t>
      </w:r>
      <w:r>
        <w:rPr/>
        <w:t xml:space="preserve"> </w:t>
      </w:r>
      <w:r>
        <w:rPr>
          <w:rStyle w:val="Funotenanker"/>
        </w:rPr>
        <w:footnoteReference w:customMarkFollows="1" w:id="507"/>
        <w:t>s</w:t>
      </w:r>
      <w:r>
        <w:rPr/>
        <w:t xml:space="preserve"> </w:t>
      </w:r>
      <w:r>
        <w:rPr>
          <w:b/>
          <w:color w:val="808080"/>
        </w:rPr>
        <w:t>[</w:t>
      </w:r>
      <w:r>
        <w:rPr/>
        <w:t xml:space="preserve">sei </w:t>
      </w:r>
      <w:r>
        <w:rPr>
          <w:color w:val="808080"/>
        </w:rPr>
        <w:t>(ist)</w:t>
      </w:r>
      <w:r>
        <w:rPr>
          <w:b/>
          <w:color w:val="808080"/>
        </w:rPr>
        <w:t>]</w:t>
      </w:r>
      <w:r>
        <w:rPr/>
        <w:t xml:space="preserve"> ihre Kehle, </w:t>
      </w:r>
      <w:r>
        <w:rPr>
          <w:b/>
          <w:color w:val="808080"/>
        </w:rPr>
        <w:t>[</w:t>
      </w:r>
      <w:r>
        <w:rPr/>
        <w:t>Weil</w:t>
      </w:r>
      <w:r>
        <w:rPr>
          <w:b/>
          <w:color w:val="808080"/>
        </w:rPr>
        <w:t>]</w:t>
      </w:r>
      <w:r>
        <w:rPr/>
        <w:t xml:space="preserve"> sie ihre Zunge glätten</w:t>
      </w:r>
      <w:r>
        <w:rPr>
          <w:rStyle w:val="Funotenanker"/>
        </w:rPr>
        <w:footnoteReference w:customMarkFollows="1" w:id="508"/>
        <w:t>t</w:t>
      </w:r>
      <w:r>
        <w:rPr/>
        <w:t xml:space="preserve"> </w:t>
      </w:r>
      <w:r>
        <w:rPr>
          <w:color w:val="808080"/>
        </w:rPr>
        <w:t>(Mit ihrer Zunge sind sie heuchlerisch, sie sind Heuchler)</w:t>
      </w:r>
      <w:r>
        <w:rPr/>
        <w:t>.</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509"/>
        <w:t>u</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10"/>
        <w:t>v</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11"/>
        <w:t>w</w:t>
      </w:r>
      <w:r>
        <w:rPr/>
        <w:t xml:space="preserve"> den Gerechten </w:t>
      </w:r>
      <w:r>
        <w:rPr>
          <w:color w:val="808080"/>
        </w:rPr>
        <w:t>(die Gerechten)</w:t>
      </w:r>
      <w:r>
        <w:rPr/>
        <w:t xml:space="preserve"> </w:t>
      </w:r>
      <w:r>
        <w:rPr>
          <w:rStyle w:val="Funotenanker"/>
        </w:rPr>
        <w:footnoteReference w:customMarkFollows="1" w:id="512"/>
        <w:t>x</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13"/>
        <w:t>y</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14"/>
        <w:t>Status</w:t>
      </w:r>
      <w:r>
        <w:rPr/>
        <w:t xml:space="preserve"> ''Für den Chorleiter </w:t>
      </w:r>
      <w:r>
        <w:rPr>
          <w:color w:val="808080"/>
        </w:rPr>
        <w:t>(Dirigenten, Singenden, Musizierenden)</w:t>
      </w:r>
      <w:r>
        <w:rPr/>
        <w:t xml:space="preserve">''. ''Zum Saitenspiel </w:t>
      </w:r>
      <w:r>
        <w:rPr>
          <w:color w:val="808080"/>
        </w:rPr>
        <w:t>(auf Saiteninstrumenten)</w:t>
      </w:r>
      <w:r>
        <w:rPr/>
        <w:t xml:space="preserve"> </w:t>
      </w:r>
      <w:r>
        <w:rPr>
          <w:b/>
          <w:color w:val="808080"/>
        </w:rPr>
        <w:t>[</w:t>
      </w:r>
      <w:r>
        <w:rPr/>
        <w:t>vorzutragen</w:t>
      </w:r>
      <w:r>
        <w:rPr>
          <w:b/>
          <w:color w:val="808080"/>
        </w:rPr>
        <w:t>]</w:t>
      </w:r>
      <w:r>
        <w:rPr/>
        <w:t xml:space="preserve"> von Basstimmen''</w:t>
      </w:r>
      <w:r>
        <w:rPr>
          <w:rStyle w:val="Funotenanker"/>
        </w:rPr>
        <w:footnoteReference w:customMarkFollows="1" w:id="515"/>
        <w:t>a</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16"/>
        <w:t>b</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17"/>
        <w:t>c</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18"/>
        <w:t>d</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9"/>
        <w:t>e</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20"/>
        <w:t>f</w:t>
      </w:r>
      <w:r>
        <w:rPr/>
        <w:t xml:space="preserve"> Rette</w:t>
      </w:r>
      <w:r>
        <w:rPr>
          <w:rStyle w:val="Funotenanker"/>
        </w:rPr>
        <w:footnoteReference w:customMarkFollows="1" w:id="521"/>
        <w:t>g</w:t>
      </w:r>
      <w:r>
        <w:rPr/>
        <w:t xml:space="preserve"> meine Seele </w:t>
      </w:r>
      <w:r>
        <w:rPr>
          <w:color w:val="808080"/>
        </w:rPr>
        <w:t>(mich)</w:t>
      </w:r>
      <w:r>
        <w:rPr/>
        <w:t xml:space="preserve"> </w:t>
      </w:r>
      <w:r>
        <w:rPr>
          <w:rStyle w:val="Funotenanker"/>
        </w:rPr>
        <w:footnoteReference w:customMarkFollows="1" w:id="522"/>
        <w:t>h</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23"/>
        <w:t>i</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24"/>
        <w:t>j</w:t>
      </w:r>
      <w:r>
        <w:rPr/>
        <w:t>Und wer wird dich preisen im Scheol?</w:t>
      </w:r>
      <w:r>
        <w:rPr>
          <w:rStyle w:val="Funotenanker"/>
        </w:rPr>
        <w:footnoteReference w:customMarkFollows="1" w:id="525"/>
        <w:t>k</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w:t>
      </w:r>
      <w:r>
        <w:rPr>
          <w:rStyle w:val="Funotenanker"/>
        </w:rPr>
        <w:footnoteReference w:customMarkFollows="1" w:id="526"/>
        <w:t>l</w:t>
      </w:r>
      <w:r>
        <w:rPr/>
        <w:t xml:space="preserve"> </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27"/>
        <w:t>m</w:t>
      </w:r>
      <w:r>
        <w:rPr/>
        <w:t xml:space="preserve"> jede Nacht</w:t>
      </w:r>
      <w:r>
        <w:rPr>
          <w:rStyle w:val="Funotenanker"/>
        </w:rPr>
        <w:footnoteReference w:customMarkFollows="1" w:id="528"/>
        <w:t>n</w:t>
      </w:r>
      <w:r>
        <w:rPr/>
        <w:t xml:space="preserve"> </w:t>
      </w:r>
      <w:r>
        <w:rPr>
          <w:b/>
          <w:color w:val="808080"/>
        </w:rPr>
        <w:t>[</w:t>
      </w:r>
      <w:r>
        <w:rPr/>
        <w:t>mit meinen Tränen</w:t>
      </w:r>
      <w:r>
        <w:rPr>
          <w:b/>
          <w:color w:val="808080"/>
        </w:rPr>
        <w:t>]</w:t>
      </w:r>
      <w:r>
        <w:rPr/>
        <w:t xml:space="preserve"> </w:t>
      </w:r>
      <w:r>
        <w:rPr>
          <w:rStyle w:val="Funotenanker"/>
        </w:rPr>
        <w:footnoteReference w:customMarkFollows="1" w:id="529"/>
        <w:t>o</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30"/>
        <w:t>p</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31"/>
        <w:t>q</w:t>
      </w:r>
      <w:r>
        <w:rPr/>
        <w:t xml:space="preserve"> vor Kummer </w:t>
      </w:r>
      <w:r>
        <w:rPr>
          <w:color w:val="808080"/>
        </w:rPr>
        <w:t>(Gram)</w:t>
      </w:r>
      <w:r>
        <w:rPr/>
        <w:t xml:space="preserve"> sind meine Augen,</w:t>
      </w:r>
      <w:r>
        <w:rPr>
          <w:rStyle w:val="Funotenanker"/>
        </w:rPr>
        <w:footnoteReference w:customMarkFollows="1" w:id="532"/>
        <w:t>r</w:t>
      </w:r>
      <w:r>
        <w:rPr/>
        <w:t xml:space="preserve"> </w:t>
      </w:r>
      <w:r>
        <w:rPr>
          <w:position w:val="8"/>
          <w:sz w:val="19"/>
        </w:rPr>
        <w:t>[[ ℘ &gt;&gt; BibleTOBIBLE:Job 17:7]][[ ℘ &gt;&gt; BibleTOBIBLE:Ps 31:10]][[ ℘ &gt;&gt; BibleTOBIBLE:Ps 69:4]][[ ℘ &gt;&gt; BibleTOBIBLE:Ps 88:10]]</w:t>
      </w:r>
      <w:r>
        <w:rPr/>
        <w:t xml:space="preserve">Ich bin gealtert wegen </w:t>
      </w:r>
      <w:r>
        <w:rPr>
          <w:color w:val="808080"/>
        </w:rPr>
        <w:t>(sie sind gealtert wegen)</w:t>
      </w:r>
      <w:r>
        <w:rPr/>
        <w:t xml:space="preserve"> </w:t>
      </w:r>
      <w:r>
        <w:rPr>
          <w:rStyle w:val="Funotenanker"/>
        </w:rPr>
        <w:footnoteReference w:customMarkFollows="1" w:id="533"/>
        <w:t>s</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34"/>
        <w:t>t</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35"/>
        <w:t>u</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36"/>
        <w:t>v</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37"/>
        <w:t>w</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38"/>
        <w:t>x</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9"/>
        <w:t>Status</w:t>
      </w:r>
      <w:r>
        <w:rPr/>
        <w:t xml:space="preserve"> Ein ''Shiggajon''</w:t>
      </w:r>
      <w:r>
        <w:rPr>
          <w:rStyle w:val="Funotenanker"/>
        </w:rPr>
        <w:footnoteReference w:customMarkFollows="1" w:id="540"/>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41"/>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42"/>
        <w:t>c</w:t>
      </w:r>
      <w:r>
        <w:rPr/>
        <w:t xml:space="preserve"> nicht meine Seele </w:t>
      </w:r>
      <w:r>
        <w:rPr>
          <w:color w:val="808080"/>
        </w:rPr>
        <w:t>(mich)</w:t>
      </w:r>
      <w:r>
        <w:rPr/>
        <w:t xml:space="preserve"> </w:t>
      </w:r>
      <w:r>
        <w:rPr>
          <w:rStyle w:val="Funotenanker"/>
        </w:rPr>
        <w:footnoteReference w:customMarkFollows="1" w:id="543"/>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44"/>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45"/>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46"/>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47"/>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48"/>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9"/>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50"/>
        <w:t>k</w:t>
      </w:r>
      <w:r>
        <w:rPr/>
        <w:t xml:space="preserve"> </w:t>
      </w:r>
      <w:r>
        <w:rPr>
          <w:strike/>
          <w:color w:val="808080"/>
        </w:rPr>
        <w:t>{Selah}</w:t>
      </w:r>
      <w:r>
        <w:rPr/>
        <w:t xml:space="preserve"> </w:t>
      </w:r>
      <w:r>
        <w:rPr>
          <w:rStyle w:val="Funotenanker"/>
        </w:rPr>
        <w:footnoteReference w:customMarkFollows="1" w:id="551"/>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52"/>
        <w:t>m</w:t>
      </w:r>
      <w:r>
        <w:rPr/>
        <w:t xml:space="preserve">, mein Gott </w:t>
      </w:r>
      <w:r>
        <w:rPr>
          <w:color w:val="808080"/>
        </w:rPr>
        <w:t>(Und erwache zu mir hin?)</w:t>
      </w:r>
      <w:r>
        <w:rPr/>
        <w:t xml:space="preserve"> </w:t>
      </w:r>
      <w:r>
        <w:rPr>
          <w:rStyle w:val="Funotenanker"/>
        </w:rPr>
        <w:footnoteReference w:customMarkFollows="1" w:id="553"/>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54"/>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55"/>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56"/>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57"/>
        <w:t>r</w:t>
      </w:r>
      <w:r>
        <w:rPr/>
        <w:t xml:space="preserve">, </w:t>
      </w:r>
      <w:r>
        <w:rPr>
          <w:smallCaps/>
          <w:color w:val="FF0000"/>
        </w:rPr>
        <w:t>JHWH</w:t>
      </w:r>
      <w:r>
        <w:rPr/>
        <w:t>, gemäß meiner Gerechtigkeit</w:t>
      </w:r>
      <w:r>
        <w:rPr>
          <w:rStyle w:val="Funotenanker"/>
        </w:rPr>
        <w:footnoteReference w:customMarkFollows="1" w:id="558"/>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9"/>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60"/>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61"/>
        <w:t>v</w:t>
      </w:r>
      <w:r>
        <w:rPr/>
        <w:t>.</w:t>
        <w:br/>
        <w:br/>
        <w:t>Der gerechte Gott prüft Herz und Nieren</w:t>
      </w:r>
      <w:r>
        <w:rPr>
          <w:rStyle w:val="Funotenanker"/>
        </w:rPr>
        <w:footnoteReference w:customMarkFollows="1" w:id="562"/>
        <w:t>w</w:t>
      </w:r>
      <w:r>
        <w:rPr/>
        <w:t xml:space="preserve"> </w:t>
      </w:r>
      <w:r>
        <w:rPr>
          <w:rStyle w:val="Funotenanker"/>
        </w:rPr>
        <w:footnoteReference w:customMarkFollows="1" w:id="563"/>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64"/>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65"/>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66"/>
        <w:t>aa</w:t>
      </w:r>
      <w:r>
        <w:rPr/>
        <w:t>Seinen Bogen spannt und ihn aufrichtet</w:t>
      </w:r>
      <w:r>
        <w:rPr>
          <w:rStyle w:val="Funotenanker"/>
        </w:rPr>
        <w:footnoteReference w:customMarkFollows="1" w:id="567"/>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68"/>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9"/>
        <w:t>ad</w:t>
      </w:r>
      <w:r>
        <w:rPr/>
        <w:t xml:space="preserve"> man Frevel empfängt,Geht man mit Bosheit schwanger und gebiert - Trug </w:t>
      </w:r>
      <w:r>
        <w:rPr>
          <w:color w:val="808080"/>
        </w:rPr>
        <w:t>(und gebiert Lügen)</w:t>
      </w:r>
      <w:r>
        <w:rPr/>
        <w:t>.</w:t>
      </w:r>
      <w:r>
        <w:rPr>
          <w:rStyle w:val="Funotenanker"/>
        </w:rPr>
        <w:footnoteReference w:customMarkFollows="1" w:id="570"/>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71"/>
        <w:t>Status</w:t>
      </w:r>
      <w:r>
        <w:rPr/>
        <w:t xml:space="preserve"> Für den Chorleiter </w:t>
      </w:r>
      <w:r>
        <w:rPr>
          <w:color w:val="808080"/>
        </w:rPr>
        <w:t>(Dirigenten, Singenden, Musizierenden)</w:t>
      </w:r>
      <w:r>
        <w:rPr/>
        <w:t xml:space="preserve"> </w:t>
      </w:r>
      <w:r>
        <w:rPr>
          <w:rStyle w:val="Funotenanker"/>
        </w:rPr>
        <w:footnoteReference w:customMarkFollows="1" w:id="572"/>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73"/>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74"/>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75"/>
        <w:t>d</w:t>
      </w:r>
      <w:r>
        <w:rPr/>
        <w:t xml:space="preserve"> wird gepriesen</w:t>
      </w:r>
      <w:r>
        <w:rPr>
          <w:rStyle w:val="Funotenanker"/>
        </w:rPr>
        <w:footnoteReference w:customMarkFollows="1" w:id="576"/>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77"/>
        <w:t>f</w:t>
      </w:r>
      <w:r>
        <w:rPr/>
        <w:t xml:space="preserve"> Babies</w:t>
      </w:r>
      <w:r>
        <w:rPr>
          <w:rStyle w:val="Funotenanker"/>
        </w:rPr>
        <w:footnoteReference w:customMarkFollows="1" w:id="578"/>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9"/>
        <w:t>h</w:t>
      </w:r>
      <w:r>
        <w:rPr/>
        <w:t xml:space="preserve"> errichtet </w:t>
      </w:r>
      <w:r>
        <w:rPr>
          <w:color w:val="808080"/>
        </w:rPr>
        <w:t>(grundgelegt)</w:t>
      </w:r>
      <w:r>
        <w:rPr/>
        <w:t xml:space="preserve"> um deiner Gegner willen</w:t>
      </w:r>
      <w:r>
        <w:rPr>
          <w:rStyle w:val="Funotenanker"/>
        </w:rPr>
        <w:footnoteReference w:customMarkFollows="1" w:id="580"/>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81"/>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82"/>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83"/>
        <w:t>l</w:t>
      </w:r>
      <w:r>
        <w:rPr/>
        <w:t xml:space="preserve">, dass du dich seiner erinnerst </w:t>
      </w:r>
      <w:r>
        <w:rPr>
          <w:color w:val="808080"/>
        </w:rPr>
        <w:t>(dich um es kümmerst)</w:t>
      </w:r>
      <w:r>
        <w:rPr/>
        <w:t xml:space="preserve"> </w:t>
      </w:r>
      <w:r>
        <w:rPr>
          <w:rStyle w:val="Funotenanker"/>
        </w:rPr>
        <w:footnoteReference w:customMarkFollows="1" w:id="584"/>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85"/>
        <w:t>n</w:t>
      </w:r>
      <w:r>
        <w:rPr/>
        <w:t xml:space="preserve"> </w:t>
      </w:r>
      <w:r>
        <w:rPr>
          <w:color w:val="808080"/>
        </w:rPr>
        <w:t>(der Mensch, der Sohn des Menschen, das Kind des Menschen, der Menschensohn)</w:t>
      </w:r>
      <w:r>
        <w:rPr/>
        <w:t xml:space="preserve"> </w:t>
      </w:r>
      <w:r>
        <w:rPr>
          <w:rStyle w:val="Funotenanker"/>
        </w:rPr>
        <w:footnoteReference w:customMarkFollows="1" w:id="586"/>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87"/>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88"/>
        <w:t>q</w:t>
      </w:r>
      <w:r>
        <w:rPr/>
        <w:t xml:space="preserve"> um ihn mit Herrlichkeit </w:t>
      </w:r>
      <w:r>
        <w:rPr>
          <w:color w:val="808080"/>
        </w:rPr>
        <w:t>(Hoheit, Würde, Ehre)</w:t>
      </w:r>
      <w:r>
        <w:rPr/>
        <w:t xml:space="preserve"> und Pracht</w:t>
      </w:r>
      <w:r>
        <w:rPr>
          <w:rStyle w:val="Funotenanker"/>
        </w:rPr>
        <w:footnoteReference w:customMarkFollows="1" w:id="589"/>
        <w:t>r</w:t>
      </w:r>
      <w:r>
        <w:rPr/>
        <w:t xml:space="preserve"> zu krönen </w:t>
      </w:r>
      <w:r>
        <w:rPr>
          <w:color w:val="808080"/>
        </w:rPr>
        <w:t>(segnen, hast ihn mit Herrlichkeit und Pracht gekrönt)</w:t>
      </w:r>
      <w:r>
        <w:rPr/>
        <w:t>.</w:t>
      </w:r>
      <w:r>
        <w:rPr>
          <w:rStyle w:val="Funotenanker"/>
        </w:rPr>
        <w:footnoteReference w:customMarkFollows="1" w:id="590"/>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91"/>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92"/>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93"/>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94"/>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95"/>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96"/>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97"/>
        <w:t>Status</w:t>
      </w:r>
      <w:r>
        <w:rPr/>
        <w:t xml:space="preserve"> ''Für den Chorleiter </w:t>
      </w:r>
      <w:r>
        <w:rPr>
          <w:color w:val="808080"/>
        </w:rPr>
        <w:t>(Dirigenten, Singenden, Musizierenden)</w:t>
      </w:r>
      <w:r>
        <w:rPr/>
        <w:t>''.</w:t>
      </w:r>
      <w:r>
        <w:rPr>
          <w:rStyle w:val="Funotenanker"/>
        </w:rPr>
        <w:footnoteReference w:customMarkFollows="1" w:id="598"/>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9"/>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600"/>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601"/>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602"/>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603"/>
        <w:t>h</w:t>
      </w:r>
      <w:r>
        <w:rPr/>
        <w:t xml:space="preserve"> </w:t>
      </w:r>
      <w:r>
        <w:rPr>
          <w:rStyle w:val="Funotenanker"/>
        </w:rPr>
        <w:footnoteReference w:customMarkFollows="1" w:id="604"/>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605"/>
        <w:t>j</w:t>
      </w:r>
      <w:r>
        <w:rPr/>
        <w:t xml:space="preserve"> und vor dir</w:t>
      </w:r>
      <w:r>
        <w:rPr>
          <w:rStyle w:val="Funotenanker"/>
        </w:rPr>
        <w:footnoteReference w:customMarkFollows="1" w:id="606"/>
        <w:t>k</w:t>
      </w:r>
      <w:r>
        <w:rPr/>
        <w:t xml:space="preserve"> zugrunde gehen,</w:t>
      </w:r>
      <w:r>
        <w:rPr>
          <w:rStyle w:val="Funotenanker"/>
        </w:rPr>
        <w:footnoteReference w:customMarkFollows="1" w:id="607"/>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608"/>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9"/>
        <w:t>n</w:t>
      </w:r>
      <w:r>
        <w:rPr/>
        <w:t xml:space="preserve"> niedergemacht </w:t>
      </w:r>
      <w:r>
        <w:rPr>
          <w:color w:val="808080"/>
        </w:rPr>
        <w:t>(gescholten)</w:t>
      </w:r>
      <w:r>
        <w:rPr/>
        <w:t>:</w:t>
      </w:r>
      <w:r>
        <w:rPr>
          <w:rStyle w:val="Funotenanker"/>
        </w:rPr>
        <w:footnoteReference w:customMarkFollows="1" w:id="610"/>
        <w:t>o</w:t>
      </w:r>
      <w:r>
        <w:rPr/>
        <w:t xml:space="preserve"> Einen Schlechten </w:t>
      </w:r>
      <w:r>
        <w:rPr>
          <w:color w:val="808080"/>
        </w:rPr>
        <w:t>(Schlechte)</w:t>
      </w:r>
      <w:r>
        <w:rPr/>
        <w:t xml:space="preserve"> </w:t>
      </w:r>
      <w:r>
        <w:rPr>
          <w:rStyle w:val="Funotenanker"/>
        </w:rPr>
        <w:footnoteReference w:customMarkFollows="1" w:id="611"/>
        <w:t>p</w:t>
      </w:r>
      <w:r>
        <w:rPr/>
        <w:t xml:space="preserve"> ließest du zugrunde gehen,Ihren Namen hast du ausgelöscht</w:t>
      </w:r>
      <w:r>
        <w:rPr>
          <w:rStyle w:val="Funotenanker"/>
        </w:rPr>
        <w:footnoteReference w:customMarkFollows="1" w:id="612"/>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13"/>
        <w:t>r</w:t>
      </w:r>
      <w:r>
        <w:rPr/>
        <w:t xml:space="preserve">auf ewig;Und Gegner </w:t>
      </w:r>
      <w:r>
        <w:rPr>
          <w:color w:val="808080"/>
        </w:rPr>
        <w:t>(Städte)</w:t>
      </w:r>
      <w:r>
        <w:rPr/>
        <w:t xml:space="preserve"> </w:t>
      </w:r>
      <w:r>
        <w:rPr>
          <w:rStyle w:val="Funotenanker"/>
        </w:rPr>
        <w:footnoteReference w:customMarkFollows="1" w:id="614"/>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15"/>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16"/>
        <w:t>u</w:t>
      </w:r>
      <w:r>
        <w:rPr/>
        <w:t>Weil du nicht im Stich lässt, die dich suchen,</w:t>
      </w:r>
      <w:r>
        <w:rPr>
          <w:rStyle w:val="Funotenanker"/>
        </w:rPr>
        <w:footnoteReference w:customMarkFollows="1" w:id="617"/>
        <w:t>v</w:t>
      </w:r>
      <w:r>
        <w:rPr/>
        <w:t xml:space="preserve"> </w:t>
      </w:r>
      <w:r>
        <w:rPr>
          <w:smallCaps/>
          <w:color w:val="FF0000"/>
        </w:rPr>
        <w:t>JHWH</w:t>
      </w:r>
      <w:r>
        <w:rPr/>
        <w:t>.</w:t>
      </w:r>
      <w:r>
        <w:rPr>
          <w:rStyle w:val="Funotenanker"/>
        </w:rPr>
        <w:footnoteReference w:customMarkFollows="1" w:id="618"/>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9"/>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20"/>
        <w:t>y</w:t>
      </w:r>
      <w:r>
        <w:rPr/>
        <w:t xml:space="preserve"> </w:t>
      </w:r>
      <w:r>
        <w:rPr>
          <w:color w:val="808080"/>
        </w:rPr>
        <w:t>(Denn er sucht Blut,)</w:t>
      </w:r>
      <w:r>
        <w:rPr/>
        <w:t xml:space="preserve"> denkt er an sie,</w:t>
      </w:r>
      <w:r>
        <w:rPr>
          <w:rStyle w:val="Funotenanker"/>
        </w:rPr>
        <w:footnoteReference w:customMarkFollows="1" w:id="621"/>
        <w:t>z</w:t>
      </w:r>
      <w:r>
        <w:rPr/>
        <w:t>Er vergisst nicht</w:t>
      </w:r>
      <w:r>
        <w:rPr>
          <w:rStyle w:val="Funotenanker"/>
        </w:rPr>
        <w:footnoteReference w:customMarkFollows="1" w:id="622"/>
        <w:t>aa</w:t>
      </w:r>
      <w:r>
        <w:rPr/>
        <w:t xml:space="preserve"> das Rufen der Elenden </w:t>
      </w:r>
      <w:r>
        <w:rPr>
          <w:color w:val="808080"/>
        </w:rPr>
        <w:t>(Armen)</w:t>
      </w:r>
      <w:r>
        <w:rPr/>
        <w:t>.“</w:t>
      </w:r>
      <w:r>
        <w:rPr>
          <w:rStyle w:val="Funotenanker"/>
        </w:rPr>
        <w:footnoteReference w:customMarkFollows="1" w:id="623"/>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24"/>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25"/>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26"/>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27"/>
        <w:t>af</w:t>
      </w:r>
      <w:r>
        <w:rPr/>
        <w:t xml:space="preserve"> verstrickt!“ </w:t>
      </w:r>
      <w:r>
        <w:rPr>
          <w:strike/>
          <w:color w:val="808080"/>
        </w:rPr>
        <w:t>{Higgaion Selah}</w:t>
      </w:r>
      <w:r>
        <w:rPr/>
        <w:t xml:space="preserve"> </w:t>
      </w:r>
      <w:r>
        <w:rPr>
          <w:rStyle w:val="Funotenanker"/>
        </w:rPr>
        <w:footnoteReference w:customMarkFollows="1" w:id="628"/>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9"/>
        <w:t>ah</w:t>
      </w:r>
      <w:r>
        <w:rPr/>
        <w:t xml:space="preserve"> Scheol</w:t>
      </w:r>
      <w:r>
        <w:rPr>
          <w:rStyle w:val="Funotenanker"/>
        </w:rPr>
        <w:footnoteReference w:customMarkFollows="1" w:id="630"/>
        <w:t>ai</w:t>
      </w:r>
      <w:r>
        <w:rPr/>
        <w:t xml:space="preserve"> zurückkehren,</w:t>
      </w:r>
      <w:r>
        <w:rPr>
          <w:rStyle w:val="Funotenanker"/>
        </w:rPr>
        <w:footnoteReference w:customMarkFollows="1" w:id="631"/>
        <w:t>aj</w:t>
      </w:r>
      <w:r>
        <w:rPr/>
        <w:t xml:space="preserve">Alle Nationen, die Gott vergessen </w:t>
      </w:r>
      <w:r>
        <w:rPr>
          <w:b/>
          <w:color w:val="808080"/>
        </w:rPr>
        <w:t>[</w:t>
      </w:r>
      <w:r>
        <w:rPr/>
        <w:t>haben</w:t>
      </w:r>
      <w:r>
        <w:rPr>
          <w:b/>
          <w:color w:val="808080"/>
        </w:rPr>
        <w:t>]</w:t>
      </w:r>
      <w:r>
        <w:rPr/>
        <w:t>.</w:t>
      </w:r>
      <w:r>
        <w:rPr>
          <w:rStyle w:val="Funotenanker"/>
        </w:rPr>
        <w:footnoteReference w:customMarkFollows="1" w:id="632"/>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33"/>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34"/>
        <w:t>am</w:t>
      </w:r>
      <w:r>
        <w:rPr/>
        <w:t xml:space="preserve"> sollen nicht stark sein!</w:t>
      </w:r>
      <w:r>
        <w:rPr>
          <w:rStyle w:val="Funotenanker"/>
        </w:rPr>
        <w:footnoteReference w:customMarkFollows="1" w:id="635"/>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36"/>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37"/>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38"/>
        <w:t>b</w:t>
      </w:r>
      <w:r>
        <w:rPr/>
        <w:t xml:space="preserve">! ... Vergiss die Elenden doch nicht!“ wieder </w:t>
      </w:r>
      <w:r>
        <w:rPr>
          <w:rStyle w:val="Funotenanker"/>
        </w:rPr>
        <w:footnoteReference w:customMarkFollows="1" w:id="639"/>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40"/>
        <w:t>Status</w:t>
      </w:r>
      <w:r>
        <w:rPr/>
        <w:t xml:space="preserve"> </w:t>
      </w:r>
      <w:r>
        <w:rPr>
          <w:b/>
          <w:color w:val="808080"/>
        </w:rPr>
        <w:t>[</w:t>
      </w:r>
      <w:r>
        <w:rPr/>
        <w:t>'''L'''</w:t>
      </w:r>
      <w:r>
        <w:rPr>
          <w:b/>
          <w:color w:val="808080"/>
        </w:rPr>
        <w:t>]</w:t>
      </w:r>
      <w:r>
        <w:rPr/>
        <w:t xml:space="preserve"> </w:t>
      </w:r>
      <w:r>
        <w:rPr>
          <w:rStyle w:val="Funotenanker"/>
        </w:rPr>
        <w:footnoteReference w:customMarkFollows="1" w:id="641"/>
        <w:t>d</w:t>
      </w:r>
      <w:r>
        <w:rPr/>
        <w:t xml:space="preserve"> Warum, o </w:t>
      </w:r>
      <w:r>
        <w:rPr>
          <w:smallCaps/>
          <w:color w:val="FF0000"/>
        </w:rPr>
        <w:t>JHWH</w:t>
      </w:r>
      <w:r>
        <w:rPr/>
        <w:t>, willst du fern stehen,</w:t>
      </w:r>
      <w:r>
        <w:rPr>
          <w:rStyle w:val="Funotenanker"/>
        </w:rPr>
        <w:footnoteReference w:customMarkFollows="1" w:id="642"/>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43"/>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44"/>
        <w:t>g</w:t>
      </w:r>
      <w:r>
        <w:rPr/>
        <w:t>Sie werden gefangen durch die Ränke, die sie erdacht haben.</w:t>
      </w:r>
      <w:r>
        <w:rPr>
          <w:rStyle w:val="Funotenanker"/>
        </w:rPr>
        <w:footnoteReference w:customMarkFollows="1" w:id="645"/>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46"/>
        <w:t>i</w:t>
      </w:r>
      <w:r>
        <w:rPr/>
        <w:t>Und der Abschneider</w:t>
      </w:r>
      <w:r>
        <w:rPr>
          <w:rStyle w:val="Funotenanker"/>
        </w:rPr>
        <w:footnoteReference w:customMarkFollows="1" w:id="647"/>
        <w:t>j</w:t>
      </w:r>
      <w:r>
        <w:rPr/>
        <w:t xml:space="preserve"> flucht,</w:t>
      </w:r>
      <w:r>
        <w:rPr>
          <w:rStyle w:val="Funotenanker"/>
        </w:rPr>
        <w:footnoteReference w:customMarkFollows="1" w:id="648"/>
        <w:t>k</w:t>
      </w:r>
      <w:r>
        <w:rPr/>
        <w:t xml:space="preserve"> verachtet</w:t>
      </w:r>
      <w:r>
        <w:rPr>
          <w:rStyle w:val="Funotenanker"/>
        </w:rPr>
        <w:footnoteReference w:customMarkFollows="1" w:id="649"/>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50"/>
        <w:t>m</w:t>
      </w:r>
      <w:r>
        <w:rPr/>
        <w:t xml:space="preserve"> „Er sucht nicht!“</w:t>
      </w:r>
      <w:r>
        <w:rPr>
          <w:rStyle w:val="Funotenanker"/>
        </w:rPr>
        <w:footnoteReference w:customMarkFollows="1" w:id="651"/>
        <w:t>n</w:t>
      </w:r>
      <w:r>
        <w:rPr/>
        <w:t xml:space="preserve">„Es </w:t>
      </w:r>
      <w:r>
        <w:rPr>
          <w:b/>
          <w:color w:val="808080"/>
        </w:rPr>
        <w:t>[</w:t>
      </w:r>
      <w:r>
        <w:rPr/>
        <w:t>gibt</w:t>
      </w:r>
      <w:r>
        <w:rPr>
          <w:b/>
          <w:color w:val="808080"/>
        </w:rPr>
        <w:t>]</w:t>
      </w:r>
      <w:r>
        <w:rPr/>
        <w:t xml:space="preserve"> keinen Gott“</w:t>
      </w:r>
      <w:r>
        <w:rPr>
          <w:rStyle w:val="Funotenanker"/>
        </w:rPr>
        <w:footnoteReference w:customMarkFollows="1" w:id="652"/>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53"/>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54"/>
        <w:t>q</w:t>
      </w:r>
      <w:r>
        <w:rPr/>
        <w:t>All' seine Gegner, die schnaubt er an.</w:t>
      </w:r>
      <w:r>
        <w:rPr>
          <w:rStyle w:val="Funotenanker"/>
        </w:rPr>
        <w:footnoteReference w:customMarkFollows="1" w:id="655"/>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56"/>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57"/>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58"/>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9"/>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60"/>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61"/>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62"/>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63"/>
        <w:t>z</w:t>
      </w:r>
      <w:r>
        <w:rPr/>
        <w:t>Verbirgt sein Gesicht,</w:t>
      </w:r>
      <w:r>
        <w:rPr>
          <w:rStyle w:val="Funotenanker"/>
        </w:rPr>
        <w:footnoteReference w:customMarkFollows="1" w:id="664"/>
        <w:t>aa</w:t>
      </w:r>
      <w:r>
        <w:rPr/>
        <w:t xml:space="preserve"> Sieht nicht auf immer!“</w:t>
      </w:r>
      <w:r>
        <w:rPr>
          <w:rStyle w:val="Funotenanker"/>
        </w:rPr>
        <w:footnoteReference w:customMarkFollows="1" w:id="665"/>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66"/>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67"/>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68"/>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9"/>
        <w:t>af</w:t>
      </w:r>
      <w:r>
        <w:rPr/>
        <w:t xml:space="preserve"> sein</w:t>
      </w:r>
      <w:r>
        <w:rPr>
          <w:rStyle w:val="Funotenanker"/>
        </w:rPr>
        <w:footnoteReference w:customMarkFollows="1" w:id="670"/>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71"/>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72"/>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73"/>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74"/>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75"/>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76"/>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w:t>
        <w:br/>
        <w:t xml:space="preserve">Wie </w:t>
      </w:r>
      <w:r>
        <w:rPr>
          <w:b/>
          <w:color w:val="808080"/>
        </w:rPr>
        <w:t>[</w:t>
      </w:r>
      <w:r>
        <w:rPr/>
        <w:t>könnt</w:t>
      </w:r>
      <w:r>
        <w:rPr>
          <w:b/>
          <w:color w:val="808080"/>
        </w:rPr>
        <w:t>]</w:t>
      </w:r>
      <w:r>
        <w:rPr/>
        <w:t xml:space="preserve"> ihr</w:t>
      </w:r>
      <w:r>
        <w:rPr>
          <w:rStyle w:val="Funotenanker"/>
        </w:rPr>
        <w:footnoteReference w:customMarkFollows="1" w:id="677"/>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78"/>
        <w:t>c</w:t>
      </w:r>
      <w:r>
        <w:rPr/>
        <w:t xml:space="preserve"> sagen:</w:t>
      </w:r>
      <w:r>
        <w:rPr>
          <w:rStyle w:val="Funotenanker"/>
        </w:rPr>
        <w:footnoteReference w:customMarkFollows="1" w:id="679"/>
        <w:t>d</w:t>
      </w:r>
      <w:r>
        <w:rPr/>
        <w:t>„Flieht auf euren Berg</w:t>
      </w:r>
      <w:r>
        <w:rPr>
          <w:rStyle w:val="Funotenanker"/>
        </w:rPr>
        <w:footnoteReference w:customMarkFollows="1" w:id="680"/>
        <w:t>e</w:t>
      </w:r>
      <w:r>
        <w:rPr/>
        <w:t xml:space="preserve"> </w:t>
      </w:r>
      <w:r>
        <w:rPr>
          <w:b/>
          <w:color w:val="808080"/>
        </w:rPr>
        <w:t>[</w:t>
      </w:r>
      <w:r>
        <w:rPr/>
        <w:t>wie</w:t>
      </w:r>
      <w:r>
        <w:rPr>
          <w:b/>
          <w:color w:val="808080"/>
        </w:rPr>
        <w:t>]</w:t>
      </w:r>
      <w:r>
        <w:rPr/>
        <w:t xml:space="preserve"> ein Vogel!</w:t>
      </w:r>
      <w:r>
        <w:rPr>
          <w:rStyle w:val="Funotenanker"/>
        </w:rPr>
        <w:footnoteReference w:customMarkFollows="1" w:id="681"/>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82"/>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83"/>
        <w:t>h</w:t>
      </w:r>
      <w:r>
        <w:rPr/>
        <w:t xml:space="preserve"> die Bösen wollen den Bogen spannen,Sie wollen den Pfeil auf die Sehne legen</w:t>
      </w:r>
      <w:r>
        <w:rPr>
          <w:rStyle w:val="Funotenanker"/>
        </w:rPr>
        <w:footnoteReference w:customMarkFollows="1" w:id="684"/>
        <w:t>i</w:t>
      </w:r>
      <w:r>
        <w:rPr/>
        <w:t>Um im Dunkel</w:t>
      </w:r>
      <w:r>
        <w:rPr>
          <w:rStyle w:val="Funotenanker"/>
        </w:rPr>
        <w:footnoteReference w:customMarkFollows="1" w:id="685"/>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86"/>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87"/>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88"/>
        <w:t>m</w:t>
      </w:r>
      <w:r>
        <w:rPr/>
        <w:t xml:space="preserve"> </w:t>
        <w:br/>
        <w:t>Seine Augen blicken,</w:t>
      </w:r>
      <w:r>
        <w:rPr>
          <w:rStyle w:val="Funotenanker"/>
        </w:rPr>
        <w:footnoteReference w:customMarkFollows="1" w:id="689"/>
        <w:t>n</w:t>
      </w:r>
      <w:r>
        <w:rPr/>
        <w:t>Seine Augen</w:t>
      </w:r>
      <w:r>
        <w:rPr>
          <w:rStyle w:val="Funotenanker"/>
        </w:rPr>
        <w:footnoteReference w:customMarkFollows="1" w:id="690"/>
        <w:t>o</w:t>
      </w:r>
      <w:r>
        <w:rPr/>
        <w:t xml:space="preserve"> prüfen die Menschensöhne.</w:t>
      </w:r>
      <w:r>
        <w:rPr>
          <w:rStyle w:val="Funotenanker"/>
        </w:rPr>
        <w:footnoteReference w:customMarkFollows="1" w:id="691"/>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92"/>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93"/>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94"/>
        <w:t>s</w:t>
      </w:r>
      <w:r>
        <w:rPr/>
        <w:t>Feuer, Schwefel</w:t>
      </w:r>
      <w:r>
        <w:rPr>
          <w:rStyle w:val="Funotenanker"/>
        </w:rPr>
        <w:footnoteReference w:customMarkFollows="1" w:id="695"/>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96"/>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97"/>
        <w:t>v</w:t>
      </w:r>
      <w:r>
        <w:rPr/>
        <w:t xml:space="preserve"> ein Aufrechter sein Gesicht sehen </w:t>
      </w:r>
      <w:r>
        <w:rPr>
          <w:color w:val="808080"/>
        </w:rPr>
        <w:t>(wird sein Gesicht auf einen Aufrechten sehen?)</w:t>
      </w:r>
      <w:r>
        <w:rPr/>
        <w:t>.</w:t>
      </w:r>
      <w:r>
        <w:rPr>
          <w:rStyle w:val="Funotenanker"/>
        </w:rPr>
        <w:footnoteReference w:customMarkFollows="1" w:id="698"/>
        <w:t>w</w:t>
      </w:r>
      <w:r>
        <w:rPr/>
        <w:t xml:space="preserve"> </w:t>
        <w:br/>
        <w:t xml:space="preserve">{{field-off:bible}} </w:t>
      </w:r>
    </w:p>
    <w:p>
      <w:pPr>
        <w:pStyle w:val="Berschrift3"/>
        <w:rPr/>
      </w:pPr>
      <w:r>
        <w:rPr/>
        <w:t>[[@BibleTOBIBLE:Ps 12]]Kapitel 12</w:t>
      </w:r>
    </w:p>
    <w:p>
      <w:pPr>
        <w:pStyle w:val="Textkrper"/>
        <w:rPr/>
      </w:pPr>
      <w:r>
        <w:rPr/>
        <w:br/>
        <w:t>[[@BibleTOBIBLE:Ps 12:1]]</w:t>
      </w:r>
      <w:r>
        <w:rPr>
          <w:b/>
        </w:rPr>
        <w:t>1</w:t>
      </w:r>
      <w:r>
        <w:rPr/>
        <w:t xml:space="preserve"> {{field-on:bible}} </w:t>
      </w:r>
      <w:r>
        <w:rPr>
          <w:rStyle w:val="Funotenanker"/>
        </w:rPr>
        <w:footnoteReference w:customMarkFollows="1" w:id="699"/>
        <w:t>Status</w:t>
      </w:r>
      <w:r>
        <w:rPr/>
        <w:t xml:space="preserve"> ''Für den Chorleiter </w:t>
      </w:r>
      <w:r>
        <w:rPr>
          <w:color w:val="808080"/>
        </w:rPr>
        <w:t>(Dirigenten, Singenden, Musizierenden)</w:t>
      </w:r>
      <w:r>
        <w:rPr/>
        <w:t>''.</w:t>
      </w:r>
      <w:r>
        <w:rPr>
          <w:rStyle w:val="Funotenanker"/>
        </w:rPr>
        <w:footnoteReference w:customMarkFollows="1" w:id="700"/>
        <w:t>a</w:t>
      </w:r>
      <w:r>
        <w:rPr/>
        <w:t xml:space="preserve"> `al-hascheminit ''</w:t>
      </w:r>
      <w:r>
        <w:rPr>
          <w:color w:val="808080"/>
        </w:rPr>
        <w:t>(</w:t>
      </w:r>
      <w:r>
        <w:rPr>
          <w:b/>
          <w:color w:val="808080"/>
        </w:rPr>
        <w:t>[</w:t>
      </w:r>
      <w:r>
        <w:rPr>
          <w:color w:val="808080"/>
        </w:rPr>
        <w:t>Vorzutragen</w:t>
      </w:r>
      <w:r>
        <w:rPr>
          <w:b/>
          <w:color w:val="808080"/>
        </w:rPr>
        <w:t>]</w:t>
      </w:r>
      <w:r>
        <w:rPr>
          <w:color w:val="808080"/>
        </w:rPr>
        <w:t xml:space="preserve"> von Basstimmen;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701"/>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12:2]]</w:t>
      </w:r>
      <w:r>
        <w:rPr>
          <w:b/>
        </w:rPr>
        <w:t>2</w:t>
      </w:r>
      <w:r>
        <w:rPr/>
        <w:t xml:space="preserve"> {{field-on:bible}} </w:t>
        <w:br/>
        <w:t xml:space="preserve">Hilf </w:t>
      </w:r>
      <w:r>
        <w:rPr>
          <w:color w:val="808080"/>
        </w:rPr>
        <w:t>(Rette)</w:t>
      </w:r>
      <w:r>
        <w:rPr/>
        <w:t>,</w:t>
      </w:r>
      <w:r>
        <w:rPr>
          <w:rStyle w:val="Funotenanker"/>
        </w:rPr>
        <w:footnoteReference w:customMarkFollows="1" w:id="702"/>
        <w:t>c</w:t>
      </w:r>
      <w:r>
        <w:rPr/>
        <w:t xml:space="preserve"> </w:t>
      </w:r>
      <w:r>
        <w:rPr>
          <w:smallCaps/>
          <w:color w:val="FF0000"/>
        </w:rPr>
        <w:t>JHWH</w:t>
      </w:r>
      <w:r>
        <w:rPr/>
        <w:t xml:space="preserve">, denn </w:t>
      </w:r>
      <w:r>
        <w:rPr>
          <w:b/>
          <w:color w:val="808080"/>
        </w:rPr>
        <w:t>[</w:t>
      </w:r>
      <w:r>
        <w:rPr/>
        <w:t>der</w:t>
      </w:r>
      <w:r>
        <w:rPr>
          <w:b/>
          <w:color w:val="808080"/>
        </w:rPr>
        <w:t>]</w:t>
      </w:r>
      <w:r>
        <w:rPr/>
        <w:t xml:space="preserve"> Fromme </w:t>
      </w:r>
      <w:r>
        <w:rPr>
          <w:color w:val="808080"/>
        </w:rPr>
        <w:t>(Frömmigkeit)</w:t>
      </w:r>
      <w:r>
        <w:rPr/>
        <w:t xml:space="preserve"> endet </w:t>
      </w:r>
      <w:r>
        <w:rPr>
          <w:color w:val="808080"/>
        </w:rPr>
        <w:t>(ist geendet)</w:t>
      </w:r>
      <w:r>
        <w:rPr/>
        <w:t xml:space="preserve">,Denn </w:t>
      </w:r>
      <w:r>
        <w:rPr>
          <w:b/>
          <w:color w:val="808080"/>
        </w:rPr>
        <w:t>[</w:t>
      </w:r>
      <w:r>
        <w:rPr/>
        <w:t>die</w:t>
      </w:r>
      <w:r>
        <w:rPr>
          <w:b/>
          <w:color w:val="808080"/>
        </w:rPr>
        <w:t>]</w:t>
      </w:r>
      <w:r>
        <w:rPr/>
        <w:t xml:space="preserve"> Treuen </w:t>
      </w:r>
      <w:r>
        <w:rPr>
          <w:color w:val="808080"/>
        </w:rPr>
        <w:t>(Treue)</w:t>
      </w:r>
      <w:r>
        <w:rPr/>
        <w:t xml:space="preserve"> gehen zugrunde </w:t>
      </w:r>
      <w:r>
        <w:rPr>
          <w:color w:val="808080"/>
        </w:rPr>
        <w:t>(sind zugrunde gegangen)</w:t>
      </w:r>
      <w:r>
        <w:rPr/>
        <w:t xml:space="preserve"> </w:t>
      </w:r>
      <w:r>
        <w:rPr>
          <w:rStyle w:val="Funotenanker"/>
        </w:rPr>
        <w:footnoteReference w:customMarkFollows="1" w:id="703"/>
        <w:t>d</w:t>
      </w:r>
      <w:r>
        <w:rPr/>
        <w:t xml:space="preserve"> unter den Menschenkindern!</w:t>
        <w:br/>
        <w:t xml:space="preserve">{{field-off:bible}} </w:t>
        <w:br/>
        <w:t>[[@BibleTOBIBLE:Ps 12:3]]</w:t>
      </w:r>
      <w:r>
        <w:rPr>
          <w:b/>
        </w:rPr>
        <w:t>3</w:t>
      </w:r>
      <w:r>
        <w:rPr/>
        <w:t xml:space="preserve"> {{field-on:bible}} </w:t>
        <w:br/>
        <w:t>Erlogenes sagt jeder seinem Nächsten;</w:t>
      </w:r>
      <w:r>
        <w:rPr>
          <w:rStyle w:val="Funotenanker"/>
        </w:rPr>
        <w:footnoteReference w:customMarkFollows="1" w:id="704"/>
        <w:t>e</w:t>
      </w:r>
      <w:r>
        <w:rPr/>
        <w:t xml:space="preserve"> </w:t>
      </w:r>
      <w:r>
        <w:rPr>
          <w:b/>
          <w:color w:val="808080"/>
        </w:rPr>
        <w:t>[</w:t>
      </w:r>
      <w:r>
        <w:rPr/>
        <w:t>Mit</w:t>
      </w:r>
      <w:r>
        <w:rPr>
          <w:b/>
          <w:color w:val="808080"/>
        </w:rPr>
        <w:t>]</w:t>
      </w:r>
      <w:r>
        <w:rPr/>
        <w:t xml:space="preserve"> glatter Lippe,</w:t>
      </w:r>
      <w:r>
        <w:rPr>
          <w:rStyle w:val="Funotenanker"/>
        </w:rPr>
        <w:footnoteReference w:customMarkFollows="1" w:id="705"/>
        <w:t>f</w:t>
      </w:r>
      <w:r>
        <w:rPr/>
        <w:t xml:space="preserve"> mit Herz und Herz</w:t>
      </w:r>
      <w:r>
        <w:rPr>
          <w:rStyle w:val="Funotenanker"/>
        </w:rPr>
        <w:footnoteReference w:customMarkFollows="1" w:id="706"/>
        <w:t>g</w:t>
      </w:r>
      <w:r>
        <w:rPr/>
        <w:t xml:space="preserve"> sprechen sie!</w:t>
        <w:br/>
        <w:br/>
        <w:t xml:space="preserve">{{field-off:bible}} </w:t>
        <w:br/>
        <w:t>[[@BibleTOBIBLE:Ps 12:4]]</w:t>
      </w:r>
      <w:r>
        <w:rPr>
          <w:b/>
        </w:rPr>
        <w:t>4</w:t>
      </w:r>
      <w:r>
        <w:rPr/>
        <w:t xml:space="preserve"> {{field-on:bible}} </w:t>
        <w:br/>
      </w:r>
      <w:r>
        <w:rPr>
          <w:smallCaps/>
          <w:color w:val="FF0000"/>
        </w:rPr>
        <w:t>JHWH</w:t>
      </w:r>
      <w:r>
        <w:rPr/>
        <w:t xml:space="preserve"> möge vernichten </w:t>
      </w:r>
      <w:r>
        <w:rPr>
          <w:color w:val="808080"/>
        </w:rPr>
        <w:t>(abschneiden)</w:t>
      </w:r>
      <w:r>
        <w:rPr/>
        <w:t xml:space="preserve"> alle glatten Lippen,</w:t>
      </w:r>
      <w:r>
        <w:rPr>
          <w:b/>
          <w:color w:val="808080"/>
        </w:rPr>
        <w:t>[</w:t>
      </w:r>
      <w:r>
        <w:rPr/>
        <w:t>Die</w:t>
      </w:r>
      <w:r>
        <w:rPr>
          <w:b/>
          <w:color w:val="808080"/>
        </w:rPr>
        <w:t>]</w:t>
      </w:r>
      <w:r>
        <w:rPr/>
        <w:t xml:space="preserve"> Zunge, die Großes </w:t>
      </w:r>
      <w:r>
        <w:rPr>
          <w:color w:val="808080"/>
        </w:rPr>
        <w:t>(Vermessenes)</w:t>
      </w:r>
      <w:r>
        <w:rPr/>
        <w:t xml:space="preserve"> spricht,</w:t>
        <w:br/>
        <w:t xml:space="preserve">{{field-off:bible}} </w:t>
        <w:br/>
        <w:t>[[@BibleTOBIBLE:Ps 12:5]]</w:t>
      </w:r>
      <w:r>
        <w:rPr>
          <w:b/>
        </w:rPr>
        <w:t>5</w:t>
      </w:r>
      <w:r>
        <w:rPr/>
        <w:t xml:space="preserve"> {{field-on:bible}} </w:t>
        <w:br/>
      </w:r>
      <w:r>
        <w:rPr>
          <w:b/>
          <w:color w:val="808080"/>
        </w:rPr>
        <w:t>[</w:t>
      </w:r>
      <w:r>
        <w:rPr/>
        <w:t>Sie</w:t>
      </w:r>
      <w:r>
        <w:rPr>
          <w:b/>
          <w:color w:val="808080"/>
        </w:rPr>
        <w:t>]</w:t>
      </w:r>
      <w:r>
        <w:rPr/>
        <w:t xml:space="preserve">, sie </w:t>
      </w:r>
      <w:r>
        <w:rPr>
          <w:b/>
          <w:color w:val="808080"/>
        </w:rPr>
        <w:t>[</w:t>
      </w:r>
      <w:r>
        <w:rPr/>
        <w:t>vorher</w:t>
      </w:r>
      <w:r>
        <w:rPr>
          <w:b/>
          <w:color w:val="808080"/>
        </w:rPr>
        <w:t>]</w:t>
      </w:r>
      <w:r>
        <w:rPr/>
        <w:t xml:space="preserve"> gesagt haben: „Mit unserer Zunge sind wir stark </w:t>
      </w:r>
      <w:r>
        <w:rPr>
          <w:color w:val="808080"/>
        </w:rPr>
        <w:t>(unserer Zunge verschaffen wir Stärke?, über unsere Zunge herrschen wir?)</w:t>
      </w:r>
      <w:r>
        <w:rPr/>
        <w:t xml:space="preserve">Unsere Lippen </w:t>
      </w:r>
      <w:r>
        <w:rPr>
          <w:b/>
          <w:color w:val="808080"/>
        </w:rPr>
        <w:t>[</w:t>
      </w:r>
      <w:r>
        <w:rPr/>
        <w:t>sind</w:t>
      </w:r>
      <w:r>
        <w:rPr>
          <w:b/>
          <w:color w:val="808080"/>
        </w:rPr>
        <w:t>]</w:t>
      </w:r>
      <w:r>
        <w:rPr/>
        <w:t xml:space="preserve"> mit uns </w:t>
      </w:r>
      <w:r>
        <w:rPr>
          <w:color w:val="808080"/>
        </w:rPr>
        <w:t>(gehören uns)</w:t>
      </w:r>
      <w:r>
        <w:rPr/>
        <w:t xml:space="preserve"> - wer </w:t>
      </w:r>
      <w:r>
        <w:rPr>
          <w:b/>
          <w:color w:val="808080"/>
        </w:rPr>
        <w:t>[</w:t>
      </w:r>
      <w:r>
        <w:rPr/>
        <w:t>also</w:t>
      </w:r>
      <w:r>
        <w:rPr>
          <w:b/>
          <w:color w:val="808080"/>
        </w:rPr>
        <w:t>]</w:t>
      </w:r>
      <w:r>
        <w:rPr/>
        <w:t xml:space="preserve"> </w:t>
      </w:r>
      <w:r>
        <w:rPr>
          <w:b/>
          <w:color w:val="808080"/>
        </w:rPr>
        <w:t>[</w:t>
      </w:r>
      <w:r>
        <w:rPr/>
        <w:t>will da</w:t>
      </w:r>
      <w:r>
        <w:rPr>
          <w:b/>
          <w:color w:val="808080"/>
        </w:rPr>
        <w:t>]</w:t>
      </w:r>
      <w:r>
        <w:rPr/>
        <w:t xml:space="preserve"> Herr über uns </w:t>
      </w:r>
      <w:r>
        <w:rPr>
          <w:b/>
          <w:color w:val="808080"/>
        </w:rPr>
        <w:t>[</w:t>
      </w:r>
      <w:r>
        <w:rPr/>
        <w:t>sein</w:t>
      </w:r>
      <w:r>
        <w:rPr>
          <w:b/>
          <w:color w:val="808080"/>
        </w:rPr>
        <w:t>]</w:t>
      </w:r>
      <w:r>
        <w:rPr/>
        <w:t>?“</w:t>
        <w:br/>
        <w:br/>
        <w:t xml:space="preserve">{{field-off:bible}} </w:t>
        <w:br/>
        <w:t>[[@BibleTOBIBLE:Ps 12:6]]</w:t>
      </w:r>
      <w:r>
        <w:rPr>
          <w:b/>
        </w:rPr>
        <w:t>6</w:t>
      </w:r>
      <w:r>
        <w:rPr/>
        <w:t xml:space="preserve"> {{field-on:bible}} </w:t>
        <w:br/>
        <w:t xml:space="preserve">„Wegen der Gewalt gegen </w:t>
      </w:r>
      <w:r>
        <w:rPr>
          <w:b/>
          <w:color w:val="808080"/>
        </w:rPr>
        <w:t>[</w:t>
      </w:r>
      <w:r>
        <w:rPr/>
        <w:t>die</w:t>
      </w:r>
      <w:r>
        <w:rPr>
          <w:b/>
          <w:color w:val="808080"/>
        </w:rPr>
        <w:t>]</w:t>
      </w:r>
      <w:r>
        <w:rPr/>
        <w:t xml:space="preserve"> Elenden, wegen dem Ächzen </w:t>
      </w:r>
      <w:r>
        <w:rPr>
          <w:b/>
          <w:color w:val="808080"/>
        </w:rPr>
        <w:t>[</w:t>
      </w:r>
      <w:r>
        <w:rPr/>
        <w:t>der</w:t>
      </w:r>
      <w:r>
        <w:rPr>
          <w:b/>
          <w:color w:val="808080"/>
        </w:rPr>
        <w:t>]</w:t>
      </w:r>
      <w:r>
        <w:rPr/>
        <w:t xml:space="preserve"> Armen - Jetzt werde </w:t>
      </w:r>
      <w:r>
        <w:rPr>
          <w:color w:val="808080"/>
        </w:rPr>
        <w:t>(will)</w:t>
      </w:r>
      <w:r>
        <w:rPr/>
        <w:t xml:space="preserve"> ich mich erheben“,</w:t>
      </w:r>
      <w:r>
        <w:rPr>
          <w:rStyle w:val="Funotenanker"/>
        </w:rPr>
        <w:footnoteReference w:customMarkFollows="1" w:id="707"/>
        <w:t>h</w:t>
      </w:r>
      <w:r>
        <w:rPr/>
        <w:t xml:space="preserve"> möge </w:t>
      </w:r>
      <w:r>
        <w:rPr>
          <w:color w:val="808080"/>
        </w:rPr>
        <w:t>(wird)</w:t>
      </w:r>
      <w:r>
        <w:rPr/>
        <w:t xml:space="preserve"> </w:t>
      </w:r>
      <w:r>
        <w:rPr>
          <w:smallCaps/>
          <w:color w:val="FF0000"/>
        </w:rPr>
        <w:t>JHWH</w:t>
      </w:r>
      <w:r>
        <w:rPr/>
        <w:t xml:space="preserve"> sprechen </w:t>
      </w:r>
      <w:r>
        <w:rPr>
          <w:color w:val="808080"/>
        </w:rPr>
        <w:t xml:space="preserve">(spricht </w:t>
      </w:r>
      <w:r>
        <w:rPr>
          <w:smallCaps/>
          <w:color w:val="FF0000"/>
        </w:rPr>
        <w:t>JHWH</w:t>
      </w:r>
      <w:r>
        <w:rPr>
          <w:color w:val="808080"/>
        </w:rPr>
        <w:t>?)</w:t>
      </w:r>
      <w:r>
        <w:rPr/>
        <w:t>;</w:t>
      </w:r>
      <w:r>
        <w:rPr>
          <w:rStyle w:val="Funotenanker"/>
        </w:rPr>
        <w:footnoteReference w:customMarkFollows="1" w:id="708"/>
        <w:t>i</w:t>
      </w:r>
      <w:r>
        <w:rPr/>
        <w:t xml:space="preserve">„Ich werde </w:t>
      </w:r>
      <w:r>
        <w:rPr>
          <w:color w:val="808080"/>
        </w:rPr>
        <w:t>(will)</w:t>
      </w:r>
      <w:r>
        <w:rPr/>
        <w:t xml:space="preserve"> in Sicherheit bringen </w:t>
      </w:r>
      <w:r>
        <w:rPr>
          <w:color w:val="808080"/>
        </w:rPr>
        <w:t>(ins Heil versetzen)</w:t>
      </w:r>
      <w:r>
        <w:rPr/>
        <w:t xml:space="preserve"> </w:t>
      </w:r>
      <w:r>
        <w:rPr>
          <w:b/>
          <w:color w:val="808080"/>
        </w:rPr>
        <w:t>[</w:t>
      </w:r>
      <w:r>
        <w:rPr/>
        <w:t>den, der</w:t>
      </w:r>
      <w:r>
        <w:rPr>
          <w:b/>
          <w:color w:val="808080"/>
        </w:rPr>
        <w:t>]</w:t>
      </w:r>
      <w:r>
        <w:rPr/>
        <w:t xml:space="preserve"> danach seufzt </w:t>
      </w:r>
      <w:r>
        <w:rPr>
          <w:color w:val="808080"/>
        </w:rPr>
        <w:t>(gegen den man schnaubt, will seinen Zeugen in Sicherheit bringen, will ihm zum Heil einen Zeugen stellen)</w:t>
      </w:r>
      <w:r>
        <w:rPr/>
        <w:t>.“</w:t>
      </w:r>
      <w:r>
        <w:rPr>
          <w:rStyle w:val="Funotenanker"/>
        </w:rPr>
        <w:footnoteReference w:customMarkFollows="1" w:id="709"/>
        <w:t>j</w:t>
      </w:r>
      <w:r>
        <w:rPr/>
        <w:t xml:space="preserve"> </w:t>
        <w:br/>
        <w:t xml:space="preserve">{{field-off:bible}} </w:t>
        <w:br/>
        <w:t>[[@BibleTOBIBLE:Ps 12:7]]</w:t>
      </w:r>
      <w:r>
        <w:rPr>
          <w:b/>
        </w:rPr>
        <w:t>7</w:t>
      </w:r>
      <w:r>
        <w:rPr/>
        <w:t xml:space="preserve"> {{field-on:bible}} </w:t>
        <w:br/>
      </w:r>
      <w:r>
        <w:rPr>
          <w:b/>
          <w:color w:val="808080"/>
        </w:rPr>
        <w:t>[</w:t>
      </w:r>
      <w:r>
        <w:rPr/>
        <w:t>Und diese</w:t>
      </w:r>
      <w:r>
        <w:rPr>
          <w:b/>
          <w:color w:val="808080"/>
        </w:rPr>
        <w:t>]</w:t>
      </w:r>
      <w:r>
        <w:rPr/>
        <w:t xml:space="preserve"> Aussagen von </w:t>
      </w:r>
      <w:r>
        <w:rPr>
          <w:smallCaps/>
          <w:color w:val="FF0000"/>
        </w:rPr>
        <w:t>JHWH</w:t>
      </w:r>
      <w:r>
        <w:rPr/>
        <w:t xml:space="preserve"> </w:t>
      </w:r>
      <w:r>
        <w:rPr>
          <w:b/>
          <w:color w:val="808080"/>
        </w:rPr>
        <w:t>[</w:t>
      </w:r>
      <w:r>
        <w:rPr/>
        <w:t xml:space="preserve">mögen sein </w:t>
      </w:r>
      <w:r>
        <w:rPr>
          <w:color w:val="808080"/>
        </w:rPr>
        <w:t>(sind)</w:t>
      </w:r>
      <w:r>
        <w:rPr>
          <w:b/>
          <w:color w:val="808080"/>
        </w:rPr>
        <w:t>]</w:t>
      </w:r>
      <w:r>
        <w:rPr/>
        <w:t xml:space="preserve"> reine Aussagen,Silber, </w:t>
      </w:r>
      <w:r>
        <w:rPr>
          <w:b/>
          <w:color w:val="808080"/>
        </w:rPr>
        <w:t>[</w:t>
      </w:r>
      <w:r>
        <w:rPr/>
        <w:t>das</w:t>
      </w:r>
      <w:r>
        <w:rPr>
          <w:b/>
          <w:color w:val="808080"/>
        </w:rPr>
        <w:t>]</w:t>
      </w:r>
      <w:r>
        <w:rPr/>
        <w:t xml:space="preserve"> geläutert </w:t>
      </w:r>
      <w:r>
        <w:rPr>
          <w:b/>
          <w:color w:val="808080"/>
        </w:rPr>
        <w:t>[</w:t>
      </w:r>
      <w:r>
        <w:rPr/>
        <w:t>wurde</w:t>
      </w:r>
      <w:r>
        <w:rPr>
          <w:b/>
          <w:color w:val="808080"/>
        </w:rPr>
        <w:t>]</w:t>
      </w:r>
      <w:r>
        <w:rPr/>
        <w:t xml:space="preserve"> ???,</w:t>
      </w:r>
      <w:r>
        <w:rPr>
          <w:rStyle w:val="Funotenanker"/>
        </w:rPr>
        <w:footnoteReference w:customMarkFollows="1" w:id="710"/>
        <w:t>k</w:t>
      </w:r>
      <w:r>
        <w:rPr/>
        <w:t xml:space="preserve"> </w:t>
      </w:r>
      <w:r>
        <w:rPr>
          <w:b/>
          <w:color w:val="808080"/>
        </w:rPr>
        <w:t>[</w:t>
      </w:r>
      <w:r>
        <w:rPr/>
        <w:t>Das</w:t>
      </w:r>
      <w:r>
        <w:rPr>
          <w:b/>
          <w:color w:val="808080"/>
        </w:rPr>
        <w:t>]</w:t>
      </w:r>
      <w:r>
        <w:rPr/>
        <w:t xml:space="preserve"> siebenfach in die Erde veredelt </w:t>
      </w:r>
      <w:r>
        <w:rPr>
          <w:b/>
          <w:color w:val="808080"/>
        </w:rPr>
        <w:t>[</w:t>
      </w:r>
      <w:r>
        <w:rPr/>
        <w:t>wurde</w:t>
      </w:r>
      <w:r>
        <w:rPr>
          <w:b/>
          <w:color w:val="808080"/>
        </w:rPr>
        <w:t>]</w:t>
      </w:r>
      <w:r>
        <w:rPr/>
        <w:t>.</w:t>
        <w:br/>
        <w:br/>
        <w:t xml:space="preserve">{{field-off:bible}} </w:t>
        <w:br/>
        <w:t>[[@BibleTOBIBLE:Ps 12:8]]</w:t>
      </w:r>
      <w:r>
        <w:rPr>
          <w:b/>
        </w:rPr>
        <w:t>8</w:t>
      </w:r>
      <w:r>
        <w:rPr/>
        <w:t xml:space="preserve"> {{field-on:bible}} </w:t>
        <w:br/>
        <w:t xml:space="preserve">Du, </w:t>
      </w:r>
      <w:r>
        <w:rPr>
          <w:smallCaps/>
          <w:color w:val="FF0000"/>
        </w:rPr>
        <w:t>JHWH</w:t>
      </w:r>
      <w:r>
        <w:rPr/>
        <w:t>,</w:t>
      </w:r>
      <w:r>
        <w:rPr>
          <w:rStyle w:val="Funotenanker"/>
        </w:rPr>
        <w:footnoteReference w:customMarkFollows="1" w:id="711"/>
        <w:t>l</w:t>
      </w:r>
      <w:r>
        <w:rPr/>
        <w:t xml:space="preserve"> mögest </w:t>
      </w:r>
      <w:r>
        <w:rPr>
          <w:color w:val="808080"/>
        </w:rPr>
        <w:t>(wirst)</w:t>
      </w:r>
      <w:r>
        <w:rPr/>
        <w:t xml:space="preserve"> sie</w:t>
      </w:r>
      <w:r>
        <w:rPr>
          <w:rStyle w:val="Funotenanker"/>
        </w:rPr>
        <w:footnoteReference w:customMarkFollows="1" w:id="712"/>
        <w:t>m</w:t>
      </w:r>
      <w:r>
        <w:rPr/>
        <w:t xml:space="preserve"> behüten </w:t>
      </w:r>
      <w:r>
        <w:rPr>
          <w:color w:val="808080"/>
        </w:rPr>
        <w:t>(sie (=die Worte) halten?)</w:t>
      </w:r>
      <w:r>
        <w:rPr/>
        <w:t xml:space="preserve">,Mögest </w:t>
      </w:r>
      <w:r>
        <w:rPr>
          <w:color w:val="808080"/>
        </w:rPr>
        <w:t>(wirst)</w:t>
      </w:r>
      <w:r>
        <w:rPr/>
        <w:t xml:space="preserve"> ihn schützen vor diesem </w:t>
      </w:r>
      <w:r>
        <w:rPr>
          <w:color w:val="808080"/>
        </w:rPr>
        <w:t>(dem)</w:t>
      </w:r>
      <w:r>
        <w:rPr/>
        <w:t xml:space="preserve"> Geschlecht auf ewig </w:t>
      </w:r>
      <w:r>
        <w:rPr>
          <w:color w:val="808080"/>
        </w:rPr>
        <w:t xml:space="preserve">(diesem Geschlecht, das ewig </w:t>
      </w:r>
      <w:r>
        <w:rPr>
          <w:b/>
          <w:color w:val="808080"/>
        </w:rPr>
        <w:t>[</w:t>
      </w:r>
      <w:r>
        <w:rPr>
          <w:color w:val="808080"/>
        </w:rPr>
        <w:t>währt</w:t>
      </w:r>
      <w:r>
        <w:rPr>
          <w:b/>
          <w:color w:val="808080"/>
        </w:rPr>
        <w:t>]</w:t>
      </w:r>
      <w:r>
        <w:rPr>
          <w:color w:val="808080"/>
        </w:rPr>
        <w:t>)</w:t>
      </w:r>
      <w:r>
        <w:rPr/>
        <w:t>!</w:t>
        <w:br/>
        <w:t xml:space="preserve">{{field-off:bible}} </w:t>
        <w:br/>
        <w:t>[[@BibleTOBIBLE:Ps 12:9]]</w:t>
      </w:r>
      <w:r>
        <w:rPr>
          <w:b/>
        </w:rPr>
        <w:t>9</w:t>
      </w:r>
      <w:r>
        <w:rPr/>
        <w:t xml:space="preserve"> {{field-on:bible}} </w:t>
        <w:br/>
        <w:t xml:space="preserve">Rings </w:t>
      </w:r>
      <w:r>
        <w:rPr>
          <w:color w:val="808080"/>
        </w:rPr>
        <w:t>(im Kreis)</w:t>
      </w:r>
      <w:r>
        <w:rPr/>
        <w:t xml:space="preserve"> gehen Böse einher,Da Verachtenswertes hoch ist </w:t>
      </w:r>
      <w:r>
        <w:rPr>
          <w:color w:val="808080"/>
        </w:rPr>
        <w:t>(wird)</w:t>
      </w:r>
      <w:r>
        <w:rPr/>
        <w:t xml:space="preserve"> </w:t>
      </w:r>
      <w:r>
        <w:rPr>
          <w:rStyle w:val="Funotenanker"/>
        </w:rPr>
        <w:footnoteReference w:customMarkFollows="1" w:id="713"/>
        <w:t>n</w:t>
      </w:r>
      <w:r>
        <w:rPr/>
        <w:t xml:space="preserve"> bei den Menschenkindern.</w:t>
      </w:r>
      <w:r>
        <w:rPr>
          <w:rStyle w:val="Funotenanker"/>
        </w:rPr>
        <w:footnoteReference w:customMarkFollows="1" w:id="714"/>
        <w:t>o</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715"/>
        <w:t>Status</w:t>
      </w:r>
      <w:r>
        <w:rPr/>
        <w:t xml:space="preserve"> Für den den Chorleiter </w:t>
      </w:r>
      <w:r>
        <w:rPr>
          <w:color w:val="808080"/>
        </w:rPr>
        <w:t>(Dirigenten, Singenden, Musizierenden)</w:t>
      </w:r>
      <w:r>
        <w:rPr/>
        <w:t>.</w:t>
      </w:r>
      <w:r>
        <w:rPr>
          <w:rStyle w:val="Funotenanker"/>
        </w:rPr>
        <w:footnoteReference w:customMarkFollows="1" w:id="716"/>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717"/>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718"/>
        <w:t>c</w:t>
      </w:r>
      <w:r>
        <w:rPr/>
        <w:t xml:space="preserve"> vergessen</w:t>
      </w:r>
      <w:r>
        <w:rPr>
          <w:rStyle w:val="Funotenanker"/>
        </w:rPr>
        <w:footnoteReference w:customMarkFollows="1" w:id="719"/>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720"/>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721"/>
        <w:t>f</w:t>
      </w:r>
      <w:r>
        <w:rPr/>
        <w:t xml:space="preserve"> in meine Seele</w:t>
      </w:r>
      <w:r>
        <w:rPr>
          <w:rStyle w:val="Funotenanker"/>
        </w:rPr>
        <w:footnoteReference w:customMarkFollows="1" w:id="722"/>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723"/>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724"/>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25"/>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26"/>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27"/>
        <w:t>l</w:t>
      </w:r>
      <w:r>
        <w:rPr/>
        <w:t xml:space="preserve">, antworte mir, </w:t>
      </w:r>
      <w:r>
        <w:rPr>
          <w:smallCaps/>
          <w:color w:val="FF0000"/>
        </w:rPr>
        <w:t>JHWH</w:t>
      </w:r>
      <w:r>
        <w:rPr/>
        <w:t>!</w:t>
      </w:r>
      <w:r>
        <w:rPr>
          <w:rStyle w:val="Funotenanker"/>
        </w:rPr>
        <w:footnoteReference w:customMarkFollows="1" w:id="728"/>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29"/>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30"/>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31"/>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32"/>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33"/>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34"/>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14]]Kapitel 14</w:t>
      </w:r>
    </w:p>
    <w:p>
      <w:pPr>
        <w:pStyle w:val="Textkrper"/>
        <w:rPr/>
      </w:pPr>
      <w:r>
        <w:rPr/>
        <w:br/>
        <w:t>[[@BibleTOBIBLE:Ps 14:1]]</w:t>
      </w:r>
      <w:r>
        <w:rPr>
          <w:b/>
        </w:rPr>
        <w:t>1</w:t>
      </w:r>
      <w:r>
        <w:rPr/>
        <w:t xml:space="preserve"> {{field-on:bible}} </w:t>
      </w:r>
      <w:r>
        <w:rPr>
          <w:rStyle w:val="Funotenanker"/>
        </w:rPr>
        <w:footnoteReference w:customMarkFollows="1" w:id="735"/>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736"/>
        <w:t>a</w:t>
      </w:r>
      <w:r>
        <w:rPr/>
        <w:t xml:space="preserve"> ''Von </w:t>
      </w:r>
      <w:r>
        <w:rPr>
          <w:color w:val="808080"/>
        </w:rPr>
        <w:t>(für, über, nach Art von)</w:t>
      </w:r>
      <w:r>
        <w:rPr/>
        <w:t xml:space="preserve"> David.'' </w:t>
        <w:br/>
        <w:t xml:space="preserve">Es sagt </w:t>
      </w:r>
      <w:r>
        <w:rPr>
          <w:color w:val="808080"/>
        </w:rPr>
        <w:t>(sagte)</w:t>
      </w:r>
      <w:r>
        <w:rPr/>
        <w:t xml:space="preserve"> </w:t>
      </w:r>
      <w:r>
        <w:rPr>
          <w:b/>
          <w:color w:val="808080"/>
        </w:rPr>
        <w:t>[</w:t>
      </w:r>
      <w:r>
        <w:rPr/>
        <w:t>der</w:t>
      </w:r>
      <w:r>
        <w:rPr>
          <w:b/>
          <w:color w:val="808080"/>
        </w:rPr>
        <w:t>]</w:t>
      </w:r>
      <w:r>
        <w:rPr/>
        <w:t xml:space="preserve"> Narr in seinem Herzen </w:t>
      </w:r>
      <w:r>
        <w:rPr>
          <w:color w:val="808080"/>
        </w:rPr>
        <w:t>(es sagte sich der Narr)</w:t>
      </w:r>
      <w:r>
        <w:rPr/>
        <w:t>:„Es gibt keinen Gott!“</w:t>
      </w:r>
      <w:r>
        <w:rPr>
          <w:rStyle w:val="Funotenanker"/>
        </w:rPr>
        <w:footnoteReference w:customMarkFollows="1" w:id="737"/>
        <w:t>b</w:t>
      </w:r>
      <w:r>
        <w:rPr/>
        <w:t xml:space="preserve"> </w:t>
        <w:br/>
        <w:t xml:space="preserve">Sie begehen, verbrechen </w:t>
      </w:r>
      <w:r>
        <w:rPr>
          <w:color w:val="808080"/>
        </w:rPr>
        <w:t>(begingen, verbrachen)</w:t>
      </w:r>
      <w:r>
        <w:rPr/>
        <w:t xml:space="preserve"> Übeltat</w:t>
      </w:r>
      <w:r>
        <w:rPr>
          <w:rStyle w:val="Funotenanker"/>
        </w:rPr>
        <w:footnoteReference w:customMarkFollows="1" w:id="738"/>
        <w:t>c</w:t>
      </w:r>
      <w:r>
        <w:rPr/>
        <w:t xml:space="preserve"> </w:t>
      </w:r>
      <w:r>
        <w:rPr>
          <w:b/>
          <w:color w:val="808080"/>
        </w:rPr>
        <w:t>[</w:t>
      </w:r>
      <w:r>
        <w:rPr/>
        <w:t xml:space="preserve">Es gibt </w:t>
      </w:r>
      <w:r>
        <w:rPr>
          <w:color w:val="808080"/>
        </w:rPr>
        <w:t>(gab)</w:t>
      </w:r>
      <w:r>
        <w:rPr>
          <w:b/>
          <w:color w:val="808080"/>
        </w:rPr>
        <w:t>]</w:t>
      </w:r>
      <w:r>
        <w:rPr/>
        <w:t xml:space="preserve"> keinen, </w:t>
      </w:r>
      <w:r>
        <w:rPr>
          <w:b/>
          <w:color w:val="808080"/>
        </w:rPr>
        <w:t>[</w:t>
      </w:r>
      <w:r>
        <w:rPr/>
        <w:t>der</w:t>
      </w:r>
      <w:r>
        <w:rPr>
          <w:b/>
          <w:color w:val="808080"/>
        </w:rPr>
        <w:t>]</w:t>
      </w:r>
      <w:r>
        <w:rPr/>
        <w:t xml:space="preserve"> Gutes tut.</w:t>
        <w:br/>
        <w:br/>
        <w:t xml:space="preserve">{{field-off:bible}} </w:t>
        <w:br/>
        <w:t>[[@BibleTOBIBLE:Ps 14:2]]</w:t>
      </w:r>
      <w:r>
        <w:rPr>
          <w:b/>
        </w:rPr>
        <w:t>2</w:t>
      </w:r>
      <w:r>
        <w:rPr/>
        <w:t xml:space="preserve"> {{field-on:bible}} </w:t>
        <w:br/>
      </w:r>
      <w:r>
        <w:rPr>
          <w:smallCaps/>
          <w:color w:val="FF0000"/>
        </w:rPr>
        <w:t>JHWH</w:t>
      </w:r>
      <w:r>
        <w:rPr/>
        <w:t xml:space="preserve"> beugte </w:t>
      </w:r>
      <w:r>
        <w:rPr>
          <w:color w:val="808080"/>
        </w:rPr>
        <w:t>(beugt)</w:t>
      </w:r>
      <w:r>
        <w:rPr/>
        <w:t xml:space="preserve"> sich </w:t>
      </w:r>
      <w:r>
        <w:rPr>
          <w:color w:val="808080"/>
        </w:rPr>
        <w:t>(blickt?)</w:t>
      </w:r>
      <w:r>
        <w:rPr/>
        <w:t xml:space="preserve"> vom Himmel herab Über </w:t>
      </w:r>
      <w:r>
        <w:rPr>
          <w:b/>
          <w:color w:val="808080"/>
        </w:rPr>
        <w:t>[</w:t>
      </w:r>
      <w:r>
        <w:rPr/>
        <w:t>die</w:t>
      </w:r>
      <w:r>
        <w:rPr>
          <w:b/>
          <w:color w:val="808080"/>
        </w:rPr>
        <w:t>]</w:t>
      </w:r>
      <w:r>
        <w:rPr/>
        <w:t xml:space="preserve"> Menschenkinder,</w:t>
        <w:br/>
        <w:t xml:space="preserve">Um zu sehen, </w:t>
      </w:r>
      <w:r>
        <w:rPr>
          <w:b/>
          <w:color w:val="808080"/>
        </w:rPr>
        <w:t>[</w:t>
      </w:r>
      <w:r>
        <w:rPr/>
        <w:t>ob</w:t>
      </w:r>
      <w:r>
        <w:rPr>
          <w:b/>
          <w:color w:val="808080"/>
        </w:rPr>
        <w:t>]</w:t>
      </w:r>
      <w:r>
        <w:rPr/>
        <w:t xml:space="preserve"> es gibt einen Klugen,Einen Gott-Sucher </w:t>
      </w:r>
      <w:r>
        <w:rPr>
          <w:color w:val="808080"/>
        </w:rPr>
        <w:t xml:space="preserve">(einen Klugen, </w:t>
      </w:r>
      <w:r>
        <w:rPr>
          <w:b/>
          <w:color w:val="808080"/>
        </w:rPr>
        <w:t>[</w:t>
      </w:r>
      <w:r>
        <w:rPr>
          <w:color w:val="808080"/>
        </w:rPr>
        <w:t>der</w:t>
      </w:r>
      <w:r>
        <w:rPr>
          <w:b/>
          <w:color w:val="808080"/>
        </w:rPr>
        <w:t>]</w:t>
      </w:r>
      <w:r>
        <w:rPr>
          <w:color w:val="808080"/>
        </w:rPr>
        <w:t xml:space="preserve"> Gott sucht)</w:t>
      </w:r>
      <w:r>
        <w:rPr/>
        <w:t>:</w:t>
      </w:r>
      <w:r>
        <w:rPr>
          <w:rStyle w:val="Funotenanker"/>
        </w:rPr>
        <w:footnoteReference w:customMarkFollows="1" w:id="739"/>
        <w:t>d</w:t>
      </w:r>
      <w:r>
        <w:rPr/>
        <w:t xml:space="preserve"> </w:t>
        <w:br/>
        <w:t xml:space="preserve">{{field-off:bible}} </w:t>
        <w:br/>
        <w:t>[[@BibleTOBIBLE:Ps 14:3]]</w:t>
      </w:r>
      <w:r>
        <w:rPr>
          <w:b/>
        </w:rPr>
        <w:t>3</w:t>
      </w:r>
      <w:r>
        <w:rPr/>
        <w:t xml:space="preserve"> {{field-on:bible}} </w:t>
        <w:br/>
        <w:t xml:space="preserve">„Die Gesamtheit ist </w:t>
      </w:r>
      <w:r>
        <w:rPr>
          <w:color w:val="808080"/>
        </w:rPr>
        <w:t>(war)</w:t>
      </w:r>
      <w:r>
        <w:rPr/>
        <w:t xml:space="preserve"> abgefallen,Sämtlich sind </w:t>
      </w:r>
      <w:r>
        <w:rPr>
          <w:color w:val="808080"/>
        </w:rPr>
        <w:t>(waren)</w:t>
      </w:r>
      <w:r>
        <w:rPr/>
        <w:t xml:space="preserve"> sie verdorben.</w:t>
        <w:br/>
        <w:t xml:space="preserve">Keinen </w:t>
      </w:r>
      <w:r>
        <w:rPr>
          <w:b/>
          <w:color w:val="808080"/>
        </w:rPr>
        <w:t>[</w:t>
      </w:r>
      <w:r>
        <w:rPr/>
        <w:t xml:space="preserve">gibt </w:t>
      </w:r>
      <w:r>
        <w:rPr>
          <w:color w:val="808080"/>
        </w:rPr>
        <w:t>(gab)</w:t>
      </w:r>
      <w:r>
        <w:rPr/>
        <w:t xml:space="preserve"> es</w:t>
      </w:r>
      <w:r>
        <w:rPr>
          <w:b/>
          <w:color w:val="808080"/>
        </w:rPr>
        <w:t>]</w:t>
      </w:r>
      <w:r>
        <w:rPr/>
        <w:t xml:space="preserve">, </w:t>
      </w:r>
      <w:r>
        <w:rPr>
          <w:b/>
          <w:color w:val="808080"/>
        </w:rPr>
        <w:t>[</w:t>
      </w:r>
      <w:r>
        <w:rPr/>
        <w:t>der</w:t>
      </w:r>
      <w:r>
        <w:rPr>
          <w:b/>
          <w:color w:val="808080"/>
        </w:rPr>
        <w:t>]</w:t>
      </w:r>
      <w:r>
        <w:rPr/>
        <w:t xml:space="preserve"> Gutes tut;Keinen. Auch nicht einen </w:t>
      </w:r>
      <w:r>
        <w:rPr>
          <w:b/>
          <w:color w:val="808080"/>
        </w:rPr>
        <w:t>[</w:t>
      </w:r>
      <w:r>
        <w:rPr/>
        <w:t>einzigen</w:t>
      </w:r>
      <w:r>
        <w:rPr>
          <w:b/>
          <w:color w:val="808080"/>
        </w:rPr>
        <w:t>]</w:t>
      </w:r>
      <w:r>
        <w:rPr/>
        <w:t>.</w:t>
        <w:br/>
        <w:t xml:space="preserve">{{field-off:bible}} </w:t>
        <w:br/>
        <w:t>[[@BibleTOBIBLE:Ps 14:4]]</w:t>
      </w:r>
      <w:r>
        <w:rPr>
          <w:b/>
        </w:rPr>
        <w:t>4</w:t>
      </w:r>
      <w:r>
        <w:rPr/>
        <w:t xml:space="preserve"> {{field-on:bible}} </w:t>
        <w:br/>
        <w:t xml:space="preserve">Wissen </w:t>
      </w:r>
      <w:r>
        <w:rPr>
          <w:b/>
          <w:color w:val="808080"/>
        </w:rPr>
        <w:t>[</w:t>
      </w:r>
      <w:r>
        <w:rPr/>
        <w:t>denn</w:t>
      </w:r>
      <w:r>
        <w:rPr>
          <w:b/>
          <w:color w:val="808080"/>
        </w:rPr>
        <w:t>]</w:t>
      </w:r>
      <w:r>
        <w:rPr/>
        <w:t xml:space="preserve"> nicht</w:t>
      </w:r>
      <w:r>
        <w:rPr>
          <w:b/>
          <w:color w:val="808080"/>
        </w:rPr>
        <w:t>[</w:t>
      </w:r>
      <w:r>
        <w:rPr/>
        <w:t>s</w:t>
      </w:r>
      <w:r>
        <w:rPr>
          <w:b/>
          <w:color w:val="808080"/>
        </w:rPr>
        <w:t>]</w:t>
      </w:r>
      <w:r>
        <w:rPr/>
        <w:t xml:space="preserve"> alle Übel-Täter,</w:t>
      </w:r>
      <w:r>
        <w:rPr>
          <w:b/>
          <w:color w:val="808080"/>
        </w:rPr>
        <w:t>[</w:t>
      </w:r>
      <w:r>
        <w:rPr/>
        <w:t>Die</w:t>
      </w:r>
      <w:r>
        <w:rPr>
          <w:b/>
          <w:color w:val="808080"/>
        </w:rPr>
        <w:t>]</w:t>
      </w:r>
      <w:r>
        <w:rPr/>
        <w:t xml:space="preserve"> mein Volk fressen?</w:t>
        <w:br/>
        <w:t>Sie fressen Brot,</w:t>
      </w:r>
      <w:r>
        <w:rPr>
          <w:rStyle w:val="Funotenanker"/>
        </w:rPr>
        <w:footnoteReference w:customMarkFollows="1" w:id="740"/>
        <w:t>e</w:t>
      </w:r>
      <w:r>
        <w:rPr/>
        <w:t xml:space="preserve"> </w:t>
      </w:r>
      <w:r>
        <w:rPr>
          <w:b/>
          <w:color w:val="808080"/>
        </w:rPr>
        <w:t>[</w:t>
      </w:r>
      <w:r>
        <w:rPr/>
        <w:t>Doch</w:t>
      </w:r>
      <w:r>
        <w:rPr>
          <w:b/>
          <w:color w:val="808080"/>
        </w:rPr>
        <w:t>]</w:t>
      </w:r>
      <w:r>
        <w:rPr/>
        <w:t xml:space="preserve"> </w:t>
      </w:r>
      <w:r>
        <w:rPr>
          <w:smallCaps/>
          <w:color w:val="FF0000"/>
        </w:rPr>
        <w:t>JHWH</w:t>
      </w:r>
      <w:r>
        <w:rPr/>
        <w:t xml:space="preserve"> rufen sie nicht an.“</w:t>
        <w:br/>
        <w:br/>
        <w:t xml:space="preserve">{{field-off:bible}} </w:t>
        <w:br/>
        <w:t>[[@BibleTOBIBLE:Ps 14:5]]</w:t>
      </w:r>
      <w:r>
        <w:rPr>
          <w:b/>
        </w:rPr>
        <w:t>5</w:t>
      </w:r>
      <w:r>
        <w:rPr/>
        <w:t xml:space="preserve"> {{field-on:bible}} </w:t>
        <w:br/>
        <w:t>Da erschraken sie einen Schrecken,</w:t>
      </w:r>
      <w:r>
        <w:rPr>
          <w:rStyle w:val="Funotenanker"/>
        </w:rPr>
        <w:footnoteReference w:customMarkFollows="1" w:id="741"/>
        <w:t>f</w:t>
      </w:r>
      <w:r>
        <w:rPr/>
        <w:t xml:space="preserve">Weil Gott mit </w:t>
      </w:r>
      <w:r>
        <w:rPr>
          <w:b/>
          <w:color w:val="808080"/>
        </w:rPr>
        <w:t>[</w:t>
      </w:r>
      <w:r>
        <w:rPr/>
        <w:t>dem</w:t>
      </w:r>
      <w:r>
        <w:rPr>
          <w:b/>
          <w:color w:val="808080"/>
        </w:rPr>
        <w:t>]</w:t>
      </w:r>
      <w:r>
        <w:rPr/>
        <w:t xml:space="preserve"> gerechten Geschlecht </w:t>
      </w:r>
      <w:r>
        <w:rPr>
          <w:b/>
          <w:color w:val="808080"/>
        </w:rPr>
        <w:t>[</w:t>
      </w:r>
      <w:r>
        <w:rPr/>
        <w:t>war</w:t>
      </w:r>
      <w:r>
        <w:rPr>
          <w:b/>
          <w:color w:val="808080"/>
        </w:rPr>
        <w:t>]</w:t>
      </w:r>
      <w:r>
        <w:rPr/>
        <w:t>:</w:t>
      </w:r>
      <w:r>
        <w:rPr>
          <w:rStyle w:val="Funotenanker"/>
        </w:rPr>
        <w:footnoteReference w:customMarkFollows="1" w:id="742"/>
        <w:t>g</w:t>
      </w:r>
      <w:r>
        <w:rPr/>
        <w:t xml:space="preserve"> </w:t>
        <w:br/>
        <w:t xml:space="preserve">{{field-off:bible}} </w:t>
        <w:br/>
        <w:t>[[@BibleTOBIBLE:Ps 14:6]]</w:t>
      </w:r>
      <w:r>
        <w:rPr>
          <w:b/>
        </w:rPr>
        <w:t>6</w:t>
      </w:r>
      <w:r>
        <w:rPr/>
        <w:t xml:space="preserve"> {{field-on:bible}} </w:t>
        <w:br/>
        <w:t>„</w:t>
      </w:r>
      <w:r>
        <w:rPr>
          <w:b/>
          <w:color w:val="808080"/>
        </w:rPr>
        <w:t>[</w:t>
      </w:r>
      <w:r>
        <w:rPr/>
        <w:t>Die</w:t>
      </w:r>
      <w:r>
        <w:rPr>
          <w:b/>
          <w:color w:val="808080"/>
        </w:rPr>
        <w:t>]</w:t>
      </w:r>
      <w:r>
        <w:rPr/>
        <w:t xml:space="preserve"> Plän</w:t>
      </w:r>
      <w:r>
        <w:rPr>
          <w:b/>
          <w:color w:val="808080"/>
        </w:rPr>
        <w:t>[</w:t>
      </w:r>
      <w:r>
        <w:rPr/>
        <w:t>e</w:t>
      </w:r>
      <w:r>
        <w:rPr>
          <w:b/>
          <w:color w:val="808080"/>
        </w:rPr>
        <w:t>]</w:t>
      </w:r>
      <w:r>
        <w:rPr/>
        <w:t xml:space="preserve"> des Armen wollt ihr zuschanden machen,Doch </w:t>
      </w:r>
      <w:r>
        <w:rPr>
          <w:smallCaps/>
          <w:color w:val="FF0000"/>
        </w:rPr>
        <w:t>JHWH</w:t>
      </w:r>
      <w:r>
        <w:rPr/>
        <w:t xml:space="preserve"> </w:t>
      </w:r>
      <w:r>
        <w:rPr>
          <w:b/>
          <w:color w:val="808080"/>
        </w:rPr>
        <w:t>[</w:t>
      </w:r>
      <w:r>
        <w:rPr/>
        <w:t>ist</w:t>
      </w:r>
      <w:r>
        <w:rPr>
          <w:b/>
          <w:color w:val="808080"/>
        </w:rPr>
        <w:t>]</w:t>
      </w:r>
      <w:r>
        <w:rPr/>
        <w:t xml:space="preserve"> sein Schutz!“</w:t>
        <w:br/>
        <w:br/>
        <w:t xml:space="preserve">{{field-off:bible}} </w:t>
        <w:br/>
        <w:t>[[@BibleTOBIBLE:Ps 14:7]]</w:t>
      </w:r>
      <w:r>
        <w:rPr>
          <w:b/>
        </w:rPr>
        <w:t>7</w:t>
      </w:r>
      <w:r>
        <w:rPr/>
        <w:t xml:space="preserve"> {{field-on:bible}} </w:t>
        <w:br/>
        <w:t>Möge es doch vom Zion</w:t>
      </w:r>
      <w:r>
        <w:rPr>
          <w:rStyle w:val="Funotenanker"/>
        </w:rPr>
        <w:footnoteReference w:customMarkFollows="1" w:id="743"/>
        <w:t>h</w:t>
      </w:r>
      <w:r>
        <w:rPr/>
        <w:t xml:space="preserve"> Rettung für Israel geben!</w:t>
      </w:r>
      <w:r>
        <w:rPr>
          <w:rStyle w:val="Funotenanker"/>
        </w:rPr>
        <w:footnoteReference w:customMarkFollows="1" w:id="744"/>
        <w:t>i</w:t>
      </w:r>
      <w:r>
        <w:rPr/>
        <w:t xml:space="preserve"> </w:t>
        <w:br/>
        <w:t xml:space="preserve">Wenn </w:t>
      </w:r>
      <w:r>
        <w:rPr>
          <w:smallCaps/>
          <w:color w:val="FF0000"/>
        </w:rPr>
        <w:t>JHWH</w:t>
      </w:r>
      <w:r>
        <w:rPr/>
        <w:t xml:space="preserve"> das Geschick </w:t>
      </w:r>
      <w:r>
        <w:rPr>
          <w:color w:val="808080"/>
        </w:rPr>
        <w:t>(die Gefangenschaft)</w:t>
      </w:r>
      <w:r>
        <w:rPr/>
        <w:t xml:space="preserve"> seines Volkes wendet,Möge Jakob</w:t>
      </w:r>
      <w:r>
        <w:rPr>
          <w:rStyle w:val="Funotenanker"/>
        </w:rPr>
        <w:footnoteReference w:customMarkFollows="1" w:id="745"/>
        <w:t>j</w:t>
      </w:r>
      <w:r>
        <w:rPr/>
        <w:t xml:space="preserve"> jubeln, Israel sich freuen!</w:t>
        <w:br/>
        <w:t xml:space="preserve">{{field-off:bible}} </w:t>
      </w:r>
    </w:p>
    <w:p>
      <w:pPr>
        <w:pStyle w:val="Berschrift3"/>
        <w:rPr/>
      </w:pPr>
      <w:r>
        <w:rPr/>
        <w:t>[[@BibleTOBIBLE:Ps 15]]Kapitel 15</w:t>
      </w:r>
    </w:p>
    <w:p>
      <w:pPr>
        <w:pStyle w:val="Textkrper"/>
        <w:rPr/>
      </w:pPr>
      <w:r>
        <w:rPr/>
        <w:t>„</w:t>
      </w:r>
      <w:r>
        <w:rPr/>
        <w:t>Rabbi Simlai lehrte: ‚613 Gebote wurden dem Mose gesagt.‘“, heißt es im Talmud (b.Mak 23b). Gemeint ist das Gesamt aller jüdischen Vorschriften, die nach alter Vorstellung sämtlich von Gott an Mose weitergegeben wurden. Der Talmud fährt fort: „Rabbi Hamnuna sagte: ‚David kam und ließ [diese 613 Gebote] auf elf [Geboten] stehen.‘“ (b.Mak 24a). Gemeint ist Psalm 15, von dem hier also gesagt wird, dass er die elf fundamentalen Gebote enthält, auf denen alle 613 Gebote aufbauen und basieren.</w:t>
      </w:r>
      <w:r>
        <w:rPr>
          <w:rStyle w:val="Funotenanker"/>
        </w:rPr>
        <w:footnoteReference w:customMarkFollows="1" w:id="746"/>
        <w:t>a</w:t>
      </w:r>
      <w:r>
        <w:rPr/>
        <w:t xml:space="preserve"> Ps 15 wird schon hier gesehen als weisheitlicher Psalm, der belehrt über den rechten Lebensweg: „Wer darf wohnen auf deinem heiligen Berg“, wird eingangs gefragt und damit ein Motiv aufgegriffen, das sich auch findet in Ps 23,6; 27,4f.; 61,5; 65,5; 84,4: Wer „im Haus Gottes wohnt“ – in seinem Zelt, auf seinem Berg – steht so unter dem Schutz dieses Hausherrn und darf sich daher sicher wissen vor jeder Gefahr (vgl. Ps 23,4f.; 27,1-3; 61,3f.; auch 5,5). So auch hier: Gebeten wird nicht um eine tatsächliche „Bleibe“, sondern um Gottes Segen und Schutz, für das auch hier symbolisch das „Wohnen im Hause Gottes“ steht (V. 1). Gottes Schutz – das Wohnrecht in seinem Tempel – wird aber nur jenen zuteil, die bestimmte Gebote befolgen und Verbote beachten, die in Vv. 2-5b aufgelistet werden; für diese aber gilt: „Wer dies tut, wird auf ewig nicht wanken“, „nie in Gefahr geraten“ (V. 5cd).</w:t>
      </w:r>
      <w:r>
        <w:rPr>
          <w:rStyle w:val="Funotenanker"/>
        </w:rPr>
        <w:footnoteReference w:customMarkFollows="1" w:id="747"/>
        <w:t>b</w:t>
      </w:r>
      <w:r>
        <w:rPr/>
        <w:t xml:space="preserve">Weil sie so zentral sind, seien die 11 „Fundamentalgebote“ hier noch einmal gesammelt: # Sei redlich! (2a) # Sei gerecht! (2b) # Sei offen für die Wahrheit! (2c) # Verleumde andere nicht! (3a) # Füge anderen keinen Schaden zu! (3b) # Leiste keine Beihilfe! (3c) # Verachte die, die Gott verachtet! (4a) # Ehre die, die Gott ehren! (4b) # Halte deine Schwüre! (4cd) # Verleihe nicht gegen Zins! (5a) # Sei nicht bestechlich! (5b) </w:t>
        <w:br/>
        <w:br/>
        <w:t>[[@BibleTOBIBLE:Ps 15:1]]</w:t>
      </w:r>
      <w:r>
        <w:rPr>
          <w:b/>
        </w:rPr>
        <w:t>1</w:t>
      </w:r>
      <w:r>
        <w:rPr/>
        <w:t xml:space="preserve"> {{field-on:bible}} </w:t>
      </w:r>
      <w:r>
        <w:rPr>
          <w:rStyle w:val="Funotenanker"/>
        </w:rPr>
        <w:footnoteReference w:customMarkFollows="1" w:id="748"/>
        <w:t>Status</w:t>
      </w:r>
      <w:r>
        <w:rPr/>
        <w:t xml:space="preserve"> Ein Lied von </w:t>
      </w:r>
      <w:r>
        <w:rPr>
          <w:color w:val="808080"/>
        </w:rPr>
        <w:t>(für, über, nach Art von)</w:t>
      </w:r>
      <w:r>
        <w:rPr/>
        <w:t xml:space="preserve"> David. </w:t>
        <w:br/>
      </w:r>
      <w:r>
        <w:rPr>
          <w:smallCaps/>
          <w:color w:val="FF0000"/>
        </w:rPr>
        <w:t>JHWH</w:t>
      </w:r>
      <w:r>
        <w:rPr/>
        <w:t xml:space="preserve">, wer darf </w:t>
      </w:r>
      <w:r>
        <w:rPr>
          <w:color w:val="808080"/>
        </w:rPr>
        <w:t>(wird)</w:t>
      </w:r>
      <w:r>
        <w:rPr/>
        <w:t xml:space="preserve"> gasten </w:t>
      </w:r>
      <w:r>
        <w:rPr>
          <w:color w:val="808080"/>
        </w:rPr>
        <w:t>(Gast sein)</w:t>
      </w:r>
      <w:r>
        <w:rPr/>
        <w:t xml:space="preserve"> in deinem Zelt </w:t>
      </w:r>
      <w:r>
        <w:rPr>
          <w:color w:val="808080"/>
        </w:rPr>
        <w:t>(in deinen Zelten)</w:t>
      </w:r>
      <w:r>
        <w:rPr/>
        <w:t xml:space="preserve"> </w:t>
      </w:r>
      <w:r>
        <w:rPr>
          <w:rStyle w:val="Funotenanker"/>
        </w:rPr>
        <w:footnoteReference w:customMarkFollows="1" w:id="749"/>
        <w:t>c</w:t>
      </w:r>
      <w:r>
        <w:rPr/>
        <w:t xml:space="preserve">Und </w:t>
      </w:r>
      <w:r>
        <w:rPr>
          <w:color w:val="808080"/>
        </w:rPr>
        <w:t>(</w:t>
      </w:r>
      <w:r>
        <w:rPr>
          <w:strike/>
          <w:color w:val="808080"/>
        </w:rPr>
        <w:t>{und}</w:t>
      </w:r>
      <w:r>
        <w:rPr>
          <w:color w:val="808080"/>
        </w:rPr>
        <w:t>)</w:t>
      </w:r>
      <w:r>
        <w:rPr/>
        <w:t xml:space="preserve"> </w:t>
      </w:r>
      <w:r>
        <w:rPr>
          <w:rStyle w:val="Funotenanker"/>
        </w:rPr>
        <w:footnoteReference w:customMarkFollows="1" w:id="750"/>
        <w:t>d</w:t>
      </w:r>
      <w:r>
        <w:rPr/>
        <w:t xml:space="preserve"> wer darf </w:t>
      </w:r>
      <w:r>
        <w:rPr>
          <w:color w:val="808080"/>
        </w:rPr>
        <w:t>(wird)</w:t>
      </w:r>
      <w:r>
        <w:rPr/>
        <w:t xml:space="preserve"> wohnen auf deinem heiligen Berg </w:t>
      </w:r>
      <w:r>
        <w:rPr>
          <w:color w:val="808080"/>
        </w:rPr>
        <w:t>(auf dem Berg deiner Heiligkeit)</w:t>
      </w:r>
      <w:r>
        <w:rPr/>
        <w:t>?</w:t>
        <w:br/>
        <w:br/>
        <w:t xml:space="preserve">{{field-off:bible}} </w:t>
        <w:br/>
        <w:t>[[@BibleTOBIBLE:Ps 15:2]]</w:t>
      </w:r>
      <w:r>
        <w:rPr>
          <w:b/>
        </w:rPr>
        <w:t>2</w:t>
      </w:r>
      <w:r>
        <w:rPr/>
        <w:t xml:space="preserve"> {{field-on:bible}} </w:t>
        <w:br/>
        <w:t>„</w:t>
      </w:r>
      <w:r>
        <w:rPr>
          <w:b/>
          <w:color w:val="808080"/>
        </w:rPr>
        <w:t>[</w:t>
      </w:r>
      <w:r>
        <w:rPr/>
        <w:t>Wer</w:t>
      </w:r>
      <w:r>
        <w:rPr>
          <w:b/>
          <w:color w:val="808080"/>
        </w:rPr>
        <w:t>]</w:t>
      </w:r>
      <w:r>
        <w:rPr/>
        <w:t xml:space="preserve"> redlich wandelt Und Gerechtes </w:t>
      </w:r>
      <w:r>
        <w:rPr>
          <w:color w:val="808080"/>
        </w:rPr>
        <w:t>(recht)</w:t>
      </w:r>
      <w:r>
        <w:rPr/>
        <w:t xml:space="preserve"> tut Und Wahres sagt </w:t>
      </w:r>
      <w:r>
        <w:rPr>
          <w:color w:val="808080"/>
        </w:rPr>
        <w:t>(denkt)</w:t>
      </w:r>
      <w:r>
        <w:rPr/>
        <w:t xml:space="preserve"> in seinem Herzen </w:t>
      </w:r>
      <w:r>
        <w:rPr>
          <w:color w:val="808080"/>
        </w:rPr>
        <w:t xml:space="preserve">(ausspricht, </w:t>
      </w:r>
      <w:r>
        <w:rPr>
          <w:b/>
          <w:color w:val="808080"/>
        </w:rPr>
        <w:t>[</w:t>
      </w:r>
      <w:r>
        <w:rPr>
          <w:color w:val="808080"/>
        </w:rPr>
        <w:t>was</w:t>
      </w:r>
      <w:r>
        <w:rPr>
          <w:b/>
          <w:color w:val="808080"/>
        </w:rPr>
        <w:t>]</w:t>
      </w:r>
      <w:r>
        <w:rPr>
          <w:color w:val="808080"/>
        </w:rPr>
        <w:t xml:space="preserve"> wahrhaft in seinem Herzen </w:t>
      </w:r>
      <w:r>
        <w:rPr>
          <w:b/>
          <w:color w:val="808080"/>
        </w:rPr>
        <w:t>[</w:t>
      </w:r>
      <w:r>
        <w:rPr>
          <w:color w:val="808080"/>
        </w:rPr>
        <w:t>ist</w:t>
      </w:r>
      <w:r>
        <w:rPr>
          <w:b/>
          <w:color w:val="808080"/>
        </w:rPr>
        <w:t>]</w:t>
      </w:r>
      <w:r>
        <w:rPr>
          <w:color w:val="808080"/>
        </w:rPr>
        <w:t>)</w:t>
      </w:r>
      <w:r>
        <w:rPr/>
        <w:t>,</w:t>
      </w:r>
      <w:r>
        <w:rPr>
          <w:rStyle w:val="Funotenanker"/>
        </w:rPr>
        <w:footnoteReference w:customMarkFollows="1" w:id="751"/>
        <w:t>e</w:t>
      </w:r>
      <w:r>
        <w:rPr/>
        <w:t xml:space="preserve"> </w:t>
        <w:br/>
        <w:t xml:space="preserve">{{field-off:bible}} </w:t>
        <w:br/>
        <w:t>[[@BibleTOBIBLE:Ps 15:3]]</w:t>
      </w:r>
      <w:r>
        <w:rPr>
          <w:b/>
        </w:rPr>
        <w:t>3</w:t>
      </w:r>
      <w:r>
        <w:rPr/>
        <w:t xml:space="preserve"> {{field-on:bible}} </w:t>
        <w:br/>
        <w:t xml:space="preserve">Nicht Verleumdung auf seiner Zunge </w:t>
      </w:r>
      <w:r>
        <w:rPr>
          <w:b/>
          <w:color w:val="808080"/>
        </w:rPr>
        <w:t>[</w:t>
      </w:r>
      <w:r>
        <w:rPr/>
        <w:t>hatte</w:t>
      </w:r>
      <w:r>
        <w:rPr>
          <w:b/>
          <w:color w:val="808080"/>
        </w:rPr>
        <w:t>]</w:t>
      </w:r>
      <w:r>
        <w:rPr/>
        <w:t>,</w:t>
      </w:r>
      <w:r>
        <w:rPr>
          <w:rStyle w:val="Funotenanker"/>
        </w:rPr>
        <w:footnoteReference w:customMarkFollows="1" w:id="752"/>
        <w:t>f</w:t>
      </w:r>
      <w:r>
        <w:rPr/>
        <w:t xml:space="preserve"> </w:t>
      </w:r>
      <w:r>
        <w:rPr>
          <w:color w:val="808080"/>
        </w:rPr>
        <w:t>(</w:t>
      </w:r>
      <w:r>
        <w:rPr>
          <w:b/>
          <w:color w:val="808080"/>
        </w:rPr>
        <w:t>[</w:t>
      </w:r>
      <w:r>
        <w:rPr>
          <w:color w:val="808080"/>
        </w:rPr>
        <w:t>Und</w:t>
      </w:r>
      <w:r>
        <w:rPr>
          <w:b/>
          <w:color w:val="808080"/>
        </w:rPr>
        <w:t>]</w:t>
      </w:r>
      <w:r>
        <w:rPr>
          <w:color w:val="808080"/>
        </w:rPr>
        <w:t>)</w:t>
      </w:r>
      <w:r>
        <w:rPr/>
        <w:t xml:space="preserve"> </w:t>
      </w:r>
      <w:r>
        <w:rPr>
          <w:rStyle w:val="Funotenanker"/>
        </w:rPr>
        <w:footnoteReference w:customMarkFollows="1" w:id="753"/>
        <w:t>g</w:t>
      </w:r>
      <w:r>
        <w:rPr/>
        <w:t xml:space="preserve"> Nicht tat seinem Genossen Schaden </w:t>
      </w:r>
      <w:r>
        <w:rPr>
          <w:color w:val="808080"/>
        </w:rPr>
        <w:t>(Böses)</w:t>
      </w:r>
      <w:r>
        <w:rPr/>
        <w:t xml:space="preserve"> </w:t>
      </w:r>
      <w:r>
        <w:rPr>
          <w:rStyle w:val="Funotenanker"/>
        </w:rPr>
        <w:footnoteReference w:customMarkFollows="1" w:id="754"/>
        <w:t>h</w:t>
      </w:r>
      <w:r>
        <w:rPr/>
        <w:t xml:space="preserve">Und Schande nicht trug wegen seinem Nächsten </w:t>
      </w:r>
      <w:r>
        <w:rPr>
          <w:color w:val="808080"/>
        </w:rPr>
        <w:t>(nicht lud auf seinen Nächsten?)</w:t>
      </w:r>
      <w:r>
        <w:rPr/>
        <w:t>,</w:t>
      </w:r>
      <w:r>
        <w:rPr>
          <w:rStyle w:val="Funotenanker"/>
        </w:rPr>
        <w:footnoteReference w:customMarkFollows="1" w:id="755"/>
        <w:t>i</w:t>
      </w:r>
      <w:r>
        <w:rPr/>
        <w:t xml:space="preserve"> </w:t>
        <w:br/>
        <w:t xml:space="preserve">{{field-off:bible}} </w:t>
        <w:br/>
        <w:t>[[@BibleTOBIBLE:Ps 15:4]]</w:t>
      </w:r>
      <w:r>
        <w:rPr>
          <w:b/>
        </w:rPr>
        <w:t>4</w:t>
      </w:r>
      <w:r>
        <w:rPr/>
        <w:t xml:space="preserve"> {{field-on:bible}} </w:t>
        <w:br/>
        <w:t xml:space="preserve">Verachtet </w:t>
      </w:r>
      <w:r>
        <w:rPr>
          <w:b/>
          <w:color w:val="808080"/>
        </w:rPr>
        <w:t>[</w:t>
      </w:r>
      <w:r>
        <w:rPr/>
        <w:t>den</w:t>
      </w:r>
      <w:r>
        <w:rPr>
          <w:b/>
          <w:color w:val="808080"/>
        </w:rPr>
        <w:t>]</w:t>
      </w:r>
      <w:r>
        <w:rPr/>
        <w:t xml:space="preserve"> in seinen Augen Verworfenen </w:t>
      </w:r>
      <w:r>
        <w:rPr>
          <w:color w:val="808080"/>
        </w:rPr>
        <w:t>(</w:t>
      </w:r>
      <w:r>
        <w:rPr>
          <w:b/>
          <w:color w:val="808080"/>
        </w:rPr>
        <w:t>[</w:t>
      </w:r>
      <w:r>
        <w:rPr>
          <w:color w:val="808080"/>
        </w:rPr>
        <w:t>bei dem</w:t>
      </w:r>
      <w:r>
        <w:rPr>
          <w:b/>
          <w:color w:val="808080"/>
        </w:rPr>
        <w:t>]</w:t>
      </w:r>
      <w:r>
        <w:rPr>
          <w:color w:val="808080"/>
        </w:rPr>
        <w:t xml:space="preserve"> verachtet </w:t>
      </w:r>
      <w:r>
        <w:rPr>
          <w:b/>
          <w:color w:val="808080"/>
        </w:rPr>
        <w:t>[</w:t>
      </w:r>
      <w:r>
        <w:rPr>
          <w:color w:val="808080"/>
        </w:rPr>
        <w:t>ist der</w:t>
      </w:r>
      <w:r>
        <w:rPr>
          <w:b/>
          <w:color w:val="808080"/>
        </w:rPr>
        <w:t>]</w:t>
      </w:r>
      <w:r>
        <w:rPr>
          <w:color w:val="808080"/>
        </w:rPr>
        <w:t xml:space="preserve"> in seinen Augen Verworfene; in seinen </w:t>
      </w:r>
      <w:r>
        <w:rPr>
          <w:b/>
          <w:color w:val="808080"/>
        </w:rPr>
        <w:t>[</w:t>
      </w:r>
      <w:r>
        <w:rPr>
          <w:color w:val="808080"/>
        </w:rPr>
        <w:t>eigenen</w:t>
      </w:r>
      <w:r>
        <w:rPr>
          <w:b/>
          <w:color w:val="808080"/>
        </w:rPr>
        <w:t>]</w:t>
      </w:r>
      <w:r>
        <w:rPr>
          <w:color w:val="808080"/>
        </w:rPr>
        <w:t xml:space="preserve"> Augen verachtet, verworfen </w:t>
      </w:r>
      <w:r>
        <w:rPr>
          <w:b/>
          <w:color w:val="808080"/>
        </w:rPr>
        <w:t>[</w:t>
      </w:r>
      <w:r>
        <w:rPr>
          <w:color w:val="808080"/>
        </w:rPr>
        <w:t>ist</w:t>
      </w:r>
      <w:r>
        <w:rPr>
          <w:b/>
          <w:color w:val="808080"/>
        </w:rPr>
        <w:t>]</w:t>
      </w:r>
      <w:r>
        <w:rPr>
          <w:color w:val="808080"/>
        </w:rPr>
        <w:t>)</w:t>
      </w:r>
      <w:r>
        <w:rPr/>
        <w:t xml:space="preserve"> </w:t>
      </w:r>
      <w:r>
        <w:rPr>
          <w:rStyle w:val="Funotenanker"/>
        </w:rPr>
        <w:footnoteReference w:customMarkFollows="1" w:id="756"/>
        <w:t>j</w:t>
      </w:r>
      <w:r>
        <w:rPr/>
        <w:t xml:space="preserve">Und </w:t>
      </w:r>
      <w:r>
        <w:rPr>
          <w:color w:val="808080"/>
        </w:rPr>
        <w:t>(aber)</w:t>
      </w:r>
      <w:r>
        <w:rPr/>
        <w:t xml:space="preserve"> den </w:t>
      </w:r>
      <w:r>
        <w:rPr>
          <w:smallCaps/>
          <w:color w:val="FF0000"/>
        </w:rPr>
        <w:t>JHWH</w:t>
      </w:r>
      <w:r>
        <w:rPr/>
        <w:t>-fürchtigen ehrt,</w:t>
        <w:br/>
        <w:t xml:space="preserve">Schwor dem Genossen </w:t>
      </w:r>
      <w:r>
        <w:rPr>
          <w:color w:val="808080"/>
        </w:rPr>
        <w:t>(zu schaden, zum Schaden?)</w:t>
      </w:r>
      <w:r>
        <w:rPr/>
        <w:t xml:space="preserve"> </w:t>
      </w:r>
      <w:r>
        <w:rPr>
          <w:rStyle w:val="Funotenanker"/>
        </w:rPr>
        <w:footnoteReference w:customMarkFollows="1" w:id="757"/>
        <w:t>k</w:t>
      </w:r>
      <w:r>
        <w:rPr/>
        <w:t>Und nicht ändert,</w:t>
        <w:br/>
        <w:t xml:space="preserve">{{field-off:bible}} </w:t>
        <w:br/>
        <w:t>[[@BibleTOBIBLE:Ps 15:5]]</w:t>
      </w:r>
      <w:r>
        <w:rPr>
          <w:b/>
        </w:rPr>
        <w:t>5</w:t>
      </w:r>
      <w:r>
        <w:rPr/>
        <w:t xml:space="preserve"> {{field-on:bible}} </w:t>
        <w:br/>
        <w:t xml:space="preserve">Sein Geld nicht verliehen </w:t>
      </w:r>
      <w:r>
        <w:rPr>
          <w:color w:val="808080"/>
        </w:rPr>
        <w:t>(gegeben)</w:t>
      </w:r>
      <w:r>
        <w:rPr/>
        <w:t xml:space="preserve"> hat gegen ZinsUnd Geschenke </w:t>
      </w:r>
      <w:r>
        <w:rPr>
          <w:color w:val="808080"/>
        </w:rPr>
        <w:t>(Bestechungsgelder)</w:t>
      </w:r>
      <w:r>
        <w:rPr/>
        <w:t xml:space="preserve"> gegen einen Unschuldigen nicht genommen hat.</w:t>
      </w:r>
      <w:r>
        <w:rPr>
          <w:rStyle w:val="Funotenanker"/>
        </w:rPr>
        <w:footnoteReference w:customMarkFollows="1" w:id="758"/>
        <w:t>l</w:t>
      </w:r>
      <w:r>
        <w:rPr/>
        <w:t xml:space="preserve"> </w:t>
        <w:br/>
        <w:br/>
      </w:r>
      <w:r>
        <w:rPr>
          <w:b/>
          <w:color w:val="808080"/>
        </w:rPr>
        <w:t>[</w:t>
      </w:r>
      <w:r>
        <w:rPr/>
        <w:t>Wer</w:t>
      </w:r>
      <w:r>
        <w:rPr>
          <w:b/>
          <w:color w:val="808080"/>
        </w:rPr>
        <w:t>]</w:t>
      </w:r>
      <w:r>
        <w:rPr/>
        <w:t xml:space="preserve"> dies tut, Wird auf ewig nicht wanken.“</w:t>
      </w:r>
      <w:r>
        <w:rPr>
          <w:rStyle w:val="Funotenanker"/>
        </w:rPr>
        <w:footnoteReference w:customMarkFollows="1" w:id="759"/>
        <w:t>m</w:t>
      </w:r>
      <w:r>
        <w:rPr/>
        <w:t xml:space="preserve"> </w:t>
        <w:br/>
        <w:t xml:space="preserve">{{field-off:bible}} </w:t>
      </w:r>
    </w:p>
    <w:p>
      <w:pPr>
        <w:pStyle w:val="Berschrift3"/>
        <w:rPr/>
      </w:pPr>
      <w:r>
        <w:rPr/>
        <w:t>[[@BibleTOBIBLE:Ps 16]]Kapitel 16</w:t>
      </w:r>
    </w:p>
    <w:p>
      <w:pPr>
        <w:pStyle w:val="Textkrper"/>
        <w:rPr/>
      </w:pPr>
      <w:r>
        <w:rPr/>
        <w:t>Psalm 16 ist ein Bittpsalm eines einzelnen Beters. Doch ist er von einer solchen Erhörungsgewissheit durchdrungen, dass die eigentliche Bitte in V. 1 ganz an den Rand gedrängt wird, stattdessen ist der ganze Psalm vollständig bestimmt von einer Grundstimmung der Hoffnung und des Vertrauens, so dass man ihn gut auch als einen „Vertrauenspsalm“ bezeichnen kann. Die einzelnen Abschnitte sind gut erkennbar:V. 1a ist die Überschrift. Diese Überschriften wurden nachträglich von Redaktoren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aus.In V. 1bc folgt die Bitte, an die sich in Vv. 2-4 direkt ein Bekenntnis anschließt, das Gott wohl auch zum Handeln bewegen soll: Der Beter ist ein Gottgläubiger (V. 2) und führt sein Wohlergehen ganz auf diesen zurück, und er hält sich ganz an die Anhänger dieses Gottes (V. 3). Nicht dagegen hält er sich an die Anhänger anderer Götter (V. 4a) und an diese Götter selbst erst recht nicht (V. 4bc).Aus diesem Grund kann er in den Vv. 5-11 sprechen von den vergangenen, aktuellen und zukünftigen Segnungen durch diesen guten Gott: In Vv. 5-6 nämlich von den Wohltaten, die er ihm schon erwiesen hat, in Vv. 7-8 von seinem aktuellen segensreichen Verhältnis zu Gott und in Vv. 9-11 von den Segnungen, die er von ihm noch erwarten darf.Vv. 5f. werden dabei ganz durchwaltet von der Metapher der Landverlosung. Im Hintergrund steht die in Jos 13 berichtete Verlosung des Landes an die Israeliten, wo es das Schicksal war, das jedem Menschen den (dann je weiterzuvererbenden) Landbesitz zukommen ließ. Ebenso, sagt der Dichter, ist sein Schicksal – Gott.</w:t>
      </w:r>
      <w:r>
        <w:rPr>
          <w:rStyle w:val="Funotenanker"/>
        </w:rPr>
        <w:footnoteReference w:customMarkFollows="1" w:id="760"/>
        <w:t>a</w:t>
      </w:r>
      <w:r>
        <w:rPr/>
        <w:t xml:space="preserve">Vv. 7f. thematisieren sein Verhältnis zu </w:t>
      </w:r>
      <w:r>
        <w:rPr>
          <w:rStyle w:val="Funotenanker"/>
        </w:rPr>
        <w:footnoteReference w:customMarkFollows="1" w:id="761"/>
        <w:t>b</w:t>
      </w:r>
      <w:r>
        <w:rPr/>
        <w:t xml:space="preserve">. Er will JHWH preisen, denn: Tag und nacht spricht Gott zu seinem Verstand und seinem Herzen (V. 7), und entsprechend hält auch sich unaufhörlich Gott bewusst (V. 8a). Die Folge dieses unaufhörlichen Miteinanders ist klar: Nie wird ihm Schlimmes widerfahren (V. 8b).Diese beiden Verse werden in Vv. 9-11 gespiegelt und in die Zukunft fortgeführt: Er kann sich freuen, denn: Nie wird ihm Schlimmes widerfahren (V. 9b-10) und er wird stets auf dem rechten – nämlich dem von Gott gelehrten – Pfad wandeln (V. 11). Psalm 16,8-11 wird in Apg 2,26-36 und 13,32-39 als Prophetie über das Schicksal Jesu ausgelegt und im Erlass De falsa duorum textum biblicorum interpretatione („Über die falsche Interpretation von Bibeltexten“) von 1933 hat die päpstliche Bibelkommission „bestimmt“, dass dies in der Tat die richtige Bedeutung dieser Verse sei. Vv. 9-10 sprechen nach dieser Auslegung tatsächlich davon, dass Jesus nicht im Reich der Toten bleiben, sondern auferstehen wird. Das ist nicht die nächstliegende Bedeutung dieser Verse – der Glaube an die Auferstehung hatte sich zur Abfassungszeit des Psalms vermutlich noch gar nicht entwickelt –, an sich ist es aber nicht unmöglich, die Verse auch in diese Richtung auszulegen. Mindestens lässt sich gut mit Weiser 1973, S. 119f. sagen: „[Apg 2,26-36 und Apg 13,32-39 stehen auf demselben] Boden, der durch den ganzen Psalm hindurch als die Grundlage des starken Glaubensoptimismus beim Dichter sichtbar geworden ist: Die Lebensgemeinschaft mit Gott. Wo dieses Leben mit Gott den ganzen Menschen erfasst, verliert der Tod praktisch jenes furchtbare Gewicht, das er für den Menschen [...] besitzt. Dies ist der Weg der Überwindung des Todes, den der Psalm beschreitet: Für die Lebensmacht Gottes, an der der Dichter teilhaben darf, ist Tod und Unterwelt kein unüberschreitbares Hindernis mehr, woran jene Lebensgemeinschaft zerbrechen müsste. [...] Gewiß ist V. 10 [ursprünglich] nicht als weisagende Ankündigung der Auferstehung Jesu gemeint, aber der neutestamentliche Auferstehungsglaube und das, was den Psalmisten hier bewegt, stehen auf dem gleichen Grunde, nämlich auf dem unerschütterlichen Glauben an die Lebensmacht Gottes, die in der Auferstehung des Christus den Tod endgültig überwunden hat.“ </w:t>
        <w:br/>
        <w:br/>
        <w:t>[[@BibleTOBIBLE:Ps 16:1]]</w:t>
      </w:r>
      <w:r>
        <w:rPr>
          <w:b/>
        </w:rPr>
        <w:t>1</w:t>
      </w:r>
      <w:r>
        <w:rPr/>
        <w:t xml:space="preserve"> {{field-on:bible}} </w:t>
      </w:r>
      <w:r>
        <w:rPr>
          <w:rStyle w:val="Funotenanker"/>
        </w:rPr>
        <w:footnoteReference w:customMarkFollows="1" w:id="762"/>
        <w:t>Status</w:t>
      </w:r>
      <w:r>
        <w:rPr/>
        <w:t xml:space="preserve"> ''miktam''</w:t>
      </w:r>
      <w:r>
        <w:rPr>
          <w:rStyle w:val="Funotenanker"/>
        </w:rPr>
        <w:footnoteReference w:customMarkFollows="1" w:id="763"/>
        <w:t>c</w:t>
      </w:r>
      <w:r>
        <w:rPr/>
        <w:t xml:space="preserve"> von </w:t>
      </w:r>
      <w:r>
        <w:rPr>
          <w:color w:val="808080"/>
        </w:rPr>
        <w:t>(für, über, nach Art von )</w:t>
      </w:r>
      <w:r>
        <w:rPr/>
        <w:t xml:space="preserve"> David. </w:t>
        <w:br/>
        <w:t xml:space="preserve">Schütze mich, Gott,denn ich berge mich bei dir </w:t>
      </w:r>
      <w:r>
        <w:rPr>
          <w:color w:val="808080"/>
        </w:rPr>
        <w:t>(vertraue dir)</w:t>
      </w:r>
      <w:r>
        <w:rPr/>
        <w:t>!</w:t>
        <w:br/>
        <w:br/>
        <w:t xml:space="preserve">{{field-off:bible}} </w:t>
        <w:br/>
        <w:t>[[@BibleTOBIBLE:Ps 16:2]]</w:t>
      </w:r>
      <w:r>
        <w:rPr>
          <w:b/>
        </w:rPr>
        <w:t>2</w:t>
      </w:r>
      <w:r>
        <w:rPr/>
        <w:t xml:space="preserve"> {{field-on:bible}} </w:t>
        <w:br/>
        <w:t xml:space="preserve">Ich sage </w:t>
      </w:r>
      <w:r>
        <w:rPr>
          <w:color w:val="808080"/>
        </w:rPr>
        <w:t>(du sagst)</w:t>
      </w:r>
      <w:r>
        <w:rPr/>
        <w:t xml:space="preserve"> </w:t>
      </w:r>
      <w:r>
        <w:rPr>
          <w:rStyle w:val="Funotenanker"/>
        </w:rPr>
        <w:footnoteReference w:customMarkFollows="1" w:id="764"/>
        <w:t>d</w:t>
      </w:r>
      <w:r>
        <w:rPr/>
        <w:t xml:space="preserve"> zu </w:t>
      </w:r>
      <w:r>
        <w:rPr>
          <w:color w:val="808080"/>
        </w:rPr>
        <w:t>(über, was ... angeht)</w:t>
      </w:r>
      <w:r>
        <w:rPr/>
        <w:t xml:space="preserve"> </w:t>
      </w:r>
      <w:r>
        <w:rPr>
          <w:smallCaps/>
          <w:color w:val="FF0000"/>
        </w:rPr>
        <w:t>JHWH</w:t>
      </w:r>
      <w:r>
        <w:rPr/>
        <w:t xml:space="preserve">: „Mein </w:t>
      </w:r>
      <w:r>
        <w:rPr>
          <w:color w:val="808080"/>
        </w:rPr>
        <w:t>(</w:t>
      </w:r>
      <w:r>
        <w:rPr>
          <w:strike/>
          <w:color w:val="808080"/>
        </w:rPr>
        <w:t>{Mein}</w:t>
      </w:r>
      <w:r>
        <w:rPr>
          <w:color w:val="808080"/>
        </w:rPr>
        <w:t>)</w:t>
      </w:r>
      <w:r>
        <w:rPr/>
        <w:t xml:space="preserve"> Herr </w:t>
      </w:r>
      <w:r>
        <w:rPr>
          <w:b/>
          <w:color w:val="808080"/>
        </w:rPr>
        <w:t>[</w:t>
      </w:r>
      <w:r>
        <w:rPr/>
        <w:t>bist</w:t>
      </w:r>
      <w:r>
        <w:rPr>
          <w:b/>
          <w:color w:val="808080"/>
        </w:rPr>
        <w:t>]</w:t>
      </w:r>
      <w:r>
        <w:rPr/>
        <w:t xml:space="preserve"> du!Mein Wohlergehen </w:t>
      </w:r>
      <w:r>
        <w:rPr>
          <w:color w:val="808080"/>
        </w:rPr>
        <w:t>(Glück)</w:t>
      </w:r>
      <w:r>
        <w:rPr/>
        <w:t xml:space="preserve"> </w:t>
      </w:r>
      <w:r>
        <w:rPr>
          <w:b/>
          <w:color w:val="808080"/>
        </w:rPr>
        <w:t>[</w:t>
      </w:r>
      <w:r>
        <w:rPr/>
        <w:t>ist</w:t>
      </w:r>
      <w:r>
        <w:rPr>
          <w:b/>
          <w:color w:val="808080"/>
        </w:rPr>
        <w:t>]</w:t>
      </w:r>
      <w:r>
        <w:rPr/>
        <w:t xml:space="preserve"> nicht außer durch dich </w:t>
      </w:r>
      <w:r>
        <w:rPr>
          <w:color w:val="808080"/>
        </w:rPr>
        <w:t>(nicht über dir?)</w:t>
      </w:r>
      <w:r>
        <w:rPr/>
        <w:t>!“,</w:t>
        <w:br/>
        <w:t xml:space="preserve">{{field-off:bible}} </w:t>
        <w:br/>
        <w:t>[[@BibleTOBIBLE:Ps 16:3]]</w:t>
      </w:r>
      <w:r>
        <w:rPr>
          <w:b/>
        </w:rPr>
        <w:t>3</w:t>
      </w:r>
      <w:r>
        <w:rPr/>
        <w:t xml:space="preserve"> {{field-on:bible}} </w:t>
        <w:br/>
        <w:t xml:space="preserve">Zu den </w:t>
      </w:r>
      <w:r>
        <w:rPr>
          <w:color w:val="808080"/>
        </w:rPr>
        <w:t>(über die, was ... angeht)</w:t>
      </w:r>
      <w:r>
        <w:rPr/>
        <w:t xml:space="preserve"> Heiligen,</w:t>
      </w:r>
      <w:r>
        <w:rPr>
          <w:rStyle w:val="Funotenanker"/>
        </w:rPr>
        <w:footnoteReference w:customMarkFollows="1" w:id="765"/>
        <w:t>e</w:t>
      </w:r>
      <w:r>
        <w:rPr/>
        <w:t xml:space="preserve"> die im Land </w:t>
      </w:r>
      <w:r>
        <w:rPr>
          <w:color w:val="808080"/>
        </w:rPr>
        <w:t>(auf der Erde)</w:t>
      </w:r>
      <w:r>
        <w:rPr/>
        <w:t xml:space="preserve"> </w:t>
      </w:r>
      <w:r>
        <w:rPr>
          <w:b/>
          <w:color w:val="808080"/>
        </w:rPr>
        <w:t>[</w:t>
      </w:r>
      <w:r>
        <w:rPr/>
        <w:t>sind</w:t>
      </w:r>
      <w:r>
        <w:rPr>
          <w:b/>
          <w:color w:val="808080"/>
        </w:rPr>
        <w:t>]</w:t>
      </w:r>
      <w:r>
        <w:rPr/>
        <w:t>: „Diese,</w:t>
      </w:r>
      <w:r>
        <w:rPr>
          <w:rStyle w:val="Funotenanker"/>
        </w:rPr>
        <w:footnoteReference w:customMarkFollows="1" w:id="766"/>
        <w:t>f</w:t>
      </w:r>
      <w:r>
        <w:rPr/>
        <w:t xml:space="preserve"> die </w:t>
      </w:r>
      <w:r>
        <w:rPr>
          <w:color w:val="808080"/>
        </w:rPr>
        <w:t>(meine)</w:t>
      </w:r>
      <w:r>
        <w:rPr/>
        <w:t xml:space="preserve"> Herrlichen: Mein ganzes Wohlgefallen </w:t>
      </w:r>
      <w:r>
        <w:rPr>
          <w:b/>
          <w:color w:val="808080"/>
        </w:rPr>
        <w:t>[</w:t>
      </w:r>
      <w:r>
        <w:rPr/>
        <w:t>richtet sich</w:t>
      </w:r>
      <w:r>
        <w:rPr>
          <w:b/>
          <w:color w:val="808080"/>
        </w:rPr>
        <w:t>]</w:t>
      </w:r>
      <w:r>
        <w:rPr/>
        <w:t xml:space="preserve"> auf sie!“</w:t>
      </w:r>
      <w:r>
        <w:rPr>
          <w:rStyle w:val="Funotenanker"/>
        </w:rPr>
        <w:footnoteReference w:customMarkFollows="1" w:id="767"/>
        <w:t>g</w:t>
      </w:r>
      <w:r>
        <w:rPr/>
        <w:t xml:space="preserve"> </w:t>
        <w:br/>
        <w:t xml:space="preserve">{{field-off:bible}} </w:t>
        <w:br/>
        <w:t>[[@BibleTOBIBLE:Ps 16:4]]</w:t>
      </w:r>
      <w:r>
        <w:rPr>
          <w:b/>
        </w:rPr>
        <w:t>4</w:t>
      </w:r>
      <w:r>
        <w:rPr/>
        <w:t xml:space="preserve"> {{field-on:bible}} </w:t>
        <w:br/>
        <w:t xml:space="preserve">Es sollen </w:t>
      </w:r>
      <w:r>
        <w:rPr>
          <w:color w:val="808080"/>
        </w:rPr>
        <w:t>(werden)</w:t>
      </w:r>
      <w:r>
        <w:rPr/>
        <w:t xml:space="preserve"> sich vermehren die Schmerzen</w:t>
      </w:r>
      <w:r>
        <w:rPr>
          <w:rStyle w:val="Funotenanker"/>
        </w:rPr>
        <w:footnoteReference w:customMarkFollows="1" w:id="768"/>
        <w:t>h</w:t>
      </w:r>
      <w:r>
        <w:rPr/>
        <w:t xml:space="preserve"> </w:t>
      </w:r>
      <w:r>
        <w:rPr>
          <w:color w:val="808080"/>
        </w:rPr>
        <w:t>(Götzenbilder)</w:t>
      </w:r>
      <w:r>
        <w:rPr/>
        <w:t xml:space="preserve"> derer </w:t>
      </w:r>
      <w:r>
        <w:rPr>
          <w:color w:val="808080"/>
        </w:rPr>
        <w:t>(es vermehren sich ihre Schmerzen die)</w:t>
      </w:r>
      <w:r>
        <w:rPr/>
        <w:t xml:space="preserve">, die einem anderen </w:t>
      </w:r>
      <w:r>
        <w:rPr>
          <w:color w:val="808080"/>
        </w:rPr>
        <w:t>(die anderen)</w:t>
      </w:r>
      <w:r>
        <w:rPr/>
        <w:t xml:space="preserve"> nacheilen </w:t>
      </w:r>
      <w:r>
        <w:rPr>
          <w:color w:val="808080"/>
        </w:rPr>
        <w:t>(?, umwerben?)</w:t>
      </w:r>
      <w:r>
        <w:rPr/>
        <w:t>,</w:t>
      </w:r>
      <w:r>
        <w:rPr>
          <w:rStyle w:val="Funotenanker"/>
        </w:rPr>
        <w:footnoteReference w:customMarkFollows="1" w:id="769"/>
        <w:t>i</w:t>
      </w:r>
      <w:r>
        <w:rPr/>
        <w:t xml:space="preserve">Nicht werde ich libieren ihre Blutlibationen </w:t>
      </w:r>
      <w:r>
        <w:rPr>
          <w:color w:val="808080"/>
        </w:rPr>
        <w:t xml:space="preserve">(ihre Libationen mit </w:t>
      </w:r>
      <w:r>
        <w:rPr>
          <w:b/>
          <w:color w:val="808080"/>
        </w:rPr>
        <w:t>[</w:t>
      </w:r>
      <w:r>
        <w:rPr>
          <w:color w:val="808080"/>
        </w:rPr>
        <w:t>meiner</w:t>
      </w:r>
      <w:r>
        <w:rPr>
          <w:b/>
          <w:color w:val="808080"/>
        </w:rPr>
        <w:t>]</w:t>
      </w:r>
      <w:r>
        <w:rPr>
          <w:color w:val="808080"/>
        </w:rPr>
        <w:t xml:space="preserve"> Hand)</w:t>
      </w:r>
      <w:r>
        <w:rPr/>
        <w:t>,</w:t>
      </w:r>
      <w:r>
        <w:rPr>
          <w:rStyle w:val="Funotenanker"/>
        </w:rPr>
        <w:footnoteReference w:customMarkFollows="1" w:id="770"/>
        <w:t>j</w:t>
      </w:r>
      <w:r>
        <w:rPr/>
        <w:t>Nicht werde ich heben ihre Namen auf meine Lippen!</w:t>
      </w:r>
      <w:r>
        <w:rPr>
          <w:rStyle w:val="Funotenanker"/>
        </w:rPr>
        <w:footnoteReference w:customMarkFollows="1" w:id="771"/>
        <w:t>k</w:t>
      </w:r>
      <w:r>
        <w:rPr/>
        <w:t xml:space="preserve"> </w:t>
        <w:br/>
        <w:br/>
        <w:t xml:space="preserve">{{field-off:bible}} </w:t>
        <w:br/>
        <w:t>[[@BibleTOBIBLE:Ps 16:5]]</w:t>
      </w:r>
      <w:r>
        <w:rPr>
          <w:b/>
        </w:rPr>
        <w:t>5</w:t>
      </w:r>
      <w:r>
        <w:rPr/>
        <w:t xml:space="preserve"> {{field-on:bible}} </w:t>
        <w:br/>
      </w:r>
      <w:r>
        <w:rPr>
          <w:smallCaps/>
          <w:color w:val="FF0000"/>
        </w:rPr>
        <w:t>JHWH</w:t>
      </w:r>
      <w:r>
        <w:rPr/>
        <w:t xml:space="preserve"> </w:t>
      </w:r>
      <w:r>
        <w:rPr>
          <w:b/>
          <w:color w:val="808080"/>
        </w:rPr>
        <w:t>[</w:t>
      </w:r>
      <w:r>
        <w:rPr/>
        <w:t>ist</w:t>
      </w:r>
      <w:r>
        <w:rPr>
          <w:b/>
          <w:color w:val="808080"/>
        </w:rPr>
        <w:t>]</w:t>
      </w:r>
      <w:r>
        <w:rPr/>
        <w:t xml:space="preserve"> das Teil meiner Zuteilung und meines Bechers,Zieher meines Lossteins </w:t>
      </w:r>
      <w:r>
        <w:rPr>
          <w:color w:val="808080"/>
        </w:rPr>
        <w:t>(Erhalter meines Loses)</w:t>
      </w:r>
      <w:r>
        <w:rPr/>
        <w:t>.</w:t>
      </w:r>
      <w:r>
        <w:rPr>
          <w:rStyle w:val="Funotenanker"/>
        </w:rPr>
        <w:footnoteReference w:customMarkFollows="1" w:id="772"/>
        <w:t>l</w:t>
      </w:r>
      <w:r>
        <w:rPr/>
        <w:t xml:space="preserve"> </w:t>
        <w:br/>
        <w:t xml:space="preserve">{{field-off:bible}} </w:t>
        <w:br/>
        <w:t>[[@BibleTOBIBLE:Ps 16:6]]</w:t>
      </w:r>
      <w:r>
        <w:rPr>
          <w:b/>
        </w:rPr>
        <w:t>6</w:t>
      </w:r>
      <w:r>
        <w:rPr/>
        <w:t xml:space="preserve"> {{field-on:bible}} </w:t>
        <w:br/>
        <w:t xml:space="preserve">Schnüre fielen mir auf Liebliches </w:t>
      </w:r>
      <w:r>
        <w:rPr>
          <w:color w:val="808080"/>
        </w:rPr>
        <w:t xml:space="preserve">(liebliches </w:t>
      </w:r>
      <w:r>
        <w:rPr>
          <w:b/>
          <w:color w:val="808080"/>
        </w:rPr>
        <w:t>[</w:t>
      </w:r>
      <w:r>
        <w:rPr>
          <w:color w:val="808080"/>
        </w:rPr>
        <w:t>Land</w:t>
      </w:r>
      <w:r>
        <w:rPr>
          <w:b/>
          <w:color w:val="808080"/>
        </w:rPr>
        <w:t>]</w:t>
      </w:r>
      <w:r>
        <w:rPr>
          <w:color w:val="808080"/>
        </w:rPr>
        <w:t>)</w:t>
      </w:r>
      <w:r>
        <w:rPr/>
        <w:t>,</w:t>
      </w:r>
      <w:r>
        <w:rPr>
          <w:rStyle w:val="Funotenanker"/>
        </w:rPr>
        <w:footnoteReference w:customMarkFollows="1" w:id="773"/>
        <w:t>m</w:t>
      </w:r>
      <w:r>
        <w:rPr/>
        <w:t xml:space="preserve">ja, mein Erbbesitz </w:t>
      </w:r>
      <w:r>
        <w:rPr>
          <w:color w:val="808080"/>
        </w:rPr>
        <w:t>(der Erbbesitz)</w:t>
      </w:r>
      <w:r>
        <w:rPr/>
        <w:t xml:space="preserve"> </w:t>
      </w:r>
      <w:r>
        <w:rPr>
          <w:rStyle w:val="Funotenanker"/>
        </w:rPr>
        <w:footnoteReference w:customMarkFollows="1" w:id="774"/>
        <w:t>n</w:t>
      </w:r>
      <w:r>
        <w:rPr/>
        <w:t xml:space="preserve"> dünkt mich schön!</w:t>
      </w:r>
      <w:r>
        <w:rPr>
          <w:rStyle w:val="Funotenanker"/>
        </w:rPr>
        <w:footnoteReference w:customMarkFollows="1" w:id="775"/>
        <w:t>o</w:t>
      </w:r>
      <w:r>
        <w:rPr/>
        <w:t xml:space="preserve"> </w:t>
      </w:r>
      <w:r>
        <w:rPr>
          <w:position w:val="8"/>
          <w:sz w:val="19"/>
        </w:rPr>
        <w:t>[[ ℘ &gt;&gt; BibleTOBIBLE:Je 3:19]]</w:t>
      </w:r>
      <w:r>
        <w:rPr/>
        <w:t xml:space="preserve"> </w:t>
        <w:br/>
        <w:br/>
        <w:t xml:space="preserve">{{field-off:bible}} </w:t>
        <w:br/>
        <w:t>[[@BibleTOBIBLE:Ps 16:7]]</w:t>
      </w:r>
      <w:r>
        <w:rPr>
          <w:b/>
        </w:rPr>
        <w:t>7</w:t>
      </w:r>
      <w:r>
        <w:rPr/>
        <w:t xml:space="preserve"> {{field-on:bible}} </w:t>
        <w:br/>
        <w:t xml:space="preserve">Ich will preisen </w:t>
      </w:r>
      <w:r>
        <w:rPr>
          <w:smallCaps/>
          <w:color w:val="FF0000"/>
        </w:rPr>
        <w:t>JHWH</w:t>
      </w:r>
      <w:r>
        <w:rPr/>
        <w:t xml:space="preserve">, der mich berät,ja, </w:t>
      </w:r>
      <w:r>
        <w:rPr>
          <w:b/>
          <w:color w:val="808080"/>
        </w:rPr>
        <w:t>[</w:t>
      </w:r>
      <w:r>
        <w:rPr/>
        <w:t>selbst</w:t>
      </w:r>
      <w:r>
        <w:rPr>
          <w:b/>
          <w:color w:val="808080"/>
        </w:rPr>
        <w:t>]</w:t>
      </w:r>
      <w:r>
        <w:rPr/>
        <w:t xml:space="preserve"> in den Nächten belehren </w:t>
      </w:r>
      <w:r>
        <w:rPr>
          <w:color w:val="808080"/>
        </w:rPr>
        <w:t>(züchtigen)</w:t>
      </w:r>
      <w:r>
        <w:rPr/>
        <w:t xml:space="preserve"> mich meine Nieren.</w:t>
      </w:r>
      <w:r>
        <w:rPr>
          <w:rStyle w:val="Funotenanker"/>
        </w:rPr>
        <w:footnoteReference w:customMarkFollows="1" w:id="776"/>
        <w:t>p</w:t>
      </w:r>
      <w:r>
        <w:rPr/>
        <w:t xml:space="preserve"> </w:t>
        <w:br/>
        <w:t xml:space="preserve">{{field-off:bible}} </w:t>
        <w:br/>
        <w:t>[[@BibleTOBIBLE:Ps 16:8]]</w:t>
      </w:r>
      <w:r>
        <w:rPr>
          <w:b/>
        </w:rPr>
        <w:t>8</w:t>
      </w:r>
      <w:r>
        <w:rPr/>
        <w:t xml:space="preserve"> {{field-on:bible}} </w:t>
        <w:br/>
        <w:t xml:space="preserve">Ich setze mir </w:t>
      </w:r>
      <w:r>
        <w:rPr>
          <w:smallCaps/>
          <w:color w:val="FF0000"/>
        </w:rPr>
        <w:t>JHWH</w:t>
      </w:r>
      <w:r>
        <w:rPr/>
        <w:t xml:space="preserve"> vor mich beständig;</w:t>
      </w:r>
      <w:r>
        <w:rPr>
          <w:rStyle w:val="Funotenanker"/>
        </w:rPr>
        <w:footnoteReference w:customMarkFollows="1" w:id="777"/>
        <w:t>q</w:t>
      </w:r>
      <w:r>
        <w:rPr/>
        <w:t xml:space="preserve">Denn </w:t>
      </w:r>
      <w:r>
        <w:rPr>
          <w:b/>
          <w:color w:val="808080"/>
        </w:rPr>
        <w:t>[</w:t>
      </w:r>
      <w:r>
        <w:rPr/>
        <w:t>ist er</w:t>
      </w:r>
      <w:r>
        <w:rPr>
          <w:b/>
          <w:color w:val="808080"/>
        </w:rPr>
        <w:t>]</w:t>
      </w:r>
      <w:r>
        <w:rPr/>
        <w:t xml:space="preserve"> zu meiner Rechten, werde ich </w:t>
      </w:r>
      <w:r>
        <w:rPr>
          <w:color w:val="808080"/>
        </w:rPr>
        <w:t xml:space="preserve">(ja, </w:t>
      </w:r>
      <w:r>
        <w:rPr>
          <w:b/>
          <w:color w:val="808080"/>
        </w:rPr>
        <w:t>[</w:t>
      </w:r>
      <w:r>
        <w:rPr>
          <w:color w:val="808080"/>
        </w:rPr>
        <w:t>ich setze ihn</w:t>
      </w:r>
      <w:r>
        <w:rPr>
          <w:b/>
          <w:color w:val="808080"/>
        </w:rPr>
        <w:t>]</w:t>
      </w:r>
      <w:r>
        <w:rPr>
          <w:color w:val="808080"/>
        </w:rPr>
        <w:t xml:space="preserve"> zu meiner Rechten, ich werde; weil er zu meiner Rechten ist. Ich werde)</w:t>
      </w:r>
      <w:r>
        <w:rPr/>
        <w:t xml:space="preserve"> nicht wanken.</w:t>
      </w:r>
      <w:r>
        <w:rPr>
          <w:rStyle w:val="Funotenanker"/>
        </w:rPr>
        <w:footnoteReference w:customMarkFollows="1" w:id="778"/>
        <w:t>r</w:t>
      </w:r>
      <w:r>
        <w:rPr/>
        <w:t xml:space="preserve"> </w:t>
        <w:br/>
        <w:br/>
        <w:t xml:space="preserve">{{field-off:bible}} </w:t>
        <w:br/>
        <w:t>[[@BibleTOBIBLE:Ps 16:9]]</w:t>
      </w:r>
      <w:r>
        <w:rPr>
          <w:b/>
        </w:rPr>
        <w:t>9</w:t>
      </w:r>
      <w:r>
        <w:rPr/>
        <w:t xml:space="preserve"> {{field-on:bible}} </w:t>
        <w:br/>
        <w:t xml:space="preserve">Darum freut sich mein Herz und jubelt meine Leber </w:t>
      </w:r>
      <w:r>
        <w:rPr>
          <w:color w:val="808080"/>
        </w:rPr>
        <w:t>(Herrlichkeit)</w:t>
      </w:r>
      <w:r>
        <w:rPr/>
        <w:t>,</w:t>
      </w:r>
      <w:r>
        <w:rPr>
          <w:rStyle w:val="Funotenanker"/>
        </w:rPr>
        <w:footnoteReference w:customMarkFollows="1" w:id="779"/>
        <w:t>s</w:t>
      </w:r>
      <w:r>
        <w:rPr/>
        <w:t xml:space="preserve">Ja, </w:t>
      </w:r>
      <w:r>
        <w:rPr>
          <w:b/>
          <w:color w:val="808080"/>
        </w:rPr>
        <w:t>[</w:t>
      </w:r>
      <w:r>
        <w:rPr/>
        <w:t>selbst</w:t>
      </w:r>
      <w:r>
        <w:rPr>
          <w:b/>
          <w:color w:val="808080"/>
        </w:rPr>
        <w:t>]</w:t>
      </w:r>
      <w:r>
        <w:rPr/>
        <w:t xml:space="preserve"> mein Fleisch wird wohnen </w:t>
      </w:r>
      <w:r>
        <w:rPr>
          <w:color w:val="808080"/>
        </w:rPr>
        <w:t>(ruhen)</w:t>
      </w:r>
      <w:r>
        <w:rPr/>
        <w:t xml:space="preserve"> in Sicherheit.</w:t>
      </w:r>
      <w:r>
        <w:rPr>
          <w:rStyle w:val="Funotenanker"/>
        </w:rPr>
        <w:footnoteReference w:customMarkFollows="1" w:id="780"/>
        <w:t>t</w:t>
      </w:r>
      <w:r>
        <w:rPr/>
        <w:t xml:space="preserve"> </w:t>
        <w:br/>
        <w:t xml:space="preserve">{{field-off:bible}} </w:t>
        <w:br/>
        <w:t>[[@BibleTOBIBLE:Ps 16:10]]</w:t>
      </w:r>
      <w:r>
        <w:rPr>
          <w:b/>
        </w:rPr>
        <w:t>10</w:t>
      </w:r>
      <w:r>
        <w:rPr/>
        <w:t xml:space="preserve"> {{field-on:bible}} </w:t>
        <w:br/>
        <w:t xml:space="preserve">Denn du wirst meine Seele </w:t>
      </w:r>
      <w:r>
        <w:rPr>
          <w:color w:val="808080"/>
        </w:rPr>
        <w:t>(mich)</w:t>
      </w:r>
      <w:r>
        <w:rPr/>
        <w:t xml:space="preserve"> nicht dem Scheol</w:t>
      </w:r>
      <w:r>
        <w:rPr>
          <w:rStyle w:val="Funotenanker"/>
        </w:rPr>
        <w:footnoteReference w:customMarkFollows="1" w:id="781"/>
        <w:t>u</w:t>
      </w:r>
      <w:r>
        <w:rPr/>
        <w:t xml:space="preserve"> überlassen </w:t>
      </w:r>
      <w:r>
        <w:rPr>
          <w:color w:val="808080"/>
        </w:rPr>
        <w:t>(im Scheol lassen)</w:t>
      </w:r>
      <w:r>
        <w:rPr/>
        <w:t>,Du wirst nicht erlauben, dass</w:t>
      </w:r>
      <w:r>
        <w:rPr>
          <w:rStyle w:val="Funotenanker"/>
        </w:rPr>
        <w:footnoteReference w:customMarkFollows="1" w:id="782"/>
        <w:t>v</w:t>
      </w:r>
      <w:r>
        <w:rPr/>
        <w:t xml:space="preserve"> dein Frommer </w:t>
      </w:r>
      <w:r>
        <w:rPr>
          <w:color w:val="808080"/>
        </w:rPr>
        <w:t>(deine Frommen)</w:t>
      </w:r>
      <w:r>
        <w:rPr/>
        <w:t xml:space="preserve"> </w:t>
      </w:r>
      <w:r>
        <w:rPr>
          <w:rStyle w:val="Funotenanker"/>
        </w:rPr>
        <w:footnoteReference w:customMarkFollows="1" w:id="783"/>
        <w:t>w</w:t>
      </w:r>
      <w:r>
        <w:rPr/>
        <w:t xml:space="preserve"> die Grube </w:t>
      </w:r>
      <w:r>
        <w:rPr>
          <w:color w:val="808080"/>
        </w:rPr>
        <w:t>(die Verwesung)</w:t>
      </w:r>
      <w:r>
        <w:rPr/>
        <w:t xml:space="preserve"> </w:t>
      </w:r>
      <w:r>
        <w:rPr>
          <w:rStyle w:val="Funotenanker"/>
        </w:rPr>
        <w:footnoteReference w:customMarkFollows="1" w:id="784"/>
        <w:t>x</w:t>
      </w:r>
      <w:r>
        <w:rPr/>
        <w:t xml:space="preserve"> sieht.</w:t>
        <w:br/>
        <w:t xml:space="preserve">{{field-off:bible}} </w:t>
        <w:br/>
        <w:t>[[@BibleTOBIBLE:Ps 16:11]]</w:t>
      </w:r>
      <w:r>
        <w:rPr>
          <w:b/>
        </w:rPr>
        <w:t>11</w:t>
      </w:r>
      <w:r>
        <w:rPr/>
        <w:t xml:space="preserve"> {{field-on:bible}} </w:t>
        <w:br/>
        <w:t xml:space="preserve">Du wirst </w:t>
      </w:r>
      <w:r>
        <w:rPr>
          <w:color w:val="808080"/>
        </w:rPr>
        <w:t>(sollst)</w:t>
      </w:r>
      <w:r>
        <w:rPr/>
        <w:t xml:space="preserve"> mir kundtun </w:t>
      </w:r>
      <w:r>
        <w:rPr>
          <w:color w:val="808080"/>
        </w:rPr>
        <w:t>(mich erkennen lassen)</w:t>
      </w:r>
      <w:r>
        <w:rPr/>
        <w:t xml:space="preserve"> den Weg des Lebens </w:t>
      </w:r>
      <w:r>
        <w:rPr>
          <w:color w:val="808080"/>
        </w:rPr>
        <w:t>(zum Leben)</w:t>
      </w:r>
      <w:r>
        <w:rPr/>
        <w:t>:</w:t>
      </w:r>
      <w:r>
        <w:rPr>
          <w:rStyle w:val="Funotenanker"/>
        </w:rPr>
        <w:footnoteReference w:customMarkFollows="1" w:id="785"/>
        <w:t>y</w:t>
      </w:r>
      <w:r>
        <w:rPr/>
        <w:t xml:space="preserve"> </w:t>
      </w:r>
      <w:r>
        <w:rPr>
          <w:b/>
          <w:color w:val="808080"/>
        </w:rPr>
        <w:t>[</w:t>
      </w:r>
      <w:r>
        <w:rPr/>
        <w:t>Die</w:t>
      </w:r>
      <w:r>
        <w:rPr>
          <w:b/>
          <w:color w:val="808080"/>
        </w:rPr>
        <w:t>]</w:t>
      </w:r>
      <w:r>
        <w:rPr/>
        <w:t xml:space="preserve"> Fülle </w:t>
      </w:r>
      <w:r>
        <w:rPr>
          <w:color w:val="808080"/>
        </w:rPr>
        <w:t>(Sättigung)</w:t>
      </w:r>
      <w:r>
        <w:rPr/>
        <w:t xml:space="preserve"> der Freuden </w:t>
      </w:r>
      <w:r>
        <w:rPr>
          <w:color w:val="808080"/>
        </w:rPr>
        <w:t>(</w:t>
      </w:r>
      <w:r>
        <w:rPr>
          <w:b/>
          <w:color w:val="808080"/>
        </w:rPr>
        <w:t>[</w:t>
      </w:r>
      <w:r>
        <w:rPr>
          <w:color w:val="808080"/>
        </w:rPr>
        <w:t>ist</w:t>
      </w:r>
      <w:r>
        <w:rPr>
          <w:b/>
          <w:color w:val="808080"/>
        </w:rPr>
        <w:t>]</w:t>
      </w:r>
      <w:r>
        <w:rPr>
          <w:color w:val="808080"/>
        </w:rPr>
        <w:t>)</w:t>
      </w:r>
      <w:r>
        <w:rPr/>
        <w:t xml:space="preserve"> bei deinem Angesicht, </w:t>
      </w:r>
      <w:r>
        <w:rPr>
          <w:b/>
          <w:color w:val="808080"/>
        </w:rPr>
        <w:t>[</w:t>
      </w:r>
      <w:r>
        <w:rPr/>
        <w:t>Die</w:t>
      </w:r>
      <w:r>
        <w:rPr>
          <w:b/>
          <w:color w:val="808080"/>
        </w:rPr>
        <w:t>]</w:t>
      </w:r>
      <w:r>
        <w:rPr/>
        <w:t xml:space="preserve"> Lieblichkeiten </w:t>
      </w:r>
      <w:r>
        <w:rPr>
          <w:color w:val="808080"/>
        </w:rPr>
        <w:t>(Freuden, Annehmlichkeiten)</w:t>
      </w:r>
      <w:r>
        <w:rPr/>
        <w:t xml:space="preserve"> </w:t>
      </w:r>
      <w:r>
        <w:rPr>
          <w:color w:val="808080"/>
        </w:rPr>
        <w:t>(</w:t>
      </w:r>
      <w:r>
        <w:rPr>
          <w:b/>
          <w:color w:val="808080"/>
        </w:rPr>
        <w:t>[</w:t>
      </w:r>
      <w:r>
        <w:rPr>
          <w:color w:val="808080"/>
        </w:rPr>
        <w:t>sind</w:t>
      </w:r>
      <w:r>
        <w:rPr>
          <w:b/>
          <w:color w:val="808080"/>
        </w:rPr>
        <w:t>]</w:t>
      </w:r>
      <w:r>
        <w:rPr>
          <w:color w:val="808080"/>
        </w:rPr>
        <w:t>)</w:t>
      </w:r>
      <w:r>
        <w:rPr/>
        <w:t xml:space="preserve"> in deiner Rechten allezeit!</w:t>
      </w:r>
      <w:r>
        <w:rPr>
          <w:rStyle w:val="Funotenanker"/>
        </w:rPr>
        <w:footnoteReference w:customMarkFollows="1" w:id="786"/>
        <w:t>z</w:t>
      </w:r>
      <w:r>
        <w:rPr/>
        <w:t xml:space="preserve"> </w:t>
        <w:br/>
        <w:t xml:space="preserve">{{field-off:bible}} </w:t>
      </w:r>
    </w:p>
    <w:p>
      <w:pPr>
        <w:pStyle w:val="Berschrift3"/>
        <w:rPr/>
      </w:pPr>
      <w:r>
        <w:rPr/>
        <w:t>[[@BibleTOBIBLE:Ps 17]]Kapitel 17</w:t>
      </w:r>
    </w:p>
    <w:p>
      <w:pPr>
        <w:pStyle w:val="Textkrper"/>
        <w:rPr/>
      </w:pPr>
      <w:r>
        <w:rPr/>
        <w:t xml:space="preserve">Psalm 17 ist ein Bittpsalm eines einzelnen Beters, bei dem so stark die Unschuld des Beters betont wird, dass er manchmal auch als „Unschuldspsalm“ klassifiziert wird. Der Text des Psalms ist so schwierig, dass häufig übersehen wird, wie schön er strukturiert ist; konzentrieren wir uns daher im Folgenden auch ein wenig auf seine Struktur.V. 1a ist die Überschrift, wie sie über den meisten Psalmen steht. Diese Überschriften sind allerdings nicht historisch, sondern wurden nachträglich von Redaktoren hinzugefügt. In V. 1b-e folgt die Invokatio, mit der Gott zum Hören auf das folgende Gebet bewegt werden soll. Sie schließt mit einem Hinweis auf die „Nicht-trug-Lippen“ des Beters, und damit ist bereits der erste Teil der Unschuldserklärung abgehandelt: Er sündigt nicht im Sprechen.V. 2 deutet in Zeile a bereits die Bitte an, die aber erst später folgen wird; Z. b leitet dann den zweiten und dritten Teil der Unschuldserklärung ein: Nicht nur im Sprechen ist der Beter schuldfrei, sondern auch im Denken (3) und Handeln (4f.). Ziel dieser Unschuldserklärung ist es, Gott zum Handeln zu bewegen: Gott ist ein gerechter Richter, der Psalmist ist unschuldig, also steht ihm doch zu, dass ihm vonseiten Gottes Recht widerfährt. Derart sein eigentliches Anliegen vorbereitet habend, greift er in V. 6 noch einmal seine Invokatio aus V. 1 auf: Höre mich, Gott, lausche mir! In Vv. 7-12 kann daher nun die eigentliche Bitte folgen, die in V. 7 zunächst sehr allgemein und mit Fokus auf Gott, in Vv. 8f. dann konkreter und mit Fokus auf den Beter geäußert wird: Gott möge seine Huld an „sich (zu ihm) Flüchtenden“ erweisen (7a) – d.h. , er möge den Beter behüten (V. 8) – und zwar vor „sich gegen Gott Erhebenden“ (7b) – d.h. vor Frevlern, die den Beter bedrängen (V. 9).Ebenso, wie in Vv. 2-5 der Beter sich selbst beschrieben hat, folgt in Vv. 10-12 die Beschreibung der Not in Form einer Beschreibung der Frevler. Auch hier werden die drei Ebenen des menschlichen Tuns abgehandelt: Sie sind verderbt im Denken (10a), Sprechen (10b) und Handeln (11f.). V. 10 entfaltet dabei wieder zunächst allgemein das Wort „Frevler“ in 9a, Vv. 11f. mit dem Bild des lauernden Löwen konkret die Rede von den den Beter gierig umzingelnden Feinden in 9b.Diese übrigens heißen „Frevler“ (rescha`im), das „wichtigste Oppositum“ (THAT II, Sp. 814) zu den „Gerechten“ (tsadiqim), als welcher sich der Beter in Vv. 2.15 selbst bezeichnt (tsedeq). Wie ohnehin im Gegenüber der Selbstbeschreibung des Beters und der Fremdbeschreibung der Feinde wird auch auf Wortebene klar: Diese sind sozusagen das „moralische Negativ“ des Psalmisten. Vv. 13-15 wird die Bitte aus Vv. 7-9 noch einmal weitergeführt. 13a greift dabei mit „Erheben“ V. 7 auf, 13b („Rette mich vor dem Frever“) Vv. 8f. („Behüte mich ... vor Frevlern“) und in V. 14 folgt ebenso wie in Vv. 10-12 ein kurzer Abschnitt mit Fokus auf die Feinde.Dieser ist in unserer Zeit etwas schwer verständlich: Nach alttestamentlicher Vorstellung ist Gottes Zorn und Gottes Strafhandeln erblich. „Ich bin ein eifernder Gott“, heißt es in Ex 20,5, „der für die Sünden der Väter büßen lässt die Kinder, die Enkel und die Urenkel!“ (ebenso Ex 34,7 und Num 14,18; s. außerdem Lev 26,39; Ps 79,8; 109,11-15; Jes 14,20f.; Jer 2,9; 32,18). Die Verwünschung über die Frevler ist beinahe exakt dieselbe, die auch in Ps 109,13f. ausgesprochen wird: Der Beter wünscht dieses schon seit der Zeit der Vorfahren der Frevler „aufgesparte“ Strafhandeln nun als „Erbteil“ auf ihre Kinder, Enkel und Urenkel herab und verwendet dafür das Bild der „Sättigung“ mit Unheil (wie z.B. auch in Ps 88,4; 123,3f.; Klg 3,30). Der Beter dagegen, V. 15 will damit „gesättigt“ werden, „Gott zu schauen“. Was damit gemeint ist, ist zunächst etwas unklar, Aufschluss gibt aber die Struktur des Psalms: „Ich will als Gerechter dein Gesicht schauen“ in 15a korrespondiert stark mit dem „Höre, </w:t>
      </w:r>
      <w:r>
        <w:rPr>
          <w:rStyle w:val="Funotenanker"/>
        </w:rPr>
        <w:footnoteReference w:customMarkFollows="1" w:id="787"/>
        <w:t>a</w:t>
      </w:r>
      <w:r>
        <w:rPr/>
        <w:t>, Gerechtigkeit...: Von vor deinem Gesicht möge Recht ausgehen, deine Augen mögen schauen Aufrichtigkeit“ aus Vv. 1f., „ich will mich sättigen an deinem Bild“ (vgl. ähnlich ) steht klar im Gegensatz zur „Sättigung“ mit Strafe in 14d-f. Beides meint daher wohl nicht das tatsächliche Anblicken von Gott oder eines Götterbildes, sondern (wie auch der „Durst nach Gott“ in Ps 42,2f. ein „Dürsten nach Heil“ ist, s. V. 4 und vgl. Ps 90,14; 103,4f.) eine Metapher für die Erfahrung heilvollen Handelns vonseiten Gottes. Vergleichbar sind daher die häufigen Metaphern „Gott lässt sein Gesicht über jemandem leuchten“ und „Gott verbirgt sein Gesicht vor jemandem“, die ebenfalls für Gottes Heilshandeln resp. für seinen Gnadenentzug stehen. mini</w:t>
      </w:r>
      <w:r>
        <w:rPr>
          <w:rStyle w:val="Funotenanker"/>
        </w:rPr>
        <w:footnoteReference w:customMarkFollows="1" w:id="788"/>
        <w:t>b</w:t>
      </w:r>
      <w:r>
        <w:rPr/>
        <w:t>Die geflügelte Göttin Ischtar mit Waffenarsenal und einem gebändigten Löwen, (c) IPIAO I 258&lt;div class="tright" style="clear:none;"&gt;miniatur</w:t>
      </w:r>
      <w:r>
        <w:rPr>
          <w:rStyle w:val="Funotenanker"/>
        </w:rPr>
        <w:footnoteReference w:customMarkFollows="1" w:id="789"/>
        <w:t>c</w:t>
      </w:r>
      <w:r>
        <w:rPr/>
        <w:t xml:space="preserve">Geflügelte Gottheit kämpft mit Schwert gegen Löwen, (c) LeMon 2009, S. 157&lt;/div&gt;Bei dieser Gelegenheit sei abschließend noch auf zwei charakteristische Züge des Psalms hingewiesen. Das erste ist die Betonung des Sehens und sich-Ansehens von Gott, Beter und Frevlern, die sich durch den ganzen Psalm zieht: Gott möge die Aufrichtigkeit des Beters „schauen“, wenn er sein Inneres prüft (Vv. 2f.). In der Folge möge er so sehr behütend auf ihn blicken, dass das Bild des Beters geradezu zum Ehemann von Gottes Pupille wird (V. 8); worin dann natürlich auch liegt, dass der Beter Gottes Gesicht „schauen“ kann (V. 15). Die Frevler dagegen sehen niemanden an; sie haben ihre „Augen darauf gesetzt“, den Beter niederzustrecken (V. 11), darum soll von Gottes „Gesicht“ (V. 2) auch nicht ihr Recht ausgehen, sondern er soll „ihrem Gesicht entgegentreten“ (V. 13).Das zweite: Nicht nur von Augen und Gesicht Gottes spricht der Beter, sondern so sehr auch von seinen anderen Körperteilen, dass man hieraus sehr gut das Gottesbild seiner Zeit rekonstruieren kann. Gott hat ein Gesicht (V. 2), hat Ohren (V. 6), mit denen er hören kann (V. 2) und Augen (V. 2) mit Pupillen (V. 8), mit denen er sehen kann (V. 3). Er hinterlässt Spuren (V. 5), hat also offenbar Beine, außerdem Flügel (V. 8), Hände (V. 14) und darin ein Schwert (V. 13). Das (metaphorische?) Gottesbild entspricht damit einem Gottesbild, das sich im Alten Orient recht häufig findet; s. rechts. </w:t>
        <w:br/>
        <w:br/>
        <w:t>[[@BibleTOBIBLE:Ps 17:1]]</w:t>
      </w:r>
      <w:r>
        <w:rPr>
          <w:b/>
        </w:rPr>
        <w:t>1</w:t>
      </w:r>
      <w:r>
        <w:rPr/>
        <w:t xml:space="preserve"> {{field-on:bible}} </w:t>
      </w:r>
      <w:r>
        <w:rPr>
          <w:rStyle w:val="Funotenanker"/>
        </w:rPr>
        <w:footnoteReference w:customMarkFollows="1" w:id="790"/>
        <w:t>Status</w:t>
      </w:r>
      <w:r>
        <w:rPr/>
        <w:t xml:space="preserve"> ''Ein Bittgebet. Von </w:t>
      </w:r>
      <w:r>
        <w:rPr>
          <w:color w:val="808080"/>
        </w:rPr>
        <w:t>(für, über, nach Art von)</w:t>
      </w:r>
      <w:r>
        <w:rPr/>
        <w:t xml:space="preserve"> David.'' </w:t>
        <w:br/>
        <w:t xml:space="preserve">Höre, </w:t>
      </w:r>
      <w:r>
        <w:rPr>
          <w:smallCaps/>
          <w:color w:val="FF0000"/>
        </w:rPr>
        <w:t>JHWH</w:t>
      </w:r>
      <w:r>
        <w:rPr/>
        <w:t>, Gerechtigkeit:</w:t>
      </w:r>
      <w:r>
        <w:rPr>
          <w:rStyle w:val="Funotenanker"/>
        </w:rPr>
        <w:footnoteReference w:customMarkFollows="1" w:id="791"/>
        <w:t>d</w:t>
      </w:r>
      <w:r>
        <w:rPr/>
        <w:t>Horch mein Schreien,</w:t>
        <w:br/>
        <w:t>Lausche meinem BittgebetVon Nicht-Trug-Lippen!</w:t>
        <w:br/>
        <w:br/>
        <w:t xml:space="preserve">{{field-off:bible}} </w:t>
        <w:br/>
        <w:t>[[@BibleTOBIBLE:Ps 17:2]]</w:t>
      </w:r>
      <w:r>
        <w:rPr>
          <w:b/>
        </w:rPr>
        <w:t>2</w:t>
      </w:r>
      <w:r>
        <w:rPr/>
        <w:t xml:space="preserve"> {{field-on:bible}} </w:t>
        <w:br/>
        <w:t xml:space="preserve">Von dir </w:t>
      </w:r>
      <w:r>
        <w:rPr>
          <w:color w:val="808080"/>
        </w:rPr>
        <w:t>(von vor deinem Gesicht)</w:t>
      </w:r>
      <w:r>
        <w:rPr/>
        <w:t xml:space="preserve"> möge </w:t>
      </w:r>
      <w:r>
        <w:rPr>
          <w:color w:val="808080"/>
        </w:rPr>
        <w:t>(wird)</w:t>
      </w:r>
      <w:r>
        <w:rPr/>
        <w:t xml:space="preserve"> mein Recht ausgehen </w:t>
      </w:r>
      <w:r>
        <w:rPr>
          <w:color w:val="808080"/>
        </w:rPr>
        <w:t>(aufstrahlen)</w:t>
      </w:r>
      <w:r>
        <w:rPr/>
        <w:t>,</w:t>
      </w:r>
      <w:r>
        <w:rPr>
          <w:rStyle w:val="Funotenanker"/>
        </w:rPr>
        <w:footnoteReference w:customMarkFollows="1" w:id="792"/>
        <w:t>e</w:t>
      </w:r>
      <w:r>
        <w:rPr/>
        <w:t xml:space="preserve">Deine Augen mögen </w:t>
      </w:r>
      <w:r>
        <w:rPr>
          <w:color w:val="808080"/>
        </w:rPr>
        <w:t>(werden)</w:t>
      </w:r>
      <w:r>
        <w:rPr/>
        <w:t xml:space="preserve"> schauen Aufrichtigkeit</w:t>
      </w:r>
      <w:r>
        <w:rPr>
          <w:strike/>
          <w:color w:val="808080"/>
        </w:rPr>
        <w:t>{en}</w:t>
      </w:r>
      <w:r>
        <w:rPr/>
        <w:t xml:space="preserve"> </w:t>
      </w:r>
      <w:r>
        <w:rPr>
          <w:color w:val="808080"/>
        </w:rPr>
        <w:t>(richtig, unparteiisch)</w:t>
      </w:r>
      <w:r>
        <w:rPr/>
        <w:t>:</w:t>
        <w:br/>
        <w:t xml:space="preserve">{{field-off:bible}} </w:t>
        <w:br/>
        <w:t>[[@BibleTOBIBLE:Ps 17:3]]</w:t>
      </w:r>
      <w:r>
        <w:rPr>
          <w:b/>
        </w:rPr>
        <w:t>3</w:t>
      </w:r>
      <w:r>
        <w:rPr/>
        <w:t xml:space="preserve"> {{field-on:bible}} </w:t>
        <w:br/>
        <w:t xml:space="preserve">Testestest du </w:t>
      </w:r>
      <w:r>
        <w:rPr>
          <w:color w:val="808080"/>
        </w:rPr>
        <w:t>(du testestest)</w:t>
      </w:r>
      <w:r>
        <w:rPr/>
        <w:t xml:space="preserve"> mein Herz, Prüftest du </w:t>
      </w:r>
      <w:r>
        <w:rPr>
          <w:color w:val="808080"/>
        </w:rPr>
        <w:t>(du prüftest)</w:t>
      </w:r>
      <w:r>
        <w:rPr/>
        <w:t xml:space="preserve"> </w:t>
      </w:r>
      <w:r>
        <w:rPr>
          <w:b/>
          <w:color w:val="808080"/>
        </w:rPr>
        <w:t>[</w:t>
      </w:r>
      <w:r>
        <w:rPr/>
        <w:t xml:space="preserve">mich </w:t>
      </w:r>
      <w:r>
        <w:rPr>
          <w:color w:val="808080"/>
        </w:rPr>
        <w:t>(es)</w:t>
      </w:r>
      <w:r>
        <w:rPr>
          <w:b/>
          <w:color w:val="808080"/>
        </w:rPr>
        <w:t>]</w:t>
      </w:r>
      <w:r>
        <w:rPr/>
        <w:t xml:space="preserve"> </w:t>
      </w:r>
      <w:r>
        <w:rPr>
          <w:rStyle w:val="Funotenanker"/>
        </w:rPr>
        <w:footnoteReference w:customMarkFollows="1" w:id="793"/>
        <w:t>f</w:t>
      </w:r>
      <w:r>
        <w:rPr/>
        <w:t xml:space="preserve"> </w:t>
      </w:r>
      <w:r>
        <w:rPr>
          <w:b/>
          <w:color w:val="808080"/>
        </w:rPr>
        <w:t>[</w:t>
      </w:r>
      <w:r>
        <w:rPr/>
        <w:t>selbst</w:t>
      </w:r>
      <w:r>
        <w:rPr>
          <w:b/>
          <w:color w:val="808080"/>
        </w:rPr>
        <w:t>]</w:t>
      </w:r>
      <w:r>
        <w:rPr/>
        <w:t xml:space="preserve"> </w:t>
      </w:r>
      <w:r>
        <w:rPr>
          <w:rStyle w:val="Funotenanker"/>
        </w:rPr>
        <w:footnoteReference w:customMarkFollows="1" w:id="794"/>
        <w:t>g</w:t>
      </w:r>
      <w:r>
        <w:rPr/>
        <w:t xml:space="preserve"> bei Nacht, probtest du </w:t>
      </w:r>
      <w:r>
        <w:rPr>
          <w:color w:val="808080"/>
        </w:rPr>
        <w:t>(du probtest)</w:t>
      </w:r>
      <w:r>
        <w:rPr/>
        <w:t xml:space="preserve"> </w:t>
      </w:r>
      <w:r>
        <w:rPr>
          <w:rStyle w:val="Funotenanker"/>
        </w:rPr>
        <w:footnoteReference w:customMarkFollows="1" w:id="795"/>
        <w:t>h</w:t>
      </w:r>
      <w:r>
        <w:rPr/>
        <w:t xml:space="preserve"> mich, </w:t>
        <w:br/>
        <w:t xml:space="preserve">Würdest </w:t>
      </w:r>
      <w:r>
        <w:rPr>
          <w:color w:val="808080"/>
        </w:rPr>
        <w:t>(wirst, könntest)</w:t>
      </w:r>
      <w:r>
        <w:rPr/>
        <w:t xml:space="preserve"> du nicht finden Ränke an mir </w:t>
      </w:r>
      <w:r>
        <w:rPr>
          <w:color w:val="808080"/>
        </w:rPr>
        <w:t>(Plan, Schandtat, ich habe geplant)</w:t>
      </w:r>
      <w:r>
        <w:rPr/>
        <w:t>,</w:t>
      </w:r>
      <w:r>
        <w:rPr>
          <w:rStyle w:val="Funotenanker"/>
        </w:rPr>
        <w:footnoteReference w:customMarkFollows="1" w:id="796"/>
        <w:t>i</w:t>
      </w:r>
      <w:r>
        <w:rPr/>
        <w:t xml:space="preserve"> </w:t>
      </w:r>
      <w:r>
        <w:rPr>
          <w:b/>
          <w:color w:val="808080"/>
        </w:rPr>
        <w:t>[</w:t>
      </w:r>
      <w:r>
        <w:rPr/>
        <w:t>die</w:t>
      </w:r>
      <w:r>
        <w:rPr>
          <w:b/>
          <w:color w:val="808080"/>
        </w:rPr>
        <w:t>]</w:t>
      </w:r>
      <w:r>
        <w:rPr/>
        <w:t xml:space="preserve"> nicht meinen Mund überschreiten dürfte.</w:t>
      </w:r>
      <w:r>
        <w:rPr>
          <w:rStyle w:val="Funotenanker"/>
        </w:rPr>
        <w:footnoteReference w:customMarkFollows="1" w:id="797"/>
        <w:t>j</w:t>
      </w:r>
      <w:r>
        <w:rPr/>
        <w:t xml:space="preserve"> </w:t>
        <w:br/>
        <w:br/>
        <w:t xml:space="preserve">{{field-off:bible}} </w:t>
        <w:br/>
        <w:t>[[@BibleTOBIBLE:Ps 17:4]]</w:t>
      </w:r>
      <w:r>
        <w:rPr>
          <w:b/>
        </w:rPr>
        <w:t>4</w:t>
      </w:r>
      <w:r>
        <w:rPr/>
        <w:t xml:space="preserve"> {{field-on:bible}} </w:t>
        <w:br/>
        <w:t xml:space="preserve">Was die Taten </w:t>
      </w:r>
      <w:r>
        <w:rPr>
          <w:color w:val="808080"/>
        </w:rPr>
        <w:t>(das Tun)</w:t>
      </w:r>
      <w:r>
        <w:rPr/>
        <w:t xml:space="preserve"> des Menschen gegen das Wort deiner Lippen angeht:</w:t>
      </w:r>
      <w:r>
        <w:rPr>
          <w:rStyle w:val="Funotenanker"/>
        </w:rPr>
        <w:footnoteReference w:customMarkFollows="1" w:id="798"/>
        <w:t>k</w:t>
      </w:r>
      <w:r>
        <w:rPr/>
        <w:t xml:space="preserve">''Ich'' habe geachtet die Wege des Gebots </w:t>
      </w:r>
      <w:r>
        <w:rPr>
          <w:color w:val="808080"/>
        </w:rPr>
        <w:t>(Gewalttätigen)</w:t>
      </w:r>
      <w:r>
        <w:rPr/>
        <w:t>,</w:t>
      </w:r>
      <w:r>
        <w:rPr>
          <w:rStyle w:val="Funotenanker"/>
        </w:rPr>
        <w:footnoteReference w:customMarkFollows="1" w:id="799"/>
        <w:t>l</w:t>
      </w:r>
      <w:r>
        <w:rPr/>
        <w:t xml:space="preserve"> </w:t>
        <w:br/>
        <w:t xml:space="preserve">{{field-off:bible}} </w:t>
        <w:br/>
        <w:t>[[@BibleTOBIBLE:Ps 17:5]]</w:t>
      </w:r>
      <w:r>
        <w:rPr>
          <w:b/>
        </w:rPr>
        <w:t>5</w:t>
      </w:r>
      <w:r>
        <w:rPr/>
        <w:t xml:space="preserve"> {{field-on:bible}} </w:t>
        <w:br/>
        <w:t>Es hielten meine Schritte sich in deinen SpurenNicht wankten meine Tritte.</w:t>
      </w:r>
      <w:r>
        <w:rPr>
          <w:rStyle w:val="Funotenanker"/>
        </w:rPr>
        <w:footnoteReference w:customMarkFollows="1" w:id="800"/>
        <w:t>m</w:t>
      </w:r>
      <w:r>
        <w:rPr/>
        <w:t xml:space="preserve"> </w:t>
        <w:br/>
        <w:br/>
        <w:t xml:space="preserve">{{field-off:bible}} </w:t>
        <w:br/>
        <w:t>[[@BibleTOBIBLE:Ps 17:6]]</w:t>
      </w:r>
      <w:r>
        <w:rPr>
          <w:b/>
        </w:rPr>
        <w:t>6</w:t>
      </w:r>
      <w:r>
        <w:rPr/>
        <w:t xml:space="preserve"> {{field-on:bible}} </w:t>
        <w:br/>
        <w:t xml:space="preserve">Ich rufe zu dir, damit du mich erhörst </w:t>
      </w:r>
      <w:r>
        <w:rPr>
          <w:color w:val="808080"/>
        </w:rPr>
        <w:t>(denn du wirst mich erhören)</w:t>
      </w:r>
      <w:r>
        <w:rPr/>
        <w:t xml:space="preserve">, Gott!Neige dein Ohr </w:t>
      </w:r>
      <w:r>
        <w:rPr>
          <w:color w:val="808080"/>
        </w:rPr>
        <w:t>(dein Lauscher)</w:t>
      </w:r>
      <w:r>
        <w:rPr/>
        <w:t xml:space="preserve"> zu mir, höre meine Rede!</w:t>
        <w:br/>
        <w:br/>
        <w:t xml:space="preserve">{{field-off:bible}} </w:t>
        <w:br/>
        <w:t>[[@BibleTOBIBLE:Ps 17:7]]</w:t>
      </w:r>
      <w:r>
        <w:rPr>
          <w:b/>
        </w:rPr>
        <w:t>7</w:t>
      </w:r>
      <w:r>
        <w:rPr/>
        <w:t xml:space="preserve"> {{field-on:bible}} </w:t>
        <w:br/>
        <w:t xml:space="preserve">Wirke wunderbar </w:t>
      </w:r>
      <w:r>
        <w:rPr>
          <w:color w:val="808080"/>
        </w:rPr>
        <w:t>(erweise)</w:t>
      </w:r>
      <w:r>
        <w:rPr/>
        <w:t xml:space="preserve"> </w:t>
      </w:r>
      <w:r>
        <w:rPr>
          <w:rStyle w:val="Funotenanker"/>
        </w:rPr>
        <w:footnoteReference w:customMarkFollows="1" w:id="801"/>
        <w:t>n</w:t>
      </w:r>
      <w:r>
        <w:rPr/>
        <w:t xml:space="preserve"> deine Huld, </w:t>
      </w:r>
      <w:r>
        <w:rPr>
          <w:b/>
          <w:color w:val="808080"/>
        </w:rPr>
        <w:t>[</w:t>
      </w:r>
      <w:r>
        <w:rPr/>
        <w:t>oh</w:t>
      </w:r>
      <w:r>
        <w:rPr>
          <w:b/>
          <w:color w:val="808080"/>
        </w:rPr>
        <w:t>]</w:t>
      </w:r>
      <w:r>
        <w:rPr/>
        <w:t xml:space="preserve"> Retter </w:t>
      </w:r>
      <w:r>
        <w:rPr>
          <w:color w:val="808080"/>
        </w:rPr>
        <w:t>(Heiland)</w:t>
      </w:r>
      <w:r>
        <w:rPr/>
        <w:t xml:space="preserve"> der sich </w:t>
      </w:r>
      <w:r>
        <w:rPr>
          <w:color w:val="808080"/>
        </w:rPr>
        <w:t>(</w:t>
      </w:r>
      <w:r>
        <w:rPr>
          <w:b/>
          <w:color w:val="808080"/>
        </w:rPr>
        <w:t>[</w:t>
      </w:r>
      <w:r>
        <w:rPr>
          <w:color w:val="808080"/>
        </w:rPr>
        <w:t>zu dir</w:t>
      </w:r>
      <w:r>
        <w:rPr>
          <w:b/>
          <w:color w:val="808080"/>
        </w:rPr>
        <w:t>]</w:t>
      </w:r>
      <w:r>
        <w:rPr>
          <w:color w:val="808080"/>
        </w:rPr>
        <w:t>)</w:t>
      </w:r>
      <w:r>
        <w:rPr/>
        <w:t xml:space="preserve"> </w:t>
      </w:r>
      <w:r>
        <w:rPr>
          <w:rStyle w:val="Funotenanker"/>
        </w:rPr>
        <w:footnoteReference w:customMarkFollows="1" w:id="802"/>
        <w:t>o</w:t>
      </w:r>
      <w:r>
        <w:rPr/>
        <w:t xml:space="preserve"> Flüchtenden </w:t>
      </w:r>
      <w:r>
        <w:rPr>
          <w:color w:val="808080"/>
        </w:rPr>
        <w:t>(der (</w:t>
      </w:r>
      <w:r>
        <w:rPr>
          <w:b/>
          <w:color w:val="808080"/>
        </w:rPr>
        <w:t>[</w:t>
      </w:r>
      <w:r>
        <w:rPr>
          <w:color w:val="808080"/>
        </w:rPr>
        <w:t>auf dich</w:t>
      </w:r>
      <w:r>
        <w:rPr>
          <w:b/>
          <w:color w:val="808080"/>
        </w:rPr>
        <w:t>]</w:t>
      </w:r>
      <w:r>
        <w:rPr>
          <w:color w:val="808080"/>
        </w:rPr>
        <w:t>) Hoffenden)</w:t>
      </w:r>
      <w:r>
        <w:rPr/>
        <w:t>Vor sich Erhebenden wider deine rechte Hand!</w:t>
      </w:r>
      <w:r>
        <w:rPr>
          <w:rStyle w:val="Funotenanker"/>
        </w:rPr>
        <w:footnoteReference w:customMarkFollows="1" w:id="803"/>
        <w:t>p</w:t>
      </w:r>
      <w:r>
        <w:rPr/>
        <w:t xml:space="preserve"> </w:t>
        <w:br/>
        <w:t xml:space="preserve">{{field-off:bible}} </w:t>
        <w:br/>
        <w:t>[[@BibleTOBIBLE:Ps 17:8]]</w:t>
      </w:r>
      <w:r>
        <w:rPr>
          <w:b/>
        </w:rPr>
        <w:t>8</w:t>
      </w:r>
      <w:r>
        <w:rPr/>
        <w:t xml:space="preserve"> {{field-on:bible}} </w:t>
        <w:br/>
        <w:t xml:space="preserve">Behüte mich wie ein Augenmännlein </w:t>
      </w:r>
      <w:r>
        <w:rPr>
          <w:color w:val="808080"/>
        </w:rPr>
        <w:t>(die Pupille)</w:t>
      </w:r>
      <w:r>
        <w:rPr/>
        <w:t xml:space="preserve"> des Augenmädchens </w:t>
      </w:r>
      <w:r>
        <w:rPr>
          <w:color w:val="808080"/>
        </w:rPr>
        <w:t>(, die Pupille)</w:t>
      </w:r>
      <w:r>
        <w:rPr/>
        <w:t>,</w:t>
      </w:r>
      <w:r>
        <w:rPr>
          <w:rStyle w:val="Funotenanker"/>
        </w:rPr>
        <w:footnoteReference w:customMarkFollows="1" w:id="804"/>
        <w:t>q</w:t>
      </w:r>
      <w:r>
        <w:rPr/>
        <w:t>Im Schatten deiner Flügel birg mich</w:t>
      </w:r>
      <w:r>
        <w:rPr>
          <w:rStyle w:val="Funotenanker"/>
        </w:rPr>
        <w:footnoteReference w:customMarkFollows="1" w:id="805"/>
        <w:t>r</w:t>
      </w:r>
      <w:r>
        <w:rPr/>
        <w:t xml:space="preserve"> </w:t>
        <w:br/>
        <w:t xml:space="preserve">{{field-off:bible}} </w:t>
        <w:br/>
        <w:t>[[@BibleTOBIBLE:Ps 17:9]]</w:t>
      </w:r>
      <w:r>
        <w:rPr>
          <w:b/>
        </w:rPr>
        <w:t>9</w:t>
      </w:r>
      <w:r>
        <w:rPr/>
        <w:t xml:space="preserve"> {{field-on:bible}} </w:t>
        <w:br/>
        <w:t>Vor Frevlern, die mir Gewalt antun,</w:t>
      </w:r>
      <w:r>
        <w:rPr>
          <w:b/>
          <w:color w:val="808080"/>
        </w:rPr>
        <w:t>[</w:t>
      </w:r>
      <w:r>
        <w:rPr/>
        <w:t>Vor</w:t>
      </w:r>
      <w:r>
        <w:rPr>
          <w:b/>
          <w:color w:val="808080"/>
        </w:rPr>
        <w:t>]</w:t>
      </w:r>
      <w:r>
        <w:rPr/>
        <w:t xml:space="preserve"> meinen Feinden, die gierig </w:t>
      </w:r>
      <w:r>
        <w:rPr>
          <w:color w:val="808080"/>
        </w:rPr>
        <w:t>(vor meinen Todfeinden, die?)</w:t>
      </w:r>
      <w:r>
        <w:rPr/>
        <w:t xml:space="preserve"> mich umzingeln </w:t>
      </w:r>
      <w:r>
        <w:rPr>
          <w:strike/>
          <w:color w:val="808080"/>
        </w:rPr>
        <w:t>{wollen}</w:t>
      </w:r>
      <w:r>
        <w:rPr/>
        <w:t>!</w:t>
      </w:r>
      <w:r>
        <w:rPr>
          <w:rStyle w:val="Funotenanker"/>
        </w:rPr>
        <w:footnoteReference w:customMarkFollows="1" w:id="806"/>
        <w:t>s</w:t>
      </w:r>
      <w:r>
        <w:rPr/>
        <w:t xml:space="preserve"> </w:t>
        <w:br/>
        <w:br/>
        <w:t xml:space="preserve">{{field-off:bible}} </w:t>
        <w:br/>
        <w:t>[[@BibleTOBIBLE:Ps 17:10]]</w:t>
      </w:r>
      <w:r>
        <w:rPr>
          <w:b/>
        </w:rPr>
        <w:t>10</w:t>
      </w:r>
      <w:r>
        <w:rPr/>
        <w:t xml:space="preserve"> {{field-on:bible}} </w:t>
        <w:br/>
      </w:r>
      <w:r>
        <w:rPr>
          <w:b/>
          <w:color w:val="808080"/>
        </w:rPr>
        <w:t>[</w:t>
      </w:r>
      <w:r>
        <w:rPr/>
        <w:t>Mit</w:t>
      </w:r>
      <w:r>
        <w:rPr>
          <w:b/>
          <w:color w:val="808080"/>
        </w:rPr>
        <w:t>]</w:t>
      </w:r>
      <w:r>
        <w:rPr/>
        <w:t xml:space="preserve"> Fett verschließen sie </w:t>
      </w:r>
      <w:r>
        <w:rPr>
          <w:b/>
          <w:color w:val="808080"/>
        </w:rPr>
        <w:t>[</w:t>
      </w:r>
      <w:r>
        <w:rPr/>
        <w:t>ihr Herz</w:t>
      </w:r>
      <w:r>
        <w:rPr>
          <w:b/>
          <w:color w:val="808080"/>
        </w:rPr>
        <w:t>]</w:t>
      </w:r>
      <w:r>
        <w:rPr/>
        <w:t>,</w:t>
      </w:r>
      <w:r>
        <w:rPr>
          <w:rStyle w:val="Funotenanker"/>
        </w:rPr>
        <w:footnoteReference w:customMarkFollows="1" w:id="807"/>
        <w:t>t</w:t>
      </w:r>
      <w:r>
        <w:rPr/>
        <w:t xml:space="preserve"> </w:t>
      </w:r>
      <w:r>
        <w:rPr>
          <w:b/>
          <w:color w:val="808080"/>
        </w:rPr>
        <w:t>[</w:t>
      </w:r>
      <w:r>
        <w:rPr/>
        <w:t>Mit</w:t>
      </w:r>
      <w:r>
        <w:rPr>
          <w:b/>
          <w:color w:val="808080"/>
        </w:rPr>
        <w:t>]</w:t>
      </w:r>
      <w:r>
        <w:rPr/>
        <w:t xml:space="preserve"> ihrem Mund</w:t>
      </w:r>
      <w:r>
        <w:rPr>
          <w:rStyle w:val="Funotenanker"/>
        </w:rPr>
        <w:footnoteReference w:customMarkFollows="1" w:id="808"/>
        <w:t>u</w:t>
      </w:r>
      <w:r>
        <w:rPr/>
        <w:t xml:space="preserve"> reden sie stolz.</w:t>
        <w:br/>
        <w:t xml:space="preserve">{{field-off:bible}} </w:t>
        <w:br/>
        <w:t>[[@BibleTOBIBLE:Ps 17:11]]</w:t>
      </w:r>
      <w:r>
        <w:rPr>
          <w:b/>
        </w:rPr>
        <w:t>11</w:t>
      </w:r>
      <w:r>
        <w:rPr/>
        <w:t xml:space="preserve"> {{field-on:bible}} </w:t>
        <w:br/>
        <w:t xml:space="preserve">Sie verfolgen mich </w:t>
      </w:r>
      <w:r>
        <w:rPr>
          <w:color w:val="808080"/>
        </w:rPr>
        <w:t>(unsere Schritte, sie warfen mich hinaus, sie tadelten mich)</w:t>
      </w:r>
      <w:r>
        <w:rPr/>
        <w:t>,</w:t>
      </w:r>
      <w:r>
        <w:rPr>
          <w:rStyle w:val="Funotenanker"/>
        </w:rPr>
        <w:footnoteReference w:customMarkFollows="1" w:id="809"/>
        <w:t>v</w:t>
      </w:r>
      <w:r>
        <w:rPr/>
        <w:t xml:space="preserve"> jetzt umgeben sie mich,Ihre Augen setzen sie </w:t>
      </w:r>
      <w:r>
        <w:rPr>
          <w:b/>
          <w:color w:val="808080"/>
        </w:rPr>
        <w:t>[</w:t>
      </w:r>
      <w:r>
        <w:rPr/>
        <w:t>darauf</w:t>
      </w:r>
      <w:r>
        <w:rPr>
          <w:b/>
          <w:color w:val="808080"/>
        </w:rPr>
        <w:t>]</w:t>
      </w:r>
      <w:r>
        <w:rPr/>
        <w:t xml:space="preserve">, </w:t>
      </w:r>
      <w:r>
        <w:rPr>
          <w:b/>
          <w:color w:val="808080"/>
        </w:rPr>
        <w:t>[</w:t>
      </w:r>
      <w:r>
        <w:rPr/>
        <w:t>mich</w:t>
      </w:r>
      <w:r>
        <w:rPr>
          <w:b/>
          <w:color w:val="808080"/>
        </w:rPr>
        <w:t>]</w:t>
      </w:r>
      <w:r>
        <w:rPr/>
        <w:t xml:space="preserve"> zur Erde niederzustrecken;</w:t>
        <w:br/>
        <w:t xml:space="preserve">{{field-off:bible}} </w:t>
        <w:br/>
        <w:t>[[@BibleTOBIBLE:Ps 17:12]]</w:t>
      </w:r>
      <w:r>
        <w:rPr>
          <w:b/>
        </w:rPr>
        <w:t>12</w:t>
      </w:r>
      <w:r>
        <w:rPr/>
        <w:t xml:space="preserve"> {{field-on:bible}} </w:t>
        <w:br/>
        <w:t xml:space="preserve">Sie sinnen gegen mich </w:t>
      </w:r>
      <w:r>
        <w:rPr>
          <w:color w:val="808080"/>
        </w:rPr>
        <w:t>(sein Aussehen ist wie das eines)</w:t>
      </w:r>
      <w:r>
        <w:rPr/>
        <w:t xml:space="preserve"> </w:t>
      </w:r>
      <w:r>
        <w:rPr>
          <w:rStyle w:val="Funotenanker"/>
        </w:rPr>
        <w:footnoteReference w:customMarkFollows="1" w:id="810"/>
        <w:t>w</w:t>
      </w:r>
      <w:r>
        <w:rPr/>
        <w:t xml:space="preserve"> wie ein Löwe, </w:t>
      </w:r>
      <w:r>
        <w:rPr>
          <w:b/>
          <w:color w:val="808080"/>
        </w:rPr>
        <w:t>[</w:t>
      </w:r>
      <w:r>
        <w:rPr/>
        <w:t>der</w:t>
      </w:r>
      <w:r>
        <w:rPr>
          <w:b/>
          <w:color w:val="808080"/>
        </w:rPr>
        <w:t>]</w:t>
      </w:r>
      <w:r>
        <w:rPr/>
        <w:t xml:space="preserve"> zu reißen giert,Ein Junglöwe, </w:t>
      </w:r>
      <w:r>
        <w:rPr>
          <w:b/>
          <w:color w:val="808080"/>
        </w:rPr>
        <w:t>[</w:t>
      </w:r>
      <w:r>
        <w:rPr/>
        <w:t>der</w:t>
      </w:r>
      <w:r>
        <w:rPr>
          <w:b/>
          <w:color w:val="808080"/>
        </w:rPr>
        <w:t>]</w:t>
      </w:r>
      <w:r>
        <w:rPr/>
        <w:t xml:space="preserve"> im Versteck sitzt </w:t>
      </w:r>
      <w:r>
        <w:rPr>
          <w:color w:val="808080"/>
        </w:rPr>
        <w:t>(auf der Lauer liegt)</w:t>
      </w:r>
      <w:r>
        <w:rPr/>
        <w:t xml:space="preserve">! </w:t>
      </w:r>
      <w:r>
        <w:rPr>
          <w:position w:val="8"/>
          <w:sz w:val="19"/>
        </w:rPr>
        <w:t>[[ ℘ &gt;&gt; BibleTOBIBLE:Ps 10:8]]</w:t>
      </w:r>
      <w:r>
        <w:rPr/>
        <w:t xml:space="preserve"> </w:t>
        <w:br/>
        <w:br/>
        <w:t xml:space="preserve">{{field-off:bible}} </w:t>
        <w:br/>
        <w:t>[[@BibleTOBIBLE:Ps 17:13]]</w:t>
      </w:r>
      <w:r>
        <w:rPr>
          <w:b/>
        </w:rPr>
        <w:t>13</w:t>
      </w:r>
      <w:r>
        <w:rPr/>
        <w:t xml:space="preserve"> {{field-on:bible}} </w:t>
        <w:br/>
        <w:t xml:space="preserve">Erhebe dich, </w:t>
      </w:r>
      <w:r>
        <w:rPr>
          <w:smallCaps/>
          <w:color w:val="FF0000"/>
        </w:rPr>
        <w:t>JHWH</w:t>
      </w:r>
      <w:r>
        <w:rPr/>
        <w:t xml:space="preserve">, tritt ihm </w:t>
      </w:r>
      <w:r>
        <w:rPr>
          <w:color w:val="808080"/>
        </w:rPr>
        <w:t>(seinem Gesicht)</w:t>
      </w:r>
      <w:r>
        <w:rPr/>
        <w:t xml:space="preserve"> entgegen,Rette </w:t>
      </w:r>
      <w:r>
        <w:rPr>
          <w:color w:val="808080"/>
        </w:rPr>
        <w:t>(befreie)</w:t>
      </w:r>
      <w:r>
        <w:rPr/>
        <w:t xml:space="preserve"> meine Seele </w:t>
      </w:r>
      <w:r>
        <w:rPr>
          <w:color w:val="808080"/>
        </w:rPr>
        <w:t>(mich)</w:t>
      </w:r>
      <w:r>
        <w:rPr/>
        <w:t xml:space="preserve"> vor dem Frevler!</w:t>
        <w:br/>
        <w:t xml:space="preserve">Dein Schwert </w:t>
      </w:r>
      <w:r>
        <w:rPr>
          <w:b/>
          <w:color w:val="808080"/>
        </w:rPr>
        <w:t>[</w:t>
      </w:r>
      <w:r>
        <w:rPr/>
        <w:t>sei</w:t>
      </w:r>
      <w:r>
        <w:rPr>
          <w:b/>
          <w:color w:val="808080"/>
        </w:rPr>
        <w:t>]</w:t>
      </w:r>
      <w:r>
        <w:rPr/>
        <w:t xml:space="preserve"> </w:t>
        <w:br/>
        <w:t xml:space="preserve">{{field-off:bible}} </w:t>
        <w:br/>
        <w:t>[[@BibleTOBIBLE:Ps 17:14]]</w:t>
      </w:r>
      <w:r>
        <w:rPr>
          <w:b/>
        </w:rPr>
        <w:t>14</w:t>
      </w:r>
      <w:r>
        <w:rPr/>
        <w:t xml:space="preserve"> {{field-on:bible}} </w:t>
        <w:br/>
        <w:t xml:space="preserve">von den Toten </w:t>
      </w:r>
      <w:r>
        <w:rPr>
          <w:color w:val="808080"/>
        </w:rPr>
        <w:t>(Männern)</w:t>
      </w:r>
      <w:r>
        <w:rPr/>
        <w:t>,</w:t>
      </w:r>
      <w:r>
        <w:rPr>
          <w:rStyle w:val="Funotenanker"/>
        </w:rPr>
        <w:footnoteReference w:customMarkFollows="1" w:id="811"/>
        <w:t>x</w:t>
      </w:r>
      <w:r>
        <w:rPr/>
        <w:t xml:space="preserve">Deine Hand, </w:t>
      </w:r>
      <w:r>
        <w:rPr>
          <w:smallCaps/>
          <w:color w:val="FF0000"/>
        </w:rPr>
        <w:t>JHWH</w:t>
      </w:r>
      <w:r>
        <w:rPr/>
        <w:t xml:space="preserve">, </w:t>
      </w:r>
      <w:r>
        <w:rPr>
          <w:b/>
          <w:color w:val="808080"/>
        </w:rPr>
        <w:t>[</w:t>
      </w:r>
      <w:r>
        <w:rPr/>
        <w:t>sei</w:t>
      </w:r>
      <w:r>
        <w:rPr>
          <w:b/>
          <w:color w:val="808080"/>
        </w:rPr>
        <w:t>]</w:t>
      </w:r>
      <w:r>
        <w:rPr/>
        <w:t xml:space="preserve"> von den Toten</w:t>
      </w:r>
      <w:r>
        <w:rPr>
          <w:color w:val="808080"/>
        </w:rPr>
        <w:t>(Männern)</w:t>
      </w:r>
      <w:r>
        <w:rPr/>
        <w:t xml:space="preserve">, </w:t>
      </w:r>
      <w:r>
        <w:rPr>
          <w:b/>
          <w:color w:val="808080"/>
        </w:rPr>
        <w:t>[</w:t>
      </w:r>
      <w:r>
        <w:rPr/>
        <w:t>die</w:t>
      </w:r>
      <w:r>
        <w:rPr>
          <w:b/>
          <w:color w:val="808080"/>
        </w:rPr>
        <w:t>]</w:t>
      </w:r>
      <w:r>
        <w:rPr/>
        <w:t xml:space="preserve"> ohne Dauer </w:t>
      </w:r>
      <w:r>
        <w:rPr>
          <w:color w:val="808080"/>
        </w:rPr>
        <w:t>(Welt)</w:t>
      </w:r>
      <w:r>
        <w:rPr/>
        <w:t xml:space="preserve"> </w:t>
      </w:r>
      <w:r>
        <w:rPr>
          <w:b/>
          <w:color w:val="808080"/>
        </w:rPr>
        <w:t>[</w:t>
      </w:r>
      <w:r>
        <w:rPr/>
        <w:t>waren</w:t>
      </w:r>
      <w:r>
        <w:rPr>
          <w:b/>
          <w:color w:val="808080"/>
        </w:rPr>
        <w:t>]</w:t>
      </w:r>
      <w:r>
        <w:rPr/>
        <w:t>,Ihr Teil</w:t>
      </w:r>
      <w:r>
        <w:rPr>
          <w:rStyle w:val="Funotenanker"/>
        </w:rPr>
        <w:footnoteReference w:customMarkFollows="1" w:id="812"/>
        <w:t>y</w:t>
      </w:r>
      <w:r>
        <w:rPr/>
        <w:t xml:space="preserve"> im Leben!</w:t>
        <w:br/>
      </w:r>
      <w:r>
        <w:rPr>
          <w:b/>
          <w:color w:val="808080"/>
        </w:rPr>
        <w:t>[</w:t>
      </w:r>
      <w:r>
        <w:rPr/>
        <w:t>Mit</w:t>
      </w:r>
      <w:r>
        <w:rPr>
          <w:b/>
          <w:color w:val="808080"/>
        </w:rPr>
        <w:t>]</w:t>
      </w:r>
      <w:r>
        <w:rPr/>
        <w:t xml:space="preserve"> deinem Aufgesparten</w:t>
      </w:r>
      <w:r>
        <w:rPr>
          <w:rStyle w:val="Funotenanker"/>
        </w:rPr>
        <w:footnoteReference w:customMarkFollows="1" w:id="813"/>
        <w:t>z</w:t>
      </w:r>
      <w:r>
        <w:rPr/>
        <w:t xml:space="preserve"> fülle ihren MagenSättigen sollen sich </w:t>
      </w:r>
      <w:r>
        <w:rPr>
          <w:b/>
          <w:color w:val="808080"/>
        </w:rPr>
        <w:t>[</w:t>
      </w:r>
      <w:r>
        <w:rPr/>
        <w:t>auch</w:t>
      </w:r>
      <w:r>
        <w:rPr>
          <w:b/>
          <w:color w:val="808080"/>
        </w:rPr>
        <w:t>]</w:t>
      </w:r>
      <w:r>
        <w:rPr/>
        <w:t xml:space="preserve"> ihre Kinder,Und diese </w:t>
      </w:r>
      <w:r>
        <w:rPr>
          <w:color w:val="808080"/>
        </w:rPr>
        <w:t>(ja, sie)</w:t>
      </w:r>
      <w:r>
        <w:rPr/>
        <w:t xml:space="preserve"> sollen überlassen ihren Rest ihren Säuglingen!</w:t>
        <w:br/>
        <w:t xml:space="preserve">{{field-off:bible}} </w:t>
        <w:br/>
        <w:t>[[@BibleTOBIBLE:Ps 17:15]]</w:t>
      </w:r>
      <w:r>
        <w:rPr>
          <w:b/>
        </w:rPr>
        <w:t>15</w:t>
      </w:r>
      <w:r>
        <w:rPr/>
        <w:t xml:space="preserve"> {{field-on:bible}} </w:t>
        <w:br/>
        <w:t xml:space="preserve">''Ich'' </w:t>
      </w:r>
      <w:r>
        <w:rPr>
          <w:b/>
          <w:color w:val="808080"/>
        </w:rPr>
        <w:t>[</w:t>
      </w:r>
      <w:r>
        <w:rPr/>
        <w:t>aber</w:t>
      </w:r>
      <w:r>
        <w:rPr>
          <w:b/>
          <w:color w:val="808080"/>
        </w:rPr>
        <w:t>]</w:t>
      </w:r>
      <w:r>
        <w:rPr/>
        <w:t xml:space="preserve"> will </w:t>
      </w:r>
      <w:r>
        <w:rPr>
          <w:color w:val="808080"/>
        </w:rPr>
        <w:t>(werde)</w:t>
      </w:r>
      <w:r>
        <w:rPr/>
        <w:t xml:space="preserve"> als Gerechter </w:t>
      </w:r>
      <w:r>
        <w:rPr>
          <w:color w:val="808080"/>
        </w:rPr>
        <w:t>(Gerechtfertigter, in/durch Gerechtigkeit</w:t>
      </w:r>
      <w:r>
        <w:rPr/>
        <w:t xml:space="preserve"> </w:t>
      </w:r>
      <w:r>
        <w:rPr>
          <w:rStyle w:val="Funotenanker"/>
        </w:rPr>
        <w:footnoteReference w:customMarkFollows="1" w:id="814"/>
        <w:t>aa</w:t>
      </w:r>
      <w:r>
        <w:rPr/>
        <w:t xml:space="preserve"> </w:t>
      </w:r>
      <w:r>
        <w:rPr>
          <w:color w:val="808080"/>
        </w:rPr>
        <w:t>)</w:t>
      </w:r>
      <w:r>
        <w:rPr/>
        <w:t xml:space="preserve"> dein Gesicht schauen,Will mich sättigen beim Aufwachen</w:t>
      </w:r>
      <w:r>
        <w:rPr>
          <w:rStyle w:val="Funotenanker"/>
        </w:rPr>
        <w:footnoteReference w:customMarkFollows="1" w:id="815"/>
        <w:t>ab</w:t>
      </w:r>
      <w:r>
        <w:rPr/>
        <w:t xml:space="preserve"> an deinem Bild.</w:t>
      </w:r>
      <w:r>
        <w:rPr>
          <w:rStyle w:val="Funotenanker"/>
        </w:rPr>
        <w:footnoteReference w:customMarkFollows="1" w:id="816"/>
        <w:t>ac</w:t>
      </w:r>
      <w:r>
        <w:rPr/>
        <w:t xml:space="preserve"> </w:t>
        <w:br/>
        <w:t xml:space="preserve">{{field-off:bible}} </w:t>
      </w:r>
    </w:p>
    <w:p>
      <w:pPr>
        <w:pStyle w:val="Berschrift3"/>
        <w:rPr/>
      </w:pPr>
      <w:r>
        <w:rPr/>
        <w:t>[[@BibleTOBIBLE:Ps 18]]Kapitel 18</w:t>
      </w:r>
    </w:p>
    <w:p>
      <w:pPr>
        <w:pStyle w:val="Textkrper"/>
        <w:rPr/>
      </w:pPr>
      <w:r>
        <w:rPr/>
        <w:br/>
        <w:t>[[@BibleTOBIBLE:Ps 18:1]]</w:t>
      </w:r>
      <w:r>
        <w:rPr>
          <w:b/>
        </w:rPr>
        <w:t>1</w:t>
      </w:r>
      <w:r>
        <w:rPr/>
        <w:t xml:space="preserve"> {{field-on:bible}} </w:t>
      </w:r>
      <w:r>
        <w:rPr>
          <w:rStyle w:val="Funotenanker"/>
        </w:rPr>
        <w:footnoteReference w:customMarkFollows="1" w:id="817"/>
        <w:t>Status</w:t>
      </w:r>
      <w:r>
        <w:rPr/>
        <w:t xml:space="preserve"> ''Für den Chorleiter. Vom Diener </w:t>
      </w:r>
      <w:r>
        <w:rPr>
          <w:smallCaps/>
          <w:color w:val="FF0000"/>
        </w:rPr>
        <w:t>JHWH</w:t>
      </w:r>
      <w:r>
        <w:rPr/>
        <w:t>s, von David, welcher sprach zu JHWH die Worte dieses Lieds am Tag, als JHWH ihn rettete aus der Handfläche all seiner Feinde und aus der Hand</w:t>
      </w:r>
      <w:r>
        <w:rPr>
          <w:rStyle w:val="Funotenanker"/>
        </w:rPr>
        <w:footnoteReference w:customMarkFollows="1" w:id="818"/>
        <w:t>a</w:t>
      </w:r>
      <w:r>
        <w:rPr/>
        <w:t xml:space="preserve"> Sauls.''{{field-off:bible}} </w:t>
        <w:br/>
        <w:t>[[@BibleTOBIBLE:Ps 18:2]]</w:t>
      </w:r>
      <w:r>
        <w:rPr>
          <w:b/>
        </w:rPr>
        <w:t>2</w:t>
      </w:r>
      <w:r>
        <w:rPr/>
        <w:t xml:space="preserve"> {{field-on:bible}}''Und er sagte:'' </w:t>
        <w:br/>
        <w:t xml:space="preserve">„Ich will dich lieben, </w:t>
      </w:r>
      <w:r>
        <w:rPr>
          <w:smallCaps/>
          <w:color w:val="FF0000"/>
        </w:rPr>
        <w:t>JHWH</w:t>
      </w:r>
      <w:r>
        <w:rPr/>
        <w:t>, meine Stärke!</w:t>
        <w:br/>
        <w:t xml:space="preserve">{{field-off:bible}} </w:t>
        <w:br/>
        <w:t>[[@BibleTOBIBLE:Ps 18:3]]</w:t>
      </w:r>
      <w:r>
        <w:rPr>
          <w:b/>
        </w:rPr>
        <w:t>3</w:t>
      </w:r>
      <w:r>
        <w:rPr/>
        <w:t xml:space="preserve"> {{field-on:bible}} </w:t>
        <w:br/>
      </w:r>
      <w:r>
        <w:rPr>
          <w:smallCaps/>
          <w:color w:val="FF0000"/>
        </w:rPr>
        <w:t>JHWH</w:t>
      </w:r>
      <w:r>
        <w:rPr/>
        <w:t xml:space="preserve"> </w:t>
      </w:r>
      <w:r>
        <w:rPr>
          <w:b/>
          <w:color w:val="808080"/>
        </w:rPr>
        <w:t>[</w:t>
      </w:r>
      <w:r>
        <w:rPr/>
        <w:t>ist</w:t>
      </w:r>
      <w:r>
        <w:rPr>
          <w:b/>
          <w:color w:val="808080"/>
        </w:rPr>
        <w:t>]</w:t>
      </w:r>
      <w:r>
        <w:rPr/>
        <w:t xml:space="preserve"> mein Fels und meine Burg und mein Retter,Mein Gott </w:t>
      </w:r>
      <w:r>
        <w:rPr>
          <w:b/>
          <w:color w:val="808080"/>
        </w:rPr>
        <w:t>[</w:t>
      </w:r>
      <w:r>
        <w:rPr/>
        <w:t>ist</w:t>
      </w:r>
      <w:r>
        <w:rPr>
          <w:b/>
          <w:color w:val="808080"/>
        </w:rPr>
        <w:t>]</w:t>
      </w:r>
      <w:r>
        <w:rPr/>
        <w:t xml:space="preserve"> </w:t>
      </w:r>
      <w:r>
        <w:rPr>
          <w:color w:val="808080"/>
        </w:rPr>
        <w:t>(,)</w:t>
      </w:r>
      <w:r>
        <w:rPr/>
        <w:t xml:space="preserve"> mein Berg, zu dem ich fliehe </w:t>
      </w:r>
      <w:r>
        <w:rPr>
          <w:color w:val="808080"/>
        </w:rPr>
        <w:t>(auf den ich vertraue)</w:t>
      </w:r>
      <w:r>
        <w:rPr/>
        <w:t xml:space="preserve">,Mein Schild, das Horn meiner Rettung, meine Klippe </w:t>
      </w:r>
      <w:r>
        <w:rPr>
          <w:color w:val="808080"/>
        </w:rPr>
        <w:t>(Festung)</w:t>
      </w:r>
      <w:r>
        <w:rPr/>
        <w:t>!</w:t>
        <w:br/>
        <w:t xml:space="preserve">{{field-off:bible}} </w:t>
        <w:br/>
        <w:t>[[@BibleTOBIBLE:Ps 18:4]]</w:t>
      </w:r>
      <w:r>
        <w:rPr>
          <w:b/>
        </w:rPr>
        <w:t>4</w:t>
      </w:r>
      <w:r>
        <w:rPr/>
        <w:t xml:space="preserve"> {{field-on:bible}} </w:t>
        <w:br/>
        <w:t xml:space="preserve">Als Lobenswerten will ich anrufen </w:t>
      </w:r>
      <w:r>
        <w:rPr>
          <w:smallCaps/>
          <w:color w:val="FF0000"/>
        </w:rPr>
        <w:t>JHWH</w:t>
      </w:r>
      <w:r>
        <w:rPr/>
        <w:t xml:space="preserve">Und von meinen Feinden will </w:t>
      </w:r>
      <w:r>
        <w:rPr>
          <w:color w:val="808080"/>
        </w:rPr>
        <w:t>(werde)</w:t>
      </w:r>
      <w:r>
        <w:rPr/>
        <w:t xml:space="preserve"> ich gerettet werden.</w:t>
        <w:br/>
        <w:br/>
        <w:t xml:space="preserve">{{field-off:bible}} </w:t>
        <w:br/>
        <w:t>[[@BibleTOBIBLE:Ps 18:5]]</w:t>
      </w:r>
      <w:r>
        <w:rPr>
          <w:b/>
        </w:rPr>
        <w:t>5</w:t>
      </w:r>
      <w:r>
        <w:rPr/>
        <w:t xml:space="preserve"> {{field-on:bible}} </w:t>
        <w:br/>
        <w:t>Es umgaben mich Wogen des Todes,Die Flüsse Belias werden mich erschrecken!</w:t>
      </w:r>
      <w:r>
        <w:rPr>
          <w:rStyle w:val="Funotenanker"/>
        </w:rPr>
        <w:footnoteReference w:customMarkFollows="1" w:id="819"/>
        <w:t>b</w:t>
      </w:r>
      <w:r>
        <w:rPr/>
        <w:t xml:space="preserve"> </w:t>
        <w:br/>
        <w:t xml:space="preserve">{{field-off:bible}} </w:t>
        <w:br/>
        <w:t>[[@BibleTOBIBLE:Ps 18:6]]</w:t>
      </w:r>
      <w:r>
        <w:rPr>
          <w:b/>
        </w:rPr>
        <w:t>6</w:t>
      </w:r>
      <w:r>
        <w:rPr/>
        <w:t xml:space="preserve"> {{field-on:bible}} </w:t>
        <w:br/>
        <w:t>Die Stricke des Scheol</w:t>
      </w:r>
      <w:r>
        <w:rPr>
          <w:rStyle w:val="Funotenanker"/>
        </w:rPr>
        <w:footnoteReference w:customMarkFollows="1" w:id="820"/>
        <w:t>c</w:t>
      </w:r>
      <w:r>
        <w:rPr/>
        <w:t xml:space="preserve"> umfingen mich, Es ereilten mich die Schlingen des Todes.</w:t>
        <w:br/>
        <w:t xml:space="preserve">{{field-off:bible}} </w:t>
        <w:br/>
        <w:t>[[@BibleTOBIBLE:Ps 18:7]]</w:t>
      </w:r>
      <w:r>
        <w:rPr>
          <w:b/>
        </w:rPr>
        <w:t>7</w:t>
      </w:r>
      <w:r>
        <w:rPr/>
        <w:t xml:space="preserve"> {{field-on:bible}} </w:t>
        <w:br/>
      </w:r>
      <w:r>
        <w:rPr>
          <w:b/>
          <w:color w:val="808080"/>
        </w:rPr>
        <w:t>[</w:t>
      </w:r>
      <w:r>
        <w:rPr/>
        <w:t>Ich sprach:</w:t>
      </w:r>
      <w:r>
        <w:rPr>
          <w:b/>
          <w:color w:val="808080"/>
        </w:rPr>
        <w:t>]</w:t>
      </w:r>
      <w:r>
        <w:rPr/>
        <w:t xml:space="preserve"> »In meiner Not will ich anrufen </w:t>
      </w:r>
      <w:r>
        <w:rPr>
          <w:smallCaps/>
          <w:color w:val="FF0000"/>
        </w:rPr>
        <w:t>JHWH</w:t>
      </w:r>
      <w:r>
        <w:rPr/>
        <w:t>Und zu meinem Gott will ich schreien.</w:t>
        <w:br/>
        <w:t>Er soll hören in seinem Tempel meine StimmeUnd mein Schreien soll kommen in seinem Ohr!«</w:t>
        <w:br/>
        <w:br/>
        <w:t xml:space="preserve">{{field-off:bible}} </w:t>
        <w:br/>
        <w:t>[[@BibleTOBIBLE:Ps 18:8]]</w:t>
      </w:r>
      <w:r>
        <w:rPr>
          <w:b/>
        </w:rPr>
        <w:t>8</w:t>
      </w:r>
      <w:r>
        <w:rPr/>
        <w:t xml:space="preserve"> {{field-on:bible}} </w:t>
        <w:br/>
        <w:t>Da wankte und schwankte die ErdeUnd die Pfeiler der Berge</w:t>
      </w:r>
      <w:r>
        <w:rPr>
          <w:rStyle w:val="Funotenanker"/>
        </w:rPr>
        <w:footnoteReference w:customMarkFollows="1" w:id="821"/>
        <w:t>d</w:t>
      </w:r>
      <w:r>
        <w:rPr/>
        <w:t xml:space="preserve"> bebten und wanktenDenn es loderte in ihm.</w:t>
        <w:br/>
        <w:t xml:space="preserve">{{field-off:bible}} </w:t>
        <w:br/>
        <w:t>[[@BibleTOBIBLE:Ps 18:9]]</w:t>
      </w:r>
      <w:r>
        <w:rPr>
          <w:b/>
        </w:rPr>
        <w:t>9</w:t>
      </w:r>
      <w:r>
        <w:rPr/>
        <w:t xml:space="preserve"> {{field-on:bible}} </w:t>
        <w:br/>
        <w:t xml:space="preserve">Es stieg Rauch aus seiner NaseUnd Feuer fraß aus seinem Mund;Kohlen brannten aus ihm hervor </w:t>
      </w:r>
      <w:r>
        <w:rPr>
          <w:color w:val="808080"/>
        </w:rPr>
        <w:t>(entbrannten durch es)</w:t>
      </w:r>
      <w:r>
        <w:rPr/>
        <w:t>.</w:t>
        <w:br/>
        <w:t xml:space="preserve">{{field-off:bible}} </w:t>
        <w:br/>
        <w:t>[[@BibleTOBIBLE:Ps 18:10]]</w:t>
      </w:r>
      <w:r>
        <w:rPr>
          <w:b/>
        </w:rPr>
        <w:t>10</w:t>
      </w:r>
      <w:r>
        <w:rPr/>
        <w:t xml:space="preserve"> {{field-on:bible}} </w:t>
        <w:br/>
        <w:t xml:space="preserve">Und er öffnete </w:t>
      </w:r>
      <w:r>
        <w:rPr>
          <w:color w:val="808080"/>
        </w:rPr>
        <w:t>(neigte)</w:t>
      </w:r>
      <w:r>
        <w:rPr/>
        <w:t xml:space="preserve"> den Himmel</w:t>
      </w:r>
      <w:r>
        <w:rPr>
          <w:rStyle w:val="Funotenanker"/>
        </w:rPr>
        <w:footnoteReference w:customMarkFollows="1" w:id="822"/>
        <w:t>e</w:t>
      </w:r>
      <w:r>
        <w:rPr/>
        <w:t xml:space="preserve"> und stieg herabUnd eine Wolke </w:t>
      </w:r>
      <w:r>
        <w:rPr>
          <w:color w:val="808080"/>
        </w:rPr>
        <w:t>(Dunkelheit)</w:t>
      </w:r>
      <w:r>
        <w:rPr/>
        <w:t xml:space="preserve"> </w:t>
      </w:r>
      <w:r>
        <w:rPr>
          <w:b/>
          <w:color w:val="808080"/>
        </w:rPr>
        <w:t>[</w:t>
      </w:r>
      <w:r>
        <w:rPr/>
        <w:t>war</w:t>
      </w:r>
      <w:r>
        <w:rPr>
          <w:b/>
          <w:color w:val="808080"/>
        </w:rPr>
        <w:t>]</w:t>
      </w:r>
      <w:r>
        <w:rPr/>
        <w:t xml:space="preserve"> unter seinen Füßen.</w:t>
        <w:br/>
        <w:t xml:space="preserve">{{field-off:bible}} </w:t>
        <w:br/>
        <w:t>[[@BibleTOBIBLE:Ps 18:11]]</w:t>
      </w:r>
      <w:r>
        <w:rPr>
          <w:b/>
        </w:rPr>
        <w:t>11</w:t>
      </w:r>
      <w:r>
        <w:rPr/>
        <w:t xml:space="preserve"> {{field-on:bible}} </w:t>
        <w:br/>
        <w:t>Und er ritt auf einem Kerub</w:t>
      </w:r>
      <w:r>
        <w:rPr>
          <w:rStyle w:val="Funotenanker"/>
        </w:rPr>
        <w:footnoteReference w:customMarkFollows="1" w:id="823"/>
        <w:t>f</w:t>
      </w:r>
      <w:r>
        <w:rPr/>
        <w:t xml:space="preserve"> und flogUnd schoß herab auf den Flügeln des Windes.</w:t>
        <w:br/>
        <w:br/>
        <w:t xml:space="preserve">{{field-off:bible}} </w:t>
        <w:br/>
        <w:t>[[@BibleTOBIBLE:Ps 18:12]]</w:t>
      </w:r>
      <w:r>
        <w:rPr>
          <w:b/>
        </w:rPr>
        <w:t>12</w:t>
      </w:r>
      <w:r>
        <w:rPr/>
        <w:t xml:space="preserve"> {{field-on:bible}} </w:t>
        <w:br/>
        <w:t xml:space="preserve">Und er setzte Dunkelheit als seine Bedeckung um sich,Seine Hütte </w:t>
      </w:r>
      <w:r>
        <w:rPr>
          <w:b/>
          <w:color w:val="808080"/>
        </w:rPr>
        <w:t>[</w:t>
      </w:r>
      <w:r>
        <w:rPr/>
        <w:t>waren aus</w:t>
      </w:r>
      <w:r>
        <w:rPr>
          <w:b/>
          <w:color w:val="808080"/>
        </w:rPr>
        <w:t>]</w:t>
      </w:r>
      <w:r>
        <w:rPr/>
        <w:t xml:space="preserve"> Massen von Wassern in den Wolken des Himmels.</w:t>
        <w:br/>
        <w:t xml:space="preserve">{{field-off:bible}} </w:t>
        <w:br/>
        <w:t>[[@BibleTOBIBLE:Ps 18:13]]</w:t>
      </w:r>
      <w:r>
        <w:rPr>
          <w:b/>
        </w:rPr>
        <w:t>13</w:t>
      </w:r>
      <w:r>
        <w:rPr/>
        <w:t xml:space="preserve"> {{field-on:bible}} </w:t>
        <w:br/>
        <w:t>Aus dem Glanz vor ihm gingen ausHagel und Kohlen von Feuer.</w:t>
        <w:br/>
        <w:t xml:space="preserve">{{field-off:bible}} </w:t>
        <w:br/>
        <w:t>[[@BibleTOBIBLE:Ps 18:14]]</w:t>
      </w:r>
      <w:r>
        <w:rPr>
          <w:b/>
        </w:rPr>
        <w:t>14</w:t>
      </w:r>
      <w:r>
        <w:rPr/>
        <w:t xml:space="preserve"> {{field-on:bible}} </w:t>
        <w:br/>
        <w:t xml:space="preserve">Und es donnerte aus dem Himmel </w:t>
      </w:r>
      <w:r>
        <w:rPr>
          <w:smallCaps/>
          <w:color w:val="FF0000"/>
        </w:rPr>
        <w:t>JHWH</w:t>
      </w:r>
      <w:r>
        <w:rPr/>
        <w:t xml:space="preserve"> Und Eljon wird geben</w:t>
      </w:r>
      <w:r>
        <w:rPr>
          <w:rStyle w:val="Funotenanker"/>
        </w:rPr>
        <w:footnoteReference w:customMarkFollows="1" w:id="824"/>
        <w:t>g</w:t>
      </w:r>
      <w:r>
        <w:rPr/>
        <w:t xml:space="preserve"> seine Stimme.</w:t>
        <w:br/>
        <w:t xml:space="preserve">{{field-off:bible}} </w:t>
        <w:br/>
        <w:t>[[@BibleTOBIBLE:Ps 18:15]]</w:t>
      </w:r>
      <w:r>
        <w:rPr>
          <w:b/>
        </w:rPr>
        <w:t>15</w:t>
      </w:r>
      <w:r>
        <w:rPr/>
        <w:t xml:space="preserve"> {{field-on:bible}} </w:t>
        <w:br/>
        <w:t>Und er warf seine Pfeile und zerstreute diese,Einen Blitz schoß er und verwirrte er.</w:t>
      </w:r>
      <w:r>
        <w:rPr>
          <w:rStyle w:val="Funotenanker"/>
        </w:rPr>
        <w:footnoteReference w:customMarkFollows="1" w:id="825"/>
        <w:t>h</w:t>
      </w:r>
      <w:r>
        <w:rPr/>
        <w:t xml:space="preserve"> </w:t>
        <w:br/>
        <w:t xml:space="preserve">{{field-off:bible}} </w:t>
        <w:br/>
        <w:t>[[@BibleTOBIBLE:Ps 18:16]]</w:t>
      </w:r>
      <w:r>
        <w:rPr>
          <w:b/>
        </w:rPr>
        <w:t>16</w:t>
      </w:r>
      <w:r>
        <w:rPr/>
        <w:t xml:space="preserve"> {{field-on:bible}} </w:t>
        <w:br/>
        <w:t>Und es wurden gesehen die Betten der Wasser,Es werden bloßgelegt werden</w:t>
      </w:r>
      <w:r>
        <w:rPr>
          <w:rStyle w:val="Funotenanker"/>
        </w:rPr>
        <w:footnoteReference w:customMarkFollows="1" w:id="826"/>
        <w:t>i</w:t>
      </w:r>
      <w:r>
        <w:rPr/>
        <w:t xml:space="preserve"> die Fundamente der Erde.</w:t>
      </w:r>
      <w:r>
        <w:rPr>
          <w:rStyle w:val="Funotenanker"/>
        </w:rPr>
        <w:footnoteReference w:customMarkFollows="1" w:id="827"/>
        <w:t>j</w:t>
      </w:r>
      <w:r>
        <w:rPr/>
        <w:t xml:space="preserve"> </w:t>
        <w:br/>
        <w:t xml:space="preserve">Durch dein Schelten, </w:t>
      </w:r>
      <w:r>
        <w:rPr>
          <w:smallCaps/>
          <w:color w:val="FF0000"/>
        </w:rPr>
        <w:t>JHWH</w:t>
      </w:r>
      <w:r>
        <w:rPr/>
        <w:t>,Durch das Schnauben des Windes deiner Nase.</w:t>
        <w:br/>
        <w:br/>
        <w:t xml:space="preserve">{{field-off:bible}} </w:t>
        <w:br/>
        <w:t>[[@BibleTOBIBLE:Ps 18:17]]</w:t>
      </w:r>
      <w:r>
        <w:rPr>
          <w:b/>
        </w:rPr>
        <w:t>17</w:t>
      </w:r>
      <w:r>
        <w:rPr/>
        <w:t xml:space="preserve"> {{field-on:bible}} </w:t>
        <w:br/>
      </w:r>
      <w:r>
        <w:rPr>
          <w:b/>
          <w:color w:val="808080"/>
        </w:rPr>
        <w:t>[</w:t>
      </w:r>
      <w:r>
        <w:rPr/>
        <w:t>Ich sprach:</w:t>
      </w:r>
      <w:r>
        <w:rPr>
          <w:b/>
          <w:color w:val="808080"/>
        </w:rPr>
        <w:t>]</w:t>
      </w:r>
      <w:r>
        <w:rPr/>
        <w:t xml:space="preserve"> »Er möge </w:t>
      </w:r>
      <w:r>
        <w:rPr>
          <w:color w:val="808080"/>
        </w:rPr>
        <w:t>(wird)</w:t>
      </w:r>
      <w:r>
        <w:rPr/>
        <w:t xml:space="preserve"> senden aus der Höhe,</w:t>
      </w:r>
      <w:r>
        <w:rPr>
          <w:rStyle w:val="Funotenanker"/>
        </w:rPr>
        <w:footnoteReference w:customMarkFollows="1" w:id="828"/>
        <w:t>k</w:t>
      </w:r>
      <w:r>
        <w:rPr/>
        <w:t xml:space="preserve"> mich ergreifen,Mich herausziehen aus vielen Wassern,</w:t>
      </w:r>
      <w:r>
        <w:rPr>
          <w:rStyle w:val="Funotenanker"/>
        </w:rPr>
        <w:footnoteReference w:customMarkFollows="1" w:id="829"/>
        <w:t>l</w:t>
      </w:r>
      <w:r>
        <w:rPr/>
        <w:t xml:space="preserve"> </w:t>
        <w:br/>
        <w:t xml:space="preserve">{{field-off:bible}} </w:t>
        <w:br/>
        <w:t>[[@BibleTOBIBLE:Ps 18:18]]</w:t>
      </w:r>
      <w:r>
        <w:rPr>
          <w:b/>
        </w:rPr>
        <w:t>18</w:t>
      </w:r>
      <w:r>
        <w:rPr/>
        <w:t xml:space="preserve"> {{field-on:bible}} </w:t>
        <w:br/>
        <w:t>Es möge mich retten vor meinem Feind der Starke Und vor meinen Hassern, weil sie kräftiger sind als ich!</w:t>
        <w:br/>
        <w:t xml:space="preserve">{{field-off:bible}} </w:t>
        <w:br/>
        <w:t>[[@BibleTOBIBLE:Ps 18:19]]</w:t>
      </w:r>
      <w:r>
        <w:rPr>
          <w:b/>
        </w:rPr>
        <w:t>19</w:t>
      </w:r>
      <w:r>
        <w:rPr/>
        <w:t xml:space="preserve"> {{field-on:bible}} </w:t>
        <w:br/>
        <w:t>Sie werden mir entgegentreten am Tag meines Unglücks!«</w:t>
        <w:br/>
        <w:t xml:space="preserve">Da wurde </w:t>
      </w:r>
      <w:r>
        <w:rPr>
          <w:smallCaps/>
          <w:color w:val="FF0000"/>
        </w:rPr>
        <w:t>JHWH</w:t>
      </w:r>
      <w:r>
        <w:rPr/>
        <w:t xml:space="preserve"> zu meiner Stütze:</w:t>
        <w:br/>
        <w:t xml:space="preserve">{{field-off:bible}} </w:t>
        <w:br/>
        <w:t>[[@BibleTOBIBLE:Ps 18:20]]</w:t>
      </w:r>
      <w:r>
        <w:rPr>
          <w:b/>
        </w:rPr>
        <w:t>20</w:t>
      </w:r>
      <w:r>
        <w:rPr/>
        <w:t xml:space="preserve"> {{field-on:bible}} </w:t>
        <w:br/>
        <w:t>Er führte mich ins Weite.</w:t>
        <w:br/>
        <w:br/>
      </w:r>
      <w:r>
        <w:rPr>
          <w:b/>
          <w:color w:val="808080"/>
        </w:rPr>
        <w:t>[</w:t>
      </w:r>
      <w:r>
        <w:rPr/>
        <w:t>Ich wusste:</w:t>
      </w:r>
      <w:r>
        <w:rPr>
          <w:b/>
          <w:color w:val="808080"/>
        </w:rPr>
        <w:t>]</w:t>
      </w:r>
      <w:r>
        <w:rPr/>
        <w:t xml:space="preserve"> »Er wird mich retten, weil er Gefallen hat an mir:</w:t>
        <w:br/>
        <w:t xml:space="preserve">{{field-off:bible}} </w:t>
        <w:br/>
        <w:t>[[@BibleTOBIBLE:Ps 18:21]]</w:t>
      </w:r>
      <w:r>
        <w:rPr>
          <w:b/>
        </w:rPr>
        <w:t>21</w:t>
      </w:r>
      <w:r>
        <w:rPr/>
        <w:t xml:space="preserve"> {{field-on:bible}} </w:t>
        <w:br/>
        <w:t xml:space="preserve">Es wird mich belohnen </w:t>
      </w:r>
      <w:r>
        <w:rPr>
          <w:smallCaps/>
          <w:color w:val="FF0000"/>
        </w:rPr>
        <w:t>JHWH</w:t>
      </w:r>
      <w:r>
        <w:rPr/>
        <w:t xml:space="preserve"> entsprechend meiner Gerechtigkeit,Entsprechend der Reinheit meiner Hände wird er mir zurückgeben,</w:t>
        <w:br/>
        <w:t xml:space="preserve">{{field-off:bible}} </w:t>
        <w:br/>
        <w:t>[[@BibleTOBIBLE:Ps 18:22]]</w:t>
      </w:r>
      <w:r>
        <w:rPr>
          <w:b/>
        </w:rPr>
        <w:t>22</w:t>
      </w:r>
      <w:r>
        <w:rPr/>
        <w:t xml:space="preserve"> {{field-on:bible}} </w:t>
        <w:br/>
        <w:t xml:space="preserve">Denn ich wahrte die Wege </w:t>
      </w:r>
      <w:r>
        <w:rPr>
          <w:smallCaps/>
          <w:color w:val="FF0000"/>
        </w:rPr>
        <w:t>JHWH</w:t>
      </w:r>
      <w:r>
        <w:rPr/>
        <w:t>sUnd handelte nicht böse von</w:t>
      </w:r>
      <w:r>
        <w:rPr>
          <w:rStyle w:val="Funotenanker"/>
        </w:rPr>
        <w:footnoteReference w:customMarkFollows="1" w:id="830"/>
        <w:t>m</w:t>
      </w:r>
      <w:r>
        <w:rPr/>
        <w:t xml:space="preserve"> meinem Gott,</w:t>
        <w:br/>
        <w:t xml:space="preserve">{{field-off:bible}} </w:t>
        <w:br/>
        <w:t>[[@BibleTOBIBLE:Ps 18:23]]</w:t>
      </w:r>
      <w:r>
        <w:rPr>
          <w:b/>
        </w:rPr>
        <w:t>23</w:t>
      </w:r>
      <w:r>
        <w:rPr/>
        <w:t xml:space="preserve"> {{field-on:bible}} </w:t>
        <w:br/>
        <w:t xml:space="preserve">Denn all seine Gesetze </w:t>
      </w:r>
      <w:r>
        <w:rPr>
          <w:b/>
          <w:color w:val="808080"/>
        </w:rPr>
        <w:t>[</w:t>
      </w:r>
      <w:r>
        <w:rPr/>
        <w:t>waren</w:t>
      </w:r>
      <w:r>
        <w:rPr>
          <w:b/>
          <w:color w:val="808080"/>
        </w:rPr>
        <w:t>]</w:t>
      </w:r>
      <w:r>
        <w:rPr/>
        <w:t xml:space="preserve"> vor mir</w:t>
      </w:r>
      <w:r>
        <w:rPr>
          <w:rStyle w:val="Funotenanker"/>
        </w:rPr>
        <w:footnoteReference w:customMarkFollows="1" w:id="831"/>
        <w:t>n</w:t>
      </w:r>
      <w:r>
        <w:rPr/>
        <w:t>Und seine Satzungen werde ich nicht von mir stoßen</w:t>
        <w:br/>
        <w:t xml:space="preserve">{{field-off:bible}} </w:t>
        <w:br/>
        <w:t>[[@BibleTOBIBLE:Ps 18:24]]</w:t>
      </w:r>
      <w:r>
        <w:rPr>
          <w:b/>
        </w:rPr>
        <w:t>24</w:t>
      </w:r>
      <w:r>
        <w:rPr/>
        <w:t xml:space="preserve"> {{field-on:bible}} </w:t>
        <w:br/>
        <w:t>Und ich verhielt mich gegen ihn perfektUnd ich hütete mich vor meinen Fehlern.</w:t>
        <w:br/>
        <w:t xml:space="preserve">{{field-off:bible}} </w:t>
        <w:br/>
        <w:t>[[@BibleTOBIBLE:Ps 18:25]]</w:t>
      </w:r>
      <w:r>
        <w:rPr>
          <w:b/>
        </w:rPr>
        <w:t>25</w:t>
      </w:r>
      <w:r>
        <w:rPr/>
        <w:t xml:space="preserve"> {{field-on:bible}} </w:t>
        <w:br/>
        <w:t xml:space="preserve">Und es gab </w:t>
      </w:r>
      <w:r>
        <w:rPr>
          <w:smallCaps/>
          <w:color w:val="FF0000"/>
        </w:rPr>
        <w:t>JHWH</w:t>
      </w:r>
      <w:r>
        <w:rPr/>
        <w:t xml:space="preserve"> mir zurück entsprechend meiner Gerechtigkeit,Entsprechend meiner Reinheit vor seinen Augen.«</w:t>
        <w:br/>
        <w:br/>
        <w:t xml:space="preserve">{{field-off:bible}} </w:t>
        <w:br/>
        <w:t>[[@BibleTOBIBLE:Ps 18:26]]</w:t>
      </w:r>
      <w:r>
        <w:rPr>
          <w:b/>
        </w:rPr>
        <w:t>26</w:t>
      </w:r>
      <w:r>
        <w:rPr/>
        <w:t xml:space="preserve"> {{field-on:bible}} </w:t>
        <w:br/>
      </w:r>
      <w:r>
        <w:rPr>
          <w:b/>
          <w:color w:val="808080"/>
        </w:rPr>
        <w:t>[</w:t>
      </w:r>
      <w:r>
        <w:rPr/>
        <w:t>Dem</w:t>
      </w:r>
      <w:r>
        <w:rPr>
          <w:b/>
          <w:color w:val="808080"/>
        </w:rPr>
        <w:t>]</w:t>
      </w:r>
      <w:r>
        <w:rPr/>
        <w:t xml:space="preserve"> Bundestreuen gegenüber wirst du dich bundestreu erweisen,Und </w:t>
      </w:r>
      <w:r>
        <w:rPr>
          <w:b/>
          <w:color w:val="808080"/>
        </w:rPr>
        <w:t>[</w:t>
      </w:r>
      <w:r>
        <w:rPr/>
        <w:t>dem</w:t>
      </w:r>
      <w:r>
        <w:rPr>
          <w:b/>
          <w:color w:val="808080"/>
        </w:rPr>
        <w:t>]</w:t>
      </w:r>
      <w:r>
        <w:rPr/>
        <w:t xml:space="preserve"> perfekten Mann gegenüber wirst du dich perfekt erweisen,</w:t>
        <w:br/>
        <w:t xml:space="preserve">{{field-off:bible}} </w:t>
        <w:br/>
        <w:t>[[@BibleTOBIBLE:Ps 18:27]]</w:t>
      </w:r>
      <w:r>
        <w:rPr>
          <w:b/>
        </w:rPr>
        <w:t>27</w:t>
      </w:r>
      <w:r>
        <w:rPr/>
        <w:t xml:space="preserve"> {{field-on:bible}} </w:t>
        <w:br/>
      </w:r>
      <w:r>
        <w:rPr>
          <w:b/>
          <w:color w:val="808080"/>
        </w:rPr>
        <w:t>[</w:t>
      </w:r>
      <w:r>
        <w:rPr/>
        <w:t>Dem</w:t>
      </w:r>
      <w:r>
        <w:rPr>
          <w:b/>
          <w:color w:val="808080"/>
        </w:rPr>
        <w:t>]</w:t>
      </w:r>
      <w:r>
        <w:rPr/>
        <w:t xml:space="preserve"> Reinen gegenüber wirst du dich rein erweisen,Dem Falschen gegenüber wirst du dich verkehrt erweisen.</w:t>
        <w:br/>
        <w:t xml:space="preserve">{{field-off:bible}} </w:t>
        <w:br/>
        <w:t>[[@BibleTOBIBLE:Ps 18:28]]</w:t>
      </w:r>
      <w:r>
        <w:rPr>
          <w:b/>
        </w:rPr>
        <w:t>28</w:t>
      </w:r>
      <w:r>
        <w:rPr/>
        <w:t xml:space="preserve"> {{field-on:bible}} </w:t>
        <w:br/>
        <w:t>Du rettest das arme Volk,Doch die Augen Hochmütiger beugst du nieder.</w:t>
        <w:br/>
        <w:t xml:space="preserve">{{field-off:bible}} </w:t>
        <w:br/>
        <w:t>[[@BibleTOBIBLE:Ps 18:29]]</w:t>
      </w:r>
      <w:r>
        <w:rPr>
          <w:b/>
        </w:rPr>
        <w:t>29</w:t>
      </w:r>
      <w:r>
        <w:rPr/>
        <w:t xml:space="preserve"> {{field-on:bible}} </w:t>
        <w:br/>
        <w:t xml:space="preserve">Ja, du bist meine Lampe, </w:t>
      </w:r>
      <w:r>
        <w:rPr>
          <w:smallCaps/>
          <w:color w:val="FF0000"/>
        </w:rPr>
        <w:t>JHWH</w:t>
      </w:r>
      <w:r>
        <w:rPr/>
        <w:t>,Mein Gott wird erhellen meine Dunkelheit.</w:t>
        <w:br/>
        <w:t xml:space="preserve">{{field-off:bible}} </w:t>
        <w:br/>
        <w:t>[[@BibleTOBIBLE:Ps 18:30]]</w:t>
      </w:r>
      <w:r>
        <w:rPr>
          <w:b/>
        </w:rPr>
        <w:t>30</w:t>
      </w:r>
      <w:r>
        <w:rPr/>
        <w:t xml:space="preserve"> {{field-on:bible}} </w:t>
        <w:br/>
        <w:t xml:space="preserve">Ja, mit dir werde </w:t>
      </w:r>
      <w:r>
        <w:rPr>
          <w:color w:val="808080"/>
        </w:rPr>
        <w:t>(kann)</w:t>
      </w:r>
      <w:r>
        <w:rPr/>
        <w:t xml:space="preserve"> ich überrennen </w:t>
      </w:r>
      <w:r>
        <w:rPr>
          <w:color w:val="808080"/>
        </w:rPr>
        <w:t>(zerschmettern)</w:t>
      </w:r>
      <w:r>
        <w:rPr/>
        <w:t xml:space="preserve"> eine TruppeUnd mit meinem Gott werde </w:t>
      </w:r>
      <w:r>
        <w:rPr>
          <w:color w:val="808080"/>
        </w:rPr>
        <w:t>(kann)</w:t>
      </w:r>
      <w:r>
        <w:rPr/>
        <w:t xml:space="preserve"> ich eine Mauer überspringen.</w:t>
        <w:br/>
        <w:br/>
        <w:t xml:space="preserve">{{field-off:bible}} </w:t>
        <w:br/>
        <w:t>[[@BibleTOBIBLE:Ps 18:31]]</w:t>
      </w:r>
      <w:r>
        <w:rPr>
          <w:b/>
        </w:rPr>
        <w:t>31</w:t>
      </w:r>
      <w:r>
        <w:rPr/>
        <w:t xml:space="preserve"> {{field-on:bible}} </w:t>
        <w:br/>
        <w:t xml:space="preserve">Gott - vollkommen </w:t>
      </w:r>
      <w:r>
        <w:rPr>
          <w:b/>
          <w:color w:val="808080"/>
        </w:rPr>
        <w:t>[</w:t>
      </w:r>
      <w:r>
        <w:rPr/>
        <w:t>ist</w:t>
      </w:r>
      <w:r>
        <w:rPr>
          <w:b/>
          <w:color w:val="808080"/>
        </w:rPr>
        <w:t>]</w:t>
      </w:r>
      <w:r>
        <w:rPr/>
        <w:t xml:space="preserve"> sein Weg. Das Wort </w:t>
      </w:r>
      <w:r>
        <w:rPr>
          <w:smallCaps/>
          <w:color w:val="FF0000"/>
        </w:rPr>
        <w:t>JHWH</w:t>
      </w:r>
      <w:r>
        <w:rPr/>
        <w:t xml:space="preserve">s ist erprobt, Ein Schild </w:t>
      </w:r>
      <w:r>
        <w:rPr>
          <w:b/>
          <w:color w:val="808080"/>
        </w:rPr>
        <w:t>[</w:t>
      </w:r>
      <w:r>
        <w:rPr/>
        <w:t>ist</w:t>
      </w:r>
      <w:r>
        <w:rPr>
          <w:b/>
          <w:color w:val="808080"/>
        </w:rPr>
        <w:t>]</w:t>
      </w:r>
      <w:r>
        <w:rPr/>
        <w:t xml:space="preserve"> er für alle, die auf ihn vertrauen </w:t>
      </w:r>
      <w:r>
        <w:rPr>
          <w:color w:val="808080"/>
        </w:rPr>
        <w:t>(die zu ihm flüchten)</w:t>
      </w:r>
      <w:r>
        <w:rPr/>
        <w:t>.</w:t>
        <w:br/>
        <w:t xml:space="preserve">{{field-off:bible}} </w:t>
        <w:br/>
        <w:t>[[@BibleTOBIBLE:Ps 18:32]]</w:t>
      </w:r>
      <w:r>
        <w:rPr>
          <w:b/>
        </w:rPr>
        <w:t>32</w:t>
      </w:r>
      <w:r>
        <w:rPr/>
        <w:t xml:space="preserve"> {{field-on:bible}} </w:t>
        <w:br/>
        <w:t xml:space="preserve">Ja, wer ist Gott außer </w:t>
      </w:r>
      <w:r>
        <w:rPr>
          <w:smallCaps/>
          <w:color w:val="FF0000"/>
        </w:rPr>
        <w:t>JHWH</w:t>
      </w:r>
      <w:r>
        <w:rPr/>
        <w:t>Und wer ein Berg außer unserem Gott –</w:t>
        <w:br/>
        <w:t xml:space="preserve">{{field-off:bible}} </w:t>
        <w:br/>
        <w:t>[[@BibleTOBIBLE:Ps 18:33]]</w:t>
      </w:r>
      <w:r>
        <w:rPr>
          <w:b/>
        </w:rPr>
        <w:t>33</w:t>
      </w:r>
      <w:r>
        <w:rPr/>
        <w:t xml:space="preserve"> {{field-on:bible}} </w:t>
        <w:br/>
        <w:t xml:space="preserve">Dem Gott, </w:t>
      </w:r>
      <w:r>
        <w:rPr>
          <w:b/>
          <w:color w:val="808080"/>
        </w:rPr>
        <w:t>[</w:t>
      </w:r>
      <w:r>
        <w:rPr/>
        <w:t>der</w:t>
      </w:r>
      <w:r>
        <w:rPr>
          <w:b/>
          <w:color w:val="808080"/>
        </w:rPr>
        <w:t>]</w:t>
      </w:r>
      <w:r>
        <w:rPr/>
        <w:t xml:space="preserve"> mich stärkt </w:t>
      </w:r>
      <w:r>
        <w:rPr>
          <w:b/>
          <w:color w:val="808080"/>
        </w:rPr>
        <w:t>[</w:t>
      </w:r>
      <w:r>
        <w:rPr/>
        <w:t>mit</w:t>
      </w:r>
      <w:r>
        <w:rPr>
          <w:b/>
          <w:color w:val="808080"/>
        </w:rPr>
        <w:t>]</w:t>
      </w:r>
      <w:r>
        <w:rPr/>
        <w:t xml:space="preserve"> KraftUnd der meinen Weg perfekt machte,</w:t>
        <w:br/>
        <w:t xml:space="preserve">{{field-off:bible}} </w:t>
        <w:br/>
        <w:t>[[@BibleTOBIBLE:Ps 18:34]]</w:t>
      </w:r>
      <w:r>
        <w:rPr>
          <w:b/>
        </w:rPr>
        <w:t>34</w:t>
      </w:r>
      <w:r>
        <w:rPr/>
        <w:t xml:space="preserve"> {{field-on:bible}} </w:t>
        <w:br/>
        <w:t>Der meinen Fuß einer Gazelle gleich machteUnd mich auf meine Höhen stellte,</w:t>
        <w:br/>
        <w:t xml:space="preserve">{{field-off:bible}} </w:t>
        <w:br/>
        <w:t>[[@BibleTOBIBLE:Ps 18:35]]</w:t>
      </w:r>
      <w:r>
        <w:rPr>
          <w:b/>
        </w:rPr>
        <w:t>35</w:t>
      </w:r>
      <w:r>
        <w:rPr/>
        <w:t xml:space="preserve"> {{field-on:bible}} </w:t>
        <w:br/>
        <w:t>Der meine Hände für den Kampf trainierte,Um zu stärken</w:t>
      </w:r>
      <w:r>
        <w:rPr>
          <w:rStyle w:val="Funotenanker"/>
        </w:rPr>
        <w:footnoteReference w:customMarkFollows="1" w:id="832"/>
        <w:t>o</w:t>
      </w:r>
      <w:r>
        <w:rPr/>
        <w:t xml:space="preserve"> </w:t>
      </w:r>
      <w:r>
        <w:rPr>
          <w:b/>
          <w:color w:val="808080"/>
        </w:rPr>
        <w:t>[</w:t>
      </w:r>
      <w:r>
        <w:rPr/>
        <w:t>wie</w:t>
      </w:r>
      <w:r>
        <w:rPr>
          <w:b/>
          <w:color w:val="808080"/>
        </w:rPr>
        <w:t>]</w:t>
      </w:r>
      <w:r>
        <w:rPr/>
        <w:t xml:space="preserve"> einen Kupferbogen meine Arme!?</w:t>
        <w:br/>
        <w:t xml:space="preserve">{{field-off:bible}} </w:t>
        <w:br/>
        <w:t>[[@BibleTOBIBLE:Ps 18:36]]</w:t>
      </w:r>
      <w:r>
        <w:rPr>
          <w:b/>
        </w:rPr>
        <w:t>36</w:t>
      </w:r>
      <w:r>
        <w:rPr/>
        <w:t xml:space="preserve"> {{field-on:bible}} </w:t>
        <w:br/>
        <w:t>Und du gabst mir den Schild der Rettung Und deine rechte Hand wird mich stützenUnd deine Erhörung wird mich vergrößern.</w:t>
        <w:br/>
        <w:t xml:space="preserve">{{field-off:bible}} </w:t>
        <w:br/>
        <w:t>[[@BibleTOBIBLE:Ps 18:37]]</w:t>
      </w:r>
      <w:r>
        <w:rPr>
          <w:b/>
        </w:rPr>
        <w:t>37</w:t>
      </w:r>
      <w:r>
        <w:rPr/>
        <w:t xml:space="preserve"> {{field-on:bible}} </w:t>
        <w:br/>
        <w:t>Du wirst weit machen meine Schritte unter mirUnd meine Knöchel wanken nicht.</w:t>
        <w:br/>
        <w:br/>
        <w:t xml:space="preserve">{{field-off:bible}} </w:t>
        <w:br/>
        <w:t>[[@BibleTOBIBLE:Ps 18:38]]</w:t>
      </w:r>
      <w:r>
        <w:rPr>
          <w:b/>
        </w:rPr>
        <w:t>38</w:t>
      </w:r>
      <w:r>
        <w:rPr/>
        <w:t xml:space="preserve"> {{field-on:bible}} </w:t>
        <w:br/>
        <w:t>Ich werde nachjagen meinen Feinden und sie erreichenUnd werde nicht umkehren, bis ich sie zerstört habe.</w:t>
        <w:br/>
        <w:t xml:space="preserve">{{field-off:bible}} </w:t>
        <w:br/>
        <w:t>[[@BibleTOBIBLE:Ps 18:39]]</w:t>
      </w:r>
      <w:r>
        <w:rPr>
          <w:b/>
        </w:rPr>
        <w:t>39</w:t>
      </w:r>
      <w:r>
        <w:rPr/>
        <w:t xml:space="preserve"> {{field-on:bible}} </w:t>
        <w:br/>
        <w:t>Ich werde sie zerschmettern und sie werden sich nicht erheben können,Sie werden unter meine Füße fallen!</w:t>
        <w:br/>
        <w:t xml:space="preserve">{{field-off:bible}} </w:t>
        <w:br/>
        <w:t>[[@BibleTOBIBLE:Ps 18:40]]</w:t>
      </w:r>
      <w:r>
        <w:rPr>
          <w:b/>
        </w:rPr>
        <w:t>40</w:t>
      </w:r>
      <w:r>
        <w:rPr/>
        <w:t xml:space="preserve"> {{field-on:bible}} </w:t>
        <w:br/>
        <w:t xml:space="preserve">Und du gürtetest mich mit Kraft für den Kampf,Du wirst beugen </w:t>
      </w:r>
      <w:r>
        <w:rPr>
          <w:b/>
          <w:color w:val="808080"/>
        </w:rPr>
        <w:t>[</w:t>
      </w:r>
      <w:r>
        <w:rPr/>
        <w:t>die</w:t>
      </w:r>
      <w:r>
        <w:rPr>
          <w:b/>
          <w:color w:val="808080"/>
        </w:rPr>
        <w:t>]</w:t>
      </w:r>
      <w:r>
        <w:rPr/>
        <w:t xml:space="preserve">, die sich </w:t>
      </w:r>
      <w:r>
        <w:rPr>
          <w:b/>
          <w:color w:val="808080"/>
        </w:rPr>
        <w:t>[</w:t>
      </w:r>
      <w:r>
        <w:rPr/>
        <w:t>gegen</w:t>
      </w:r>
      <w:r>
        <w:rPr>
          <w:b/>
          <w:color w:val="808080"/>
        </w:rPr>
        <w:t>]</w:t>
      </w:r>
      <w:r>
        <w:rPr/>
        <w:t xml:space="preserve"> mich erheben, unter mich!</w:t>
        <w:br/>
        <w:t xml:space="preserve">{{field-off:bible}} </w:t>
        <w:br/>
        <w:t>[[@BibleTOBIBLE:Ps 18:41]]</w:t>
      </w:r>
      <w:r>
        <w:rPr>
          <w:b/>
        </w:rPr>
        <w:t>41</w:t>
      </w:r>
      <w:r>
        <w:rPr/>
        <w:t xml:space="preserve"> {{field-on:bible}} </w:t>
        <w:br/>
        <w:t xml:space="preserve">Und meine Feinde – du gabst mir </w:t>
      </w:r>
      <w:r>
        <w:rPr>
          <w:b/>
          <w:color w:val="808080"/>
        </w:rPr>
        <w:t>[</w:t>
      </w:r>
      <w:r>
        <w:rPr/>
        <w:t>ihren</w:t>
      </w:r>
      <w:r>
        <w:rPr>
          <w:b/>
          <w:color w:val="808080"/>
        </w:rPr>
        <w:t>]</w:t>
      </w:r>
      <w:r>
        <w:rPr/>
        <w:t xml:space="preserve"> Rücken;</w:t>
      </w:r>
      <w:r>
        <w:rPr>
          <w:rStyle w:val="Funotenanker"/>
        </w:rPr>
        <w:footnoteReference w:customMarkFollows="1" w:id="833"/>
        <w:t>p</w:t>
      </w:r>
      <w:r>
        <w:rPr/>
        <w:t>Meine Hasser werde ich vernichten.</w:t>
        <w:br/>
        <w:t xml:space="preserve">{{field-off:bible}} </w:t>
        <w:br/>
        <w:t>[[@BibleTOBIBLE:Ps 18:42]]</w:t>
      </w:r>
      <w:r>
        <w:rPr>
          <w:b/>
        </w:rPr>
        <w:t>42</w:t>
      </w:r>
      <w:r>
        <w:rPr/>
        <w:t xml:space="preserve"> {{field-on:bible}} </w:t>
        <w:br/>
        <w:t xml:space="preserve">Sie werden schreien, doch es </w:t>
      </w:r>
      <w:r>
        <w:rPr>
          <w:b/>
          <w:color w:val="808080"/>
        </w:rPr>
        <w:t>[</w:t>
      </w:r>
      <w:r>
        <w:rPr/>
        <w:t>wird für sie</w:t>
      </w:r>
      <w:r>
        <w:rPr>
          <w:b/>
          <w:color w:val="808080"/>
        </w:rPr>
        <w:t>]</w:t>
      </w:r>
      <w:r>
        <w:rPr/>
        <w:t xml:space="preserve"> nicht geben einen Retter,Zu </w:t>
      </w:r>
      <w:r>
        <w:rPr>
          <w:smallCaps/>
          <w:color w:val="FF0000"/>
        </w:rPr>
        <w:t>JHWH</w:t>
      </w:r>
      <w:r>
        <w:rPr/>
        <w:t>,</w:t>
      </w:r>
      <w:r>
        <w:rPr>
          <w:rStyle w:val="Funotenanker"/>
        </w:rPr>
        <w:footnoteReference w:customMarkFollows="1" w:id="834"/>
        <w:t>q</w:t>
      </w:r>
      <w:r>
        <w:rPr/>
        <w:t xml:space="preserve"> aber er antwortete ihnen nicht.</w:t>
      </w:r>
      <w:r>
        <w:rPr>
          <w:rStyle w:val="Funotenanker"/>
        </w:rPr>
        <w:footnoteReference w:customMarkFollows="1" w:id="835"/>
        <w:t>r</w:t>
      </w:r>
      <w:r>
        <w:rPr/>
        <w:t xml:space="preserve"> </w:t>
        <w:br/>
        <w:t xml:space="preserve">{{field-off:bible}} </w:t>
        <w:br/>
        <w:t>[[@BibleTOBIBLE:Ps 18:43]]</w:t>
      </w:r>
      <w:r>
        <w:rPr>
          <w:b/>
        </w:rPr>
        <w:t>43</w:t>
      </w:r>
      <w:r>
        <w:rPr/>
        <w:t xml:space="preserve"> {{field-on:bible}} </w:t>
        <w:br/>
        <w:t xml:space="preserve">Ich werde sie zermalmen wie Staub auf dem </w:t>
      </w:r>
      <w:r>
        <w:rPr>
          <w:strike/>
          <w:color w:val="808080"/>
        </w:rPr>
        <w:t>{Gesicht des}</w:t>
      </w:r>
      <w:r>
        <w:rPr/>
        <w:t xml:space="preserve"> Weg</w:t>
      </w:r>
      <w:r>
        <w:rPr>
          <w:strike/>
          <w:color w:val="808080"/>
        </w:rPr>
        <w:t>{es}</w:t>
      </w:r>
      <w:r>
        <w:rPr/>
        <w:t xml:space="preserve">,Wie Kot </w:t>
      </w:r>
      <w:r>
        <w:rPr>
          <w:b/>
          <w:color w:val="808080"/>
        </w:rPr>
        <w:t>[</w:t>
      </w:r>
      <w:r>
        <w:rPr/>
        <w:t>auf</w:t>
      </w:r>
      <w:r>
        <w:rPr>
          <w:b/>
          <w:color w:val="808080"/>
        </w:rPr>
        <w:t>]</w:t>
      </w:r>
      <w:r>
        <w:rPr/>
        <w:t xml:space="preserve"> der Straße werde ich sie ausschütten!</w:t>
        <w:br/>
        <w:br/>
        <w:t xml:space="preserve">{{field-off:bible}} </w:t>
        <w:br/>
        <w:t>[[@BibleTOBIBLE:Ps 18:44]]</w:t>
      </w:r>
      <w:r>
        <w:rPr>
          <w:b/>
        </w:rPr>
        <w:t>44</w:t>
      </w:r>
      <w:r>
        <w:rPr/>
        <w:t xml:space="preserve"> {{field-on:bible}} </w:t>
        <w:br/>
        <w:t xml:space="preserve">Du wirst mich retten aus den Auseinandersetzungen des Volkes,Du wirst mich einsetzen als Haupt der Heiden,Ein Volk, </w:t>
      </w:r>
      <w:r>
        <w:rPr>
          <w:b/>
          <w:color w:val="808080"/>
        </w:rPr>
        <w:t>[</w:t>
      </w:r>
      <w:r>
        <w:rPr/>
        <w:t>das</w:t>
      </w:r>
      <w:r>
        <w:rPr>
          <w:b/>
          <w:color w:val="808080"/>
        </w:rPr>
        <w:t>]</w:t>
      </w:r>
      <w:r>
        <w:rPr/>
        <w:t xml:space="preserve"> ich nicht kenne </w:t>
      </w:r>
      <w:r>
        <w:rPr>
          <w:color w:val="808080"/>
        </w:rPr>
        <w:t>(kannte)</w:t>
      </w:r>
      <w:r>
        <w:rPr/>
        <w:t>, wird mir dienen.</w:t>
        <w:br/>
        <w:t xml:space="preserve">{{field-off:bible}} </w:t>
        <w:br/>
        <w:t>[[@BibleTOBIBLE:Ps 18:45]]</w:t>
      </w:r>
      <w:r>
        <w:rPr>
          <w:b/>
        </w:rPr>
        <w:t>45</w:t>
      </w:r>
      <w:r>
        <w:rPr/>
        <w:t xml:space="preserve"> {{field-on:bible}} </w:t>
        <w:br/>
        <w:t xml:space="preserve">Auf Gehörtes des Ohrs </w:t>
      </w:r>
      <w:r>
        <w:rPr>
          <w:b/>
          <w:color w:val="808080"/>
        </w:rPr>
        <w:t>[</w:t>
      </w:r>
      <w:r>
        <w:rPr/>
        <w:t>hin</w:t>
      </w:r>
      <w:r>
        <w:rPr>
          <w:b/>
          <w:color w:val="808080"/>
        </w:rPr>
        <w:t>]</w:t>
      </w:r>
      <w:r>
        <w:rPr/>
        <w:t xml:space="preserve"> werden sie auf mich hören,</w:t>
      </w:r>
      <w:r>
        <w:rPr>
          <w:strike/>
          <w:color w:val="808080"/>
        </w:rPr>
        <w:t>{Kinder von }</w:t>
      </w:r>
      <w:r>
        <w:rPr/>
        <w:t>Ausländer</w:t>
      </w:r>
      <w:r>
        <w:rPr>
          <w:strike/>
          <w:color w:val="808080"/>
        </w:rPr>
        <w:t>{n}</w:t>
      </w:r>
      <w:r>
        <w:rPr/>
        <w:t xml:space="preserve"> werden mir </w:t>
      </w:r>
      <w:r>
        <w:rPr>
          <w:b/>
          <w:color w:val="808080"/>
        </w:rPr>
        <w:t>[</w:t>
      </w:r>
      <w:r>
        <w:rPr/>
        <w:t>Ergebung</w:t>
      </w:r>
      <w:r>
        <w:rPr>
          <w:b/>
          <w:color w:val="808080"/>
        </w:rPr>
        <w:t>]</w:t>
      </w:r>
      <w:r>
        <w:rPr/>
        <w:t xml:space="preserve"> heucheln </w:t>
      </w:r>
      <w:r>
        <w:rPr>
          <w:color w:val="808080"/>
        </w:rPr>
        <w:t>(mir schmeicheln)</w:t>
      </w:r>
      <w:r>
        <w:rPr/>
        <w:t>,</w:t>
        <w:br/>
        <w:t xml:space="preserve">{{field-off:bible}} </w:t>
        <w:br/>
        <w:t>[[@BibleTOBIBLE:Ps 18:46]]</w:t>
      </w:r>
      <w:r>
        <w:rPr>
          <w:b/>
        </w:rPr>
        <w:t>46</w:t>
      </w:r>
      <w:r>
        <w:rPr/>
        <w:t xml:space="preserve"> {{field-on:bible}} </w:t>
        <w:br/>
      </w:r>
      <w:r>
        <w:rPr>
          <w:strike/>
          <w:color w:val="808080"/>
        </w:rPr>
        <w:t>{Kinder von }</w:t>
      </w:r>
      <w:r>
        <w:rPr/>
        <w:t>Ausländer</w:t>
      </w:r>
      <w:r>
        <w:rPr>
          <w:strike/>
          <w:color w:val="808080"/>
        </w:rPr>
        <w:t>{n}</w:t>
      </w:r>
      <w:r>
        <w:rPr/>
        <w:t xml:space="preserve"> werden vergehen</w:t>
        <w:br/>
        <w:t xml:space="preserve">Und sich </w:t>
      </w:r>
      <w:r>
        <w:rPr>
          <w:b/>
          <w:color w:val="808080"/>
        </w:rPr>
        <w:t>[</w:t>
      </w:r>
      <w:r>
        <w:rPr/>
        <w:t>selbst</w:t>
      </w:r>
      <w:r>
        <w:rPr>
          <w:b/>
          <w:color w:val="808080"/>
        </w:rPr>
        <w:t>]</w:t>
      </w:r>
      <w:r>
        <w:rPr/>
        <w:t xml:space="preserve"> gürten mit ihren Banden.</w:t>
        <w:br/>
        <w:br/>
        <w:t xml:space="preserve">{{field-off:bible}} </w:t>
        <w:br/>
        <w:t>[[@BibleTOBIBLE:Ps 18:47]]</w:t>
      </w:r>
      <w:r>
        <w:rPr>
          <w:b/>
        </w:rPr>
        <w:t>47</w:t>
      </w:r>
      <w:r>
        <w:rPr/>
        <w:t xml:space="preserve"> {{field-on:bible}} </w:t>
        <w:br/>
      </w:r>
      <w:r>
        <w:rPr>
          <w:b/>
          <w:color w:val="808080"/>
        </w:rPr>
        <w:t>[</w:t>
      </w:r>
      <w:r>
        <w:rPr/>
        <w:t>So wahr</w:t>
      </w:r>
      <w:r>
        <w:rPr>
          <w:b/>
          <w:color w:val="808080"/>
        </w:rPr>
        <w:t>]</w:t>
      </w:r>
      <w:r>
        <w:rPr/>
        <w:t xml:space="preserve"> Gott lebt: Gesegnet </w:t>
      </w:r>
      <w:r>
        <w:rPr>
          <w:b/>
          <w:color w:val="808080"/>
        </w:rPr>
        <w:t>[</w:t>
      </w:r>
      <w:r>
        <w:rPr/>
        <w:t>sei</w:t>
      </w:r>
      <w:r>
        <w:rPr>
          <w:b/>
          <w:color w:val="808080"/>
        </w:rPr>
        <w:t>]</w:t>
      </w:r>
      <w:r>
        <w:rPr/>
        <w:t xml:space="preserve"> mein FelsUnd erhoben werden soll der Gott meiner Rettung,</w:t>
        <w:br/>
        <w:t xml:space="preserve">{{field-off:bible}} </w:t>
        <w:br/>
        <w:t>[[@BibleTOBIBLE:Ps 18:48]]</w:t>
      </w:r>
      <w:r>
        <w:rPr>
          <w:b/>
        </w:rPr>
        <w:t>48</w:t>
      </w:r>
      <w:r>
        <w:rPr/>
        <w:t xml:space="preserve"> {{field-on:bible}} </w:t>
        <w:br/>
        <w:t xml:space="preserve">Der Gott, </w:t>
      </w:r>
      <w:r>
        <w:rPr>
          <w:b/>
          <w:color w:val="808080"/>
        </w:rPr>
        <w:t>[</w:t>
      </w:r>
      <w:r>
        <w:rPr/>
        <w:t>der</w:t>
      </w:r>
      <w:r>
        <w:rPr>
          <w:b/>
          <w:color w:val="808080"/>
        </w:rPr>
        <w:t>]</w:t>
      </w:r>
      <w:r>
        <w:rPr/>
        <w:t xml:space="preserve"> mir Rache gab </w:t>
      </w:r>
      <w:r>
        <w:rPr>
          <w:color w:val="808080"/>
        </w:rPr>
        <w:t>(gibt)</w:t>
      </w:r>
      <w:r>
        <w:rPr/>
        <w:t>Und Völker unter mich unterjocht hat,</w:t>
        <w:br/>
        <w:t xml:space="preserve">{{field-off:bible}} </w:t>
        <w:br/>
        <w:t>[[@BibleTOBIBLE:Ps 18:49]]</w:t>
      </w:r>
      <w:r>
        <w:rPr>
          <w:b/>
        </w:rPr>
        <w:t>49</w:t>
      </w:r>
      <w:r>
        <w:rPr/>
        <w:t xml:space="preserve"> {{field-on:bible}} </w:t>
        <w:br/>
        <w:t xml:space="preserve">Der mich meinen Feinden rettet </w:t>
      </w:r>
      <w:r>
        <w:rPr>
          <w:color w:val="808080"/>
        </w:rPr>
        <w:t>(entkommen lässt)</w:t>
      </w:r>
      <w:r>
        <w:rPr/>
        <w:t>,Mich erhöhen wird über die, die sich gegen mich erheben,Der du mich von dem gewalttätigen Mann befreien wirst.</w:t>
        <w:br/>
        <w:br/>
        <w:t xml:space="preserve">{{field-off:bible}} </w:t>
        <w:br/>
        <w:t>[[@BibleTOBIBLE:Ps 18:50]]</w:t>
      </w:r>
      <w:r>
        <w:rPr>
          <w:b/>
        </w:rPr>
        <w:t>50</w:t>
      </w:r>
      <w:r>
        <w:rPr/>
        <w:t xml:space="preserve"> {{field-on:bible}} </w:t>
        <w:br/>
        <w:t xml:space="preserve">Darum will ich dich preisen, </w:t>
      </w:r>
      <w:r>
        <w:rPr>
          <w:smallCaps/>
          <w:color w:val="FF0000"/>
        </w:rPr>
        <w:t>JHWH</w:t>
      </w:r>
      <w:r>
        <w:rPr/>
        <w:t xml:space="preserve">, </w:t>
      </w:r>
      <w:r>
        <w:rPr>
          <w:b/>
          <w:color w:val="808080"/>
        </w:rPr>
        <w:t>[</w:t>
      </w:r>
      <w:r>
        <w:rPr/>
        <w:t>mitten</w:t>
      </w:r>
      <w:r>
        <w:rPr>
          <w:b/>
          <w:color w:val="808080"/>
        </w:rPr>
        <w:t>]</w:t>
      </w:r>
      <w:r>
        <w:rPr/>
        <w:t xml:space="preserve"> unter den Heiden,Und deinem Namen singen,</w:t>
        <w:br/>
        <w:t xml:space="preserve">{{field-off:bible}} </w:t>
        <w:br/>
        <w:t>[[@BibleTOBIBLE:Ps 18:51]]</w:t>
      </w:r>
      <w:r>
        <w:rPr>
          <w:b/>
        </w:rPr>
        <w:t>51</w:t>
      </w:r>
      <w:r>
        <w:rPr/>
        <w:t xml:space="preserve"> {{field-on:bible}} </w:t>
        <w:br/>
        <w:t>Der groß macht das Heil seines KönigsUnd seinem Gesalbten Bundestreue erweist,David und seinen Nachkommen auf ewig.</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836"/>
        <w:t>Status</w:t>
      </w:r>
      <w:r>
        <w:rPr/>
        <w:t xml:space="preserve"> Für den Chorleiter </w:t>
      </w:r>
      <w:r>
        <w:rPr>
          <w:color w:val="808080"/>
        </w:rPr>
        <w:t>(Dirigenten, Singenden, Musizierenden)</w:t>
      </w:r>
      <w:r>
        <w:rPr/>
        <w:t>.</w:t>
      </w:r>
      <w:r>
        <w:rPr>
          <w:rStyle w:val="Funotenanker"/>
        </w:rPr>
        <w:footnoteReference w:customMarkFollows="1" w:id="837"/>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838"/>
        <w:t>b</w:t>
      </w:r>
      <w:r>
        <w:rPr/>
        <w:t xml:space="preserve"> </w:t>
      </w:r>
      <w:r>
        <w:rPr>
          <w:color w:val="808080"/>
        </w:rPr>
        <w:t>(Die Himmel verkünden)</w:t>
      </w:r>
      <w:r>
        <w:rPr/>
        <w:t xml:space="preserve"> </w:t>
      </w:r>
      <w:r>
        <w:rPr>
          <w:rStyle w:val="Funotenanker"/>
        </w:rPr>
        <w:footnoteReference w:customMarkFollows="1" w:id="839"/>
        <w:t>c</w:t>
      </w:r>
      <w:r>
        <w:rPr/>
        <w:t xml:space="preserve"> die Herrlichkeit </w:t>
      </w:r>
      <w:r>
        <w:rPr>
          <w:color w:val="808080"/>
        </w:rPr>
        <w:t>(Lichtglanz, Glorie)</w:t>
      </w:r>
      <w:r>
        <w:rPr/>
        <w:t xml:space="preserve"> </w:t>
      </w:r>
      <w:r>
        <w:rPr>
          <w:rStyle w:val="Funotenanker"/>
        </w:rPr>
        <w:footnoteReference w:customMarkFollows="1" w:id="840"/>
        <w:t>d</w:t>
      </w:r>
      <w:r>
        <w:rPr/>
        <w:t xml:space="preserve"> Gottes„ und das Walten </w:t>
      </w:r>
      <w:r>
        <w:rPr>
          <w:color w:val="808080"/>
        </w:rPr>
        <w:t>(Werk)</w:t>
      </w:r>
      <w:r>
        <w:rPr/>
        <w:t xml:space="preserve"> </w:t>
      </w:r>
      <w:r>
        <w:rPr>
          <w:rStyle w:val="Funotenanker"/>
        </w:rPr>
        <w:footnoteReference w:customMarkFollows="1" w:id="841"/>
        <w:t>e</w:t>
      </w:r>
      <w:r>
        <w:rPr/>
        <w:t xml:space="preserve"> seiner Hände </w:t>
      </w:r>
      <w:r>
        <w:rPr>
          <w:color w:val="808080"/>
        </w:rPr>
        <w:t>(sein Walten)</w:t>
      </w:r>
      <w:r>
        <w:rPr/>
        <w:t xml:space="preserve"> </w:t>
      </w:r>
      <w:r>
        <w:rPr>
          <w:rStyle w:val="Funotenanker"/>
        </w:rPr>
        <w:footnoteReference w:customMarkFollows="1" w:id="842"/>
        <w:t>f</w:t>
      </w:r>
      <w:r>
        <w:rPr/>
        <w:t xml:space="preserve"> macht kund das Firmament </w:t>
      </w:r>
      <w:r>
        <w:rPr>
          <w:color w:val="808080"/>
        </w:rPr>
        <w:t>(Himmelsgewölbe)</w:t>
      </w:r>
      <w:r>
        <w:rPr/>
        <w:t xml:space="preserve"> </w:t>
      </w:r>
      <w:r>
        <w:rPr>
          <w:rStyle w:val="Funotenanker"/>
        </w:rPr>
        <w:footnoteReference w:customMarkFollows="1" w:id="843"/>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844"/>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845"/>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846"/>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847"/>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848"/>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849"/>
        <w:t>m</w:t>
      </w:r>
      <w:r>
        <w:rPr/>
        <w:t xml:space="preserve"> ihr Reden.“Der Sonne </w:t>
      </w:r>
      <w:r>
        <w:rPr>
          <w:color w:val="808080"/>
        </w:rPr>
        <w:t>(dem Sonnenball)</w:t>
      </w:r>
      <w:r>
        <w:rPr/>
        <w:t xml:space="preserve"> </w:t>
      </w:r>
      <w:r>
        <w:rPr>
          <w:rStyle w:val="Funotenanker"/>
        </w:rPr>
        <w:footnoteReference w:customMarkFollows="1" w:id="850"/>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851"/>
        <w:t>o</w:t>
      </w:r>
      <w:r>
        <w:rPr/>
        <w:t xml:space="preserve"> ein Zelt aus </w:t>
      </w:r>
      <w:r>
        <w:rPr>
          <w:color w:val="808080"/>
        </w:rPr>
        <w:t>(an)</w:t>
      </w:r>
      <w:r>
        <w:rPr/>
        <w:t xml:space="preserve"> ihm</w:t>
      </w:r>
      <w:r>
        <w:rPr>
          <w:rStyle w:val="Funotenanker"/>
        </w:rPr>
        <w:footnoteReference w:customMarkFollows="1" w:id="852"/>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853"/>
        <w:t>q</w:t>
      </w:r>
      <w:r>
        <w:rPr/>
        <w:t xml:space="preserve"> aus seinem Brautzelt </w:t>
      </w:r>
      <w:r>
        <w:rPr>
          <w:color w:val="808080"/>
        </w:rPr>
        <w:t>(Zelt)</w:t>
      </w:r>
      <w:r>
        <w:rPr/>
        <w:t xml:space="preserve"> </w:t>
      </w:r>
      <w:r>
        <w:rPr>
          <w:rStyle w:val="Funotenanker"/>
        </w:rPr>
        <w:footnoteReference w:customMarkFollows="1" w:id="854"/>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855"/>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856"/>
        <w:t>t</w:t>
      </w:r>
      <w:r>
        <w:rPr/>
        <w:t xml:space="preserve"> des Himmels </w:t>
      </w:r>
      <w:r>
        <w:rPr>
          <w:color w:val="808080"/>
        </w:rPr>
        <w:t>(der Himmel</w:t>
      </w:r>
      <w:r>
        <w:rPr/>
        <w:t xml:space="preserve"> </w:t>
      </w:r>
      <w:r>
        <w:rPr>
          <w:rStyle w:val="Funotenanker"/>
        </w:rPr>
        <w:footnoteReference w:customMarkFollows="1" w:id="857"/>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858"/>
        <w:t>v</w:t>
      </w:r>
      <w:r>
        <w:rPr/>
        <w:t xml:space="preserve"> verborgen.“{{field-off:bible}} </w:t>
        <w:br/>
        <w:t>[[@BibleTOBIBLE:Ps 19:8]]</w:t>
      </w:r>
      <w:r>
        <w:rPr>
          <w:b/>
        </w:rPr>
        <w:t>8</w:t>
      </w:r>
      <w:r>
        <w:rPr/>
        <w:t xml:space="preserve"> {{field-on:bible}}Das Gesetz</w:t>
      </w:r>
      <w:r>
        <w:rPr>
          <w:rStyle w:val="Funotenanker"/>
        </w:rPr>
        <w:footnoteReference w:customMarkFollows="1" w:id="859"/>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860"/>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861"/>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862"/>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863"/>
        <w:t>aa</w:t>
      </w:r>
      <w:r>
        <w:rPr/>
        <w:t xml:space="preserve"> - macht die Augen hell</w:t>
      </w:r>
      <w:r>
        <w:rPr>
          <w:rStyle w:val="Funotenanker"/>
        </w:rPr>
        <w:footnoteReference w:customMarkFollows="1" w:id="864"/>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865"/>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866"/>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867"/>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868"/>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869"/>
        <w:t>ag</w:t>
      </w:r>
      <w:r>
        <w:rPr/>
        <w:t xml:space="preserve">,“{{field-off:bible}} </w:t>
        <w:br/>
        <w:t>[[@BibleTOBIBLE:Ps 19:12]]</w:t>
      </w:r>
      <w:r>
        <w:rPr>
          <w:b/>
        </w:rPr>
        <w:t>12</w:t>
      </w:r>
      <w:r>
        <w:rPr/>
        <w:t xml:space="preserve"> {{field-on:bible}}wird auch</w:t>
      </w:r>
      <w:r>
        <w:rPr>
          <w:rStyle w:val="Funotenanker"/>
        </w:rPr>
        <w:footnoteReference w:customMarkFollows="1" w:id="870"/>
        <w:t>ah</w:t>
      </w:r>
      <w:r>
        <w:rPr/>
        <w:t xml:space="preserve"> dein Sklave</w:t>
      </w:r>
      <w:r>
        <w:rPr>
          <w:rStyle w:val="Funotenanker"/>
        </w:rPr>
        <w:footnoteReference w:customMarkFollows="1" w:id="871"/>
        <w:t>ai</w:t>
      </w:r>
      <w:r>
        <w:rPr/>
        <w:t xml:space="preserve"> gewarnt </w:t>
      </w:r>
      <w:r>
        <w:rPr>
          <w:color w:val="808080"/>
        </w:rPr>
        <w:t>(erleuchtet)</w:t>
      </w:r>
      <w:r>
        <w:rPr/>
        <w:t xml:space="preserve"> </w:t>
      </w:r>
      <w:r>
        <w:rPr>
          <w:rStyle w:val="Funotenanker"/>
        </w:rPr>
        <w:footnoteReference w:customMarkFollows="1" w:id="872"/>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873"/>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874"/>
        <w:t>al</w:t>
      </w:r>
      <w:r>
        <w:rPr/>
        <w:t xml:space="preserve"> Versehen </w:t>
      </w:r>
      <w:r>
        <w:rPr>
          <w:color w:val="808080"/>
        </w:rPr>
        <w:t>(versehentliche Fehler)</w:t>
      </w:r>
      <w:r>
        <w:rPr/>
        <w:t xml:space="preserve"> </w:t>
      </w:r>
      <w:r>
        <w:rPr>
          <w:rStyle w:val="Funotenanker"/>
        </w:rPr>
        <w:footnoteReference w:customMarkFollows="1" w:id="875"/>
        <w:t>am</w:t>
      </w:r>
      <w:r>
        <w:rPr/>
        <w:t xml:space="preserve"> - wer bemerkt sie</w:t>
      </w:r>
      <w:r>
        <w:rPr>
          <w:rStyle w:val="Funotenanker"/>
        </w:rPr>
        <w:footnoteReference w:customMarkFollows="1" w:id="876"/>
        <w:t>an</w:t>
      </w:r>
      <w:r>
        <w:rPr/>
        <w:t xml:space="preserve">?„ Von den Verborgenen </w:t>
      </w:r>
      <w:r>
        <w:rPr>
          <w:color w:val="808080"/>
        </w:rPr>
        <w:t>(ungewollte Sünden)</w:t>
      </w:r>
      <w:r>
        <w:rPr/>
        <w:t xml:space="preserve"> </w:t>
      </w:r>
      <w:r>
        <w:rPr>
          <w:rStyle w:val="Funotenanker"/>
        </w:rPr>
        <w:footnoteReference w:customMarkFollows="1" w:id="877"/>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878"/>
        <w:t>ap</w:t>
      </w:r>
      <w:r>
        <w:rPr/>
        <w:t xml:space="preserve"> halte zurück deinen Sklaven,</w:t>
      </w:r>
      <w:r>
        <w:rPr>
          <w:rStyle w:val="Funotenanker"/>
        </w:rPr>
        <w:footnoteReference w:customMarkFollows="1" w:id="879"/>
        <w:t>aq</w:t>
      </w:r>
      <w:r>
        <w:rPr/>
        <w:t xml:space="preserve">„ Lass sie mich nicht beherrschen!“Dann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880"/>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881"/>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882"/>
        <w:t>Status</w:t>
      </w:r>
      <w:r>
        <w:rPr/>
        <w:t xml:space="preserve"> ''Für den Chorleiter </w:t>
      </w:r>
      <w:r>
        <w:rPr>
          <w:color w:val="808080"/>
        </w:rPr>
        <w:t>(Dirigenten, Singenden, Musizierenden)</w:t>
      </w:r>
      <w:r>
        <w:rPr/>
        <w:t>''.</w:t>
      </w:r>
      <w:r>
        <w:rPr>
          <w:rStyle w:val="Funotenanker"/>
        </w:rPr>
        <w:footnoteReference w:customMarkFollows="1" w:id="883"/>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884"/>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885"/>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886"/>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887"/>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888"/>
        <w:t>f</w:t>
      </w:r>
      <w:r>
        <w:rPr/>
        <w:t xml:space="preserve"> dich - den Heiligen,Der du thronst über den Lobgesängen Israels</w:t>
      </w:r>
      <w:r>
        <w:rPr>
          <w:rStyle w:val="Funotenanker"/>
        </w:rPr>
        <w:footnoteReference w:customMarkFollows="1" w:id="889"/>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890"/>
        <w:t>h</w:t>
      </w:r>
      <w:r>
        <w:rPr/>
        <w:t xml:space="preserve"> </w:t>
      </w:r>
      <w:r>
        <w:rPr>
          <w:b/>
          <w:color w:val="808080"/>
        </w:rPr>
        <w:t>[</w:t>
      </w:r>
      <w:r>
        <w:rPr/>
        <w:t>und spotten:</w:t>
      </w:r>
      <w:r>
        <w:rPr>
          <w:b/>
          <w:color w:val="808080"/>
        </w:rPr>
        <w:t>]</w:t>
      </w:r>
      <w:r>
        <w:rPr/>
        <w:t xml:space="preserve"> </w:t>
      </w:r>
      <w:r>
        <w:rPr>
          <w:rStyle w:val="Funotenanker"/>
        </w:rPr>
        <w:footnoteReference w:customMarkFollows="1" w:id="891"/>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892"/>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893"/>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894"/>
        <w:t>l</w:t>
      </w:r>
      <w:r>
        <w:rPr/>
        <w:t xml:space="preserve">Der mir Vertrauen einflößte </w:t>
      </w:r>
      <w:r>
        <w:rPr>
          <w:color w:val="808080"/>
        </w:rPr>
        <w:t>(dem ich vertraute)</w:t>
      </w:r>
      <w:r>
        <w:rPr/>
        <w:t xml:space="preserve"> </w:t>
      </w:r>
      <w:r>
        <w:rPr>
          <w:rStyle w:val="Funotenanker"/>
        </w:rPr>
        <w:footnoteReference w:customMarkFollows="1" w:id="895"/>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896"/>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897"/>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898"/>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899"/>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900"/>
        <w:t>r</w:t>
      </w:r>
      <w:r>
        <w:rPr/>
        <w:t xml:space="preserve"> Wachs -Es zerschmilzt in meiner Brust.</w:t>
      </w:r>
      <w:r>
        <w:rPr>
          <w:rStyle w:val="Funotenanker"/>
        </w:rPr>
        <w:footnoteReference w:customMarkFollows="1" w:id="901"/>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902"/>
        <w:t>t</w:t>
      </w:r>
      <w:r>
        <w:rPr/>
        <w:t xml:space="preserve"> Meine Zunge klebt mir am Gaumen.</w:t>
      </w:r>
      <w:r>
        <w:rPr>
          <w:rStyle w:val="Funotenanker"/>
        </w:rPr>
        <w:footnoteReference w:customMarkFollows="1" w:id="903"/>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904"/>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905"/>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906"/>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907"/>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908"/>
        <w:t>z</w:t>
      </w:r>
      <w:r>
        <w:rPr/>
        <w:t>Meine Hilfe, eile zu meiner Hilfe!</w:t>
      </w:r>
      <w:r>
        <w:rPr>
          <w:rStyle w:val="Funotenanker"/>
        </w:rPr>
        <w:footnoteReference w:customMarkFollows="1" w:id="909"/>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910"/>
        <w:t>ab</w:t>
      </w:r>
      <w:r>
        <w:rPr/>
        <w:t xml:space="preserve"> mein Einziges!</w:t>
      </w:r>
      <w:r>
        <w:rPr>
          <w:rStyle w:val="Funotenanker"/>
        </w:rPr>
        <w:footnoteReference w:customMarkFollows="1" w:id="911"/>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912"/>
        <w:t>ad</w:t>
      </w:r>
      <w:r>
        <w:rPr/>
        <w:t xml:space="preserve"> Vor den Hörnern der Wildstiere mein Elendes </w:t>
      </w:r>
      <w:r>
        <w:rPr>
          <w:color w:val="808080"/>
        </w:rPr>
        <w:t>(erhöre mich, du erhörst mich/hast mich erhört)</w:t>
      </w:r>
      <w:r>
        <w:rPr/>
        <w:t>.</w:t>
      </w:r>
      <w:r>
        <w:rPr>
          <w:rStyle w:val="Funotenanker"/>
        </w:rPr>
        <w:footnoteReference w:customMarkFollows="1" w:id="913"/>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914"/>
        <w:t>af</w:t>
      </w:r>
      <w:r>
        <w:rPr/>
        <w:t xml:space="preserve"> meinen Brüdern verkünden, In der Kultgemeinde will ich dich preisen:</w:t>
      </w:r>
      <w:r>
        <w:rPr>
          <w:rStyle w:val="Funotenanker"/>
        </w:rPr>
        <w:footnoteReference w:customMarkFollows="1" w:id="915"/>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916"/>
        <w:t>ah</w:t>
      </w:r>
      <w:r>
        <w:rPr/>
        <w:t xml:space="preserve"> ehret ihn, Erschauert</w:t>
      </w:r>
      <w:r>
        <w:rPr>
          <w:rStyle w:val="Funotenanker"/>
        </w:rPr>
        <w:footnoteReference w:customMarkFollows="1" w:id="917"/>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918"/>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919"/>
        <w:t>ak</w:t>
      </w:r>
      <w:r>
        <w:rPr/>
        <w:t xml:space="preserve"> Meine Gelübde werde ich vor denen erfüllen, die ihn fürchten </w:t>
      </w:r>
      <w:r>
        <w:rPr>
          <w:color w:val="808080"/>
        </w:rPr>
        <w:t>(verehren)</w:t>
      </w:r>
      <w:r>
        <w:rPr/>
        <w:t>:</w:t>
      </w:r>
      <w:r>
        <w:rPr>
          <w:rStyle w:val="Funotenanker"/>
        </w:rPr>
        <w:footnoteReference w:customMarkFollows="1" w:id="920"/>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921"/>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922"/>
        <w:t>an</w:t>
      </w:r>
      <w:r>
        <w:rPr/>
        <w:t xml:space="preserve"> </w:t>
        <w:br/>
        <w:t>Aufleben soll euer Herz für immer!“</w:t>
      </w:r>
      <w:r>
        <w:rPr>
          <w:rStyle w:val="Funotenanker"/>
        </w:rPr>
        <w:footnoteReference w:customMarkFollows="1" w:id="923"/>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924"/>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925"/>
        <w:t>aq</w:t>
      </w:r>
      <w:r>
        <w:rPr/>
        <w:t xml:space="preserve"> </w:t>
        <w:br/>
        <w:t xml:space="preserve">Und vor dir </w:t>
      </w:r>
      <w:r>
        <w:rPr>
          <w:color w:val="808080"/>
        </w:rPr>
        <w:t>(vor ihm)</w:t>
      </w:r>
      <w:r>
        <w:rPr/>
        <w:t xml:space="preserve"> </w:t>
      </w:r>
      <w:r>
        <w:rPr>
          <w:rStyle w:val="Funotenanker"/>
        </w:rPr>
        <w:footnoteReference w:customMarkFollows="1" w:id="926"/>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927"/>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928"/>
        <w:t>at</w:t>
      </w:r>
      <w:r>
        <w:rPr/>
        <w:t xml:space="preserve"> alle Fetten der Erde,Vor seinem Gesicht</w:t>
      </w:r>
      <w:r>
        <w:rPr>
          <w:rStyle w:val="Funotenanker"/>
        </w:rPr>
        <w:footnoteReference w:customMarkFollows="1" w:id="929"/>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930"/>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931"/>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932"/>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933"/>
        <w:t>a</w:t>
      </w:r>
      <w:r>
        <w:rPr/>
        <w:t xml:space="preserve"> Nichts fehlt mir </w:t>
      </w:r>
      <w:r>
        <w:rPr>
          <w:color w:val="808080"/>
        </w:rPr>
        <w:t>(wird mir fehlen)</w:t>
      </w:r>
      <w:r>
        <w:rPr/>
        <w:t xml:space="preserve"> </w:t>
      </w:r>
      <w:r>
        <w:rPr>
          <w:rStyle w:val="Funotenanker"/>
        </w:rPr>
        <w:footnoteReference w:customMarkFollows="1" w:id="934"/>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935"/>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936"/>
        <w:t>d</w:t>
      </w:r>
      <w:r>
        <w:rPr/>
        <w:t xml:space="preserve"> ausruhen </w:t>
      </w:r>
      <w:r>
        <w:rPr>
          <w:color w:val="808080"/>
        </w:rPr>
        <w:t>(hinlegen, rasten)</w:t>
      </w:r>
      <w:r>
        <w:rPr/>
        <w:t xml:space="preserve"> kann</w:t>
      </w:r>
      <w:r>
        <w:rPr>
          <w:rStyle w:val="Funotenanker"/>
        </w:rPr>
        <w:footnoteReference w:customMarkFollows="1" w:id="937"/>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938"/>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939"/>
        <w:t>g</w:t>
      </w:r>
      <w:r>
        <w:rPr/>
        <w:t xml:space="preserve"> bringt er zurück </w:t>
      </w:r>
      <w:r>
        <w:rPr>
          <w:color w:val="808080"/>
        </w:rPr>
        <w:t>(wird er erneuern, erfrischt er)</w:t>
      </w:r>
      <w:r>
        <w:rPr/>
        <w:t xml:space="preserve"> </w:t>
      </w:r>
      <w:r>
        <w:rPr>
          <w:rStyle w:val="Funotenanker"/>
        </w:rPr>
        <w:footnoteReference w:customMarkFollows="1" w:id="940"/>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941"/>
        <w:t>i</w:t>
      </w:r>
      <w:r>
        <w:rPr/>
        <w:t xml:space="preserve"> gehe </w:t>
      </w:r>
      <w:r>
        <w:rPr>
          <w:color w:val="808080"/>
        </w:rPr>
        <w:t>(gehen werde/muss/sollte, gerate</w:t>
      </w:r>
      <w:r>
        <w:rPr/>
        <w:t xml:space="preserve"> </w:t>
      </w:r>
      <w:r>
        <w:rPr>
          <w:rStyle w:val="Funotenanker"/>
        </w:rPr>
        <w:footnoteReference w:customMarkFollows="1" w:id="942"/>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943"/>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944"/>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945"/>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946"/>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947"/>
        <w:t>o</w:t>
      </w:r>
      <w:r>
        <w:rPr/>
        <w:t xml:space="preserve"> </w:t>
      </w:r>
      <w:r>
        <w:rPr>
          <w:color w:val="808080"/>
        </w:rPr>
        <w:t>(meines Feindes</w:t>
      </w:r>
      <w:r>
        <w:rPr/>
        <w:t xml:space="preserve"> </w:t>
      </w:r>
      <w:r>
        <w:rPr>
          <w:rStyle w:val="Funotenanker"/>
        </w:rPr>
        <w:footnoteReference w:customMarkFollows="1" w:id="948"/>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949"/>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950"/>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951"/>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952"/>
        <w:t>t</w:t>
      </w:r>
      <w:r>
        <w:rPr/>
        <w:t xml:space="preserve"> </w:t>
      </w:r>
      <w:r>
        <w:rPr>
          <w:color w:val="808080"/>
        </w:rPr>
        <w:t>zurückkehren)</w:t>
      </w:r>
      <w:r>
        <w:rPr/>
        <w:t xml:space="preserve"> </w:t>
      </w:r>
      <w:r>
        <w:rPr>
          <w:rStyle w:val="Funotenanker"/>
        </w:rPr>
        <w:footnoteReference w:customMarkFollows="1" w:id="953"/>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954"/>
        <w:t>Status</w:t>
      </w:r>
      <w:r>
        <w:rPr/>
        <w:t xml:space="preserve"> Ein Psalm </w:t>
      </w:r>
      <w:r>
        <w:rPr>
          <w:color w:val="808080"/>
        </w:rPr>
        <w:t>(begleitetes Lied)</w:t>
      </w:r>
      <w:r>
        <w:rPr/>
        <w:t>. Ein Lied zur Tempelweihe</w:t>
      </w:r>
      <w:r>
        <w:rPr>
          <w:rStyle w:val="Funotenanker"/>
        </w:rPr>
        <w:footnoteReference w:customMarkFollows="1" w:id="955"/>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956"/>
        <w:t>b</w:t>
      </w:r>
      <w:r>
        <w:rPr/>
        <w:t xml:space="preserve"> du mich herausgeschöpft </w:t>
      </w:r>
      <w:r>
        <w:rPr>
          <w:color w:val="808080"/>
        </w:rPr>
        <w:t>(emporgezogen)</w:t>
      </w:r>
      <w:r>
        <w:rPr/>
        <w:t xml:space="preserve"> </w:t>
      </w:r>
      <w:r>
        <w:rPr>
          <w:rStyle w:val="Funotenanker"/>
        </w:rPr>
        <w:footnoteReference w:customMarkFollows="1" w:id="957"/>
        <w:t>c</w:t>
      </w:r>
      <w:r>
        <w:rPr/>
        <w:t xml:space="preserve"> </w:t>
      </w:r>
      <w:r>
        <w:rPr>
          <w:rStyle w:val="Funotenanker"/>
        </w:rPr>
        <w:footnoteReference w:customMarkFollows="1" w:id="958"/>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959"/>
        <w:t>e</w:t>
      </w:r>
      <w:r>
        <w:rPr/>
        <w:t xml:space="preserve"> sich nicht über mich </w:t>
      </w:r>
      <w:r>
        <w:rPr>
          <w:color w:val="808080"/>
        </w:rPr>
        <w:t>(meine meinigen Feinde sich nicht)</w:t>
      </w:r>
      <w:r>
        <w:rPr/>
        <w:t xml:space="preserve"> </w:t>
      </w:r>
      <w:r>
        <w:rPr>
          <w:rStyle w:val="Funotenanker"/>
        </w:rPr>
        <w:footnoteReference w:customMarkFollows="1" w:id="960"/>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961"/>
        <w:t>g</w:t>
      </w:r>
      <w:r>
        <w:rPr/>
        <w:t xml:space="preserve"> aus dem Scheol </w:t>
      </w:r>
      <w:r>
        <w:rPr>
          <w:color w:val="808080"/>
        </w:rPr>
        <w:t>(aus der Unterwelt, aus der Totenwelt)</w:t>
      </w:r>
      <w:r>
        <w:rPr/>
        <w:t xml:space="preserve"> heraufgeholt</w:t>
      </w:r>
      <w:r>
        <w:rPr>
          <w:rStyle w:val="Funotenanker"/>
        </w:rPr>
        <w:footnoteReference w:customMarkFollows="1" w:id="962"/>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963"/>
        <w:t>i</w:t>
      </w:r>
      <w:r>
        <w:rPr/>
        <w:t xml:space="preserve"> Hinabgefahrenen </w:t>
      </w:r>
      <w:r>
        <w:rPr>
          <w:color w:val="808080"/>
        </w:rPr>
        <w:t>(bewahrt vom Hinabfahren)</w:t>
      </w:r>
      <w:r>
        <w:rPr/>
        <w:t xml:space="preserve"> </w:t>
      </w:r>
      <w:r>
        <w:rPr>
          <w:rStyle w:val="Funotenanker"/>
        </w:rPr>
        <w:footnoteReference w:customMarkFollows="1" w:id="964"/>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965"/>
        <w:t>k</w:t>
      </w:r>
      <w:r>
        <w:rPr/>
        <w:t xml:space="preserve"> </w:t>
      </w:r>
      <w:r>
        <w:rPr>
          <w:smallCaps/>
          <w:color w:val="FF0000"/>
        </w:rPr>
        <w:t>JHWH</w:t>
      </w:r>
      <w:r>
        <w:rPr/>
        <w:t>, ihr seine Frommen</w:t>
      </w:r>
      <w:r>
        <w:rPr>
          <w:rStyle w:val="Funotenanker"/>
        </w:rPr>
        <w:footnoteReference w:customMarkFollows="1" w:id="966"/>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967"/>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968"/>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969"/>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970"/>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971"/>
        <w:t>q</w:t>
      </w:r>
      <w:r>
        <w:rPr/>
        <w:t xml:space="preserve"> in meiner Sorglosigkeit sprach: „Niemals werde ich wanken</w:t>
      </w:r>
      <w:r>
        <w:rPr>
          <w:rStyle w:val="Funotenanker"/>
        </w:rPr>
        <w:footnoteReference w:customMarkFollows="1" w:id="972"/>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973"/>
        <w:t>s</w:t>
      </w:r>
      <w:r>
        <w:rPr/>
        <w:t xml:space="preserve">, mich in deiner Gunst standhafter als die starken </w:t>
      </w:r>
      <w:r>
        <w:rPr>
          <w:color w:val="808080"/>
        </w:rPr>
        <w:t>(sicheren)</w:t>
      </w:r>
      <w:r>
        <w:rPr/>
        <w:t xml:space="preserve"> Berge gemacht hast,</w:t>
      </w:r>
      <w:r>
        <w:rPr>
          <w:rStyle w:val="Funotenanker"/>
        </w:rPr>
        <w:footnoteReference w:customMarkFollows="1" w:id="974"/>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975"/>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wurde vernichtet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976"/>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977"/>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978"/>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979"/>
        <w:t>y</w:t>
      </w:r>
      <w:r>
        <w:rPr/>
        <w:t>?</w:t>
        <w:br/>
        <w:t xml:space="preserve">Kann Lehm </w:t>
      </w:r>
      <w:r>
        <w:rPr>
          <w:color w:val="808080"/>
        </w:rPr>
        <w:t>(Staub, können Tote)</w:t>
      </w:r>
      <w:r>
        <w:rPr/>
        <w:t xml:space="preserve"> </w:t>
      </w:r>
      <w:r>
        <w:rPr>
          <w:rStyle w:val="Funotenanker"/>
        </w:rPr>
        <w:footnoteReference w:customMarkFollows="1" w:id="980"/>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981"/>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982"/>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983"/>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984"/>
        <w:t>ad</w:t>
      </w:r>
      <w:r>
        <w:rPr/>
        <w:t xml:space="preserve"> will ich </w:t>
      </w:r>
      <w:r>
        <w:rPr>
          <w:color w:val="808080"/>
        </w:rPr>
        <w:t>(</w:t>
      </w:r>
      <w:r>
        <w:rPr>
          <w:b/>
          <w:color w:val="808080"/>
        </w:rPr>
        <w:t>[</w:t>
      </w:r>
      <w:r>
        <w:rPr>
          <w:color w:val="808080"/>
        </w:rPr>
        <w:t>meine</w:t>
      </w:r>
      <w:r>
        <w:rPr>
          <w:b/>
          <w:color w:val="808080"/>
        </w:rPr>
        <w:t>]</w:t>
      </w:r>
      <w:r>
        <w:rPr>
          <w:color w:val="808080"/>
        </w:rPr>
        <w:t xml:space="preserve"> Leber, </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w:t>
      </w:r>
      <w:r>
        <w:rPr/>
        <w:t xml:space="preserve"> </w:t>
      </w:r>
      <w:r>
        <w:rPr>
          <w:rStyle w:val="Funotenanker"/>
        </w:rPr>
        <w:footnoteReference w:customMarkFollows="1" w:id="985"/>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53]]Kapitel 53</w:t>
      </w:r>
    </w:p>
    <w:p>
      <w:pPr>
        <w:pStyle w:val="Textkrper"/>
        <w:rPr/>
      </w:pPr>
      <w:r>
        <w:rPr/>
        <w:t>Psalm 53 ist ein weisheitlicher Klagepsalm. V. 1 nennt man meist die „Überschrift“. Diese Überschriften wurden den Psalmen nachträglich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In V. 2 beginnt der eigentliche Psalm damit, dass die Verderbtheit der gesamten Menschheit beklagt wird. Dieser Zustand wird in Vv. 3-6 zum Anlass für eine Besinnung über das vergangene Handeln Gottes in ähnlicher Situation: Eine Prüfung Gottes ergab, dass die gesamte Menschheit verdorben ist und sich sowohl ihren Mitmenschen als auch Gott gegenüber unangemessen verhält. V. 6 schildern das Resultat dieser Prüfung: Gott sorgte dafür, dass die Übeltäter „einen Schrecken erschraken, wie es noch nie einen Schrecken gab“, indem er dafür sorgte, dass sein Volk seine Okkupanten bezwingen konnte. In V. 7 schließt an diese Besinnung der Wunsch an, dass Gott doch auch jetzt wieder ebenso handeln möge: Gott möge das Geschick der von gänzlich verderbten Feinden unterdrückten Israeliten wenden, so dass sie wieder Grund zu Jubel und Freude haben. In Vv. 2-5 finden sich dabei einige verbreitete weisheitliche Motive (zum Folgendem s. näher z.B. Weisheit (WAM); speziell zu Ps 14 gut z.B. Caquot 1959, S. 1f.): Einander gegenübergestellt werden der „verderblich handelnde Narr“ (V. 1), der „nichts weiß“ (V. 4), und der Gott suchende Kluge (V. 2). Dahinter steht folgender Vorstellungskomplex: Gott hat die Welt wohl geordnet. Die Aufgabe des Menschen ist es daher, die „Regeln“ dieser von Gott geordneten Welt zu suchen und dann gott- und regelgemäß zu handeln. So auch hier: Der „Kluge“ wird in V. 2 gleichgesetzt mit dem „Gott-Sucher“. Sein Widerpart ist der „Narr“, der sich um die Ordnung der Welt und Gott nicht schert: der lebt, als „gäbe es Gott nicht“ (V. 1), sich daher an der kosmischen Ordnung auch nicht stört, sondern im Gegensatz zum Weisen „nichts weiß“ und daher gott- und regelvergessen Übeltat auf „Übeltat vergeht, verbricht“ - bes., indem er „</w:t>
      </w:r>
      <w:r>
        <w:rPr>
          <w:rStyle w:val="Funotenanker"/>
        </w:rPr>
        <w:footnoteReference w:customMarkFollows="1" w:id="986"/>
        <w:t>a</w:t>
      </w:r>
      <w:r>
        <w:rPr/>
        <w:t xml:space="preserve">s Volk frisst“ und selbst beim „Brot-fressen“ keinen Gedanken an den verschwendet, dem er dieses Brot verdankt. Ein Letztes: Psalm 53 ist doppelt überliefert und findet sich noch einmal in leicht abgewandelter Form als Psalm 14 an einer anderen Stelle des Psalters. Neben einigen stilistischen Veränderungen unterscheiden sich die beiden Psalmen v.a. in den Versen Ps 14,5f. und 53,6, die so unterschiedlich sind, dass man allenfalls davon ausgehen kann, dass die eine Stelle dem Verfasser der anderen Stelle als Inspirationsquelle gedient hat. Welche von beiden Fassungen die ältere ist, ist nicht mehr zu ermitteln. </w:t>
        <w:br/>
        <w:br/>
        <w:t>[[@BibleTOBIBLE:Ps 53:1]]</w:t>
      </w:r>
      <w:r>
        <w:rPr>
          <w:b/>
        </w:rPr>
        <w:t>1</w:t>
      </w:r>
      <w:r>
        <w:rPr/>
        <w:t xml:space="preserve"> {{field-on:bible}} </w:t>
      </w:r>
      <w:r>
        <w:rPr>
          <w:rStyle w:val="Funotenanker"/>
        </w:rPr>
        <w:footnoteReference w:customMarkFollows="1" w:id="987"/>
        <w:t>Status</w:t>
      </w:r>
      <w:r>
        <w:rPr/>
        <w:t xml:space="preserve"> ''Für den Chorleiter</w:t>
      </w:r>
      <w:r>
        <w:rPr>
          <w:rStyle w:val="Funotenanker"/>
        </w:rPr>
        <w:footnoteReference w:customMarkFollows="1" w:id="988"/>
        <w:t>b</w:t>
      </w:r>
      <w:r>
        <w:rPr/>
        <w:t xml:space="preserve">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 `al-machalat.</w:t>
      </w:r>
      <w:r>
        <w:rPr>
          <w:rStyle w:val="Funotenanker"/>
        </w:rPr>
        <w:footnoteReference w:customMarkFollows="1" w:id="989"/>
        <w:t>c</w:t>
      </w:r>
      <w:r>
        <w:rPr/>
        <w:t xml:space="preserve"> ''Ein Lehrgedicht </w:t>
      </w:r>
      <w:r>
        <w:rPr>
          <w:color w:val="808080"/>
        </w:rPr>
        <w:t>(?)</w:t>
      </w:r>
      <w:r>
        <w:rPr/>
        <w:t xml:space="preserve"> von </w:t>
      </w:r>
      <w:r>
        <w:rPr>
          <w:color w:val="808080"/>
        </w:rPr>
        <w:t>(für, über, nach Art von)</w:t>
      </w:r>
      <w:r>
        <w:rPr/>
        <w:t xml:space="preserve"> David.'' </w:t>
        <w:br/>
        <w:t xml:space="preserve">{{field-off:bible}} </w:t>
        <w:br/>
        <w:t>[[@BibleTOBIBLE:Ps 53:2]]</w:t>
      </w:r>
      <w:r>
        <w:rPr>
          <w:b/>
        </w:rPr>
        <w:t>2</w:t>
      </w:r>
      <w:r>
        <w:rPr/>
        <w:t xml:space="preserve"> {{field-on:bible}} </w:t>
        <w:br/>
        <w:t xml:space="preserve">Es sagt </w:t>
      </w:r>
      <w:r>
        <w:rPr>
          <w:color w:val="808080"/>
        </w:rPr>
        <w:t>(sagte)</w:t>
      </w:r>
      <w:r>
        <w:rPr/>
        <w:t xml:space="preserve"> </w:t>
      </w:r>
      <w:r>
        <w:rPr>
          <w:b/>
          <w:color w:val="808080"/>
        </w:rPr>
        <w:t>[</w:t>
      </w:r>
      <w:r>
        <w:rPr/>
        <w:t>der</w:t>
      </w:r>
      <w:r>
        <w:rPr>
          <w:b/>
          <w:color w:val="808080"/>
        </w:rPr>
        <w:t>]</w:t>
      </w:r>
      <w:r>
        <w:rPr/>
        <w:t xml:space="preserve"> Narr in seinem Herzen </w:t>
      </w:r>
      <w:r>
        <w:rPr>
          <w:color w:val="808080"/>
        </w:rPr>
        <w:t>(es sagte sich der Narr)</w:t>
      </w:r>
      <w:r>
        <w:rPr/>
        <w:t>:„Es gibt keinen Gott!“</w:t>
      </w:r>
      <w:r>
        <w:rPr>
          <w:rStyle w:val="Funotenanker"/>
        </w:rPr>
        <w:footnoteReference w:customMarkFollows="1" w:id="990"/>
        <w:t>d</w:t>
      </w:r>
      <w:r>
        <w:rPr/>
        <w:t xml:space="preserve"> </w:t>
        <w:br/>
        <w:t xml:space="preserve">Sie begehen und verbrechen </w:t>
      </w:r>
      <w:r>
        <w:rPr>
          <w:color w:val="808080"/>
        </w:rPr>
        <w:t>(begingen und verbrachen)</w:t>
      </w:r>
      <w:r>
        <w:rPr/>
        <w:t xml:space="preserve"> Untat</w:t>
      </w:r>
      <w:r>
        <w:rPr>
          <w:rStyle w:val="Funotenanker"/>
        </w:rPr>
        <w:footnoteReference w:customMarkFollows="1" w:id="991"/>
        <w:t>e</w:t>
      </w:r>
      <w:r>
        <w:rPr/>
        <w:t xml:space="preserve"> </w:t>
      </w:r>
      <w:r>
        <w:rPr>
          <w:b/>
          <w:color w:val="808080"/>
        </w:rPr>
        <w:t>[</w:t>
      </w:r>
      <w:r>
        <w:rPr/>
        <w:t xml:space="preserve">Es gibt </w:t>
      </w:r>
      <w:r>
        <w:rPr>
          <w:color w:val="808080"/>
        </w:rPr>
        <w:t>(gab)</w:t>
      </w:r>
      <w:r>
        <w:rPr>
          <w:b/>
          <w:color w:val="808080"/>
        </w:rPr>
        <w:t>]</w:t>
      </w:r>
      <w:r>
        <w:rPr/>
        <w:t xml:space="preserve"> keinen, </w:t>
      </w:r>
      <w:r>
        <w:rPr>
          <w:b/>
          <w:color w:val="808080"/>
        </w:rPr>
        <w:t>[</w:t>
      </w:r>
      <w:r>
        <w:rPr/>
        <w:t>der</w:t>
      </w:r>
      <w:r>
        <w:rPr>
          <w:b/>
          <w:color w:val="808080"/>
        </w:rPr>
        <w:t>]</w:t>
      </w:r>
      <w:r>
        <w:rPr/>
        <w:t xml:space="preserve"> Gutes tut.</w:t>
        <w:br/>
        <w:br/>
        <w:t xml:space="preserve">{{field-off:bible}} </w:t>
        <w:br/>
        <w:t>[[@BibleTOBIBLE:Ps 53:3]]</w:t>
      </w:r>
      <w:r>
        <w:rPr>
          <w:b/>
        </w:rPr>
        <w:t>3</w:t>
      </w:r>
      <w:r>
        <w:rPr/>
        <w:t xml:space="preserve"> {{field-on:bible}} </w:t>
        <w:br/>
        <w:t xml:space="preserve">Gott beugte </w:t>
      </w:r>
      <w:r>
        <w:rPr>
          <w:color w:val="808080"/>
        </w:rPr>
        <w:t>(beugt)</w:t>
      </w:r>
      <w:r>
        <w:rPr/>
        <w:t xml:space="preserve"> sich </w:t>
      </w:r>
      <w:r>
        <w:rPr>
          <w:color w:val="808080"/>
        </w:rPr>
        <w:t>(blickt?)</w:t>
      </w:r>
      <w:r>
        <w:rPr/>
        <w:t xml:space="preserve"> vom Himmel herab Über </w:t>
      </w:r>
      <w:r>
        <w:rPr>
          <w:b/>
          <w:color w:val="808080"/>
        </w:rPr>
        <w:t>[</w:t>
      </w:r>
      <w:r>
        <w:rPr/>
        <w:t>die</w:t>
      </w:r>
      <w:r>
        <w:rPr>
          <w:b/>
          <w:color w:val="808080"/>
        </w:rPr>
        <w:t>]</w:t>
      </w:r>
      <w:r>
        <w:rPr/>
        <w:t xml:space="preserve"> Menschenkinder,</w:t>
        <w:br/>
        <w:t xml:space="preserve">Um zu sehen, </w:t>
      </w:r>
      <w:r>
        <w:rPr>
          <w:b/>
          <w:color w:val="808080"/>
        </w:rPr>
        <w:t>[</w:t>
      </w:r>
      <w:r>
        <w:rPr/>
        <w:t>ob</w:t>
      </w:r>
      <w:r>
        <w:rPr>
          <w:b/>
          <w:color w:val="808080"/>
        </w:rPr>
        <w:t>]</w:t>
      </w:r>
      <w:r>
        <w:rPr/>
        <w:t xml:space="preserve"> es gibt einen Klugen,Einen Gott-Sucher </w:t>
      </w:r>
      <w:r>
        <w:rPr>
          <w:color w:val="808080"/>
        </w:rPr>
        <w:t xml:space="preserve">(einen Klugen, </w:t>
      </w:r>
      <w:r>
        <w:rPr>
          <w:b/>
          <w:color w:val="808080"/>
        </w:rPr>
        <w:t>[</w:t>
      </w:r>
      <w:r>
        <w:rPr>
          <w:color w:val="808080"/>
        </w:rPr>
        <w:t>der</w:t>
      </w:r>
      <w:r>
        <w:rPr>
          <w:b/>
          <w:color w:val="808080"/>
        </w:rPr>
        <w:t>]</w:t>
      </w:r>
      <w:r>
        <w:rPr>
          <w:color w:val="808080"/>
        </w:rPr>
        <w:t xml:space="preserve"> Gott sucht)</w:t>
      </w:r>
      <w:r>
        <w:rPr/>
        <w:t>:</w:t>
      </w:r>
      <w:r>
        <w:rPr>
          <w:rStyle w:val="Funotenanker"/>
        </w:rPr>
        <w:footnoteReference w:customMarkFollows="1" w:id="992"/>
        <w:t>f</w:t>
      </w:r>
      <w:r>
        <w:rPr/>
        <w:t xml:space="preserve"> </w:t>
        <w:br/>
        <w:t xml:space="preserve">{{field-off:bible}} </w:t>
        <w:br/>
        <w:t>[[@BibleTOBIBLE:Ps 53:4]]</w:t>
      </w:r>
      <w:r>
        <w:rPr>
          <w:b/>
        </w:rPr>
        <w:t>4</w:t>
      </w:r>
      <w:r>
        <w:rPr/>
        <w:t xml:space="preserve"> {{field-on:bible}} </w:t>
        <w:br/>
        <w:t xml:space="preserve">„Sie alle sind </w:t>
      </w:r>
      <w:r>
        <w:rPr>
          <w:color w:val="808080"/>
        </w:rPr>
        <w:t>(waren)</w:t>
      </w:r>
      <w:r>
        <w:rPr/>
        <w:t xml:space="preserve"> abgewichen,Sämtlich sind </w:t>
      </w:r>
      <w:r>
        <w:rPr>
          <w:color w:val="808080"/>
        </w:rPr>
        <w:t>(waren)</w:t>
      </w:r>
      <w:r>
        <w:rPr/>
        <w:t xml:space="preserve"> sie verdorben.</w:t>
        <w:br/>
        <w:t xml:space="preserve">Keinen </w:t>
      </w:r>
      <w:r>
        <w:rPr>
          <w:b/>
          <w:color w:val="808080"/>
        </w:rPr>
        <w:t>[</w:t>
      </w:r>
      <w:r>
        <w:rPr/>
        <w:t xml:space="preserve">gibt </w:t>
      </w:r>
      <w:r>
        <w:rPr>
          <w:color w:val="808080"/>
        </w:rPr>
        <w:t>(gab)</w:t>
      </w:r>
      <w:r>
        <w:rPr/>
        <w:t xml:space="preserve"> es</w:t>
      </w:r>
      <w:r>
        <w:rPr>
          <w:b/>
          <w:color w:val="808080"/>
        </w:rPr>
        <w:t>]</w:t>
      </w:r>
      <w:r>
        <w:rPr/>
        <w:t xml:space="preserve">, </w:t>
      </w:r>
      <w:r>
        <w:rPr>
          <w:b/>
          <w:color w:val="808080"/>
        </w:rPr>
        <w:t>[</w:t>
      </w:r>
      <w:r>
        <w:rPr/>
        <w:t>der</w:t>
      </w:r>
      <w:r>
        <w:rPr>
          <w:b/>
          <w:color w:val="808080"/>
        </w:rPr>
        <w:t>]</w:t>
      </w:r>
      <w:r>
        <w:rPr/>
        <w:t xml:space="preserve"> Gutes tut;Keinen. Auch nicht einen </w:t>
      </w:r>
      <w:r>
        <w:rPr>
          <w:b/>
          <w:color w:val="808080"/>
        </w:rPr>
        <w:t>[</w:t>
      </w:r>
      <w:r>
        <w:rPr/>
        <w:t>einzigen</w:t>
      </w:r>
      <w:r>
        <w:rPr>
          <w:b/>
          <w:color w:val="808080"/>
        </w:rPr>
        <w:t>]</w:t>
      </w:r>
      <w:r>
        <w:rPr/>
        <w:t>.</w:t>
        <w:br/>
        <w:t xml:space="preserve">{{field-off:bible}} </w:t>
        <w:br/>
        <w:t>[[@BibleTOBIBLE:Ps 53:5]]</w:t>
      </w:r>
      <w:r>
        <w:rPr>
          <w:b/>
        </w:rPr>
        <w:t>5</w:t>
      </w:r>
      <w:r>
        <w:rPr/>
        <w:t xml:space="preserve"> {{field-on:bible}} </w:t>
        <w:br/>
        <w:t xml:space="preserve">Wissen </w:t>
      </w:r>
      <w:r>
        <w:rPr>
          <w:b/>
          <w:color w:val="808080"/>
        </w:rPr>
        <w:t>[</w:t>
      </w:r>
      <w:r>
        <w:rPr/>
        <w:t>denn</w:t>
      </w:r>
      <w:r>
        <w:rPr>
          <w:b/>
          <w:color w:val="808080"/>
        </w:rPr>
        <w:t>]</w:t>
      </w:r>
      <w:r>
        <w:rPr/>
        <w:t xml:space="preserve"> nicht</w:t>
      </w:r>
      <w:r>
        <w:rPr>
          <w:b/>
          <w:color w:val="808080"/>
        </w:rPr>
        <w:t>[</w:t>
      </w:r>
      <w:r>
        <w:rPr/>
        <w:t>s</w:t>
      </w:r>
      <w:r>
        <w:rPr>
          <w:b/>
          <w:color w:val="808080"/>
        </w:rPr>
        <w:t>]</w:t>
      </w:r>
      <w:r>
        <w:rPr/>
        <w:t xml:space="preserve"> </w:t>
      </w:r>
      <w:r>
        <w:rPr>
          <w:b/>
          <w:color w:val="808080"/>
        </w:rPr>
        <w:t>[</w:t>
      </w:r>
      <w:r>
        <w:rPr/>
        <w:t>die</w:t>
      </w:r>
      <w:r>
        <w:rPr>
          <w:b/>
          <w:color w:val="808080"/>
        </w:rPr>
        <w:t>]</w:t>
      </w:r>
      <w:r>
        <w:rPr/>
        <w:t xml:space="preserve"> Übel-Täter,</w:t>
      </w:r>
      <w:r>
        <w:rPr>
          <w:b/>
          <w:color w:val="808080"/>
        </w:rPr>
        <w:t>[</w:t>
      </w:r>
      <w:r>
        <w:rPr/>
        <w:t>Die</w:t>
      </w:r>
      <w:r>
        <w:rPr>
          <w:b/>
          <w:color w:val="808080"/>
        </w:rPr>
        <w:t>]</w:t>
      </w:r>
      <w:r>
        <w:rPr/>
        <w:t xml:space="preserve"> mein Volk fressen?</w:t>
        <w:br/>
        <w:t>Sie fressen Brot,</w:t>
      </w:r>
      <w:r>
        <w:rPr>
          <w:rStyle w:val="Funotenanker"/>
        </w:rPr>
        <w:footnoteReference w:customMarkFollows="1" w:id="993"/>
        <w:t>g</w:t>
      </w:r>
      <w:r>
        <w:rPr/>
        <w:t xml:space="preserve"> </w:t>
      </w:r>
      <w:r>
        <w:rPr>
          <w:b/>
          <w:color w:val="808080"/>
        </w:rPr>
        <w:t>[</w:t>
      </w:r>
      <w:r>
        <w:rPr/>
        <w:t>Doch</w:t>
      </w:r>
      <w:r>
        <w:rPr>
          <w:b/>
          <w:color w:val="808080"/>
        </w:rPr>
        <w:t>]</w:t>
      </w:r>
      <w:r>
        <w:rPr/>
        <w:t xml:space="preserve"> Gott rufen sie nicht an.“</w:t>
        <w:br/>
        <w:br/>
        <w:t xml:space="preserve">{{field-off:bible}} </w:t>
        <w:br/>
        <w:t>[[@BibleTOBIBLE:Ps 53:6]]</w:t>
      </w:r>
      <w:r>
        <w:rPr>
          <w:b/>
        </w:rPr>
        <w:t>6</w:t>
      </w:r>
      <w:r>
        <w:rPr/>
        <w:t xml:space="preserve"> {{field-on:bible}} </w:t>
        <w:br/>
        <w:t>Da erschraken sie einen Schrecken,</w:t>
      </w:r>
      <w:r>
        <w:rPr>
          <w:b/>
          <w:color w:val="808080"/>
        </w:rPr>
        <w:t>[</w:t>
      </w:r>
      <w:r>
        <w:rPr/>
        <w:t>Wie es</w:t>
      </w:r>
      <w:r>
        <w:rPr>
          <w:b/>
          <w:color w:val="808080"/>
        </w:rPr>
        <w:t>]</w:t>
      </w:r>
      <w:r>
        <w:rPr/>
        <w:t xml:space="preserve"> nie </w:t>
      </w:r>
      <w:r>
        <w:rPr>
          <w:b/>
          <w:color w:val="808080"/>
        </w:rPr>
        <w:t>[</w:t>
      </w:r>
      <w:r>
        <w:rPr/>
        <w:t>zuvor</w:t>
      </w:r>
      <w:r>
        <w:rPr>
          <w:b/>
          <w:color w:val="808080"/>
        </w:rPr>
        <w:t>]</w:t>
      </w:r>
      <w:r>
        <w:rPr/>
        <w:t xml:space="preserve"> Schrecken gab,</w:t>
      </w:r>
      <w:r>
        <w:rPr>
          <w:rStyle w:val="Funotenanker"/>
        </w:rPr>
        <w:footnoteReference w:customMarkFollows="1" w:id="994"/>
        <w:t>h</w:t>
      </w:r>
      <w:r>
        <w:rPr/>
        <w:t xml:space="preserve"> </w:t>
        <w:br/>
        <w:t>Denn Gott zerstreute die Knochen des bei dir Lagernden;</w:t>
      </w:r>
      <w:r>
        <w:rPr>
          <w:rStyle w:val="Funotenanker"/>
        </w:rPr>
        <w:footnoteReference w:customMarkFollows="1" w:id="995"/>
        <w:t>i</w:t>
      </w:r>
      <w:r>
        <w:rPr/>
        <w:t xml:space="preserve">Du machtest </w:t>
      </w:r>
      <w:r>
        <w:rPr>
          <w:b/>
          <w:color w:val="808080"/>
        </w:rPr>
        <w:t>[</w:t>
      </w:r>
      <w:r>
        <w:rPr/>
        <w:t>ihn</w:t>
      </w:r>
      <w:r>
        <w:rPr>
          <w:b/>
          <w:color w:val="808080"/>
        </w:rPr>
        <w:t>]</w:t>
      </w:r>
      <w:r>
        <w:rPr/>
        <w:t xml:space="preserve"> zuschanden, denn Gott verwarf sie.</w:t>
        <w:br/>
        <w:br/>
        <w:t xml:space="preserve">{{field-off:bible}} </w:t>
        <w:br/>
        <w:t>[[@BibleTOBIBLE:Ps 53:7]]</w:t>
      </w:r>
      <w:r>
        <w:rPr>
          <w:b/>
        </w:rPr>
        <w:t>7</w:t>
      </w:r>
      <w:r>
        <w:rPr/>
        <w:t xml:space="preserve"> {{field-on:bible}} </w:t>
        <w:br/>
        <w:t>Möge es doch vom Zion</w:t>
      </w:r>
      <w:r>
        <w:rPr>
          <w:rStyle w:val="Funotenanker"/>
        </w:rPr>
        <w:footnoteReference w:customMarkFollows="1" w:id="996"/>
        <w:t>j</w:t>
      </w:r>
      <w:r>
        <w:rPr/>
        <w:t xml:space="preserve"> Rettung für Israel geben!</w:t>
      </w:r>
      <w:r>
        <w:rPr>
          <w:rStyle w:val="Funotenanker"/>
        </w:rPr>
        <w:footnoteReference w:customMarkFollows="1" w:id="997"/>
        <w:t>k</w:t>
      </w:r>
      <w:r>
        <w:rPr/>
        <w:t xml:space="preserve"> </w:t>
        <w:br/>
        <w:t xml:space="preserve">Wenn Gott das Geschick </w:t>
      </w:r>
      <w:r>
        <w:rPr>
          <w:color w:val="808080"/>
        </w:rPr>
        <w:t>(die Gefangenschaft)</w:t>
      </w:r>
      <w:r>
        <w:rPr/>
        <w:t xml:space="preserve"> seines Volkes wendet,Möge Jakob</w:t>
      </w:r>
      <w:r>
        <w:rPr>
          <w:rStyle w:val="Funotenanker"/>
        </w:rPr>
        <w:footnoteReference w:customMarkFollows="1" w:id="998"/>
        <w:t>l</w:t>
      </w:r>
      <w:r>
        <w:rPr/>
        <w:t xml:space="preserve"> jubeln, Israel sich freuen!</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999"/>
        <w:t>Status</w:t>
      </w:r>
      <w:r>
        <w:rPr/>
        <w:t xml:space="preserve"> Für den obersten Musiker </w:t>
      </w:r>
      <w:r>
        <w:rPr>
          <w:color w:val="808080"/>
        </w:rPr>
        <w:t>(Chorleiter, Dirigenten, Aufseher, vorzusingen)</w:t>
      </w:r>
      <w:r>
        <w:rPr/>
        <w:t xml:space="preserve"> </w:t>
      </w:r>
      <w:r>
        <w:rPr>
          <w:rStyle w:val="Funotenanker"/>
        </w:rPr>
        <w:footnoteReference w:customMarkFollows="1" w:id="1000"/>
        <w:t>a</w:t>
      </w:r>
      <w:r>
        <w:rPr/>
        <w:t xml:space="preserve">. Mit Saiteninstrumenten </w:t>
      </w:r>
      <w:r>
        <w:rPr>
          <w:color w:val="808080"/>
        </w:rPr>
        <w:t>(fröhlicher Musik, Zupfinstrumenten)</w:t>
      </w:r>
      <w:r>
        <w:rPr/>
        <w:t xml:space="preserve"> </w:t>
      </w:r>
      <w:r>
        <w:rPr>
          <w:rStyle w:val="Funotenanker"/>
        </w:rPr>
        <w:footnoteReference w:customMarkFollows="1" w:id="1001"/>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1002"/>
        <w:t>c</w:t>
      </w:r>
      <w:r>
        <w:rPr/>
        <w:t>,</w:t>
      </w:r>
      <w:r>
        <w:rPr>
          <w:position w:val="8"/>
          <w:sz w:val="19"/>
        </w:rPr>
        <w:t>[[ ℘ &gt;&gt; BibleTOBIBLE:Nu 6:24]]</w:t>
      </w:r>
      <w:r>
        <w:rPr/>
        <w:t xml:space="preserve"> </w:t>
      </w:r>
      <w:r>
        <w:rPr>
          <w:rStyle w:val="Funotenanker"/>
        </w:rPr>
        <w:footnoteReference w:customMarkFollows="1" w:id="1003"/>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1004"/>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1005"/>
        <w:t>f</w:t>
      </w:r>
      <w:r>
        <w:rPr/>
        <w:t xml:space="preserve"> deine rettende Kraft </w:t>
      </w:r>
      <w:r>
        <w:rPr>
          <w:color w:val="808080"/>
        </w:rPr>
        <w:t>(Hilfe, Rettung, dein Eingeifen, Heil)</w:t>
      </w:r>
      <w:r>
        <w:rPr/>
        <w:t xml:space="preserve"> </w:t>
      </w:r>
      <w:r>
        <w:rPr>
          <w:rStyle w:val="Funotenanker"/>
        </w:rPr>
        <w:footnoteReference w:customMarkFollows="1" w:id="1006"/>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1007"/>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1008"/>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1009"/>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1010"/>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1011"/>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012"/>
        <w:t>Status</w:t>
      </w:r>
      <w:r>
        <w:rPr/>
        <w:t xml:space="preserve"> Ein Gebet von Mose, dem Mann Gottes: </w:t>
      </w:r>
      <w:r>
        <w:rPr>
          <w:position w:val="8"/>
          <w:sz w:val="19"/>
        </w:rPr>
        <w:t>[[ ℘ &gt;&gt; BibleTOBIBLE:Dt 33:1]]</w:t>
      </w:r>
      <w:r>
        <w:rPr/>
        <w:t xml:space="preserve"> </w:t>
        <w:br/>
        <w:t xml:space="preserve">Mein Herr </w:t>
      </w:r>
      <w:r>
        <w:rPr>
          <w:color w:val="808080"/>
        </w:rPr>
        <w:t>(Herr)</w:t>
      </w:r>
      <w:r>
        <w:rPr/>
        <w:t xml:space="preserve">, eine </w:t>
      </w:r>
      <w:r>
        <w:rPr>
          <w:b/>
          <w:color w:val="808080"/>
        </w:rPr>
        <w:t>[</w:t>
      </w:r>
      <w:r>
        <w:rPr/>
        <w:t>sichere</w:t>
      </w:r>
      <w:r>
        <w:rPr>
          <w:b/>
          <w:color w:val="808080"/>
        </w:rPr>
        <w:t>]</w:t>
      </w:r>
      <w:r>
        <w:rPr/>
        <w:t xml:space="preserv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1013"/>
        <w:t>a</w:t>
      </w:r>
      <w:r>
        <w:rPr/>
        <w:t xml:space="preserve">. </w:t>
      </w:r>
      <w:r>
        <w:rPr>
          <w:position w:val="8"/>
          <w:sz w:val="19"/>
        </w:rPr>
        <w:t>[[ ℘ &gt;&gt; BibleTOBIBLE:Dt 32:7]][[ ℘ &gt;&gt; BibleTOBIBLE:Dt 33:27]]</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1014"/>
        <w:t>b</w:t>
      </w:r>
      <w:r>
        <w:rPr/>
        <w:t xml:space="preserve"> hervorgebracht </w:t>
      </w:r>
      <w:r>
        <w:rPr>
          <w:color w:val="808080"/>
        </w:rPr>
        <w:t>(geboren)</w:t>
      </w:r>
      <w:r>
        <w:rPr/>
        <w:t xml:space="preserve"> </w:t>
      </w:r>
      <w:r>
        <w:rPr>
          <w:rStyle w:val="Funotenanker"/>
        </w:rPr>
        <w:footnoteReference w:customMarkFollows="1" w:id="1015"/>
        <w:t>c</w:t>
      </w:r>
      <w:r>
        <w:rPr/>
        <w:t xml:space="preserve"> hattest</w:t>
      </w:r>
      <w:r>
        <w:rPr>
          <w:rStyle w:val="Funotenanker"/>
        </w:rPr>
        <w:footnoteReference w:customMarkFollows="1" w:id="1016"/>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1017"/>
        <w:t>e</w:t>
      </w:r>
      <w:r>
        <w:rPr/>
        <w:t>.</w:t>
      </w:r>
      <w:r>
        <w:rPr>
          <w:position w:val="8"/>
          <w:sz w:val="19"/>
        </w:rPr>
        <w:t>[[ ℘ &gt;&gt; BibleTOBIBLE:Dt 33:15]]</w:t>
      </w:r>
      <w:r>
        <w:rPr/>
        <w:t xml:space="preserve"> </w:t>
        <w:br/>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1018"/>
        <w:t>f</w:t>
      </w:r>
      <w:r>
        <w:rPr/>
        <w:t xml:space="preserve"> </w:t>
      </w:r>
      <w:r>
        <w:rPr>
          <w:position w:val="8"/>
          <w:sz w:val="19"/>
        </w:rPr>
        <w:t>[[ ℘ &gt;&gt; BibleTOBIBLE:Ge 3:19]]</w:t>
      </w:r>
      <w:r>
        <w:rPr/>
        <w:t xml:space="preserve"> und sprichst: „Kehrt zurück </w:t>
      </w:r>
      <w:r>
        <w:rPr>
          <w:color w:val="808080"/>
        </w:rPr>
        <w:t>(kehrt um)</w:t>
      </w:r>
      <w:r>
        <w:rPr/>
        <w:t xml:space="preserve"> </w:t>
      </w:r>
      <w:r>
        <w:rPr>
          <w:rStyle w:val="Funotenanker"/>
        </w:rPr>
        <w:footnoteReference w:customMarkFollows="1" w:id="1019"/>
        <w:t>g</w:t>
      </w:r>
      <w:r>
        <w:rPr/>
        <w:t xml:space="preserve">, ihr Kinder des Menschen </w:t>
      </w:r>
      <w:r>
        <w:rPr>
          <w:color w:val="808080"/>
        </w:rPr>
        <w:t>(Adams Söhne, 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1020"/>
        <w:t>h</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1021"/>
        <w:t>i</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1022"/>
        <w:t>j</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1023"/>
        <w:t>k</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1024"/>
        <w:t>l</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1025"/>
        <w:t>m</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1026"/>
        <w:t>n</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mit Kraft </w:t>
      </w:r>
      <w:r>
        <w:rPr>
          <w:color w:val="808080"/>
        </w:rPr>
        <w:t xml:space="preserve">(durch </w:t>
      </w:r>
      <w:r>
        <w:rPr>
          <w:b/>
          <w:color w:val="808080"/>
        </w:rPr>
        <w:t>[</w:t>
      </w:r>
      <w:r>
        <w:rPr>
          <w:color w:val="808080"/>
        </w:rPr>
        <w:t>deine</w:t>
      </w:r>
      <w:r>
        <w:rPr>
          <w:b/>
          <w:color w:val="808080"/>
        </w:rPr>
        <w:t>]</w:t>
      </w:r>
      <w:r>
        <w:rPr>
          <w:color w:val="808080"/>
        </w:rPr>
        <w:t xml:space="preserve"> Kraft </w:t>
      </w:r>
      <w:r>
        <w:rPr>
          <w:b/>
          <w:color w:val="808080"/>
        </w:rPr>
        <w:t>[</w:t>
      </w:r>
      <w:r>
        <w:rPr>
          <w:color w:val="808080"/>
        </w:rPr>
        <w:t>unterstützt</w:t>
      </w:r>
      <w:r>
        <w:rPr>
          <w:b/>
          <w:color w:val="808080"/>
        </w:rPr>
        <w:t>]</w:t>
      </w:r>
      <w:r>
        <w:rPr>
          <w:color w:val="808080"/>
        </w:rPr>
        <w:t xml:space="preserve"> </w:t>
      </w:r>
      <w:r>
        <w:rPr>
          <w:rStyle w:val="Funotenanker"/>
        </w:rPr>
        <w:footnoteReference w:customMarkFollows="1" w:id="1027"/>
        <w:t>o</w:t>
      </w:r>
      <w:r>
        <w:rPr/>
        <w:t xml:space="preserve"> </w:t>
      </w:r>
      <w:r>
        <w:rPr>
          <w:color w:val="808080"/>
        </w:rPr>
        <w:t>, wenn in Kraft)</w:t>
      </w:r>
      <w:r>
        <w:rPr/>
        <w:t xml:space="preserve"> achtzig Jahre.</w:t>
        <w:br/>
      </w:r>
      <w:r>
        <w:rPr>
          <w:strike/>
          <w:color w:val="808080"/>
        </w:rPr>
        <w:t>{und}</w:t>
      </w:r>
      <w:r>
        <w:rPr/>
        <w:t xml:space="preserve"> Ihr Stolz</w:t>
      </w:r>
      <w:r>
        <w:rPr>
          <w:rStyle w:val="Funotenanker"/>
        </w:rPr>
        <w:footnoteReference w:customMarkFollows="1" w:id="1028"/>
        <w:t>p</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die Furcht vor dir </w:t>
      </w:r>
      <w:r>
        <w:rPr>
          <w:color w:val="808080"/>
        </w:rPr>
        <w:t>(deine Furcht)</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r>
      <w:r>
        <w:rPr>
          <w:position w:val="8"/>
          <w:sz w:val="19"/>
        </w:rPr>
        <w:t>[[ ℘ &gt;&gt; BibleTOBIBLE:Ex 32:12]][[ ℘ &gt;&gt; BibleTOBIBLE:Dt 32:26]]</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1029"/>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1030"/>
        <w:t>r</w:t>
      </w:r>
      <w:r>
        <w:rPr/>
        <w:t xml:space="preserve"> deinen Knechten </w:t>
      </w:r>
      <w:r>
        <w:rPr>
          <w:color w:val="808080"/>
        </w:rPr>
        <w:t>(Sklaven, Dienern)</w:t>
      </w:r>
      <w:r>
        <w:rPr/>
        <w:t xml:space="preserve"> dein Handeln und deine Herrlichkeit </w:t>
      </w:r>
      <w:r>
        <w:rPr>
          <w:color w:val="808080"/>
        </w:rPr>
        <w:t>(Glanz, Majestät, Macht)</w:t>
      </w:r>
      <w:r>
        <w:rPr/>
        <w:t xml:space="preserve"> ihren Kindern </w:t>
      </w:r>
      <w:r>
        <w:rPr>
          <w:color w:val="808080"/>
        </w:rPr>
        <w:t>(Söhnen)</w:t>
      </w:r>
      <w:r>
        <w:rPr/>
        <w:t xml:space="preserve">! </w:t>
      </w:r>
      <w:r>
        <w:rPr>
          <w:position w:val="8"/>
          <w:sz w:val="19"/>
        </w:rPr>
        <w:t>[[ ℘ &gt;&gt; BibleTOBIBLE:Dt 32:18]]</w:t>
      </w:r>
      <w:r>
        <w:rPr/>
        <w:t xml:space="preserve"> </w:t>
        <w:br/>
        <w:br/>
        <w:t xml:space="preserve">{{field-off:bible}} </w:t>
        <w:br/>
        <w:t>[[@BibleTOBIBLE:Ps 90:17]]</w:t>
      </w:r>
      <w:r>
        <w:rPr>
          <w:b/>
        </w:rPr>
        <w:t>17</w:t>
      </w:r>
      <w:r>
        <w:rPr/>
        <w:t xml:space="preserve"> {{field-on:bible}} </w:t>
        <w:br/>
        <w:t xml:space="preserve">Die Freundlichkeit </w:t>
      </w:r>
      <w:r>
        <w:rPr>
          <w:color w:val="808080"/>
        </w:rPr>
        <w:t>(Gunst)</w:t>
      </w:r>
      <w:r>
        <w:rPr/>
        <w:t xml:space="preserve"> des Herrn </w:t>
      </w:r>
      <w:r>
        <w:rPr>
          <w:color w:val="808080"/>
        </w:rPr>
        <w:t>(meines 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1031"/>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1032"/>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1033"/>
        <w:t>a</w:t>
      </w:r>
      <w:r>
        <w:rPr/>
        <w:t xml:space="preserve"> </w:t>
      </w:r>
      <w:r>
        <w:rPr>
          <w:color w:val="808080"/>
        </w:rPr>
        <w:t>)</w:t>
      </w:r>
      <w:r>
        <w:rPr/>
        <w:t xml:space="preserve"> </w:t>
      </w:r>
      <w:r>
        <w:rPr>
          <w:rStyle w:val="Funotenanker"/>
        </w:rPr>
        <w:footnoteReference w:customMarkFollows="1" w:id="1034"/>
        <w:t>b</w:t>
      </w:r>
      <w:r>
        <w:rPr/>
        <w:t xml:space="preserve">. </w:t>
        <w:br/>
        <w:t xml:space="preserve">Jubelt </w:t>
      </w:r>
      <w:r>
        <w:rPr>
          <w:color w:val="808080"/>
        </w:rPr>
        <w:t>(schreit vor Freude)</w:t>
      </w:r>
      <w:r>
        <w:rPr/>
        <w:t xml:space="preserve"> </w:t>
      </w:r>
      <w:r>
        <w:rPr>
          <w:rStyle w:val="Funotenanker"/>
        </w:rPr>
        <w:footnoteReference w:customMarkFollows="1" w:id="1035"/>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1036"/>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1037"/>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1038"/>
        <w:t>f</w:t>
      </w:r>
      <w:r>
        <w:rPr/>
        <w:t xml:space="preserve"> in Freudengeschrei </w:t>
      </w:r>
      <w:r>
        <w:rPr>
          <w:color w:val="808080"/>
        </w:rPr>
        <w:t>(Freudenliedern)</w:t>
      </w:r>
      <w:r>
        <w:rPr/>
        <w:t xml:space="preserve"> </w:t>
      </w:r>
      <w:r>
        <w:rPr>
          <w:rStyle w:val="Funotenanker"/>
        </w:rPr>
        <w:footnoteReference w:customMarkFollows="1" w:id="1039"/>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1040"/>
        <w:t>h</w:t>
      </w:r>
      <w:r>
        <w:rPr/>
        <w:t>!</w:t>
        <w:br/>
        <w:br/>
        <w:t xml:space="preserve">Er hat uns erschaffen, sein sind wir </w:t>
      </w:r>
      <w:r>
        <w:rPr>
          <w:color w:val="808080"/>
        </w:rPr>
        <w:t>(und nicht wir)</w:t>
      </w:r>
      <w:r>
        <w:rPr/>
        <w:t xml:space="preserve"> </w:t>
      </w:r>
      <w:r>
        <w:rPr>
          <w:rStyle w:val="Funotenanker"/>
        </w:rPr>
        <w:footnoteReference w:customMarkFollows="1" w:id="1041"/>
        <w:t>i</w:t>
      </w:r>
      <w:r>
        <w:rPr/>
        <w:t xml:space="preserve"> </w:t>
      </w:r>
      <w:r>
        <w:rPr>
          <w:b/>
          <w:color w:val="808080"/>
        </w:rPr>
        <w:t>[</w:t>
      </w:r>
      <w:r>
        <w:rPr/>
        <w:t>wir sind</w:t>
      </w:r>
      <w:r>
        <w:rPr>
          <w:b/>
          <w:color w:val="808080"/>
        </w:rPr>
        <w:t>]</w:t>
      </w:r>
      <w:r>
        <w:rPr/>
        <w:t xml:space="preserve"> </w:t>
      </w:r>
      <w:r>
        <w:rPr>
          <w:rStyle w:val="Funotenanker"/>
        </w:rPr>
        <w:footnoteReference w:customMarkFollows="1" w:id="1042"/>
        <w:t>j</w:t>
      </w:r>
      <w:r>
        <w:rPr/>
        <w:t xml:space="preserve"> sein Volk und die Herde seiner Weide</w:t>
      </w:r>
      <w:r>
        <w:rPr>
          <w:rStyle w:val="Funotenanker"/>
        </w:rPr>
        <w:footnoteReference w:customMarkFollows="1" w:id="1043"/>
        <w:t>k</w:t>
      </w:r>
      <w:r>
        <w:rPr/>
        <w:t>.</w:t>
      </w:r>
      <w:r>
        <w:rPr>
          <w:rStyle w:val="Funotenanker"/>
        </w:rPr>
        <w:footnoteReference w:customMarkFollows="1" w:id="1044"/>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1045"/>
        <w:t>m</w:t>
      </w:r>
      <w:r>
        <w:rPr/>
        <w:t xml:space="preserve"> mit Danklied </w:t>
      </w:r>
      <w:r>
        <w:rPr>
          <w:color w:val="808080"/>
        </w:rPr>
        <w:t>(Dankopfer, Loblied)</w:t>
      </w:r>
      <w:r>
        <w:rPr/>
        <w:t xml:space="preserve"> </w:t>
      </w:r>
      <w:r>
        <w:rPr>
          <w:rStyle w:val="Funotenanker"/>
        </w:rPr>
        <w:footnoteReference w:customMarkFollows="1" w:id="1046"/>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1047"/>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1048"/>
        <w:t>p</w:t>
      </w:r>
      <w:r>
        <w:rPr/>
        <w:t xml:space="preserve"> seinem Namen </w:t>
      </w:r>
      <w:r>
        <w:rPr>
          <w:color w:val="808080"/>
        </w:rPr>
        <w:t>(ihm)</w:t>
      </w:r>
      <w:r>
        <w:rPr/>
        <w:t xml:space="preserve"> </w:t>
      </w:r>
      <w:r>
        <w:rPr>
          <w:rStyle w:val="Funotenanker"/>
        </w:rPr>
        <w:footnoteReference w:customMarkFollows="1" w:id="1049"/>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1050"/>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104]]Kapitel 104</w:t>
      </w:r>
    </w:p>
    <w:p>
      <w:pPr>
        <w:pStyle w:val="Textkrper"/>
        <w:rPr/>
      </w:pPr>
      <w:r>
        <w:rPr/>
        <w:br/>
        <w:t>[[@BibleTOBIBLE:Ps 104:1]]</w:t>
      </w:r>
      <w:r>
        <w:rPr>
          <w:b/>
        </w:rPr>
        <w:t>1</w:t>
      </w:r>
      <w:r>
        <w:rPr/>
        <w:t xml:space="preserve"> {{field-on:bible}} </w:t>
        <w:br/>
      </w:r>
      <w:r>
        <w:rPr>
          <w:rStyle w:val="Funotenanker"/>
        </w:rPr>
        <w:footnoteReference w:customMarkFollows="1" w:id="1051"/>
        <w:t>Status</w:t>
      </w:r>
      <w:r>
        <w:rPr/>
        <w:t xml:space="preserve"> ''</w:t>
      </w:r>
      <w:r>
        <w:rPr>
          <w:color w:val="808080"/>
        </w:rPr>
        <w:t>(</w:t>
      </w:r>
      <w:r>
        <w:rPr>
          <w:b/>
          <w:color w:val="808080"/>
        </w:rPr>
        <w:t>[</w:t>
      </w:r>
      <w:r>
        <w:rPr>
          <w:color w:val="808080"/>
        </w:rPr>
        <w:t>Von (für, nach Art von) David</w:t>
      </w:r>
      <w:r>
        <w:rPr>
          <w:b/>
          <w:color w:val="808080"/>
        </w:rPr>
        <w:t>]</w:t>
      </w:r>
      <w:r>
        <w:rPr>
          <w:color w:val="808080"/>
        </w:rPr>
        <w:t>)</w:t>
      </w:r>
      <w:r>
        <w:rPr/>
        <w:t>''</w:t>
      </w:r>
      <w:r>
        <w:rPr>
          <w:rStyle w:val="Funotenanker"/>
        </w:rPr>
        <w:footnoteReference w:customMarkFollows="1" w:id="1052"/>
        <w:t>a</w:t>
      </w:r>
      <w:r>
        <w:rPr/>
        <w:t xml:space="preserve"> </w:t>
        <w:br/>
        <w:br/>
        <w:t xml:space="preserve">Preise, meine Seele, </w:t>
      </w:r>
      <w:r>
        <w:rPr>
          <w:smallCaps/>
          <w:color w:val="FF0000"/>
        </w:rPr>
        <w:t>JHWH</w:t>
      </w:r>
      <w:r>
        <w:rPr/>
        <w:t>!</w:t>
      </w:r>
      <w:r>
        <w:rPr>
          <w:rStyle w:val="Funotenanker"/>
        </w:rPr>
        <w:footnoteReference w:customMarkFollows="1" w:id="1053"/>
        <w:t>b</w:t>
      </w:r>
      <w:r>
        <w:rPr/>
        <w:t xml:space="preserve"> </w:t>
        <w:br/>
        <w:br/>
      </w:r>
      <w:r>
        <w:rPr>
          <w:smallCaps/>
          <w:color w:val="FF0000"/>
        </w:rPr>
        <w:t>JHWH</w:t>
      </w:r>
      <w:r>
        <w:rPr/>
        <w:t>, mein Gott,</w:t>
      </w:r>
      <w:r>
        <w:rPr>
          <w:rStyle w:val="Funotenanker"/>
        </w:rPr>
        <w:footnoteReference w:customMarkFollows="1" w:id="1054"/>
        <w:t>c</w:t>
      </w:r>
      <w:r>
        <w:rPr/>
        <w:t xml:space="preserve"> </w:t>
      </w:r>
      <w:r>
        <w:rPr>
          <w:b/>
          <w:color w:val="808080"/>
        </w:rPr>
        <w:t>[</w:t>
      </w:r>
      <w:r>
        <w:rPr/>
        <w:t>du bist</w:t>
      </w:r>
      <w:r>
        <w:rPr>
          <w:b/>
          <w:color w:val="808080"/>
        </w:rPr>
        <w:t>]</w:t>
      </w:r>
      <w:r>
        <w:rPr/>
        <w:t xml:space="preserve"> </w:t>
      </w:r>
      <w:r>
        <w:rPr>
          <w:color w:val="808080"/>
        </w:rPr>
        <w:t>(</w:t>
      </w:r>
      <w:r>
        <w:rPr>
          <w:b/>
          <w:color w:val="808080"/>
        </w:rPr>
        <w:t>[</w:t>
      </w:r>
      <w:r>
        <w:rPr>
          <w:color w:val="808080"/>
        </w:rPr>
        <w:t>ist</w:t>
      </w:r>
      <w:r>
        <w:rPr>
          <w:b/>
          <w:color w:val="808080"/>
        </w:rPr>
        <w:t>]</w:t>
      </w:r>
      <w:r>
        <w:rPr>
          <w:color w:val="808080"/>
        </w:rPr>
        <w:t>)</w:t>
      </w:r>
      <w:r>
        <w:rPr/>
        <w:t xml:space="preserve"> sehr groß!</w:t>
        <w:br/>
        <w:t xml:space="preserve">Du bist bekleidet </w:t>
      </w:r>
      <w:r>
        <w:rPr>
          <w:color w:val="808080"/>
        </w:rPr>
        <w:t>(hast dich bekleidet)</w:t>
      </w:r>
      <w:r>
        <w:rPr/>
        <w:t xml:space="preserve"> mit Majestät und Herrlichkeit </w:t>
      </w:r>
      <w:r>
        <w:rPr>
          <w:color w:val="808080"/>
        </w:rPr>
        <w:t>(majestätischer Herrlichkeit/Pracht)</w:t>
      </w:r>
      <w:r>
        <w:rPr/>
        <w:t>,</w:t>
      </w:r>
      <w:r>
        <w:rPr>
          <w:rStyle w:val="Funotenanker"/>
        </w:rPr>
        <w:footnoteReference w:customMarkFollows="1" w:id="1055"/>
        <w:t>d</w:t>
      </w:r>
      <w:r>
        <w:rPr/>
        <w:t xml:space="preserve"> </w:t>
        <w:br/>
        <w:t xml:space="preserve">{{field-off:bible}} </w:t>
        <w:br/>
        <w:t>[[@BibleTOBIBLE:Ps 104:2]]</w:t>
      </w:r>
      <w:r>
        <w:rPr>
          <w:b/>
        </w:rPr>
        <w:t>2</w:t>
      </w:r>
      <w:r>
        <w:rPr/>
        <w:t xml:space="preserve"> {{field-on:bible}} </w:t>
        <w:br/>
      </w:r>
      <w:r>
        <w:rPr>
          <w:b/>
          <w:color w:val="808080"/>
        </w:rPr>
        <w:t>[</w:t>
      </w:r>
      <w:r>
        <w:rPr/>
        <w:t>Bist</w:t>
      </w:r>
      <w:r>
        <w:rPr>
          <w:b/>
          <w:color w:val="808080"/>
        </w:rPr>
        <w:t>]</w:t>
      </w:r>
      <w:r>
        <w:rPr/>
        <w:t xml:space="preserve"> mit Licht wie mit einem Mantel umhüllt </w:t>
      </w:r>
      <w:r>
        <w:rPr>
          <w:color w:val="808080"/>
        </w:rPr>
        <w:t>(verhüllt, ein Eingehüllter)</w:t>
      </w:r>
      <w:r>
        <w:rPr/>
        <w:t>,</w:t>
      </w:r>
      <w:r>
        <w:rPr>
          <w:rStyle w:val="Funotenanker"/>
        </w:rPr>
        <w:footnoteReference w:customMarkFollows="1" w:id="1056"/>
        <w:t>e</w:t>
      </w:r>
      <w:r>
        <w:rPr/>
        <w:t xml:space="preserve"> </w:t>
      </w:r>
      <w:r>
        <w:rPr>
          <w:rStyle w:val="Funotenanker"/>
        </w:rPr>
        <w:footnoteReference w:customMarkFollows="1" w:id="1057"/>
        <w:t>f</w:t>
      </w:r>
      <w:r>
        <w:rPr/>
        <w:t xml:space="preserve"> </w:t>
      </w:r>
      <w:r>
        <w:rPr>
          <w:position w:val="8"/>
          <w:sz w:val="19"/>
        </w:rPr>
        <w:t>[[ ℘ &gt;&gt; BibleTOBIBLE:Job 36:30]][[ ℘ &gt;&gt; BibleTOBIBLE:Hab 3:4]][[ ℘ &gt;&gt; BibleTOBIBLE:Re 12:1]]</w:t>
      </w:r>
      <w:r>
        <w:rPr/>
        <w:t xml:space="preserve"> </w:t>
        <w:br/>
        <w:br/>
      </w:r>
      <w:r>
        <w:rPr>
          <w:b/>
          <w:color w:val="808080"/>
        </w:rPr>
        <w:t>[</w:t>
      </w:r>
      <w:r>
        <w:rPr/>
        <w:t>Oh, du</w:t>
      </w:r>
      <w:r>
        <w:rPr>
          <w:b/>
          <w:color w:val="808080"/>
        </w:rPr>
        <w:t>]</w:t>
      </w:r>
      <w:r>
        <w:rPr/>
        <w:t xml:space="preserve"> </w:t>
      </w:r>
      <w:r>
        <w:rPr>
          <w:rStyle w:val="Funotenanker"/>
        </w:rPr>
        <w:footnoteReference w:customMarkFollows="1" w:id="1058"/>
        <w:t>g</w:t>
      </w:r>
      <w:r>
        <w:rPr/>
        <w:t xml:space="preserve"> </w:t>
      </w:r>
      <w:r>
        <w:rPr>
          <w:b/>
          <w:color w:val="808080"/>
        </w:rPr>
        <w:t>[</w:t>
      </w:r>
      <w:r>
        <w:rPr/>
        <w:t>bists</w:t>
      </w:r>
      <w:r>
        <w:rPr>
          <w:b/>
          <w:color w:val="808080"/>
        </w:rPr>
        <w:t>]</w:t>
      </w:r>
      <w:r>
        <w:rPr/>
        <w:t>, der den Himmel wie eine Zeltdecke ausspannte</w:t>
      </w:r>
      <w:r>
        <w:rPr>
          <w:rStyle w:val="Funotenanker"/>
        </w:rPr>
        <w:footnoteReference w:customMarkFollows="1" w:id="1059"/>
        <w:t>h</w:t>
      </w:r>
      <w:r>
        <w:rPr/>
        <w:t xml:space="preserve"> </w:t>
      </w:r>
      <w:r>
        <w:rPr>
          <w:color w:val="808080"/>
        </w:rPr>
        <w:t>(bist ausspannend)</w:t>
      </w:r>
      <w:r>
        <w:rPr/>
        <w:t xml:space="preserve">, </w:t>
      </w:r>
      <w:r>
        <w:rPr>
          <w:position w:val="8"/>
          <w:sz w:val="19"/>
        </w:rPr>
        <w:t>[[ ℘ &gt;&gt; BibleTOBIBLE:Is 40:22]]</w:t>
      </w:r>
      <w:r>
        <w:rPr/>
        <w:t xml:space="preserve"> </w:t>
        <w:br/>
        <w:t xml:space="preserve">{{field-off:bible}} </w:t>
        <w:br/>
        <w:t>[[@BibleTOBIBLE:Ps 104:3]]</w:t>
      </w:r>
      <w:r>
        <w:rPr>
          <w:b/>
        </w:rPr>
        <w:t>3</w:t>
      </w:r>
      <w:r>
        <w:rPr/>
        <w:t xml:space="preserve"> {{field-on:bible}} </w:t>
        <w:br/>
      </w:r>
      <w:r>
        <w:rPr>
          <w:b/>
          <w:color w:val="808080"/>
        </w:rPr>
        <w:t>[</w:t>
      </w:r>
      <w:r>
        <w:rPr/>
        <w:t>Bist</w:t>
      </w:r>
      <w:r>
        <w:rPr>
          <w:b/>
          <w:color w:val="808080"/>
        </w:rPr>
        <w:t>]</w:t>
      </w:r>
      <w:r>
        <w:rPr/>
        <w:t xml:space="preserve"> der, der bälkte </w:t>
      </w:r>
      <w:r>
        <w:rPr>
          <w:color w:val="808080"/>
        </w:rPr>
        <w:t>(zimmerte)</w:t>
      </w:r>
      <w:r>
        <w:rPr/>
        <w:t xml:space="preserve"> im </w:t>
      </w:r>
      <w:r>
        <w:rPr>
          <w:color w:val="808080"/>
        </w:rPr>
        <w:t>(mit)</w:t>
      </w:r>
      <w:r>
        <w:rPr/>
        <w:t xml:space="preserve"> Wasser ein Obergemach</w:t>
      </w:r>
      <w:r>
        <w:rPr>
          <w:rStyle w:val="Funotenanker"/>
        </w:rPr>
        <w:footnoteReference w:customMarkFollows="1" w:id="1060"/>
        <w:t>i</w:t>
      </w:r>
      <w:r>
        <w:rPr/>
        <w:t xml:space="preserve"> </w:t>
      </w:r>
      <w:r>
        <w:rPr>
          <w:position w:val="8"/>
          <w:sz w:val="19"/>
        </w:rPr>
        <w:t>[[ ℘ &gt;&gt; BibleTOBIBLE:Am 9:6]]</w:t>
      </w:r>
      <w:r>
        <w:rPr/>
        <w:t xml:space="preserve"> </w:t>
      </w:r>
      <w:r>
        <w:rPr>
          <w:b/>
          <w:color w:val="808080"/>
        </w:rPr>
        <w:t>[</w:t>
      </w:r>
      <w:r>
        <w:rPr/>
        <w:t>Bist</w:t>
      </w:r>
      <w:r>
        <w:rPr>
          <w:b/>
          <w:color w:val="808080"/>
        </w:rPr>
        <w:t>]</w:t>
      </w:r>
      <w:r>
        <w:rPr/>
        <w:t xml:space="preserve"> der, der dort</w:t>
      </w:r>
      <w:r>
        <w:rPr>
          <w:rStyle w:val="Funotenanker"/>
        </w:rPr>
        <w:footnoteReference w:customMarkFollows="1" w:id="1061"/>
        <w:t>j</w:t>
      </w:r>
      <w:r>
        <w:rPr/>
        <w:t xml:space="preserve"> Wolken </w:t>
      </w:r>
      <w:r>
        <w:rPr>
          <w:b/>
          <w:color w:val="808080"/>
        </w:rPr>
        <w:t>[</w:t>
      </w:r>
      <w:r>
        <w:rPr/>
        <w:t>als</w:t>
      </w:r>
      <w:r>
        <w:rPr>
          <w:b/>
          <w:color w:val="808080"/>
        </w:rPr>
        <w:t>]</w:t>
      </w:r>
      <w:r>
        <w:rPr/>
        <w:t xml:space="preserve"> seinen Wagen </w:t>
      </w:r>
      <w:r>
        <w:rPr>
          <w:color w:val="808080"/>
        </w:rPr>
        <w:t>(sein Fahrzeug)</w:t>
      </w:r>
      <w:r>
        <w:rPr/>
        <w:t xml:space="preserve"> </w:t>
      </w:r>
      <w:r>
        <w:rPr>
          <w:b/>
          <w:color w:val="808080"/>
        </w:rPr>
        <w:t>[</w:t>
      </w:r>
      <w:r>
        <w:rPr/>
        <w:t>hat</w:t>
      </w:r>
      <w:r>
        <w:rPr>
          <w:b/>
          <w:color w:val="808080"/>
        </w:rPr>
        <w:t>]</w:t>
      </w:r>
      <w:r>
        <w:rPr/>
        <w:t>,</w:t>
      </w:r>
      <w:r>
        <w:rPr>
          <w:rStyle w:val="Funotenanker"/>
        </w:rPr>
        <w:footnoteReference w:customMarkFollows="1" w:id="1062"/>
        <w:t>k</w:t>
      </w:r>
      <w:r>
        <w:rPr/>
        <w:t xml:space="preserve"> </w:t>
      </w:r>
      <w:r>
        <w:rPr>
          <w:position w:val="8"/>
          <w:sz w:val="19"/>
        </w:rPr>
        <w:t>[[ ℘ &gt;&gt; BibleTOBIBLE:Dt 33:26]][[ ℘ &gt;&gt; BibleTOBIBLE:2Sa 22:12]][[ ℘ &gt;&gt; BibleTOBIBLE:Ps 18:12]][[ ℘ &gt;&gt; BibleTOBIBLE:Ps 68:5]][[ ℘ &gt;&gt; BibleTOBIBLE:Is 19:1]]</w:t>
      </w:r>
      <w:r>
        <w:rPr/>
        <w:t xml:space="preserve"> </w:t>
      </w:r>
      <w:r>
        <w:rPr>
          <w:b/>
          <w:color w:val="808080"/>
        </w:rPr>
        <w:t>[</w:t>
      </w:r>
      <w:r>
        <w:rPr/>
        <w:t>Bist</w:t>
      </w:r>
      <w:r>
        <w:rPr>
          <w:b/>
          <w:color w:val="808080"/>
        </w:rPr>
        <w:t>]</w:t>
      </w:r>
      <w:r>
        <w:rPr/>
        <w:t xml:space="preserve"> der, der sich fortbewegt </w:t>
      </w:r>
      <w:r>
        <w:rPr>
          <w:color w:val="808080"/>
        </w:rPr>
        <w:t xml:space="preserve">(bist </w:t>
      </w:r>
      <w:r>
        <w:rPr>
          <w:b/>
          <w:color w:val="808080"/>
        </w:rPr>
        <w:t>[</w:t>
      </w:r>
      <w:r>
        <w:rPr>
          <w:color w:val="808080"/>
        </w:rPr>
        <w:t>dich</w:t>
      </w:r>
      <w:r>
        <w:rPr>
          <w:b/>
          <w:color w:val="808080"/>
        </w:rPr>
        <w:t>]</w:t>
      </w:r>
      <w:r>
        <w:rPr>
          <w:color w:val="808080"/>
        </w:rPr>
        <w:t xml:space="preserve"> fortbewegend)</w:t>
      </w:r>
      <w:r>
        <w:rPr/>
        <w:t xml:space="preserve"> auf den Flügeln des Windes</w:t>
      </w:r>
      <w:r>
        <w:rPr>
          <w:rStyle w:val="Funotenanker"/>
        </w:rPr>
        <w:footnoteReference w:customMarkFollows="1" w:id="1063"/>
        <w:t>l</w:t>
      </w:r>
      <w:r>
        <w:rPr/>
        <w:t>,</w:t>
      </w:r>
      <w:r>
        <w:rPr>
          <w:rStyle w:val="Funotenanker"/>
        </w:rPr>
        <w:footnoteReference w:customMarkFollows="1" w:id="1064"/>
        <w:t>m</w:t>
      </w:r>
      <w:r>
        <w:rPr/>
        <w:t xml:space="preserve"> </w:t>
      </w:r>
      <w:r>
        <w:rPr>
          <w:position w:val="8"/>
          <w:sz w:val="19"/>
        </w:rPr>
        <w:t>[[ ℘ &gt;&gt; BibleTOBIBLE:2Sa 22:11]][[ ℘ &gt;&gt; BibleTOBIBLE:Ps 18:11]][[ ℘ &gt;&gt; BibleTOBIBLE:Eze 9:3]][[ ℘ &gt;&gt; BibleTOBIBLE:Eze 10:4]][[ ℘ &gt;&gt; BibleTOBIBLE:Eze 10:18]][[ ℘ &gt;&gt; BibleTOBIBLE:Eze 11:22]]</w:t>
      </w:r>
      <w:r>
        <w:rPr/>
        <w:t xml:space="preserve"> </w:t>
        <w:br/>
        <w:t xml:space="preserve">{{field-off:bible}} </w:t>
        <w:br/>
        <w:t>[[@BibleTOBIBLE:Ps 104:4]]</w:t>
      </w:r>
      <w:r>
        <w:rPr>
          <w:b/>
        </w:rPr>
        <w:t>4</w:t>
      </w:r>
      <w:r>
        <w:rPr/>
        <w:t xml:space="preserve"> {{field-on:bible}} </w:t>
        <w:br/>
      </w:r>
      <w:r>
        <w:rPr>
          <w:b/>
          <w:color w:val="808080"/>
        </w:rPr>
        <w:t>[</w:t>
      </w:r>
      <w:r>
        <w:rPr/>
        <w:t>Bists</w:t>
      </w:r>
      <w:r>
        <w:rPr>
          <w:b/>
          <w:color w:val="808080"/>
        </w:rPr>
        <w:t>]</w:t>
      </w:r>
      <w:r>
        <w:rPr/>
        <w:t xml:space="preserve">, der macht </w:t>
      </w:r>
      <w:r>
        <w:rPr>
          <w:color w:val="808080"/>
        </w:rPr>
        <w:t>(bist machend)</w:t>
      </w:r>
      <w:r>
        <w:rPr/>
        <w:t xml:space="preserve"> zu seinen Boten Winde</w:t>
      </w:r>
      <w:r>
        <w:rPr>
          <w:rStyle w:val="Funotenanker"/>
        </w:rPr>
        <w:footnoteReference w:customMarkFollows="1" w:id="1065"/>
        <w:t>n</w:t>
      </w:r>
      <w:r>
        <w:rPr/>
        <w:t xml:space="preserve"> </w:t>
      </w:r>
      <w:r>
        <w:rPr>
          <w:color w:val="808080"/>
        </w:rPr>
        <w:t>(seine Boten zu Winden)</w:t>
      </w:r>
      <w:r>
        <w:rPr/>
        <w:t>,</w:t>
      </w:r>
      <w:r>
        <w:rPr>
          <w:rStyle w:val="Funotenanker"/>
        </w:rPr>
        <w:footnoteReference w:customMarkFollows="1" w:id="1066"/>
        <w:t>o</w:t>
      </w:r>
      <w:r>
        <w:rPr/>
        <w:t xml:space="preserve">Zu seinen Dienern </w:t>
      </w:r>
      <w:r>
        <w:rPr>
          <w:color w:val="808080"/>
        </w:rPr>
        <w:t xml:space="preserve">(Seine Diener </w:t>
      </w:r>
      <w:r>
        <w:rPr>
          <w:b/>
          <w:color w:val="808080"/>
        </w:rPr>
        <w:t>[</w:t>
      </w:r>
      <w:r>
        <w:rPr>
          <w:color w:val="808080"/>
        </w:rPr>
        <w:t>sind</w:t>
      </w:r>
      <w:r>
        <w:rPr>
          <w:b/>
          <w:color w:val="808080"/>
        </w:rPr>
        <w:t>]</w:t>
      </w:r>
      <w:r>
        <w:rPr>
          <w:color w:val="808080"/>
        </w:rPr>
        <w:t>)</w:t>
      </w:r>
      <w:r>
        <w:rPr/>
        <w:t xml:space="preserve"> flammendes Feuer </w:t>
      </w:r>
      <w:r>
        <w:rPr>
          <w:color w:val="808080"/>
        </w:rPr>
        <w:t xml:space="preserve">(Flamme </w:t>
      </w:r>
      <w:r>
        <w:rPr>
          <w:b/>
          <w:color w:val="808080"/>
        </w:rPr>
        <w:t>[</w:t>
      </w:r>
      <w:r>
        <w:rPr>
          <w:color w:val="808080"/>
        </w:rPr>
        <w:t>und</w:t>
      </w:r>
      <w:r>
        <w:rPr>
          <w:b/>
          <w:color w:val="808080"/>
        </w:rPr>
        <w:t>]</w:t>
      </w:r>
      <w:r>
        <w:rPr>
          <w:color w:val="808080"/>
        </w:rPr>
        <w:t xml:space="preserve"> Feuer)</w:t>
      </w:r>
      <w:r>
        <w:rPr/>
        <w:t>,</w:t>
      </w:r>
      <w:r>
        <w:rPr>
          <w:rStyle w:val="Funotenanker"/>
        </w:rPr>
        <w:footnoteReference w:customMarkFollows="1" w:id="1067"/>
        <w:t>p</w:t>
      </w:r>
      <w:r>
        <w:rPr/>
        <w:t xml:space="preserve"> </w:t>
      </w:r>
      <w:r>
        <w:rPr>
          <w:position w:val="8"/>
          <w:sz w:val="19"/>
        </w:rPr>
        <w:t>[[ ℘ &gt;&gt; BibleTOBIBLE:Eze 1:13]][[ ℘ &gt;&gt; BibleTOBIBLE:Joe 2:3]][[ ℘ &gt;&gt; BibleTOBIBLE:Heb 1:7]][[ ℘ &gt;&gt; BibleTOBIBLE:Re 4:5]]</w:t>
      </w:r>
      <w:r>
        <w:rPr/>
        <w:t xml:space="preserve"> </w:t>
        <w:br/>
        <w:t xml:space="preserve">{{field-off:bible}} </w:t>
        <w:br/>
        <w:t>[[@BibleTOBIBLE:Ps 104:5]]</w:t>
      </w:r>
      <w:r>
        <w:rPr>
          <w:b/>
        </w:rPr>
        <w:t>5</w:t>
      </w:r>
      <w:r>
        <w:rPr/>
        <w:t xml:space="preserve"> {{field-on:bible}} </w:t>
        <w:br/>
      </w:r>
      <w:r>
        <w:rPr>
          <w:b/>
          <w:color w:val="808080"/>
        </w:rPr>
        <w:t>[</w:t>
      </w:r>
      <w:r>
        <w:rPr/>
        <w:t>Bists,</w:t>
      </w:r>
      <w:r>
        <w:rPr>
          <w:b/>
          <w:color w:val="808080"/>
        </w:rPr>
        <w:t>]</w:t>
      </w:r>
      <w:r>
        <w:rPr/>
        <w:t xml:space="preserve"> der gründete </w:t>
      </w:r>
      <w:r>
        <w:rPr>
          <w:color w:val="808080"/>
        </w:rPr>
        <w:t>(bist gründend, er gründete)</w:t>
      </w:r>
      <w:r>
        <w:rPr/>
        <w:t xml:space="preserve"> </w:t>
      </w:r>
      <w:r>
        <w:rPr>
          <w:rStyle w:val="Funotenanker"/>
        </w:rPr>
        <w:footnoteReference w:customMarkFollows="1" w:id="1068"/>
        <w:t>q</w:t>
      </w:r>
      <w:r>
        <w:rPr/>
        <w:t xml:space="preserve"> die Erde auf ihre Fundamente,</w:t>
      </w:r>
      <w:r>
        <w:rPr>
          <w:rStyle w:val="Funotenanker"/>
        </w:rPr>
        <w:footnoteReference w:customMarkFollows="1" w:id="1069"/>
        <w:t>r</w:t>
      </w:r>
      <w:r>
        <w:rPr/>
        <w:t xml:space="preserve"> </w:t>
      </w:r>
      <w:r>
        <w:rPr>
          <w:position w:val="8"/>
          <w:sz w:val="19"/>
        </w:rPr>
        <w:t>[[ ℘ &gt;&gt; BibleTOBIBLE:Is 48:13]][[ ℘ &gt;&gt; BibleTOBIBLE:Is 51:13]][[ ℘ &gt;&gt; BibleTOBIBLE:Am 9:6]][[ ℘ &gt;&gt; BibleTOBIBLE:Zec 12:1]][[ ℘ &gt;&gt; BibleTOBIBLE:Job 38:4]][[ ℘ &gt;&gt; BibleTOBIBLE:Ps 102:25]]</w:t>
      </w:r>
      <w:r>
        <w:rPr/>
        <w:t xml:space="preserve">Damit sie nicht wanken wird auf immer und ewig. </w:t>
      </w:r>
      <w:r>
        <w:rPr>
          <w:position w:val="8"/>
          <w:sz w:val="19"/>
        </w:rPr>
        <w:t>[[ ℘ &gt;&gt; BibleTOBIBLE:1Ch 16:30]]</w:t>
      </w:r>
      <w:r>
        <w:rPr/>
        <w:t xml:space="preserve"> </w:t>
        <w:br/>
        <w:t xml:space="preserve">{{field-off:bible}} </w:t>
        <w:br/>
        <w:t>[[@BibleTOBIBLE:Ps 104:6]]</w:t>
      </w:r>
      <w:r>
        <w:rPr>
          <w:b/>
        </w:rPr>
        <w:t>6</w:t>
      </w:r>
      <w:r>
        <w:rPr/>
        <w:t xml:space="preserve"> {{field-on:bible}} </w:t>
        <w:br/>
        <w:t>Das Urmeer bedecktest du wie mit einem</w:t>
      </w:r>
      <w:r>
        <w:rPr>
          <w:rStyle w:val="Funotenanker"/>
        </w:rPr>
        <w:footnoteReference w:customMarkFollows="1" w:id="1070"/>
        <w:t>s</w:t>
      </w:r>
      <w:r>
        <w:rPr/>
        <w:t xml:space="preserve"> Gewand</w:t>
      </w:r>
      <w:r>
        <w:rPr>
          <w:rStyle w:val="Funotenanker"/>
        </w:rPr>
        <w:footnoteReference w:customMarkFollows="1" w:id="1071"/>
        <w:t>t</w:t>
      </w:r>
      <w:r>
        <w:rPr/>
        <w:t>.</w:t>
      </w:r>
      <w:r>
        <w:rPr>
          <w:rStyle w:val="Funotenanker"/>
        </w:rPr>
        <w:footnoteReference w:customMarkFollows="1" w:id="1072"/>
        <w:t>u</w:t>
      </w:r>
      <w:r>
        <w:rPr/>
        <w:t xml:space="preserve"> </w:t>
      </w:r>
      <w:r>
        <w:rPr>
          <w:position w:val="8"/>
          <w:sz w:val="19"/>
        </w:rPr>
        <w:t>[[ ℘ &gt;&gt; BibleTOBIBLE:Ps 38:9]]</w:t>
      </w:r>
      <w:r>
        <w:rPr/>
        <w:t xml:space="preserve"> </w:t>
        <w:br/>
        <w:br/>
        <w:t xml:space="preserve">Auf </w:t>
      </w:r>
      <w:r>
        <w:rPr>
          <w:color w:val="808080"/>
        </w:rPr>
        <w:t>(über)</w:t>
      </w:r>
      <w:r>
        <w:rPr/>
        <w:t xml:space="preserve"> den Bergen sollten Wasser stehen </w:t>
      </w:r>
      <w:r>
        <w:rPr>
          <w:color w:val="808080"/>
        </w:rPr>
        <w:t>(sich stellen)</w:t>
      </w:r>
      <w:r>
        <w:rPr/>
        <w:t>:</w:t>
        <w:br/>
        <w:t xml:space="preserve">{{field-off:bible}} </w:t>
        <w:br/>
        <w:t>[[@BibleTOBIBLE:Ps 104:7]]</w:t>
      </w:r>
      <w:r>
        <w:rPr>
          <w:b/>
        </w:rPr>
        <w:t>7</w:t>
      </w:r>
      <w:r>
        <w:rPr/>
        <w:t xml:space="preserve"> {{field-on:bible}} </w:t>
        <w:br/>
        <w:t xml:space="preserve">Vor deinem Schelten mussten </w:t>
      </w:r>
      <w:r>
        <w:rPr>
          <w:color w:val="808080"/>
        </w:rPr>
        <w:t>(sollten)</w:t>
      </w:r>
      <w:r>
        <w:rPr/>
        <w:t xml:space="preserve"> sie fliehen,Vor dem Klang deines Donnerns </w:t>
      </w:r>
      <w:r>
        <w:rPr>
          <w:color w:val="808080"/>
        </w:rPr>
        <w:t>(deiner donnernden Stimme)</w:t>
      </w:r>
      <w:r>
        <w:rPr/>
        <w:t xml:space="preserve"> mussten </w:t>
      </w:r>
      <w:r>
        <w:rPr>
          <w:color w:val="808080"/>
        </w:rPr>
        <w:t>(sollten)</w:t>
      </w:r>
      <w:r>
        <w:rPr/>
        <w:t xml:space="preserve"> sie fortlaufen, </w:t>
      </w:r>
      <w:r>
        <w:rPr>
          <w:position w:val="8"/>
          <w:sz w:val="19"/>
        </w:rPr>
        <w:t>[[ ℘ &gt;&gt; BibleTOBIBLE:Ps 18:6]][[ ℘ &gt;&gt; BibleTOBIBLE:Ps 114:3]][[ ℘ &gt;&gt; BibleTOBIBLE:Is 50:2]][[ ℘ &gt;&gt; BibleTOBIBLE:Na 1:4]][[ ℘ &gt;&gt; BibleTOBIBLE:Mk 4:39]]</w:t>
      </w:r>
      <w:r>
        <w:rPr/>
        <w:t xml:space="preserve"> </w:t>
        <w:br/>
        <w:t xml:space="preserve">{{field-off:bible}} </w:t>
        <w:br/>
        <w:t>[[@BibleTOBIBLE:Ps 104:8]]</w:t>
      </w:r>
      <w:r>
        <w:rPr>
          <w:b/>
        </w:rPr>
        <w:t>8</w:t>
      </w:r>
      <w:r>
        <w:rPr/>
        <w:t xml:space="preserve"> {{field-on:bible}} </w:t>
        <w:br/>
        <w:t xml:space="preserve">Mussten </w:t>
      </w:r>
      <w:r>
        <w:rPr>
          <w:color w:val="808080"/>
        </w:rPr>
        <w:t>(sollten)</w:t>
      </w:r>
      <w:r>
        <w:rPr/>
        <w:t xml:space="preserve"> hinaufziehen </w:t>
      </w:r>
      <w:r>
        <w:rPr>
          <w:b/>
          <w:color w:val="808080"/>
        </w:rPr>
        <w:t>[</w:t>
      </w:r>
      <w:r>
        <w:rPr/>
        <w:t>auf</w:t>
      </w:r>
      <w:r>
        <w:rPr>
          <w:b/>
          <w:color w:val="808080"/>
        </w:rPr>
        <w:t>]</w:t>
      </w:r>
      <w:r>
        <w:rPr/>
        <w:t xml:space="preserve"> Berge,Mussten </w:t>
      </w:r>
      <w:r>
        <w:rPr>
          <w:color w:val="808080"/>
        </w:rPr>
        <w:t>(sollten)</w:t>
      </w:r>
      <w:r>
        <w:rPr/>
        <w:t xml:space="preserve"> hinabsteigen </w:t>
      </w:r>
      <w:r>
        <w:rPr>
          <w:b/>
          <w:color w:val="808080"/>
        </w:rPr>
        <w:t>[</w:t>
      </w:r>
      <w:r>
        <w:rPr/>
        <w:t>in</w:t>
      </w:r>
      <w:r>
        <w:rPr>
          <w:b/>
          <w:color w:val="808080"/>
        </w:rPr>
        <w:t>]</w:t>
      </w:r>
      <w:r>
        <w:rPr/>
        <w:t xml:space="preserve"> Täler</w:t>
      </w:r>
      <w:r>
        <w:rPr>
          <w:rStyle w:val="Funotenanker"/>
        </w:rPr>
        <w:footnoteReference w:customMarkFollows="1" w:id="1073"/>
        <w:t>v</w:t>
      </w:r>
      <w:r>
        <w:rPr/>
        <w:t xml:space="preserve">Zum Ort, den du ihnen gegründet hast. </w:t>
      </w:r>
      <w:r>
        <w:rPr>
          <w:position w:val="8"/>
          <w:sz w:val="19"/>
        </w:rPr>
        <w:t>[[ ℘ &gt;&gt; BibleTOBIBLE:Ge 1:9]]</w:t>
      </w:r>
      <w:r>
        <w:rPr/>
        <w:t xml:space="preserve"> </w:t>
        <w:br/>
        <w:t xml:space="preserve">{{field-off:bible}} </w:t>
        <w:br/>
        <w:t>[[@BibleTOBIBLE:Ps 104:9]]</w:t>
      </w:r>
      <w:r>
        <w:rPr>
          <w:b/>
        </w:rPr>
        <w:t>9</w:t>
      </w:r>
      <w:r>
        <w:rPr/>
        <w:t xml:space="preserve"> {{field-on:bible}} </w:t>
        <w:br/>
      </w:r>
      <w:r>
        <w:rPr>
          <w:b/>
          <w:color w:val="808080"/>
        </w:rPr>
        <w:t>[</w:t>
      </w:r>
      <w:r>
        <w:rPr/>
        <w:t>Die</w:t>
      </w:r>
      <w:r>
        <w:rPr>
          <w:b/>
          <w:color w:val="808080"/>
        </w:rPr>
        <w:t>]</w:t>
      </w:r>
      <w:r>
        <w:rPr/>
        <w:t xml:space="preserve"> Grenze, </w:t>
      </w:r>
      <w:r>
        <w:rPr>
          <w:b/>
          <w:color w:val="808080"/>
        </w:rPr>
        <w:t>[</w:t>
      </w:r>
      <w:r>
        <w:rPr/>
        <w:t>die</w:t>
      </w:r>
      <w:r>
        <w:rPr>
          <w:b/>
          <w:color w:val="808080"/>
        </w:rPr>
        <w:t>]</w:t>
      </w:r>
      <w:r>
        <w:rPr/>
        <w:t xml:space="preserve"> du gesetzt hast, dürfen sie nicht übertreten, Dürfen nicht zurückkehren, um die Erde zu bedecken </w:t>
      </w:r>
      <w:r>
        <w:rPr>
          <w:color w:val="808080"/>
        </w:rPr>
        <w:t>(dürfen die Erde nicht wieder bedecken)</w:t>
      </w:r>
      <w:r>
        <w:rPr/>
        <w:t xml:space="preserve">. </w:t>
      </w:r>
      <w:r>
        <w:rPr>
          <w:position w:val="8"/>
          <w:sz w:val="19"/>
        </w:rPr>
        <w:t>[[ ℘ &gt;&gt; BibleTOBIBLE:Job 38:8]][[ ℘ &gt;&gt; BibleTOBIBLE:Pr 8:29]][[ ℘ &gt;&gt; BibleTOBIBLE:Je 5:22]]</w:t>
      </w:r>
      <w:r>
        <w:rPr/>
        <w:t xml:space="preserve"> </w:t>
        <w:br/>
        <w:br/>
        <w:t xml:space="preserve">{{field-off:bible}} </w:t>
        <w:br/>
        <w:t>[[@BibleTOBIBLE:Ps 104:10]]</w:t>
      </w:r>
      <w:r>
        <w:rPr>
          <w:b/>
        </w:rPr>
        <w:t>10</w:t>
      </w:r>
      <w:r>
        <w:rPr/>
        <w:t xml:space="preserve"> {{field-on:bible}} </w:t>
        <w:br/>
      </w:r>
      <w:r>
        <w:rPr>
          <w:b/>
          <w:color w:val="808080"/>
        </w:rPr>
        <w:t>[</w:t>
      </w:r>
      <w:r>
        <w:rPr/>
        <w:t>Oh, du</w:t>
      </w:r>
      <w:r>
        <w:rPr>
          <w:b/>
          <w:color w:val="808080"/>
        </w:rPr>
        <w:t>]</w:t>
      </w:r>
      <w:r>
        <w:rPr/>
        <w:t xml:space="preserve"> </w:t>
      </w:r>
      <w:r>
        <w:rPr>
          <w:b/>
          <w:color w:val="808080"/>
        </w:rPr>
        <w:t>[</w:t>
      </w:r>
      <w:r>
        <w:rPr/>
        <w:t>bist</w:t>
      </w:r>
      <w:r>
        <w:rPr>
          <w:b/>
          <w:color w:val="808080"/>
        </w:rPr>
        <w:t>]</w:t>
      </w:r>
      <w:r>
        <w:rPr/>
        <w:t xml:space="preserve"> der, der entsendet Quellen in Wadis – </w:t>
      </w:r>
      <w:r>
        <w:rPr>
          <w:position w:val="8"/>
          <w:sz w:val="19"/>
        </w:rPr>
        <w:t>[[ ℘ &gt;&gt; BibleTOBIBLE:Ps 78:15]][[ ℘ &gt;&gt; BibleTOBIBLE:Is 30:25]][[ ℘ &gt;&gt; BibleTOBIBLE:Is 41:18]][[ ℘ &gt;&gt; BibleTOBIBLE:Is 48:21]]</w:t>
      </w:r>
      <w:r>
        <w:rPr/>
        <w:t>Sie</w:t>
      </w:r>
      <w:r>
        <w:rPr>
          <w:rStyle w:val="Funotenanker"/>
        </w:rPr>
        <w:footnoteReference w:customMarkFollows="1" w:id="1074"/>
        <w:t>w</w:t>
      </w:r>
      <w:r>
        <w:rPr/>
        <w:t xml:space="preserve"> sollen </w:t>
      </w:r>
      <w:r>
        <w:rPr>
          <w:color w:val="808080"/>
        </w:rPr>
        <w:t>(müssen)</w:t>
      </w:r>
      <w:r>
        <w:rPr/>
        <w:t xml:space="preserve"> zwischen </w:t>
      </w:r>
      <w:r>
        <w:rPr>
          <w:b/>
          <w:color w:val="808080"/>
        </w:rPr>
        <w:t>[</w:t>
      </w:r>
      <w:r>
        <w:rPr/>
        <w:t>den</w:t>
      </w:r>
      <w:r>
        <w:rPr>
          <w:b/>
          <w:color w:val="808080"/>
        </w:rPr>
        <w:t>]</w:t>
      </w:r>
      <w:r>
        <w:rPr/>
        <w:t xml:space="preserve"> </w:t>
      </w:r>
      <w:r>
        <w:rPr>
          <w:rStyle w:val="Funotenanker"/>
        </w:rPr>
        <w:footnoteReference w:customMarkFollows="1" w:id="1075"/>
        <w:t>x</w:t>
      </w:r>
      <w:r>
        <w:rPr/>
        <w:t xml:space="preserve"> Bergen fließen </w:t>
      </w:r>
      <w:r>
        <w:rPr>
          <w:color w:val="808080"/>
        </w:rPr>
        <w:t>(gehen)</w:t>
      </w:r>
      <w:r>
        <w:rPr/>
        <w:t xml:space="preserve">, </w:t>
      </w:r>
      <w:r>
        <w:rPr>
          <w:position w:val="8"/>
          <w:sz w:val="19"/>
        </w:rPr>
        <w:t>[[ ℘ &gt;&gt; BibleTOBIBLE:Is 48:21]]</w:t>
      </w:r>
      <w:r>
        <w:rPr/>
        <w:t xml:space="preserve"> </w:t>
        <w:br/>
        <w:t xml:space="preserve">{{field-off:bible}} </w:t>
        <w:br/>
        <w:t>[[@BibleTOBIBLE:Ps 104:11]]</w:t>
      </w:r>
      <w:r>
        <w:rPr>
          <w:b/>
        </w:rPr>
        <w:t>11</w:t>
      </w:r>
      <w:r>
        <w:rPr/>
        <w:t xml:space="preserve"> {{field-on:bible}} </w:t>
        <w:br/>
        <w:t xml:space="preserve">Sollen </w:t>
      </w:r>
      <w:r>
        <w:rPr>
          <w:color w:val="808080"/>
        </w:rPr>
        <w:t>(müssen)</w:t>
      </w:r>
      <w:r>
        <w:rPr/>
        <w:t xml:space="preserve"> alle wilden Tiere </w:t>
      </w:r>
      <w:r>
        <w:rPr>
          <w:color w:val="808080"/>
        </w:rPr>
        <w:t>(alle Tiere dessen vom Berge)</w:t>
      </w:r>
      <w:r>
        <w:rPr/>
        <w:t xml:space="preserve"> </w:t>
      </w:r>
      <w:r>
        <w:rPr>
          <w:rStyle w:val="Funotenanker"/>
        </w:rPr>
        <w:footnoteReference w:customMarkFollows="1" w:id="1076"/>
        <w:t>y</w:t>
      </w:r>
      <w:r>
        <w:rPr/>
        <w:t xml:space="preserve"> tränken,Es sollen</w:t>
      </w:r>
      <w:r>
        <w:rPr>
          <w:rStyle w:val="Funotenanker"/>
        </w:rPr>
        <w:footnoteReference w:customMarkFollows="1" w:id="1077"/>
        <w:t>z</w:t>
      </w:r>
      <w:r>
        <w:rPr/>
        <w:t xml:space="preserve"> </w:t>
      </w:r>
      <w:r>
        <w:rPr>
          <w:b/>
          <w:color w:val="808080"/>
        </w:rPr>
        <w:t>[</w:t>
      </w:r>
      <w:r>
        <w:rPr/>
        <w:t>selbst</w:t>
      </w:r>
      <w:r>
        <w:rPr>
          <w:b/>
          <w:color w:val="808080"/>
        </w:rPr>
        <w:t>]</w:t>
      </w:r>
      <w:r>
        <w:rPr/>
        <w:t xml:space="preserve"> </w:t>
      </w:r>
      <w:r>
        <w:rPr>
          <w:rStyle w:val="Funotenanker"/>
        </w:rPr>
        <w:footnoteReference w:customMarkFollows="1" w:id="1078"/>
        <w:t>aa</w:t>
      </w:r>
      <w:r>
        <w:rPr/>
        <w:t xml:space="preserve"> die Wildesel ihren Durst brechen</w:t>
      </w:r>
      <w:r>
        <w:rPr>
          <w:rStyle w:val="Funotenanker"/>
        </w:rPr>
        <w:footnoteReference w:customMarkFollows="1" w:id="1079"/>
        <w:t>ab</w:t>
      </w:r>
      <w:r>
        <w:rPr/>
        <w:t xml:space="preserve"> können </w:t>
      </w:r>
      <w:r>
        <w:rPr>
          <w:color w:val="808080"/>
        </w:rPr>
        <w:t>(sollen/müssen stillen)</w:t>
      </w:r>
      <w:r>
        <w:rPr/>
        <w:t xml:space="preserve">. </w:t>
      </w:r>
      <w:r>
        <w:rPr>
          <w:position w:val="8"/>
          <w:sz w:val="19"/>
        </w:rPr>
        <w:t>[[ ℘ &gt;&gt; BibleTOBIBLE:Ps 145:16]][[ ℘ &gt;&gt; BibleTOBIBLE:Is 43:20]]</w:t>
      </w:r>
      <w:r>
        <w:rPr/>
        <w:t xml:space="preserve"> </w:t>
        <w:br/>
        <w:t xml:space="preserve">{{field-off:bible}} </w:t>
        <w:br/>
        <w:t>[[@BibleTOBIBLE:Ps 104:12]]</w:t>
      </w:r>
      <w:r>
        <w:rPr>
          <w:b/>
        </w:rPr>
        <w:t>12</w:t>
      </w:r>
      <w:r>
        <w:rPr/>
        <w:t xml:space="preserve"> {{field-on:bible}} </w:t>
        <w:br/>
        <w:t xml:space="preserve">Über ihnen wohnt das Gevögel des Himmels,Von zwischen den Felsen </w:t>
      </w:r>
      <w:r>
        <w:rPr>
          <w:color w:val="808080"/>
        </w:rPr>
        <w:t>(Zweigen)</w:t>
      </w:r>
      <w:r>
        <w:rPr/>
        <w:t xml:space="preserve"> </w:t>
      </w:r>
      <w:r>
        <w:rPr>
          <w:rStyle w:val="Funotenanker"/>
        </w:rPr>
        <w:footnoteReference w:customMarkFollows="1" w:id="1080"/>
        <w:t>ac</w:t>
      </w:r>
      <w:r>
        <w:rPr/>
        <w:t xml:space="preserve"> geben sie</w:t>
      </w:r>
      <w:r>
        <w:rPr>
          <w:rStyle w:val="Funotenanker"/>
        </w:rPr>
        <w:footnoteReference w:customMarkFollows="1" w:id="1081"/>
        <w:t>ad</w:t>
      </w:r>
      <w:r>
        <w:rPr/>
        <w:t xml:space="preserve"> </w:t>
      </w:r>
      <w:r>
        <w:rPr>
          <w:b/>
          <w:color w:val="808080"/>
        </w:rPr>
        <w:t>[</w:t>
      </w:r>
      <w:r>
        <w:rPr/>
        <w:t>ihre</w:t>
      </w:r>
      <w:r>
        <w:rPr>
          <w:b/>
          <w:color w:val="808080"/>
        </w:rPr>
        <w:t>]</w:t>
      </w:r>
      <w:r>
        <w:rPr/>
        <w:t xml:space="preserve"> </w:t>
      </w:r>
      <w:r>
        <w:rPr>
          <w:rStyle w:val="Funotenanker"/>
        </w:rPr>
        <w:footnoteReference w:customMarkFollows="1" w:id="1082"/>
        <w:t>ae</w:t>
      </w:r>
      <w:r>
        <w:rPr/>
        <w:t xml:space="preserve"> Stimme –, </w:t>
      </w:r>
      <w:r>
        <w:rPr>
          <w:position w:val="8"/>
          <w:sz w:val="19"/>
        </w:rPr>
        <w:t>[[ ℘ &gt;&gt; BibleTOBIBLE:Ps 50:11]]</w:t>
      </w:r>
      <w:r>
        <w:rPr/>
        <w:t xml:space="preserve"> </w:t>
        <w:br/>
        <w:t xml:space="preserve">{{field-off:bible}} </w:t>
        <w:br/>
        <w:t>[[@BibleTOBIBLE:Ps 104:13]]</w:t>
      </w:r>
      <w:r>
        <w:rPr>
          <w:b/>
        </w:rPr>
        <w:t>13</w:t>
      </w:r>
      <w:r>
        <w:rPr/>
        <w:t xml:space="preserve"> {{field-on:bible}} </w:t>
        <w:br/>
      </w:r>
      <w:r>
        <w:rPr>
          <w:b/>
          <w:color w:val="808080"/>
        </w:rPr>
        <w:t>[</w:t>
      </w:r>
      <w:r>
        <w:rPr/>
        <w:t>Bists,</w:t>
      </w:r>
      <w:r>
        <w:rPr>
          <w:b/>
          <w:color w:val="808080"/>
        </w:rPr>
        <w:t>]</w:t>
      </w:r>
      <w:r>
        <w:rPr/>
        <w:t xml:space="preserve"> der tränkt die Berge von seinen Obergemächern: </w:t>
      </w:r>
      <w:r>
        <w:rPr>
          <w:position w:val="8"/>
          <w:sz w:val="19"/>
        </w:rPr>
        <w:t>[[ ℘ &gt;&gt; BibleTOBIBLE:Job 5:10]][[ ℘ &gt;&gt; BibleTOBIBLE:Je 14:22]][[ ℘ &gt;&gt; BibleTOBIBLE:Mt 5:45]]</w:t>
      </w:r>
      <w:r>
        <w:rPr/>
        <w:t xml:space="preserve">Von der Frucht deiner Werke </w:t>
      </w:r>
      <w:r>
        <w:rPr>
          <w:color w:val="808080"/>
        </w:rPr>
        <w:t>(deines Arbeitens)</w:t>
      </w:r>
      <w:r>
        <w:rPr/>
        <w:t xml:space="preserve"> </w:t>
      </w:r>
      <w:r>
        <w:rPr>
          <w:rStyle w:val="Funotenanker"/>
        </w:rPr>
        <w:footnoteReference w:customMarkFollows="1" w:id="1083"/>
        <w:t>af</w:t>
      </w:r>
      <w:r>
        <w:rPr/>
        <w:t xml:space="preserve"> soll die Erde sitt </w:t>
      </w:r>
      <w:r>
        <w:rPr>
          <w:color w:val="808080"/>
        </w:rPr>
        <w:t>(satt)</w:t>
      </w:r>
      <w:r>
        <w:rPr/>
        <w:t xml:space="preserve"> werden. </w:t>
      </w:r>
      <w:r>
        <w:rPr>
          <w:position w:val="8"/>
          <w:sz w:val="19"/>
        </w:rPr>
        <w:t>[[ ℘ &gt;&gt; BibleTOBIBLE:Dt 11:14]][[ ℘ &gt;&gt; BibleTOBIBLE:Job 38:27]][[ ℘ &gt;&gt; BibleTOBIBLE:Ps 147:8]][[ ℘ &gt;&gt; BibleTOBIBLE:Ac 14:17]]</w:t>
      </w:r>
      <w:r>
        <w:rPr/>
        <w:t xml:space="preserve"> </w:t>
        <w:br/>
        <w:t xml:space="preserve">{{field-off:bible}} </w:t>
        <w:br/>
        <w:t>[[@BibleTOBIBLE:Ps 104:14]]</w:t>
      </w:r>
      <w:r>
        <w:rPr>
          <w:b/>
        </w:rPr>
        <w:t>14</w:t>
      </w:r>
      <w:r>
        <w:rPr/>
        <w:t xml:space="preserve"> {{field-on:bible}} </w:t>
        <w:br/>
      </w:r>
      <w:r>
        <w:rPr>
          <w:b/>
          <w:color w:val="808080"/>
        </w:rPr>
        <w:t>[</w:t>
      </w:r>
      <w:r>
        <w:rPr/>
        <w:t>Bists,</w:t>
      </w:r>
      <w:r>
        <w:rPr>
          <w:b/>
          <w:color w:val="808080"/>
        </w:rPr>
        <w:t>]</w:t>
      </w:r>
      <w:r>
        <w:rPr/>
        <w:t xml:space="preserve"> der sprossen lässt das Gras für ViehUnd Pflanzen zum Nutzen </w:t>
      </w:r>
      <w:r>
        <w:rPr>
          <w:color w:val="808080"/>
        </w:rPr>
        <w:t>(für den Ackerbau)</w:t>
      </w:r>
      <w:r>
        <w:rPr/>
        <w:t xml:space="preserve"> der Menschen: </w:t>
      </w:r>
      <w:r>
        <w:rPr>
          <w:position w:val="8"/>
          <w:sz w:val="19"/>
        </w:rPr>
        <w:t>[[ ℘ &gt;&gt; BibleTOBIBLE:Ps 136:25]][[ ℘ &gt;&gt; BibleTOBIBLE:Ps 145:15]][[ ℘ &gt;&gt; BibleTOBIBLE:Ps 147:9]]</w:t>
      </w:r>
      <w:r>
        <w:rPr/>
        <w:t xml:space="preserve">Damit </w:t>
      </w:r>
      <w:r>
        <w:rPr>
          <w:b/>
          <w:color w:val="808080"/>
        </w:rPr>
        <w:t>[</w:t>
      </w:r>
      <w:r>
        <w:rPr/>
        <w:t>dieser</w:t>
      </w:r>
      <w:r>
        <w:rPr>
          <w:b/>
          <w:color w:val="808080"/>
        </w:rPr>
        <w:t>]</w:t>
      </w:r>
      <w:r>
        <w:rPr/>
        <w:t xml:space="preserve"> Brot aus der Erde hervorbringe </w:t>
      </w:r>
      <w:r>
        <w:rPr>
          <w:color w:val="808080"/>
        </w:rPr>
        <w:t>(um hervorzubringen...)</w:t>
      </w:r>
      <w:r>
        <w:rPr/>
        <w:t xml:space="preserve">, </w:t>
      </w:r>
      <w:r>
        <w:rPr>
          <w:position w:val="8"/>
          <w:sz w:val="19"/>
        </w:rPr>
        <w:t>[[ ℘ &gt;&gt; BibleTOBIBLE:Ge 2:5]][[ ℘ &gt;&gt; BibleTOBIBLE:Ge 3:17]]</w:t>
      </w:r>
      <w:r>
        <w:rPr/>
        <w:t xml:space="preserve"> </w:t>
        <w:br/>
        <w:t xml:space="preserve">{{field-off:bible}} </w:t>
        <w:br/>
        <w:t>[[@BibleTOBIBLE:Ps 104:15]]</w:t>
      </w:r>
      <w:r>
        <w:rPr>
          <w:b/>
        </w:rPr>
        <w:t>15</w:t>
      </w:r>
      <w:r>
        <w:rPr/>
        <w:t xml:space="preserve"> {{field-on:bible}} </w:t>
        <w:br/>
        <w:t xml:space="preserve">Soll Menschenherzen Wein erfreuen; </w:t>
      </w:r>
      <w:r>
        <w:rPr>
          <w:position w:val="8"/>
          <w:sz w:val="19"/>
        </w:rPr>
        <w:t>[[ ℘ &gt;&gt; BibleTOBIBLE:Jdg 9:13]][[ ℘ &gt;&gt; BibleTOBIBLE:Ec 10:19]][[ ℘ &gt;&gt; BibleTOBIBLE:Sir 31:27]][[ ℘ &gt;&gt; BibleTOBIBLE:Sir 40:20]]</w:t>
      </w:r>
      <w:r>
        <w:rPr/>
        <w:t xml:space="preserve">Damit ihr Gesicht von Öl glänzt </w:t>
      </w:r>
      <w:r>
        <w:rPr>
          <w:color w:val="808080"/>
        </w:rPr>
        <w:t>(mehr glänzt als Öl)</w:t>
      </w:r>
      <w:r>
        <w:rPr/>
        <w:t xml:space="preserve">, </w:t>
      </w:r>
      <w:r>
        <w:rPr>
          <w:position w:val="8"/>
          <w:sz w:val="19"/>
        </w:rPr>
        <w:t>[[ ℘ &gt;&gt; BibleTOBIBLE:Ps 23:5]][[ ℘ &gt;&gt; BibleTOBIBLE:Pr 21:7]][[ ℘ &gt;&gt; BibleTOBIBLE:Am 6:6]][[ ℘ &gt;&gt; BibleTOBIBLE:Mk 14:3]]</w:t>
      </w:r>
      <w:r>
        <w:rPr/>
        <w:t xml:space="preserve">Soll Menschenherzen Brot </w:t>
      </w:r>
      <w:r>
        <w:rPr>
          <w:color w:val="808080"/>
        </w:rPr>
        <w:t>(Nahrung)</w:t>
      </w:r>
      <w:r>
        <w:rPr/>
        <w:t xml:space="preserve"> stärken. </w:t>
      </w:r>
      <w:r>
        <w:rPr>
          <w:position w:val="8"/>
          <w:sz w:val="19"/>
        </w:rPr>
        <w:t>[[ ℘ &gt;&gt; BibleTOBIBLE:Ge 18:5]][[ ℘ &gt;&gt; BibleTOBIBLE:Jdg 19:5]][[ ℘ &gt;&gt; BibleTOBIBLE:Ec 9:7]]</w:t>
      </w:r>
      <w:r>
        <w:rPr/>
        <w:t xml:space="preserve"> </w:t>
        <w:br/>
        <w:t xml:space="preserve">{{field-off:bible}} </w:t>
        <w:br/>
        <w:t>[[@BibleTOBIBLE:Ps 104:16]]</w:t>
      </w:r>
      <w:r>
        <w:rPr>
          <w:b/>
        </w:rPr>
        <w:t>16</w:t>
      </w:r>
      <w:r>
        <w:rPr/>
        <w:t xml:space="preserve"> {{field-on:bible}} </w:t>
        <w:br/>
        <w:t xml:space="preserve">Es sollen sitt werden </w:t>
      </w:r>
      <w:r>
        <w:rPr>
          <w:color w:val="808080"/>
        </w:rPr>
        <w:t>(sättigen)</w:t>
      </w:r>
      <w:r>
        <w:rPr/>
        <w:t xml:space="preserve"> </w:t>
      </w:r>
      <w:r>
        <w:rPr>
          <w:rStyle w:val="Funotenanker"/>
        </w:rPr>
        <w:footnoteReference w:customMarkFollows="1" w:id="1084"/>
        <w:t>ag</w:t>
      </w:r>
      <w:r>
        <w:rPr/>
        <w:t xml:space="preserve"> die Bäume des Feldes </w:t>
      </w:r>
      <w:r>
        <w:rPr>
          <w:color w:val="808080"/>
        </w:rPr>
        <w:t>(</w:t>
      </w:r>
      <w:r>
        <w:rPr>
          <w:smallCaps/>
          <w:color w:val="FF0000"/>
        </w:rPr>
        <w:t>JHWH</w:t>
      </w:r>
      <w:r>
        <w:rPr>
          <w:color w:val="808080"/>
        </w:rPr>
        <w:t>s)</w:t>
      </w:r>
      <w:r>
        <w:rPr/>
        <w:t>,</w:t>
      </w:r>
      <w:r>
        <w:rPr>
          <w:rStyle w:val="Funotenanker"/>
        </w:rPr>
        <w:footnoteReference w:customMarkFollows="1" w:id="1085"/>
        <w:t>ah</w:t>
      </w:r>
      <w:r>
        <w:rPr/>
        <w:t>Die Libanon-zedern,</w:t>
      </w:r>
      <w:r>
        <w:rPr>
          <w:rStyle w:val="Funotenanker"/>
        </w:rPr>
        <w:footnoteReference w:customMarkFollows="1" w:id="1086"/>
        <w:t>ai</w:t>
      </w:r>
      <w:r>
        <w:rPr/>
        <w:t xml:space="preserve"> die er gepflanzt hat. </w:t>
      </w:r>
      <w:r>
        <w:rPr>
          <w:position w:val="8"/>
          <w:sz w:val="19"/>
        </w:rPr>
        <w:t>[[ ℘ &gt;&gt; BibleTOBIBLE:Nu 24:6]]</w:t>
      </w:r>
      <w:r>
        <w:rPr/>
        <w:t xml:space="preserve"> </w:t>
        <w:br/>
        <w:t xml:space="preserve">{{field-off:bible}} </w:t>
        <w:br/>
        <w:t>[[@BibleTOBIBLE:Ps 104:17]]</w:t>
      </w:r>
      <w:r>
        <w:rPr>
          <w:b/>
        </w:rPr>
        <w:t>17</w:t>
      </w:r>
      <w:r>
        <w:rPr/>
        <w:t xml:space="preserve"> {{field-on:bible}} </w:t>
        <w:br/>
        <w:t xml:space="preserve">Dort </w:t>
      </w:r>
      <w:r>
        <w:rPr>
          <w:color w:val="808080"/>
        </w:rPr>
        <w:t>(, auf denen)</w:t>
      </w:r>
      <w:r>
        <w:rPr/>
        <w:t xml:space="preserve"> </w:t>
      </w:r>
      <w:r>
        <w:rPr>
          <w:rStyle w:val="Funotenanker"/>
        </w:rPr>
        <w:footnoteReference w:customMarkFollows="1" w:id="1087"/>
        <w:t>aj</w:t>
      </w:r>
      <w:r>
        <w:rPr/>
        <w:t xml:space="preserve"> sollen Vöglein nisten,Der Habicht </w:t>
      </w:r>
      <w:r>
        <w:rPr>
          <w:color w:val="808080"/>
        </w:rPr>
        <w:t>(Storch?, Reiher?)</w:t>
      </w:r>
      <w:r>
        <w:rPr/>
        <w:t xml:space="preserve"> </w:t>
      </w:r>
      <w:r>
        <w:rPr>
          <w:rStyle w:val="Funotenanker"/>
        </w:rPr>
        <w:footnoteReference w:customMarkFollows="1" w:id="1088"/>
        <w:t>ak</w:t>
      </w:r>
      <w:r>
        <w:rPr/>
        <w:t xml:space="preserve"> in ihren Wipfeln </w:t>
      </w:r>
      <w:r>
        <w:rPr>
          <w:color w:val="808080"/>
        </w:rPr>
        <w:t>(auf Zypressen)</w:t>
      </w:r>
      <w:r>
        <w:rPr/>
        <w:t xml:space="preserve"> </w:t>
      </w:r>
      <w:r>
        <w:rPr>
          <w:rStyle w:val="Funotenanker"/>
        </w:rPr>
        <w:footnoteReference w:customMarkFollows="1" w:id="1089"/>
        <w:t>al</w:t>
      </w:r>
      <w:r>
        <w:rPr/>
        <w:t xml:space="preserve"> sein Haus </w:t>
      </w:r>
      <w:r>
        <w:rPr>
          <w:b/>
          <w:color w:val="808080"/>
        </w:rPr>
        <w:t>[</w:t>
      </w:r>
      <w:r>
        <w:rPr/>
        <w:t>haben</w:t>
      </w:r>
      <w:r>
        <w:rPr>
          <w:b/>
          <w:color w:val="808080"/>
        </w:rPr>
        <w:t>]</w:t>
      </w:r>
      <w:r>
        <w:rPr/>
        <w:t>.</w:t>
      </w:r>
      <w:r>
        <w:rPr>
          <w:position w:val="8"/>
          <w:sz w:val="19"/>
        </w:rPr>
        <w:t>[[ ℘ &gt;&gt; BibleTOBIBLE:Je 22:23]][[ ℘ &gt;&gt; BibleTOBIBLE:Eze 17:23]]</w:t>
      </w:r>
      <w:r>
        <w:rPr/>
        <w:t xml:space="preserve"> </w:t>
        <w:br/>
        <w:t xml:space="preserve">{{field-off:bible}} </w:t>
        <w:br/>
        <w:t>[[@BibleTOBIBLE:Ps 104:18]]</w:t>
      </w:r>
      <w:r>
        <w:rPr>
          <w:b/>
        </w:rPr>
        <w:t>18</w:t>
      </w:r>
      <w:r>
        <w:rPr/>
        <w:t xml:space="preserve"> {{field-on:bible}} </w:t>
        <w:br/>
        <w:t xml:space="preserve">Die hohen Berge </w:t>
      </w:r>
      <w:r>
        <w:rPr>
          <w:b/>
          <w:color w:val="808080"/>
        </w:rPr>
        <w:t>[</w:t>
      </w:r>
      <w:r>
        <w:rPr/>
        <w:t>sollen</w:t>
      </w:r>
      <w:r>
        <w:rPr>
          <w:b/>
          <w:color w:val="808080"/>
        </w:rPr>
        <w:t>]</w:t>
      </w:r>
      <w:r>
        <w:rPr/>
        <w:t xml:space="preserve"> den Steinböcken </w:t>
      </w:r>
      <w:r>
        <w:rPr>
          <w:b/>
          <w:color w:val="808080"/>
        </w:rPr>
        <w:t>[</w:t>
      </w:r>
      <w:r>
        <w:rPr/>
        <w:t>gehören</w:t>
      </w:r>
      <w:r>
        <w:rPr>
          <w:b/>
          <w:color w:val="808080"/>
        </w:rPr>
        <w:t>]</w:t>
      </w:r>
      <w:r>
        <w:rPr/>
        <w:t xml:space="preserve">,Die Felsen den Klippdachsen Zuflucht </w:t>
      </w:r>
      <w:r>
        <w:rPr>
          <w:b/>
          <w:color w:val="808080"/>
        </w:rPr>
        <w:t>[</w:t>
      </w:r>
      <w:r>
        <w:rPr/>
        <w:t>sein</w:t>
      </w:r>
      <w:r>
        <w:rPr>
          <w:b/>
          <w:color w:val="808080"/>
        </w:rPr>
        <w:t>]</w:t>
      </w:r>
      <w:r>
        <w:rPr/>
        <w:t>.</w:t>
        <w:br/>
        <w:br/>
        <w:t xml:space="preserve">{{field-off:bible}} </w:t>
        <w:br/>
        <w:t>[[@BibleTOBIBLE:Ps 104:19]]</w:t>
      </w:r>
      <w:r>
        <w:rPr>
          <w:b/>
        </w:rPr>
        <w:t>19</w:t>
      </w:r>
      <w:r>
        <w:rPr/>
        <w:t xml:space="preserve"> {{field-on:bible}} </w:t>
        <w:br/>
        <w:t>Er machte den Mond für Festzeiten,</w:t>
      </w:r>
      <w:r>
        <w:rPr>
          <w:rStyle w:val="Funotenanker"/>
        </w:rPr>
        <w:footnoteReference w:customMarkFollows="1" w:id="1090"/>
        <w:t>am</w:t>
      </w:r>
      <w:r>
        <w:rPr/>
        <w:t xml:space="preserve"> </w:t>
      </w:r>
      <w:r>
        <w:rPr>
          <w:position w:val="8"/>
          <w:sz w:val="19"/>
        </w:rPr>
        <w:t>[[ ℘ &gt;&gt; BibleTOBIBLE:Ge 1:14]][[ ℘ &gt;&gt; BibleTOBIBLE:Ps 8:3]][[ ℘ &gt;&gt; BibleTOBIBLE:Sir 43:6]]</w:t>
      </w:r>
      <w:r>
        <w:rPr/>
        <w:t>Die Sonne kennt ihren Untergang.</w:t>
      </w:r>
      <w:r>
        <w:rPr>
          <w:rStyle w:val="Funotenanker"/>
        </w:rPr>
        <w:footnoteReference w:customMarkFollows="1" w:id="1091"/>
        <w:t>an</w:t>
      </w:r>
      <w:r>
        <w:rPr/>
        <w:t xml:space="preserve"> </w:t>
      </w:r>
      <w:r>
        <w:rPr>
          <w:position w:val="8"/>
          <w:sz w:val="19"/>
        </w:rPr>
        <w:t>[[ ℘ &gt;&gt; BibleTOBIBLE:Job 38:12]][[ ℘ &gt;&gt; BibleTOBIBLE:Ps 136:7]][[ ℘ &gt;&gt; BibleTOBIBLE:Je 31:35]]</w:t>
      </w:r>
      <w:r>
        <w:rPr/>
        <w:t xml:space="preserve"> </w:t>
        <w:br/>
        <w:t xml:space="preserve">{{field-off:bible}} </w:t>
        <w:br/>
        <w:t>[[@BibleTOBIBLE:Ps 104:20]]</w:t>
      </w:r>
      <w:r>
        <w:rPr>
          <w:b/>
        </w:rPr>
        <w:t>20</w:t>
      </w:r>
      <w:r>
        <w:rPr/>
        <w:t xml:space="preserve"> {{field-on:bible}} </w:t>
        <w:br/>
        <w:t>Du willst Finsternis setzen,Es soll Nacht werden,</w:t>
      </w:r>
      <w:r>
        <w:rPr>
          <w:rStyle w:val="Funotenanker"/>
        </w:rPr>
        <w:footnoteReference w:customMarkFollows="1" w:id="1092"/>
        <w:t>ao</w:t>
      </w:r>
      <w:r>
        <w:rPr/>
        <w:t xml:space="preserve"> </w:t>
      </w:r>
      <w:r>
        <w:rPr>
          <w:position w:val="8"/>
          <w:sz w:val="19"/>
        </w:rPr>
        <w:t>[[ ℘ &gt;&gt; BibleTOBIBLE:Ps 74:16]][[ ℘ &gt;&gt; BibleTOBIBLE:Is 45:7]]</w:t>
      </w:r>
      <w:r>
        <w:rPr/>
        <w:t xml:space="preserve">In ihr sollen alle Waldtiere schleichen </w:t>
      </w:r>
      <w:r>
        <w:rPr>
          <w:color w:val="808080"/>
        </w:rPr>
        <w:t>(pirschen)</w:t>
      </w:r>
      <w:r>
        <w:rPr/>
        <w:t>:</w:t>
        <w:br/>
        <w:t xml:space="preserve">{{field-off:bible}} </w:t>
        <w:br/>
        <w:t>[[@BibleTOBIBLE:Ps 104:21]]</w:t>
      </w:r>
      <w:r>
        <w:rPr>
          <w:b/>
        </w:rPr>
        <w:t>21</w:t>
      </w:r>
      <w:r>
        <w:rPr/>
        <w:t xml:space="preserve"> {{field-on:bible}} </w:t>
        <w:br/>
        <w:t xml:space="preserve">Die Junglöwen brüllen nach Beute, Um zu fordern von Gott ihre Speise. </w:t>
      </w:r>
      <w:r>
        <w:rPr>
          <w:position w:val="8"/>
          <w:sz w:val="19"/>
        </w:rPr>
        <w:t>[[ ℘ &gt;&gt; BibleTOBIBLE:Job 38:39]][[ ℘ &gt;&gt; BibleTOBIBLE:Ps 34:11]][[ ℘ &gt;&gt; BibleTOBIBLE:Ps 147:9]][[ ℘ &gt;&gt; BibleTOBIBLE:Am 3:4]][[ ℘ &gt;&gt; BibleTOBIBLE:Joe 1:18]]</w:t>
      </w:r>
      <w:r>
        <w:rPr/>
        <w:t xml:space="preserve"> </w:t>
        <w:br/>
        <w:t xml:space="preserve">{{field-off:bible}} </w:t>
        <w:br/>
        <w:t>[[@BibleTOBIBLE:Ps 104:22]]</w:t>
      </w:r>
      <w:r>
        <w:rPr>
          <w:b/>
        </w:rPr>
        <w:t>22</w:t>
      </w:r>
      <w:r>
        <w:rPr/>
        <w:t xml:space="preserve"> {{field-on:bible}} </w:t>
        <w:br/>
        <w:t>Die Sonne soll scheinen,Sie sollen sich sammeln und in ihre Höhlen legen.</w:t>
      </w:r>
      <w:r>
        <w:rPr>
          <w:rStyle w:val="Funotenanker"/>
        </w:rPr>
        <w:footnoteReference w:customMarkFollows="1" w:id="1093"/>
        <w:t>ap</w:t>
      </w:r>
      <w:r>
        <w:rPr/>
        <w:t xml:space="preserve"> </w:t>
        <w:br/>
        <w:t xml:space="preserve">{{field-off:bible}} </w:t>
        <w:br/>
        <w:t>[[@BibleTOBIBLE:Ps 104:23]]</w:t>
      </w:r>
      <w:r>
        <w:rPr>
          <w:b/>
        </w:rPr>
        <w:t>23</w:t>
      </w:r>
      <w:r>
        <w:rPr/>
        <w:t xml:space="preserve"> {{field-on:bible}} </w:t>
        <w:br/>
        <w:t xml:space="preserve">Der Mensch soll an sein Werk gehenUnd an seine Arbeit bis zum Abend. </w:t>
      </w:r>
      <w:r>
        <w:rPr>
          <w:position w:val="8"/>
          <w:sz w:val="19"/>
        </w:rPr>
        <w:t>[[ ℘ &gt;&gt; BibleTOBIBLE:Ge 3:19]]</w:t>
      </w:r>
      <w:r>
        <w:rPr/>
        <w:t xml:space="preserve"> </w:t>
        <w:br/>
        <w:br/>
        <w:t xml:space="preserve">{{field-off:bible}} </w:t>
        <w:br/>
        <w:t>[[@BibleTOBIBLE:Ps 104:24]]</w:t>
      </w:r>
      <w:r>
        <w:rPr>
          <w:b/>
        </w:rPr>
        <w:t>24</w:t>
      </w:r>
      <w:r>
        <w:rPr/>
        <w:t xml:space="preserve"> {{field-on:bible}} </w:t>
        <w:br/>
        <w:t xml:space="preserve">Wie zahlreich </w:t>
      </w:r>
      <w:r>
        <w:rPr>
          <w:color w:val="808080"/>
        </w:rPr>
        <w:t>(groß)</w:t>
      </w:r>
      <w:r>
        <w:rPr/>
        <w:t xml:space="preserve"> </w:t>
      </w:r>
      <w:r>
        <w:rPr>
          <w:b/>
          <w:color w:val="808080"/>
        </w:rPr>
        <w:t>[</w:t>
      </w:r>
      <w:r>
        <w:rPr/>
        <w:t>sind</w:t>
      </w:r>
      <w:r>
        <w:rPr>
          <w:b/>
          <w:color w:val="808080"/>
        </w:rPr>
        <w:t>]</w:t>
      </w:r>
      <w:r>
        <w:rPr/>
        <w:t xml:space="preserve"> deine Werke, </w:t>
      </w:r>
      <w:r>
        <w:rPr>
          <w:smallCaps/>
          <w:color w:val="FF0000"/>
        </w:rPr>
        <w:t>JHWH</w:t>
      </w:r>
      <w:r>
        <w:rPr/>
        <w:t xml:space="preserve">! </w:t>
      </w:r>
      <w:r>
        <w:rPr>
          <w:position w:val="8"/>
          <w:sz w:val="19"/>
        </w:rPr>
        <w:t>[[ ℘ &gt;&gt; BibleTOBIBLE:Ps 92:6]]</w:t>
      </w:r>
      <w:r>
        <w:rPr/>
        <w:t xml:space="preserve">Sie alle hast du mit Weisheit gemacht! </w:t>
      </w:r>
      <w:r>
        <w:rPr>
          <w:position w:val="8"/>
          <w:sz w:val="19"/>
        </w:rPr>
        <w:t>[[ ℘ &gt;&gt; BibleTOBIBLE:Ne 9:6]][[ ℘ &gt;&gt; BibleTOBIBLE:Ps 136:5]][[ ℘ &gt;&gt; BibleTOBIBLE:Pr 3:19]][[ ℘ &gt;&gt; BibleTOBIBLE:Sir 43:33]][[ ℘ &gt;&gt; BibleTOBIBLE:Je 10:12]]</w:t>
      </w:r>
      <w:r>
        <w:rPr/>
        <w:t xml:space="preserve">Voll ist die Erde mit seinem Besitz, </w:t>
      </w:r>
      <w:r>
        <w:rPr>
          <w:position w:val="8"/>
          <w:sz w:val="19"/>
        </w:rPr>
        <w:t>[[ ℘ &gt;&gt; BibleTOBIBLE:Ps 24:1]][[ ℘ &gt;&gt; BibleTOBIBLE:Ps 50:10]][[ ℘ &gt;&gt; BibleTOBIBLE:Sir 16:29]]</w:t>
      </w:r>
      <w:r>
        <w:rPr/>
        <w:t xml:space="preserve"> </w:t>
        <w:br/>
        <w:t xml:space="preserve">{{field-off:bible}} </w:t>
        <w:br/>
        <w:t>[[@BibleTOBIBLE:Ps 104:25]]</w:t>
      </w:r>
      <w:r>
        <w:rPr>
          <w:b/>
        </w:rPr>
        <w:t>25</w:t>
      </w:r>
      <w:r>
        <w:rPr/>
        <w:t xml:space="preserve"> {{field-on:bible}} </w:t>
        <w:br/>
        <w:t xml:space="preserve">So auch das Meer: </w:t>
      </w:r>
      <w:r>
        <w:rPr>
          <w:color w:val="808080"/>
        </w:rPr>
        <w:t xml:space="preserve">(Dies – das Meer – </w:t>
      </w:r>
      <w:r>
        <w:rPr>
          <w:b/>
          <w:color w:val="808080"/>
        </w:rPr>
        <w:t>[</w:t>
      </w:r>
      <w:r>
        <w:rPr>
          <w:color w:val="808080"/>
        </w:rPr>
        <w:t>ist</w:t>
      </w:r>
      <w:r>
        <w:rPr>
          <w:b/>
          <w:color w:val="808080"/>
        </w:rPr>
        <w:t>]</w:t>
      </w:r>
      <w:r>
        <w:rPr>
          <w:color w:val="808080"/>
        </w:rPr>
        <w:t xml:space="preserve">, dort </w:t>
      </w:r>
      <w:r>
        <w:rPr>
          <w:b/>
          <w:color w:val="808080"/>
        </w:rPr>
        <w:t>[</w:t>
      </w:r>
      <w:r>
        <w:rPr>
          <w:color w:val="808080"/>
        </w:rPr>
        <w:t>ist</w:t>
      </w:r>
      <w:r>
        <w:rPr>
          <w:b/>
          <w:color w:val="808080"/>
        </w:rPr>
        <w:t>]</w:t>
      </w:r>
      <w:r>
        <w:rPr>
          <w:color w:val="808080"/>
        </w:rPr>
        <w:t xml:space="preserve"> das Meer:)</w:t>
      </w:r>
      <w:r>
        <w:rPr/>
        <w:t xml:space="preserve"> </w:t>
      </w:r>
      <w:r>
        <w:rPr>
          <w:rStyle w:val="Funotenanker"/>
        </w:rPr>
        <w:footnoteReference w:customMarkFollows="1" w:id="1094"/>
        <w:t>aq</w:t>
      </w:r>
      <w:r>
        <w:rPr/>
        <w:t xml:space="preserve"> groß und weit </w:t>
      </w:r>
      <w:r>
        <w:rPr>
          <w:strike/>
          <w:color w:val="808080"/>
        </w:rPr>
        <w:t>{die Seiten}</w:t>
      </w:r>
      <w:r>
        <w:rPr/>
        <w:t>:</w:t>
      </w:r>
      <w:r>
        <w:rPr>
          <w:rStyle w:val="Funotenanker"/>
        </w:rPr>
        <w:footnoteReference w:customMarkFollows="1" w:id="1095"/>
        <w:t>ar</w:t>
      </w:r>
      <w:r>
        <w:rPr/>
        <w:t xml:space="preserve"> </w:t>
      </w:r>
      <w:r>
        <w:rPr>
          <w:position w:val="8"/>
          <w:sz w:val="19"/>
        </w:rPr>
        <w:t>[[ ℘ &gt;&gt; BibleTOBIBLE:Ps 95:5]]</w:t>
      </w:r>
      <w:r>
        <w:rPr/>
        <w:t xml:space="preserve">Dort </w:t>
      </w:r>
      <w:r>
        <w:rPr>
          <w:b/>
          <w:color w:val="808080"/>
        </w:rPr>
        <w:t>[</w:t>
      </w:r>
      <w:r>
        <w:rPr/>
        <w:t>gibt es</w:t>
      </w:r>
      <w:r>
        <w:rPr>
          <w:b/>
          <w:color w:val="808080"/>
        </w:rPr>
        <w:t>]</w:t>
      </w:r>
      <w:r>
        <w:rPr/>
        <w:t xml:space="preserve"> Gewürm</w:t>
      </w:r>
      <w:r>
        <w:rPr>
          <w:rStyle w:val="Funotenanker"/>
        </w:rPr>
        <w:footnoteReference w:customMarkFollows="1" w:id="1096"/>
        <w:t>as</w:t>
      </w:r>
      <w:r>
        <w:rPr/>
        <w:t xml:space="preserve"> ohne Zahl,Kleine Tiere und große. </w:t>
      </w:r>
      <w:r>
        <w:rPr>
          <w:position w:val="8"/>
          <w:sz w:val="19"/>
        </w:rPr>
        <w:t>[[ ℘ &gt;&gt; BibleTOBIBLE:Ge 1:20]]</w:t>
      </w:r>
      <w:r>
        <w:rPr/>
        <w:t xml:space="preserve"> </w:t>
        <w:br/>
        <w:t xml:space="preserve">{{field-off:bible}} </w:t>
        <w:br/>
        <w:t>[[@BibleTOBIBLE:Ps 104:26]]</w:t>
      </w:r>
      <w:r>
        <w:rPr>
          <w:b/>
        </w:rPr>
        <w:t>26</w:t>
      </w:r>
      <w:r>
        <w:rPr/>
        <w:t xml:space="preserve"> {{field-on:bible}} </w:t>
        <w:br/>
        <w:t xml:space="preserve">Dort schwimmen Schiffe, </w:t>
      </w:r>
      <w:r>
        <w:rPr>
          <w:color w:val="808080"/>
        </w:rPr>
        <w:t>(schwimmen dort gleich Schiffen.)</w:t>
      </w:r>
      <w:r>
        <w:rPr/>
        <w:t xml:space="preserve"> </w:t>
      </w:r>
      <w:r>
        <w:rPr>
          <w:rStyle w:val="Funotenanker"/>
        </w:rPr>
        <w:footnoteReference w:customMarkFollows="1" w:id="1097"/>
        <w:t>at</w:t>
      </w:r>
      <w:r>
        <w:rPr/>
        <w:t xml:space="preserve"> </w:t>
      </w:r>
      <w:r>
        <w:rPr>
          <w:b/>
          <w:color w:val="808080"/>
        </w:rPr>
        <w:t>[</w:t>
      </w:r>
      <w:r>
        <w:rPr/>
        <w:t>Schwimmt der</w:t>
      </w:r>
      <w:r>
        <w:rPr>
          <w:b/>
          <w:color w:val="808080"/>
        </w:rPr>
        <w:t>]</w:t>
      </w:r>
      <w:r>
        <w:rPr/>
        <w:t xml:space="preserve"> Leviathan, den du gebildet, um mit ihm Spaß zu haben </w:t>
      </w:r>
      <w:r>
        <w:rPr>
          <w:color w:val="808080"/>
        </w:rPr>
        <w:t>(damit er darinnen Spaß habe)</w:t>
      </w:r>
      <w:r>
        <w:rPr/>
        <w:t>.</w:t>
      </w:r>
      <w:r>
        <w:rPr>
          <w:rStyle w:val="Funotenanker"/>
        </w:rPr>
        <w:footnoteReference w:customMarkFollows="1" w:id="1098"/>
        <w:t>au</w:t>
      </w:r>
      <w:r>
        <w:rPr/>
        <w:t xml:space="preserve"> </w:t>
      </w:r>
      <w:r>
        <w:rPr>
          <w:position w:val="8"/>
          <w:sz w:val="19"/>
        </w:rPr>
        <w:t>[[ ℘ &gt;&gt; BibleTOBIBLE:Job 40:25]][[ ℘ &gt;&gt; BibleTOBIBLE:Sir 43:25]]</w:t>
      </w:r>
      <w:r>
        <w:rPr/>
        <w:t xml:space="preserve"> </w:t>
        <w:br/>
        <w:t xml:space="preserve">{{field-off:bible}} </w:t>
        <w:br/>
        <w:t>[[@BibleTOBIBLE:Ps 104:27]]</w:t>
      </w:r>
      <w:r>
        <w:rPr>
          <w:b/>
        </w:rPr>
        <w:t>27</w:t>
      </w:r>
      <w:r>
        <w:rPr/>
        <w:t xml:space="preserve"> {{field-on:bible}} </w:t>
        <w:br/>
        <w:t xml:space="preserve">Sie alle warten auf dich,dass du </w:t>
      </w:r>
      <w:r>
        <w:rPr>
          <w:b/>
          <w:color w:val="808080"/>
        </w:rPr>
        <w:t>[</w:t>
      </w:r>
      <w:r>
        <w:rPr/>
        <w:t>ihnen</w:t>
      </w:r>
      <w:r>
        <w:rPr>
          <w:b/>
          <w:color w:val="808080"/>
        </w:rPr>
        <w:t>]</w:t>
      </w:r>
      <w:r>
        <w:rPr/>
        <w:t xml:space="preserve"> </w:t>
      </w:r>
      <w:r>
        <w:rPr>
          <w:rStyle w:val="Funotenanker"/>
        </w:rPr>
        <w:footnoteReference w:customMarkFollows="1" w:id="1099"/>
        <w:t>av</w:t>
      </w:r>
      <w:r>
        <w:rPr/>
        <w:t xml:space="preserve"> gibst Nahrung zur rechten Zeit.</w:t>
      </w:r>
      <w:r>
        <w:rPr>
          <w:rStyle w:val="Funotenanker"/>
        </w:rPr>
        <w:footnoteReference w:customMarkFollows="1" w:id="1100"/>
        <w:t>aw</w:t>
      </w:r>
      <w:r>
        <w:rPr/>
        <w:t xml:space="preserve"> </w:t>
      </w:r>
      <w:r>
        <w:rPr>
          <w:position w:val="8"/>
          <w:sz w:val="19"/>
        </w:rPr>
        <w:t>[[ ℘ &gt;&gt; BibleTOBIBLE:Job 38:41]][[ ℘ &gt;&gt; BibleTOBIBLE:Ps 136:25]][[ ℘ &gt;&gt; BibleTOBIBLE:Ps 145:15]][[ ℘ &gt;&gt; BibleTOBIBLE:Ps 147:9]]</w:t>
      </w:r>
      <w:r>
        <w:rPr/>
        <w:t xml:space="preserve"> </w:t>
        <w:br/>
        <w:t xml:space="preserve">{{field-off:bible}} </w:t>
        <w:br/>
        <w:t>[[@BibleTOBIBLE:Ps 104:28]]</w:t>
      </w:r>
      <w:r>
        <w:rPr>
          <w:b/>
        </w:rPr>
        <w:t>28</w:t>
      </w:r>
      <w:r>
        <w:rPr/>
        <w:t xml:space="preserve"> {{field-on:bible}} </w:t>
        <w:br/>
        <w:t xml:space="preserve">Du gibst ihnen </w:t>
      </w:r>
      <w:r>
        <w:rPr>
          <w:color w:val="808080"/>
        </w:rPr>
        <w:t>(Gibst du ihnen,...)</w:t>
      </w:r>
      <w:r>
        <w:rPr/>
        <w:t xml:space="preserve"> </w:t>
      </w:r>
      <w:r>
        <w:rPr>
          <w:b/>
          <w:color w:val="808080"/>
        </w:rPr>
        <w:t>[</w:t>
      </w:r>
      <w:r>
        <w:rPr/>
        <w:t>Nahrung</w:t>
      </w:r>
      <w:r>
        <w:rPr>
          <w:b/>
          <w:color w:val="808080"/>
        </w:rPr>
        <w:t>]</w:t>
      </w:r>
      <w:r>
        <w:rPr/>
        <w:t>,</w:t>
      </w:r>
      <w:r>
        <w:rPr>
          <w:rStyle w:val="Funotenanker"/>
        </w:rPr>
        <w:footnoteReference w:customMarkFollows="1" w:id="1101"/>
        <w:t>ax</w:t>
      </w:r>
      <w:r>
        <w:rPr/>
        <w:t xml:space="preserve"> sie sammeln </w:t>
      </w:r>
      <w:r>
        <w:rPr>
          <w:b/>
          <w:color w:val="808080"/>
        </w:rPr>
        <w:t>[</w:t>
      </w:r>
      <w:r>
        <w:rPr/>
        <w:t>sie</w:t>
      </w:r>
      <w:r>
        <w:rPr>
          <w:b/>
          <w:color w:val="808080"/>
        </w:rPr>
        <w:t>]</w:t>
      </w:r>
      <w:r>
        <w:rPr/>
        <w:t xml:space="preserve">.Du öffnest deine Hand </w:t>
      </w:r>
      <w:r>
        <w:rPr>
          <w:color w:val="808080"/>
        </w:rPr>
        <w:t>(Öffnest du deine Hand,...)</w:t>
      </w:r>
      <w:r>
        <w:rPr/>
        <w:t>, sie werden gesättigt mit Gutem.</w:t>
      </w:r>
      <w:r>
        <w:rPr>
          <w:rStyle w:val="Funotenanker"/>
        </w:rPr>
        <w:footnoteReference w:customMarkFollows="1" w:id="1102"/>
        <w:t>ay</w:t>
      </w:r>
      <w:r>
        <w:rPr/>
        <w:t xml:space="preserve"> </w:t>
        <w:br/>
        <w:t xml:space="preserve">{{field-off:bible}} </w:t>
        <w:br/>
        <w:t>[[@BibleTOBIBLE:Ps 104:29]]</w:t>
      </w:r>
      <w:r>
        <w:rPr>
          <w:b/>
        </w:rPr>
        <w:t>29</w:t>
      </w:r>
      <w:r>
        <w:rPr/>
        <w:t xml:space="preserve"> {{field-on:bible}} </w:t>
        <w:br/>
        <w:t xml:space="preserve">Du verbirgst dein Gesicht </w:t>
      </w:r>
      <w:r>
        <w:rPr>
          <w:color w:val="808080"/>
        </w:rPr>
        <w:t>(verbirgst du dein Gesicht,...)</w:t>
      </w:r>
      <w:r>
        <w:rPr/>
        <w:t>,</w:t>
      </w:r>
      <w:r>
        <w:rPr>
          <w:rStyle w:val="Funotenanker"/>
        </w:rPr>
        <w:footnoteReference w:customMarkFollows="1" w:id="1103"/>
        <w:t>az</w:t>
      </w:r>
      <w:r>
        <w:rPr/>
        <w:t xml:space="preserve"> sie werden vernichtet </w:t>
      </w:r>
      <w:r>
        <w:rPr>
          <w:color w:val="808080"/>
        </w:rPr>
        <w:t>(erschrecken)</w:t>
      </w:r>
      <w:r>
        <w:rPr/>
        <w:t xml:space="preserve">,Du nimmst ihren Atem </w:t>
      </w:r>
      <w:r>
        <w:rPr>
          <w:color w:val="808080"/>
        </w:rPr>
        <w:t>(Geist)</w:t>
      </w:r>
      <w:r>
        <w:rPr/>
        <w:t xml:space="preserve">, sie sterben </w:t>
      </w:r>
      <w:r>
        <w:rPr>
          <w:color w:val="808080"/>
        </w:rPr>
        <w:t>(hauchen aus)</w:t>
      </w:r>
      <w:r>
        <w:rPr/>
        <w:t>Und zu ihrem Staub kehren sie zurück.</w:t>
      </w:r>
      <w:r>
        <w:rPr>
          <w:rStyle w:val="Funotenanker"/>
        </w:rPr>
        <w:footnoteReference w:customMarkFollows="1" w:id="1104"/>
        <w:t>ba</w:t>
      </w:r>
      <w:r>
        <w:rPr/>
        <w:t xml:space="preserve"> </w:t>
        <w:br/>
        <w:t xml:space="preserve">{{field-off:bible}} </w:t>
        <w:br/>
        <w:t>[[@BibleTOBIBLE:Ps 104:30]]</w:t>
      </w:r>
      <w:r>
        <w:rPr>
          <w:b/>
        </w:rPr>
        <w:t>30</w:t>
      </w:r>
      <w:r>
        <w:rPr/>
        <w:t xml:space="preserve"> {{field-on:bible}} </w:t>
        <w:br/>
        <w:t xml:space="preserve">Du sendest deinen Atem </w:t>
      </w:r>
      <w:r>
        <w:rPr>
          <w:color w:val="808080"/>
        </w:rPr>
        <w:t>(Geist)</w:t>
      </w:r>
      <w:r>
        <w:rPr/>
        <w:t xml:space="preserve"> aus, sie werden geschaffen;Du erneuerst das Gesicht </w:t>
      </w:r>
      <w:r>
        <w:rPr>
          <w:color w:val="808080"/>
        </w:rPr>
        <w:t>(die Oberfläche)</w:t>
      </w:r>
      <w:r>
        <w:rPr/>
        <w:t xml:space="preserve"> der Erde.</w:t>
        <w:br/>
        <w:t xml:space="preserve">{{field-off:bible}} </w:t>
        <w:br/>
        <w:t>[[@BibleTOBIBLE:Ps 104:31]]</w:t>
      </w:r>
      <w:r>
        <w:rPr>
          <w:b/>
        </w:rPr>
        <w:t>31</w:t>
      </w:r>
      <w:r>
        <w:rPr/>
        <w:t xml:space="preserve"> {{field-on:bible}} </w:t>
        <w:br/>
        <w:t xml:space="preserve">Es währe die Herrlichkeit </w:t>
      </w:r>
      <w:r>
        <w:rPr>
          <w:color w:val="808080"/>
        </w:rPr>
        <w:t>(Pracht)</w:t>
      </w:r>
      <w:r>
        <w:rPr/>
        <w:t xml:space="preserve"> </w:t>
      </w:r>
      <w:r>
        <w:rPr>
          <w:smallCaps/>
          <w:color w:val="FF0000"/>
        </w:rPr>
        <w:t>JHWH</w:t>
      </w:r>
      <w:r>
        <w:rPr/>
        <w:t xml:space="preserve">s auf ewig,Es freue sich </w:t>
      </w:r>
      <w:r>
        <w:rPr>
          <w:smallCaps/>
          <w:color w:val="FF0000"/>
        </w:rPr>
        <w:t>JHWH</w:t>
      </w:r>
      <w:r>
        <w:rPr/>
        <w:t xml:space="preserve"> über seine Werke! </w:t>
      </w:r>
      <w:r>
        <w:rPr>
          <w:position w:val="8"/>
          <w:sz w:val="19"/>
        </w:rPr>
        <w:t>[[ ℘ &gt;&gt; BibleTOBIBLE:Ge 1:31]]</w:t>
      </w:r>
      <w:r>
        <w:rPr/>
        <w:t xml:space="preserve"> </w:t>
        <w:br/>
        <w:br/>
        <w:t xml:space="preserve">{{field-off:bible}} </w:t>
        <w:br/>
        <w:t>[[@BibleTOBIBLE:Ps 104:32]]</w:t>
      </w:r>
      <w:r>
        <w:rPr>
          <w:b/>
        </w:rPr>
        <w:t>32</w:t>
      </w:r>
      <w:r>
        <w:rPr/>
        <w:t xml:space="preserve"> {{field-on:bible}} </w:t>
        <w:br/>
        <w:t>Der auf die Erde blickt, so dass sie bebt,</w:t>
      </w:r>
      <w:r>
        <w:rPr>
          <w:rStyle w:val="Funotenanker"/>
        </w:rPr>
        <w:footnoteReference w:customMarkFollows="1" w:id="1105"/>
        <w:t>bb</w:t>
      </w:r>
      <w:r>
        <w:rPr/>
        <w:t xml:space="preserve"> </w:t>
      </w:r>
      <w:r>
        <w:rPr>
          <w:position w:val="8"/>
          <w:sz w:val="19"/>
        </w:rPr>
        <w:t>[[ ℘ &gt;&gt; BibleTOBIBLE:Ps 97:4]][[ ℘ &gt;&gt; BibleTOBIBLE:Is 24:20]][[ ℘ &gt;&gt; BibleTOBIBLE:Is 64:1]][[ ℘ &gt;&gt; BibleTOBIBLE:Na 1:5]]</w:t>
      </w:r>
      <w:r>
        <w:rPr/>
        <w:t xml:space="preserve">Er rührt die Berge an, sie rauchen. </w:t>
      </w:r>
      <w:r>
        <w:rPr>
          <w:position w:val="8"/>
          <w:sz w:val="19"/>
        </w:rPr>
        <w:t>[[ ℘ &gt;&gt; BibleTOBIBLE:Ex 19:18]][[ ℘ &gt;&gt; BibleTOBIBLE:Ps 97:5]][[ ℘ &gt;&gt; BibleTOBIBLE:Ps 144:5]][[ ℘ &gt;&gt; BibleTOBIBLE:Is 64:2]][[ ℘ &gt;&gt; BibleTOBIBLE:Na 1:6]]</w:t>
      </w:r>
      <w:r>
        <w:rPr/>
        <w:t xml:space="preserve"> </w:t>
        <w:br/>
        <w:t xml:space="preserve">{{field-off:bible}} </w:t>
        <w:br/>
        <w:t>[[@BibleTOBIBLE:Ps 104:33]]</w:t>
      </w:r>
      <w:r>
        <w:rPr>
          <w:b/>
        </w:rPr>
        <w:t>33</w:t>
      </w:r>
      <w:r>
        <w:rPr/>
        <w:t xml:space="preserve"> {{field-on:bible}} </w:t>
        <w:br/>
        <w:t xml:space="preserve">Ich will singen </w:t>
      </w:r>
      <w:r>
        <w:rPr>
          <w:smallCaps/>
          <w:color w:val="FF0000"/>
        </w:rPr>
        <w:t>JHWH</w:t>
      </w:r>
      <w:r>
        <w:rPr/>
        <w:t xml:space="preserve"> mein </w:t>
      </w:r>
      <w:r>
        <w:rPr>
          <w:b/>
          <w:color w:val="808080"/>
        </w:rPr>
        <w:t>[</w:t>
      </w:r>
      <w:r>
        <w:rPr/>
        <w:t>ganzes</w:t>
      </w:r>
      <w:r>
        <w:rPr>
          <w:b/>
          <w:color w:val="808080"/>
        </w:rPr>
        <w:t>]</w:t>
      </w:r>
      <w:r>
        <w:rPr/>
        <w:t xml:space="preserve"> Leben,ich will lobsingen meinem Gott meine </w:t>
      </w:r>
      <w:r>
        <w:rPr>
          <w:b/>
          <w:color w:val="808080"/>
        </w:rPr>
        <w:t>[</w:t>
      </w:r>
      <w:r>
        <w:rPr/>
        <w:t>ganze</w:t>
      </w:r>
      <w:r>
        <w:rPr>
          <w:b/>
          <w:color w:val="808080"/>
        </w:rPr>
        <w:t>]</w:t>
      </w:r>
      <w:r>
        <w:rPr/>
        <w:t xml:space="preserve"> Dauer, </w:t>
      </w:r>
      <w:r>
        <w:rPr>
          <w:position w:val="8"/>
          <w:sz w:val="19"/>
        </w:rPr>
        <w:t>[[ ℘ &gt;&gt; BibleTOBIBLE:Ps 145:2]][[ ℘ &gt;&gt; BibleTOBIBLE:Ps 146:2]]</w:t>
      </w:r>
      <w:r>
        <w:rPr/>
        <w:t xml:space="preserve"> </w:t>
        <w:br/>
        <w:t xml:space="preserve">{{field-off:bible}} </w:t>
        <w:br/>
        <w:t>[[@BibleTOBIBLE:Ps 104:34]]</w:t>
      </w:r>
      <w:r>
        <w:rPr>
          <w:b/>
        </w:rPr>
        <w:t>34</w:t>
      </w:r>
      <w:r>
        <w:rPr/>
        <w:t xml:space="preserve"> {{field-on:bible}} </w:t>
        <w:br/>
        <w:t xml:space="preserve">Möge ihm angenehm sein meine Rede </w:t>
      </w:r>
      <w:r>
        <w:rPr>
          <w:color w:val="808080"/>
        </w:rPr>
        <w:t>(mein Sinnen)</w:t>
      </w:r>
      <w:r>
        <w:rPr/>
        <w:t xml:space="preserve">,Ich will mich freuen über </w:t>
      </w:r>
      <w:r>
        <w:rPr>
          <w:smallCaps/>
          <w:color w:val="FF0000"/>
        </w:rPr>
        <w:t>JHWH</w:t>
      </w:r>
      <w:r>
        <w:rPr/>
        <w:t xml:space="preserve">! </w:t>
      </w:r>
      <w:r>
        <w:rPr>
          <w:position w:val="8"/>
          <w:sz w:val="19"/>
        </w:rPr>
        <w:t>[[ ℘ &gt;&gt; BibleTOBIBLE:Ps 19:15]]</w:t>
      </w:r>
      <w:r>
        <w:rPr/>
        <w:t xml:space="preserve"> </w:t>
        <w:br/>
        <w:t xml:space="preserve">{{field-off:bible}} </w:t>
        <w:br/>
        <w:t>[[@BibleTOBIBLE:Ps 104:35]]</w:t>
      </w:r>
      <w:r>
        <w:rPr>
          <w:b/>
        </w:rPr>
        <w:t>35</w:t>
      </w:r>
      <w:r>
        <w:rPr/>
        <w:t xml:space="preserve"> {{field-on:bible}} </w:t>
        <w:br/>
        <w:t xml:space="preserve">Es mögen </w:t>
      </w:r>
      <w:r>
        <w:rPr>
          <w:color w:val="808080"/>
        </w:rPr>
        <w:t>(werden)</w:t>
      </w:r>
      <w:r>
        <w:rPr/>
        <w:t xml:space="preserve"> schwinden Sünder von der ErdeUnd Frevler, von Dauer </w:t>
      </w:r>
      <w:r>
        <w:rPr>
          <w:b/>
          <w:color w:val="808080"/>
        </w:rPr>
        <w:t>[</w:t>
      </w:r>
      <w:r>
        <w:rPr/>
        <w:t xml:space="preserve">mögen </w:t>
      </w:r>
      <w:r>
        <w:rPr>
          <w:color w:val="808080"/>
        </w:rPr>
        <w:t>(werden)</w:t>
      </w:r>
      <w:r>
        <w:rPr>
          <w:b/>
          <w:color w:val="808080"/>
        </w:rPr>
        <w:t>]</w:t>
      </w:r>
      <w:r>
        <w:rPr/>
        <w:t xml:space="preserve"> sie nicht </w:t>
      </w:r>
      <w:r>
        <w:rPr>
          <w:b/>
          <w:color w:val="808080"/>
        </w:rPr>
        <w:t>[</w:t>
      </w:r>
      <w:r>
        <w:rPr/>
        <w:t>sein</w:t>
      </w:r>
      <w:r>
        <w:rPr>
          <w:b/>
          <w:color w:val="808080"/>
        </w:rPr>
        <w:t>]</w:t>
      </w:r>
      <w:r>
        <w:rPr/>
        <w:t>.</w:t>
        <w:br/>
        <w:br/>
        <w:t xml:space="preserve">Preise, meine Seele, </w:t>
      </w:r>
      <w:r>
        <w:rPr>
          <w:smallCaps/>
          <w:color w:val="FF0000"/>
        </w:rPr>
        <w:t>JHWH</w:t>
      </w:r>
      <w:r>
        <w:rPr/>
        <w:t xml:space="preserve">! –Hallelujah </w:t>
      </w:r>
      <w:r>
        <w:rPr>
          <w:color w:val="808080"/>
        </w:rPr>
        <w:t xml:space="preserve">(Preist Jah!, Preist </w:t>
      </w:r>
      <w:r>
        <w:rPr>
          <w:smallCaps/>
          <w:color w:val="FF0000"/>
        </w:rPr>
        <w:t>JHWH</w:t>
      </w:r>
      <w:r>
        <w:rPr>
          <w:color w:val="808080"/>
        </w:rPr>
        <w:t>!)</w:t>
      </w:r>
      <w:r>
        <w:rPr/>
        <w:t>!</w:t>
      </w:r>
      <w:r>
        <w:rPr>
          <w:rStyle w:val="Funotenanker"/>
        </w:rPr>
        <w:footnoteReference w:customMarkFollows="1" w:id="1106"/>
        <w:t>bc</w:t>
      </w:r>
      <w:r>
        <w:rPr/>
        <w:t xml:space="preserve"> </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1107"/>
        <w:t>Status</w:t>
      </w:r>
      <w:r>
        <w:rPr/>
        <w:t xml:space="preserve"> Ein Wallfahrtslied </w:t>
      </w:r>
      <w:r>
        <w:rPr>
          <w:color w:val="808080"/>
        </w:rPr>
        <w:t>(Stufenlied, Reiselied)</w:t>
      </w:r>
      <w:r>
        <w:rPr/>
        <w:t xml:space="preserve"> </w:t>
      </w:r>
      <w:r>
        <w:rPr>
          <w:rStyle w:val="Funotenanker"/>
        </w:rPr>
        <w:footnoteReference w:customMarkFollows="1" w:id="1108"/>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1109"/>
        <w:t>b</w:t>
      </w:r>
      <w:r>
        <w:rPr/>
        <w:t xml:space="preserve">, mein Herz </w:t>
      </w:r>
      <w:r>
        <w:rPr>
          <w:color w:val="808080"/>
        </w:rPr>
        <w:t>(ich)</w:t>
      </w:r>
      <w:r>
        <w:rPr/>
        <w:t xml:space="preserve"> </w:t>
      </w:r>
      <w:r>
        <w:rPr>
          <w:rStyle w:val="Funotenanker"/>
        </w:rPr>
        <w:footnoteReference w:customMarkFollows="1" w:id="1110"/>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1111"/>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1112"/>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1113"/>
        <w:t>f</w:t>
      </w:r>
      <w:r>
        <w:rPr/>
        <w:t xml:space="preserve"> </w:t>
      </w:r>
      <w:r>
        <w:rPr>
          <w:b/>
          <w:color w:val="808080"/>
        </w:rPr>
        <w:t>[</w:t>
      </w:r>
      <w:r>
        <w:rPr/>
        <w:t>für mich zu</w:t>
      </w:r>
      <w:r>
        <w:rPr>
          <w:b/>
          <w:color w:val="808080"/>
        </w:rPr>
        <w:t>]</w:t>
      </w:r>
      <w:r>
        <w:rPr/>
        <w:t xml:space="preserve"> </w:t>
      </w:r>
      <w:r>
        <w:rPr>
          <w:rStyle w:val="Funotenanker"/>
        </w:rPr>
        <w:footnoteReference w:customMarkFollows="1" w:id="1114"/>
        <w:t>g</w:t>
      </w:r>
      <w:r>
        <w:rPr/>
        <w:t xml:space="preserve"> großen Zielen </w:t>
      </w:r>
      <w:r>
        <w:rPr>
          <w:color w:val="808080"/>
        </w:rPr>
        <w:t>(Großem, großen Dingen)</w:t>
      </w:r>
      <w:r>
        <w:rPr/>
        <w:t xml:space="preserve"> </w:t>
      </w:r>
      <w:r>
        <w:rPr>
          <w:rStyle w:val="Funotenanker"/>
        </w:rPr>
        <w:footnoteReference w:customMarkFollows="1" w:id="1115"/>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1116"/>
        <w:t>i</w:t>
      </w:r>
      <w:r>
        <w:rPr/>
        <w:t xml:space="preserve"> ich habe meine Seele </w:t>
      </w:r>
      <w:r>
        <w:rPr>
          <w:color w:val="808080"/>
        </w:rPr>
        <w:t>(mich)</w:t>
      </w:r>
      <w:r>
        <w:rPr/>
        <w:t xml:space="preserve"> </w:t>
      </w:r>
      <w:r>
        <w:rPr>
          <w:rStyle w:val="Funotenanker"/>
        </w:rPr>
        <w:footnoteReference w:customMarkFollows="1" w:id="1117"/>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1118"/>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1119"/>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1120"/>
        <w:t>m</w:t>
      </w:r>
      <w:r>
        <w:rPr/>
        <w:t xml:space="preserve"> </w:t>
      </w:r>
      <w:r>
        <w:rPr>
          <w:b/>
          <w:color w:val="808080"/>
        </w:rPr>
        <w:t>[</w:t>
      </w:r>
      <w:r>
        <w:rPr/>
        <w:t>auch du</w:t>
      </w:r>
      <w:r>
        <w:rPr>
          <w:b/>
          <w:color w:val="808080"/>
        </w:rPr>
        <w:t>]</w:t>
      </w:r>
      <w:r>
        <w:rPr/>
        <w:t xml:space="preserve"> </w:t>
      </w:r>
      <w:r>
        <w:rPr>
          <w:rStyle w:val="Funotenanker"/>
        </w:rPr>
        <w:footnoteReference w:customMarkFollows="1" w:id="1121"/>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122"/>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1123"/>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1124"/>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1125"/>
        <w:t>c</w:t>
      </w:r>
      <w:r>
        <w:rPr/>
        <w:t xml:space="preserve"> für deine Liebe </w:t>
      </w:r>
      <w:r>
        <w:rPr>
          <w:color w:val="808080"/>
        </w:rPr>
        <w:t>(Güte, Gnade, liebende Treue, Bundestreue)</w:t>
      </w:r>
      <w:r>
        <w:rPr/>
        <w:t xml:space="preserve"> </w:t>
      </w:r>
      <w:r>
        <w:rPr>
          <w:rStyle w:val="Funotenanker"/>
        </w:rPr>
        <w:footnoteReference w:customMarkFollows="1" w:id="1126"/>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1127"/>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1128"/>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1129"/>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1130"/>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1131"/>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1132"/>
        <w:t>j</w:t>
      </w:r>
      <w:r>
        <w:rPr/>
        <w:t xml:space="preserve"> singen. </w:t>
        <w:br/>
        <w:t xml:space="preserve">Wie </w:t>
      </w:r>
      <w:r>
        <w:rPr>
          <w:color w:val="808080"/>
        </w:rPr>
        <w:t>(denn, ja)</w:t>
      </w:r>
      <w:r>
        <w:rPr/>
        <w:t xml:space="preserve"> groß</w:t>
      </w:r>
      <w:r>
        <w:rPr>
          <w:rStyle w:val="Funotenanker"/>
        </w:rPr>
        <w:footnoteReference w:customMarkFollows="1" w:id="1133"/>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1134"/>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1135"/>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1136"/>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1137"/>
        <w:t>o</w:t>
      </w:r>
      <w:r>
        <w:rPr/>
        <w:t xml:space="preserve"> </w:t>
        <w:br/>
        <w:t xml:space="preserve">und deine rechte Hand rettet mich </w:t>
      </w:r>
      <w:r>
        <w:rPr>
          <w:color w:val="808080"/>
        </w:rPr>
        <w:t>(hilft mir; wird/möge mich retten)</w:t>
      </w:r>
      <w:r>
        <w:rPr/>
        <w:t>!</w:t>
      </w:r>
      <w:r>
        <w:rPr>
          <w:rStyle w:val="Funotenanker"/>
        </w:rPr>
        <w:footnoteReference w:customMarkFollows="1" w:id="1138"/>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1139"/>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1140"/>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1141"/>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1142"/>
        <w:t>a</w:t>
      </w:r>
      <w:r>
        <w:rPr/>
        <w:t xml:space="preserve"> </w:t>
      </w:r>
      <w:r>
        <w:rPr>
          <w:b/>
          <w:color w:val="808080"/>
        </w:rPr>
        <w:t>[</w:t>
      </w:r>
      <w:r>
        <w:rPr/>
        <w:t>singt</w:t>
      </w:r>
      <w:r>
        <w:rPr>
          <w:b/>
          <w:color w:val="808080"/>
        </w:rPr>
        <w:t>]</w:t>
      </w:r>
      <w:r>
        <w:rPr/>
        <w:t xml:space="preserve"> </w:t>
      </w:r>
      <w:r>
        <w:rPr>
          <w:rStyle w:val="Funotenanker"/>
        </w:rPr>
        <w:footnoteReference w:customMarkFollows="1" w:id="1143"/>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1144"/>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1145"/>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1146"/>
        <w:t>e</w:t>
      </w:r>
      <w:r>
        <w:rPr/>
        <w:t xml:space="preserve"> preisen mit </w:t>
      </w:r>
      <w:r>
        <w:rPr>
          <w:color w:val="808080"/>
        </w:rPr>
        <w:t>(im</w:t>
      </w:r>
      <w:r>
        <w:rPr/>
        <w:t xml:space="preserve"> </w:t>
      </w:r>
      <w:r>
        <w:rPr>
          <w:rStyle w:val="Funotenanker"/>
        </w:rPr>
        <w:footnoteReference w:customMarkFollows="1" w:id="1147"/>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1148"/>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1149"/>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1150"/>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1151"/>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1152"/>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1153"/>
        <w:t>l</w:t>
      </w:r>
      <w:r>
        <w:rPr/>
        <w:t xml:space="preserve"> Herrlichkeit </w:t>
      </w:r>
      <w:r>
        <w:rPr>
          <w:color w:val="808080"/>
        </w:rPr>
        <w:t>(Herrlichen, Mächtigen)</w:t>
      </w:r>
      <w:r>
        <w:rPr/>
        <w:t>, jubeln sollen sie auf ihren Lagern</w:t>
      </w:r>
      <w:r>
        <w:rPr>
          <w:rStyle w:val="Funotenanker"/>
        </w:rPr>
        <w:footnoteReference w:customMarkFollows="1" w:id="1154"/>
        <w:t>m</w:t>
      </w:r>
      <w:r>
        <w:rPr/>
        <w:t>,</w:t>
      </w:r>
      <w:r>
        <w:rPr>
          <w:color w:val="808080"/>
        </w:rPr>
        <w:t>(-)</w:t>
      </w:r>
      <w:r>
        <w:rPr/>
        <w:t xml:space="preserve"> </w:t>
      </w:r>
      <w:r>
        <w:rPr>
          <w:rStyle w:val="Funotenanker"/>
        </w:rPr>
        <w:footnoteReference w:customMarkFollows="1" w:id="1155"/>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1156"/>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1157"/>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1158"/>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1159"/>
        <w:t>r</w:t>
      </w:r>
      <w:r>
        <w:rPr/>
        <w:t xml:space="preserve"> wie geschrieben </w:t>
      </w:r>
      <w:r>
        <w:rPr>
          <w:b/>
          <w:color w:val="808080"/>
        </w:rPr>
        <w:t>[</w:t>
      </w:r>
      <w:r>
        <w:rPr/>
        <w:t>steht</w:t>
      </w:r>
      <w:r>
        <w:rPr>
          <w:b/>
          <w:color w:val="808080"/>
        </w:rPr>
        <w:t>]</w:t>
      </w:r>
      <w:r>
        <w:rPr/>
        <w:t xml:space="preserve"> </w:t>
      </w:r>
      <w:r>
        <w:rPr>
          <w:rStyle w:val="Funotenanker"/>
        </w:rPr>
        <w:footnoteReference w:customMarkFollows="1" w:id="1160"/>
        <w:t>s</w:t>
      </w:r>
      <w:r>
        <w:rPr/>
        <w:t xml:space="preserve">. Er </w:t>
      </w:r>
      <w:r>
        <w:rPr>
          <w:color w:val="808080"/>
        </w:rPr>
        <w:t>(Das)</w:t>
      </w:r>
      <w:r>
        <w:rPr/>
        <w:t xml:space="preserve"> </w:t>
      </w:r>
      <w:r>
        <w:rPr>
          <w:rStyle w:val="Funotenanker"/>
        </w:rPr>
        <w:footnoteReference w:customMarkFollows="1" w:id="1161"/>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1162"/>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1163"/>
        <w:t>a</w:t>
      </w:r>
      <w:r>
        <w:rPr/>
        <w:t xml:space="preserve">, mein Getreuer </w:t>
      </w:r>
      <w:r>
        <w:rPr>
          <w:color w:val="808080"/>
        </w:rPr>
        <w:t>(Diener, Knecht, Sklave)</w:t>
      </w:r>
      <w:r>
        <w:rPr/>
        <w:t xml:space="preserve"> </w:t>
      </w:r>
      <w:r>
        <w:rPr>
          <w:rStyle w:val="Funotenanker"/>
        </w:rPr>
        <w:footnoteReference w:customMarkFollows="1" w:id="1164"/>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1165"/>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1166"/>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1167"/>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1168"/>
        <w:t>f</w:t>
      </w:r>
      <w:r>
        <w:rPr/>
        <w:t>,</w:t>
        <w:br/>
        <w:t xml:space="preserve">über ihn </w:t>
      </w:r>
      <w:r>
        <w:rPr>
          <w:color w:val="808080"/>
        </w:rPr>
        <w:t>(ihm gegenüber)</w:t>
      </w:r>
      <w:r>
        <w:rPr/>
        <w:t xml:space="preserve"> werden Könige ihren Mund verschließen.</w:t>
      </w:r>
      <w:r>
        <w:rPr>
          <w:rStyle w:val="Funotenanker"/>
        </w:rPr>
        <w:footnoteReference w:customMarkFollows="1" w:id="1169"/>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1170"/>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1171"/>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1172"/>
        <w:t>a</w:t>
      </w:r>
      <w:r>
        <w:rPr/>
        <w:t xml:space="preserve"> an uns </w:t>
      </w:r>
      <w:r>
        <w:rPr>
          <w:color w:val="808080"/>
        </w:rPr>
        <w:t>(von uns)</w:t>
      </w:r>
      <w:r>
        <w:rPr/>
        <w:t xml:space="preserve"> </w:t>
      </w:r>
      <w:r>
        <w:rPr>
          <w:rStyle w:val="Funotenanker"/>
        </w:rPr>
        <w:footnoteReference w:customMarkFollows="1" w:id="1173"/>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1174"/>
        <w:t>c</w:t>
      </w:r>
      <w:r>
        <w:rPr/>
        <w:t>,</w:t>
        <w:br/>
        <w:t xml:space="preserve">wie ein Schössling </w:t>
      </w:r>
      <w:r>
        <w:rPr>
          <w:color w:val="808080"/>
        </w:rPr>
        <w:t>(eine Wurzel)</w:t>
      </w:r>
      <w:r>
        <w:rPr/>
        <w:t xml:space="preserve"> </w:t>
      </w:r>
      <w:r>
        <w:rPr>
          <w:rStyle w:val="Funotenanker"/>
        </w:rPr>
        <w:footnoteReference w:customMarkFollows="1" w:id="1175"/>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1176"/>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1177"/>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1178"/>
        <w:t>g</w:t>
      </w:r>
      <w:r>
        <w:rPr/>
        <w:t xml:space="preserve"> </w:t>
        <w:br/>
        <w:t>wie jemand, vor dem man das Gesicht verhüllt.</w:t>
      </w:r>
      <w:r>
        <w:rPr>
          <w:rStyle w:val="Funotenanker"/>
        </w:rPr>
        <w:footnoteReference w:customMarkFollows="1" w:id="1179"/>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1180"/>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1181"/>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1182"/>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1183"/>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1184"/>
        <w:t>m</w:t>
      </w:r>
      <w:r>
        <w:rPr/>
        <w:t xml:space="preserve"> </w:t>
        <w:br/>
        <w:t xml:space="preserve">durch seine </w:t>
      </w:r>
      <w:r>
        <w:rPr>
          <w:color w:val="808080"/>
        </w:rPr>
        <w:t>(bei seinen)</w:t>
      </w:r>
      <w:r>
        <w:rPr/>
        <w:t xml:space="preserve"> Wunden gab es Heilung für uns</w:t>
      </w:r>
      <w:r>
        <w:rPr>
          <w:rStyle w:val="Funotenanker"/>
        </w:rPr>
        <w:footnoteReference w:customMarkFollows="1" w:id="1185"/>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1186"/>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1187"/>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1188"/>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1189"/>
        <w:t>r</w:t>
      </w:r>
      <w:r>
        <w:rPr/>
        <w:t xml:space="preserve"> seinen Scherern verstummt. </w:t>
        <w:br/>
        <w:t>Und er öffnete seinen Mund nicht.</w:t>
      </w:r>
      <w:r>
        <w:rPr>
          <w:rStyle w:val="Funotenanker"/>
        </w:rPr>
        <w:footnoteReference w:customMarkFollows="1" w:id="1190"/>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1191"/>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1192"/>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1193"/>
        <w:t>v</w:t>
      </w:r>
      <w:r>
        <w:rPr/>
        <w:t xml:space="preserve"> Volkes wurde er geschlagen </w:t>
      </w:r>
      <w:r>
        <w:rPr>
          <w:color w:val="808080"/>
        </w:rPr>
        <w:t>(erschlagen, verprügelt)</w:t>
      </w:r>
      <w:r>
        <w:rPr/>
        <w:t xml:space="preserve"> </w:t>
      </w:r>
      <w:r>
        <w:rPr>
          <w:rStyle w:val="Funotenanker"/>
        </w:rPr>
        <w:footnoteReference w:customMarkFollows="1" w:id="1194"/>
        <w:t>w</w:t>
      </w:r>
      <w:r>
        <w:rPr/>
        <w:t>.</w:t>
        <w:br/>
        <w:t xml:space="preserve">{{field-off:bible}} </w:t>
        <w:br/>
        <w:t>[[@BibleTOBIBLE:Is 53:9]]</w:t>
      </w:r>
      <w:r>
        <w:rPr>
          <w:b/>
        </w:rPr>
        <w:t>9</w:t>
      </w:r>
      <w:r>
        <w:rPr/>
        <w:t xml:space="preserve"> {{field-on:bible}} </w:t>
        <w:br/>
        <w:t>Dann gab man</w:t>
      </w:r>
      <w:r>
        <w:rPr>
          <w:rStyle w:val="Funotenanker"/>
        </w:rPr>
        <w:footnoteReference w:customMarkFollows="1" w:id="1195"/>
        <w:t>x</w:t>
      </w:r>
      <w:r>
        <w:rPr/>
        <w:t xml:space="preserve"> ihm bei Frevlern</w:t>
      </w:r>
      <w:r>
        <w:rPr>
          <w:rStyle w:val="Funotenanker"/>
        </w:rPr>
        <w:footnoteReference w:customMarkFollows="1" w:id="1196"/>
        <w:t>y</w:t>
      </w:r>
      <w:r>
        <w:rPr/>
        <w:t xml:space="preserve"> sein Grab </w:t>
        <w:br/>
        <w:t xml:space="preserve">und </w:t>
      </w:r>
      <w:r>
        <w:rPr>
          <w:color w:val="808080"/>
        </w:rPr>
        <w:t>(doch)</w:t>
      </w:r>
      <w:r>
        <w:rPr/>
        <w:t xml:space="preserve"> bei einem Reichen</w:t>
      </w:r>
      <w:r>
        <w:rPr>
          <w:rStyle w:val="Funotenanker"/>
        </w:rPr>
        <w:footnoteReference w:customMarkFollows="1" w:id="1197"/>
        <w:t>z</w:t>
      </w:r>
      <w:r>
        <w:rPr/>
        <w:t xml:space="preserve"> nach seinem Tod</w:t>
      </w:r>
      <w:r>
        <w:rPr>
          <w:rStyle w:val="Funotenanker"/>
        </w:rPr>
        <w:footnoteReference w:customMarkFollows="1" w:id="1198"/>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199"/>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200"/>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201"/>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202"/>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203"/>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204"/>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205"/>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206"/>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207"/>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208"/>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209"/>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210"/>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211"/>
        <w:t>b</w:t>
      </w:r>
      <w:r>
        <w:rPr/>
        <w:t>,</w:t>
      </w:r>
      <w:r>
        <w:rPr>
          <w:position w:val="8"/>
          <w:sz w:val="19"/>
        </w:rPr>
        <w:t>[[ ℘ &gt;&gt; BibleTOBIBLE:Jon 3:2]]</w:t>
      </w:r>
      <w:r>
        <w:rPr/>
        <w:t xml:space="preserve"> weil ihre</w:t>
      </w:r>
      <w:r>
        <w:rPr>
          <w:rStyle w:val="Funotenanker"/>
        </w:rPr>
        <w:footnoteReference w:customMarkFollows="1" w:id="1212"/>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213"/>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214"/>
        <w:t>e</w:t>
      </w:r>
      <w:r>
        <w:rPr/>
        <w:t xml:space="preserve"> ein Schiff, das im Begriff war, nach Tarschisch zu fahren</w:t>
      </w:r>
      <w:r>
        <w:rPr>
          <w:rStyle w:val="Funotenanker"/>
        </w:rPr>
        <w:footnoteReference w:customMarkFollows="1" w:id="1215"/>
        <w:t>f</w:t>
      </w:r>
      <w:r>
        <w:rPr/>
        <w:t xml:space="preserve">, </w:t>
      </w:r>
      <w:r>
        <w:rPr>
          <w:strike/>
          <w:color w:val="808080"/>
        </w:rPr>
        <w:t>{und}</w:t>
      </w:r>
      <w:r>
        <w:rPr/>
        <w:t xml:space="preserve"> zahlte sein Fährgeld und bestieg es, um mit ihnen</w:t>
      </w:r>
      <w:r>
        <w:rPr>
          <w:rStyle w:val="Funotenanker"/>
        </w:rPr>
        <w:footnoteReference w:customMarkFollows="1" w:id="1216"/>
        <w:t>g</w:t>
      </w:r>
      <w:r>
        <w:rPr/>
        <w:t xml:space="preserve"> nach Tarschisch zu fahren, weg von </w:t>
      </w:r>
      <w:r>
        <w:rPr>
          <w:smallCaps/>
          <w:color w:val="FF0000"/>
        </w:rPr>
        <w:t>JHWH</w:t>
      </w:r>
      <w:r>
        <w:rPr/>
        <w:t xml:space="preserve"> </w:t>
      </w:r>
      <w:r>
        <w:rPr>
          <w:rStyle w:val="Funotenanker"/>
        </w:rPr>
        <w:footnoteReference w:customMarkFollows="1" w:id="1217"/>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218"/>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219"/>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220"/>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221"/>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222"/>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223"/>
        <w:t>n</w:t>
      </w:r>
      <w:r>
        <w:rPr/>
        <w:t xml:space="preserve"> in seine Nähe</w:t>
      </w:r>
      <w:r>
        <w:rPr>
          <w:rStyle w:val="Funotenanker"/>
        </w:rPr>
        <w:footnoteReference w:customMarkFollows="1" w:id="1224"/>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225"/>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226"/>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227"/>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228"/>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229"/>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230"/>
        <w:t>u</w:t>
      </w:r>
      <w:r>
        <w:rPr/>
        <w:t xml:space="preserve"> und sagten zu ihm: „Warum hast du das getan?“ Denn die Männer wussten, dass er ''vor </w:t>
      </w:r>
      <w:r>
        <w:rPr>
          <w:smallCaps/>
          <w:color w:val="FF0000"/>
        </w:rPr>
        <w:t>JHWH</w:t>
      </w:r>
      <w:r>
        <w:rPr/>
        <w:t>''</w:t>
      </w:r>
      <w:r>
        <w:rPr>
          <w:rStyle w:val="Funotenanker"/>
        </w:rPr>
        <w:footnoteReference w:customMarkFollows="1" w:id="1231"/>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232"/>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233"/>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234"/>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235"/>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236"/>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237"/>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238"/>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239"/>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240"/>
        <w:t>c</w:t>
      </w:r>
      <w:r>
        <w:rPr/>
        <w:t xml:space="preserve"> gefestigt sein </w:t>
      </w:r>
      <w:r>
        <w:rPr>
          <w:color w:val="808080"/>
        </w:rPr>
        <w:t>(feststehen, festgelegt/eingesetzt sein)</w:t>
      </w:r>
      <w:r>
        <w:rPr/>
        <w:t xml:space="preserve"> </w:t>
      </w:r>
      <w:r>
        <w:rPr>
          <w:rStyle w:val="Funotenanker"/>
        </w:rPr>
        <w:footnoteReference w:customMarkFollows="1" w:id="1241"/>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242"/>
        <w:t>e</w:t>
      </w:r>
      <w:r>
        <w:rPr/>
        <w:t xml:space="preserve"> können!“</w:t>
      </w:r>
      <w:r>
        <w:rPr>
          <w:rStyle w:val="Funotenanker"/>
        </w:rPr>
        <w:footnoteReference w:customMarkFollows="1" w:id="1243"/>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244"/>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245"/>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246"/>
        <w:t>i</w:t>
      </w:r>
      <w:r>
        <w:rPr/>
        <w:t xml:space="preserve"> sammeln</w:t>
      </w:r>
      <w:r>
        <w:rPr>
          <w:rStyle w:val="Funotenanker"/>
        </w:rPr>
        <w:footnoteReference w:customMarkFollows="1" w:id="1247"/>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248"/>
        <w:t>k</w:t>
      </w:r>
      <w:r>
        <w:rPr/>
        <w:t xml:space="preserve"> zu einer mächtigen Nation </w:t>
      </w:r>
      <w:r>
        <w:rPr>
          <w:color w:val="808080"/>
        </w:rPr>
        <w:t>(Volk)</w:t>
      </w:r>
      <w:r>
        <w:rPr/>
        <w:t xml:space="preserve"> </w:t>
      </w:r>
      <w:r>
        <w:rPr>
          <w:rStyle w:val="Funotenanker"/>
        </w:rPr>
        <w:footnoteReference w:customMarkFollows="1" w:id="1249"/>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250"/>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251"/>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252"/>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253"/>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254"/>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255"/>
        <w:t>c</w:t>
      </w:r>
      <w:r>
        <w:rPr/>
        <w:t xml:space="preserve"> die Hörner der Völker</w:t>
      </w:r>
      <w:r>
        <w:rPr>
          <w:rStyle w:val="Funotenanker"/>
        </w:rPr>
        <w:footnoteReference w:customMarkFollows="1" w:id="1256"/>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257"/>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258"/>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259"/>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260"/>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261"/>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262"/>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263"/>
        <w:t>k</w:t>
      </w:r>
      <w:r>
        <w:rPr/>
        <w:t xml:space="preserve">, schlägt </w:t>
      </w:r>
      <w:r>
        <w:rPr>
          <w:color w:val="808080"/>
        </w:rPr>
        <w:t>(rührt an)</w:t>
      </w:r>
      <w:r>
        <w:rPr/>
        <w:t xml:space="preserve"> </w:t>
      </w:r>
      <w:r>
        <w:rPr>
          <w:rStyle w:val="Funotenanker"/>
        </w:rPr>
        <w:footnoteReference w:customMarkFollows="1" w:id="1264"/>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265"/>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266"/>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267"/>
        <w:t>o</w:t>
      </w:r>
      <w:r>
        <w:rPr/>
        <w:t xml:space="preserve"> meine Hand gegen sie</w:t>
      </w:r>
      <w:r>
        <w:rPr>
          <w:rStyle w:val="Funotenanker"/>
        </w:rPr>
        <w:footnoteReference w:customMarkFollows="1" w:id="1268"/>
        <w:t>p</w:t>
      </w:r>
      <w:r>
        <w:rPr/>
        <w:t xml:space="preserve">, so dass </w:t>
      </w:r>
      <w:r>
        <w:rPr>
          <w:color w:val="808080"/>
        </w:rPr>
        <w:t>(und)</w:t>
      </w:r>
      <w:r>
        <w:rPr/>
        <w:t xml:space="preserve"> sie eine Beute</w:t>
      </w:r>
      <w:r>
        <w:rPr>
          <w:rStyle w:val="Funotenanker"/>
        </w:rPr>
        <w:footnoteReference w:customMarkFollows="1" w:id="1269"/>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270"/>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271"/>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272"/>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273"/>
        <w:t>Status</w:t>
      </w:r>
      <w:r>
        <w:rPr/>
        <w:t xml:space="preserve"> Ihr</w:t>
      </w:r>
      <w:r>
        <w:rPr>
          <w:rStyle w:val="Funotenanker"/>
        </w:rPr>
        <w:footnoteReference w:customMarkFollows="1" w:id="1274"/>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275"/>
        <w:t>b</w:t>
      </w:r>
      <w:r>
        <w:rPr/>
        <w:t xml:space="preserve"> </w:t>
      </w:r>
      <w:r>
        <w:rPr>
          <w:rStyle w:val="Funotenanker"/>
        </w:rPr>
        <w:footnoteReference w:customMarkFollows="1" w:id="1276"/>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277"/>
        <w:t>d</w:t>
      </w:r>
      <w:r>
        <w:rPr/>
        <w:t xml:space="preserve"> dein Name </w:t>
      </w:r>
      <w:r>
        <w:rPr>
          <w:color w:val="808080"/>
        </w:rPr>
        <w:t>(du)</w:t>
      </w:r>
      <w:r>
        <w:rPr/>
        <w:t xml:space="preserve"> geheiligt</w:t>
      </w:r>
      <w:r>
        <w:rPr>
          <w:rStyle w:val="Funotenanker"/>
        </w:rPr>
        <w:footnoteReference w:customMarkFollows="1" w:id="1278"/>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279"/>
        <w:t>f</w:t>
      </w:r>
      <w:r>
        <w:rPr/>
        <w:t xml:space="preserve"> kommen</w:t>
      </w:r>
      <w:r>
        <w:rPr>
          <w:rStyle w:val="Funotenanker"/>
        </w:rPr>
        <w:footnoteReference w:customMarkFollows="1" w:id="1280"/>
        <w:t>g</w:t>
      </w:r>
      <w:r>
        <w:rPr/>
        <w:t>.Möge dein Wille geschehen - wie im Himmel so auch auf der Erde</w:t>
      </w:r>
      <w:r>
        <w:rPr>
          <w:rStyle w:val="Funotenanker"/>
        </w:rPr>
        <w:footnoteReference w:customMarkFollows="1" w:id="1281"/>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282"/>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283"/>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284"/>
        <w:t>k</w:t>
      </w:r>
      <w:r>
        <w:rPr/>
        <w:t xml:space="preserve">,wie auch wir unseren Schuldnern vergeben haben </w:t>
      </w:r>
      <w:r>
        <w:rPr>
          <w:color w:val="808080"/>
        </w:rPr>
        <w:t>(vergeben)</w:t>
      </w:r>
      <w:r>
        <w:rPr/>
        <w:t xml:space="preserve"> </w:t>
      </w:r>
      <w:r>
        <w:rPr>
          <w:rStyle w:val="Funotenanker"/>
        </w:rPr>
        <w:footnoteReference w:customMarkFollows="1" w:id="1285"/>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286"/>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287"/>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288"/>
        <w:t>Status</w:t>
      </w:r>
      <w:r>
        <w:rPr/>
        <w:t xml:space="preserve"> </w:t>
      </w:r>
      <w:r>
        <w:rPr>
          <w:strike/>
          <w:color w:val="808080"/>
        </w:rPr>
        <w:t>{Und}</w:t>
      </w:r>
      <w:r>
        <w:rPr/>
        <w:t xml:space="preserve"> </w:t>
      </w:r>
      <w:r>
        <w:rPr>
          <w:rStyle w:val="Funotenanker"/>
        </w:rPr>
        <w:footnoteReference w:customMarkFollows="1" w:id="1289"/>
        <w:t>a</w:t>
      </w:r>
      <w:r>
        <w:rPr/>
        <w:t xml:space="preserve"> Die Pharisäer und Sadduzäer</w:t>
      </w:r>
      <w:r>
        <w:rPr>
          <w:rStyle w:val="Funotenanker"/>
        </w:rPr>
        <w:footnoteReference w:customMarkFollows="1" w:id="1290"/>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291"/>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292"/>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293"/>
        <w:t>e</w:t>
      </w:r>
      <w:r>
        <w:rPr/>
        <w:t xml:space="preserve"> Geschlecht </w:t>
      </w:r>
      <w:r>
        <w:rPr>
          <w:color w:val="808080"/>
        </w:rPr>
        <w:t>(Generation, Pack)</w:t>
      </w:r>
      <w:r>
        <w:rPr/>
        <w:t xml:space="preserve"> </w:t>
      </w:r>
      <w:r>
        <w:rPr>
          <w:rStyle w:val="Funotenanker"/>
        </w:rPr>
        <w:footnoteReference w:customMarkFollows="1" w:id="1294"/>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295"/>
        <w:t>g</w:t>
      </w:r>
      <w:r>
        <w:rPr/>
        <w:t xml:space="preserve"> kamen,</w:t>
      </w:r>
      <w:r>
        <w:rPr>
          <w:rStyle w:val="Funotenanker"/>
        </w:rPr>
        <w:footnoteReference w:customMarkFollows="1" w:id="1296"/>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297"/>
        <w:t>i</w:t>
      </w:r>
      <w:r>
        <w:rPr/>
        <w:t xml:space="preserve"> miteinander </w:t>
      </w:r>
      <w:r>
        <w:rPr>
          <w:strike/>
          <w:color w:val="808080"/>
        </w:rPr>
        <w:t>{sagend}</w:t>
      </w:r>
      <w:r>
        <w:rPr/>
        <w:t>: „Wir haben keine Brote mitgenommen!“</w:t>
      </w:r>
      <w:r>
        <w:rPr>
          <w:rStyle w:val="Funotenanker"/>
        </w:rPr>
        <w:footnoteReference w:customMarkFollows="1" w:id="1298"/>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299"/>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300"/>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301"/>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302"/>
        <w:t>n</w:t>
      </w:r>
      <w:r>
        <w:rPr/>
        <w:t xml:space="preserve"> - </w:t>
      </w:r>
      <w:r>
        <w:rPr>
          <w:color w:val="808080"/>
        </w:rPr>
        <w:t>(dass der Menschensohn)</w:t>
      </w:r>
      <w:r>
        <w:rPr/>
        <w:t xml:space="preserve"> </w:t>
      </w:r>
      <w:r>
        <w:rPr>
          <w:rStyle w:val="Funotenanker"/>
        </w:rPr>
        <w:footnoteReference w:customMarkFollows="1" w:id="1303"/>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304"/>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305"/>
        <w:t>q</w:t>
      </w:r>
      <w:r>
        <w:rPr/>
        <w:t xml:space="preserve"> bist du, Simon bar Jona</w:t>
      </w:r>
      <w:r>
        <w:rPr>
          <w:rStyle w:val="Funotenanker"/>
        </w:rPr>
        <w:footnoteReference w:customMarkFollows="1" w:id="1306"/>
        <w:t>r</w:t>
      </w:r>
      <w:r>
        <w:rPr/>
        <w:t>, denn nicht Fleisch und Blut</w:t>
      </w:r>
      <w:r>
        <w:rPr>
          <w:rStyle w:val="Funotenanker"/>
        </w:rPr>
        <w:footnoteReference w:customMarkFollows="1" w:id="1307"/>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308"/>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309"/>
        <w:t>u</w:t>
      </w:r>
      <w:r>
        <w:rPr/>
        <w:t xml:space="preserve"> werde ich meine Kirche </w:t>
      </w:r>
      <w:r>
        <w:rPr>
          <w:color w:val="808080"/>
        </w:rPr>
        <w:t>(er)</w:t>
      </w:r>
      <w:r>
        <w:rPr/>
        <w:t>bauen, und die Pforten des Hades</w:t>
      </w:r>
      <w:r>
        <w:rPr>
          <w:rStyle w:val="Funotenanker"/>
        </w:rPr>
        <w:footnoteReference w:customMarkFollows="1" w:id="1310"/>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311"/>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312"/>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313"/>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314"/>
        <w:t>z</w:t>
      </w:r>
      <w:r>
        <w:rPr/>
        <w:t xml:space="preserve"> und sagte zu Petrus: „Geh hinter mich </w:t>
      </w:r>
      <w:r>
        <w:rPr>
          <w:color w:val="808080"/>
        </w:rPr>
        <w:t>(geh weg von mir, lass mich in Ruhe)</w:t>
      </w:r>
      <w:r>
        <w:rPr/>
        <w:t>,</w:t>
      </w:r>
      <w:r>
        <w:rPr>
          <w:rStyle w:val="Funotenanker"/>
        </w:rPr>
        <w:footnoteReference w:customMarkFollows="1" w:id="1315"/>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316"/>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317"/>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318"/>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319"/>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320"/>
        <w:t>Status</w:t>
      </w:r>
      <w:r>
        <w:rPr/>
        <w:t xml:space="preserve"> Spät</w:t>
      </w:r>
      <w:r>
        <w:rPr>
          <w:rStyle w:val="Funotenanker"/>
        </w:rPr>
        <w:footnoteReference w:customMarkFollows="1" w:id="1321"/>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322"/>
        <w:t>b</w:t>
      </w:r>
      <w:r>
        <w:rPr/>
        <w:t xml:space="preserve"> nämlich, der </w:t>
      </w:r>
      <w:r>
        <w:rPr>
          <w:color w:val="808080"/>
        </w:rPr>
        <w:t>(nachdem er)</w:t>
      </w:r>
      <w:r>
        <w:rPr/>
        <w:t xml:space="preserve"> </w:t>
      </w:r>
      <w:r>
        <w:rPr>
          <w:rStyle w:val="Funotenanker"/>
        </w:rPr>
        <w:footnoteReference w:customMarkFollows="1" w:id="1323"/>
        <w:t>c</w:t>
      </w:r>
      <w:r>
        <w:rPr/>
        <w:t xml:space="preserve"> aus dem Himmel hinabstieg und hinzutrat, rollte den Stein</w:t>
      </w:r>
      <w:r>
        <w:rPr>
          <w:rStyle w:val="Funotenanker"/>
        </w:rPr>
        <w:footnoteReference w:customMarkFollows="1" w:id="1324"/>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325"/>
        <w:t>e</w:t>
      </w:r>
      <w:r>
        <w:rPr/>
        <w:t xml:space="preserve"> zu den Frauen: „Fürchtet ''ihr''</w:t>
      </w:r>
      <w:r>
        <w:rPr>
          <w:rStyle w:val="Funotenanker"/>
        </w:rPr>
        <w:footnoteReference w:customMarkFollows="1" w:id="1326"/>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327"/>
        <w:t>g</w:t>
      </w:r>
      <w:r>
        <w:rPr/>
        <w:t xml:space="preserve"> lag!{{field-off:bible}} </w:t>
        <w:br/>
        <w:t>[[@BibleTOBIBLE:Mt 28:7]]</w:t>
      </w:r>
      <w:r>
        <w:rPr>
          <w:b/>
        </w:rPr>
        <w:t>7</w:t>
      </w:r>
      <w:r>
        <w:rPr/>
        <w:t xml:space="preserve"> {{field-on:bible}}Und schnell, geht los</w:t>
      </w:r>
      <w:r>
        <w:rPr>
          <w:rStyle w:val="Funotenanker"/>
        </w:rPr>
        <w:footnoteReference w:customMarkFollows="1" w:id="1328"/>
        <w:t>h</w:t>
      </w:r>
      <w:r>
        <w:rPr/>
        <w:t xml:space="preserve"> und sagt seinen Jüngern </w:t>
      </w:r>
      <w:r>
        <w:rPr>
          <w:color w:val="808080"/>
        </w:rPr>
        <w:t>(Jüngern und Jüngerinnen)</w:t>
      </w:r>
      <w:r>
        <w:rPr/>
        <w:t xml:space="preserve"> </w:t>
      </w:r>
      <w:r>
        <w:rPr>
          <w:rStyle w:val="Funotenanker"/>
        </w:rPr>
        <w:footnoteReference w:customMarkFollows="1" w:id="1329"/>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330"/>
        <w:t>j</w:t>
      </w:r>
      <w:r>
        <w:rPr/>
        <w:t xml:space="preserve"> sie schnell fort</w:t>
      </w:r>
      <w:r>
        <w:rPr>
          <w:rStyle w:val="Funotenanker"/>
        </w:rPr>
        <w:footnoteReference w:customMarkFollows="1" w:id="1331"/>
        <w:t>k</w:t>
      </w:r>
      <w:r>
        <w:rPr/>
        <w:t xml:space="preserve"> vom Grab mit Furcht</w:t>
      </w:r>
      <w:r>
        <w:rPr>
          <w:rStyle w:val="Funotenanker"/>
        </w:rPr>
        <w:footnoteReference w:customMarkFollows="1" w:id="1332"/>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333"/>
        <w:t>m</w:t>
      </w:r>
      <w:r>
        <w:rPr/>
        <w:t xml:space="preserve"> siehe, Jesus ging ihnen entgegen </w:t>
      </w:r>
      <w:r>
        <w:rPr>
          <w:color w:val="808080"/>
        </w:rPr>
        <w:t>(begegnete ihnen)</w:t>
      </w:r>
      <w:r>
        <w:rPr/>
        <w:t xml:space="preserve"> und</w:t>
      </w:r>
      <w:r>
        <w:rPr>
          <w:rStyle w:val="Funotenanker"/>
        </w:rPr>
        <w:footnoteReference w:customMarkFollows="1" w:id="1334"/>
        <w:t>n</w:t>
      </w:r>
      <w:r>
        <w:rPr/>
        <w:t xml:space="preserve"> sagte: „Freut euch! </w:t>
      </w:r>
      <w:r>
        <w:rPr>
          <w:color w:val="808080"/>
        </w:rPr>
        <w:t>(Seid gegrüßt!)</w:t>
      </w:r>
      <w:r>
        <w:rPr/>
        <w:t xml:space="preserve"> </w:t>
      </w:r>
      <w:r>
        <w:rPr>
          <w:rStyle w:val="Funotenanker"/>
        </w:rPr>
        <w:footnoteReference w:customMarkFollows="1" w:id="1335"/>
        <w:t>o</w:t>
      </w:r>
      <w:r>
        <w:rPr/>
        <w:t>“ Und als</w:t>
      </w:r>
      <w:r>
        <w:rPr>
          <w:rStyle w:val="Funotenanker"/>
        </w:rPr>
        <w:footnoteReference w:customMarkFollows="1" w:id="1336"/>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337"/>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338"/>
        <w:t>r</w:t>
      </w:r>
      <w:r>
        <w:rPr/>
        <w:t>, siehe, da kamen</w:t>
      </w:r>
      <w:r>
        <w:rPr>
          <w:rStyle w:val="Funotenanker"/>
        </w:rPr>
        <w:footnoteReference w:customMarkFollows="1" w:id="1339"/>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340"/>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341"/>
        <w:t>u</w:t>
      </w:r>
      <w:r>
        <w:rPr/>
        <w:t xml:space="preserve"> </w:t>
      </w:r>
      <w:r>
        <w:rPr>
          <w:b/>
          <w:color w:val="808080"/>
        </w:rPr>
        <w:t>[</w:t>
      </w:r>
      <w:r>
        <w:rPr/>
        <w:t>zu ihnen</w:t>
      </w:r>
      <w:r>
        <w:rPr>
          <w:b/>
          <w:color w:val="808080"/>
        </w:rPr>
        <w:t>]</w:t>
      </w:r>
      <w:r>
        <w:rPr/>
        <w:t>: „Sagt:</w:t>
      </w:r>
      <w:r>
        <w:rPr>
          <w:rStyle w:val="Funotenanker"/>
        </w:rPr>
        <w:footnoteReference w:customMarkFollows="1" w:id="1342"/>
        <w:t>v</w:t>
      </w:r>
      <w:r>
        <w:rPr/>
        <w:t xml:space="preserve"> »Seine Jünger sind nachts gekommen</w:t>
      </w:r>
      <w:r>
        <w:rPr>
          <w:rStyle w:val="Funotenanker"/>
        </w:rPr>
        <w:footnoteReference w:customMarkFollows="1" w:id="1343"/>
        <w:t>w</w:t>
      </w:r>
      <w:r>
        <w:rPr/>
        <w:t xml:space="preserve"> und haben ihn genommen, während</w:t>
      </w:r>
      <w:r>
        <w:rPr>
          <w:rStyle w:val="Funotenanker"/>
        </w:rPr>
        <w:footnoteReference w:customMarkFollows="1" w:id="1344"/>
        <w:t>x</w:t>
      </w:r>
      <w:r>
        <w:rPr/>
        <w:t xml:space="preserve"> wir schliefen.</w:t>
      </w:r>
      <w:r>
        <w:rPr>
          <w:rStyle w:val="Funotenanker"/>
        </w:rPr>
        <w:footnoteReference w:customMarkFollows="1" w:id="1345"/>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346"/>
        <w:t>z</w:t>
      </w:r>
      <w:r>
        <w:rPr/>
        <w:t xml:space="preserve"> und sicher stellen, dass ihr ohne Sorge sein könnt</w:t>
      </w:r>
      <w:r>
        <w:rPr>
          <w:rStyle w:val="Funotenanker"/>
        </w:rPr>
        <w:footnoteReference w:customMarkFollows="1" w:id="1347"/>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348"/>
        <w:t>ab</w:t>
      </w:r>
      <w:r>
        <w:rPr/>
        <w:t xml:space="preserve"> die Silbermünzen und taten so, wie sie gelehrt worden waren. Und dieses Wort verbreitete sich</w:t>
      </w:r>
      <w:r>
        <w:rPr>
          <w:rStyle w:val="Funotenanker"/>
        </w:rPr>
        <w:footnoteReference w:customMarkFollows="1" w:id="1349"/>
        <w:t>ac</w:t>
      </w:r>
      <w:r>
        <w:rPr/>
        <w:t xml:space="preserve"> unter </w:t>
      </w:r>
      <w:r>
        <w:rPr>
          <w:b/>
          <w:color w:val="808080"/>
        </w:rPr>
        <w:t>[</w:t>
      </w:r>
      <w:r>
        <w:rPr/>
        <w:t>vielen</w:t>
      </w:r>
      <w:r>
        <w:rPr>
          <w:b/>
          <w:color w:val="808080"/>
        </w:rPr>
        <w:t>]</w:t>
      </w:r>
      <w:r>
        <w:rPr/>
        <w:t xml:space="preserve"> </w:t>
      </w:r>
      <w:r>
        <w:rPr>
          <w:rStyle w:val="Funotenanker"/>
        </w:rPr>
        <w:footnoteReference w:customMarkFollows="1" w:id="1350"/>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351"/>
        <w:t>ae</w:t>
      </w:r>
      <w:r>
        <w:rPr/>
        <w:t xml:space="preserve"> sie ihn sahen, warfen sie sich vor ihm verehrend </w:t>
      </w:r>
      <w:r>
        <w:rPr>
          <w:color w:val="808080"/>
        </w:rPr>
        <w:t>(huldigend, anbetend)</w:t>
      </w:r>
      <w:r>
        <w:rPr/>
        <w:t xml:space="preserve"> nieder</w:t>
      </w:r>
      <w:r>
        <w:rPr>
          <w:rStyle w:val="Funotenanker"/>
        </w:rPr>
        <w:footnoteReference w:customMarkFollows="1" w:id="1352"/>
        <w:t>af</w:t>
      </w:r>
      <w:r>
        <w:rPr/>
        <w:t xml:space="preserve">; doch zweifelten sie </w:t>
      </w:r>
      <w:r>
        <w:rPr>
          <w:color w:val="808080"/>
        </w:rPr>
        <w:t>(einige von ihnen)</w:t>
      </w:r>
      <w:r>
        <w:rPr/>
        <w:t xml:space="preserve"> </w:t>
      </w:r>
      <w:r>
        <w:rPr>
          <w:rStyle w:val="Funotenanker"/>
        </w:rPr>
        <w:footnoteReference w:customMarkFollows="1" w:id="1353"/>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354"/>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355"/>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356"/>
        <w:t>aj</w:t>
      </w:r>
      <w:r>
        <w:rPr/>
        <w:t xml:space="preserve"> Erde.{{field-off:bible}} </w:t>
        <w:br/>
        <w:t>[[@BibleTOBIBLE:Mt 28:19]]</w:t>
      </w:r>
      <w:r>
        <w:rPr>
          <w:b/>
        </w:rPr>
        <w:t>19</w:t>
      </w:r>
      <w:r>
        <w:rPr/>
        <w:t xml:space="preserve"> {{field-on:bible}}Geht also</w:t>
      </w:r>
      <w:r>
        <w:rPr>
          <w:rStyle w:val="Funotenanker"/>
        </w:rPr>
        <w:footnoteReference w:customMarkFollows="1" w:id="1357"/>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358"/>
        <w:t>Status</w:t>
      </w:r>
      <w:r>
        <w:rPr/>
        <w:t xml:space="preserve"> </w:t>
      </w:r>
      <w:r>
        <w:rPr>
          <w:b/>
          <w:color w:val="808080"/>
        </w:rPr>
        <w:t>[</w:t>
      </w:r>
      <w:r>
        <w:rPr/>
        <w:t>Der</w:t>
      </w:r>
      <w:r>
        <w:rPr>
          <w:b/>
          <w:color w:val="808080"/>
        </w:rPr>
        <w:t>]</w:t>
      </w:r>
      <w:r>
        <w:rPr/>
        <w:t xml:space="preserve"> Anfang der frohen Botschaft </w:t>
      </w:r>
      <w:r>
        <w:rPr>
          <w:rStyle w:val="Funotenanker"/>
        </w:rPr>
        <w:footnoteReference w:customMarkFollows="1" w:id="1359"/>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360"/>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361"/>
        <w:t>c</w:t>
      </w:r>
      <w:r>
        <w:rPr/>
        <w:t xml:space="preserve"> „Siehe, ich sende meinen Boten vor dir her </w:t>
      </w:r>
      <w:r>
        <w:rPr>
          <w:rStyle w:val="Funotenanker"/>
        </w:rPr>
        <w:footnoteReference w:customMarkFollows="1" w:id="1362"/>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363"/>
        <w:t>e</w:t>
      </w:r>
      <w:r>
        <w:rPr/>
        <w:t xml:space="preserve"> »Bereitet den Weg des Herrn vor, macht seine Pfade gerade«“, </w:t>
      </w:r>
      <w:r>
        <w:rPr>
          <w:rStyle w:val="Funotenanker"/>
        </w:rPr>
        <w:footnoteReference w:customMarkFollows="1" w:id="1364"/>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365"/>
        <w:t>g</w:t>
      </w:r>
      <w:r>
        <w:rPr/>
        <w:t xml:space="preserve"> </w:t>
      </w:r>
      <w:r>
        <w:rPr>
          <w:color w:val="808080"/>
        </w:rPr>
        <w:t>(trat Johannes auf, der in der Wüste taufte)</w:t>
      </w:r>
      <w:r>
        <w:rPr/>
        <w:t xml:space="preserve"> </w:t>
      </w:r>
      <w:r>
        <w:rPr>
          <w:rStyle w:val="Funotenanker"/>
        </w:rPr>
        <w:footnoteReference w:customMarkFollows="1" w:id="1366"/>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367"/>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368"/>
        <w:t>j</w:t>
      </w:r>
      <w:r>
        <w:rPr/>
        <w:t xml:space="preserve"> </w:t>
      </w:r>
      <w:r>
        <w:rPr>
          <w:color w:val="808080"/>
        </w:rPr>
        <w:t>(Gegend, Land)</w:t>
      </w:r>
      <w:r>
        <w:rPr/>
        <w:t xml:space="preserve"> und alle Jerusalemer begaben sich </w:t>
      </w:r>
      <w:r>
        <w:rPr>
          <w:rStyle w:val="Funotenanker"/>
        </w:rPr>
        <w:footnoteReference w:customMarkFollows="1" w:id="1369"/>
        <w:t>k</w:t>
      </w:r>
      <w:r>
        <w:rPr/>
        <w:t xml:space="preserve"> </w:t>
      </w:r>
      <w:r>
        <w:rPr>
          <w:color w:val="808080"/>
        </w:rPr>
        <w:t>(gingen)</w:t>
      </w:r>
      <w:r>
        <w:rPr/>
        <w:t xml:space="preserve"> hinaus zu ihm und ließen sich von ihm im Fluss Jordan taufen </w:t>
      </w:r>
      <w:r>
        <w:rPr>
          <w:rStyle w:val="Funotenanker"/>
        </w:rPr>
        <w:footnoteReference w:customMarkFollows="1" w:id="1370"/>
        <w:t>l</w:t>
      </w:r>
      <w:r>
        <w:rPr/>
        <w:t xml:space="preserve">, wobei </w:t>
      </w:r>
      <w:r>
        <w:rPr>
          <w:color w:val="808080"/>
        </w:rPr>
        <w:t>(und)</w:t>
      </w:r>
      <w:r>
        <w:rPr/>
        <w:t xml:space="preserve"> sie ihre Sünden bekannten. </w:t>
      </w:r>
      <w:r>
        <w:rPr>
          <w:rStyle w:val="Funotenanker"/>
        </w:rPr>
        <w:footnoteReference w:customMarkFollows="1" w:id="1371"/>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372"/>
        <w:t>n</w:t>
      </w:r>
      <w:r>
        <w:rPr/>
        <w:t xml:space="preserve"> und Heuschrecken und wilden Honig zu essen </w:t>
      </w:r>
      <w:r>
        <w:rPr>
          <w:rStyle w:val="Funotenanker"/>
        </w:rPr>
        <w:footnoteReference w:customMarkFollows="1" w:id="1373"/>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374"/>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375"/>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376"/>
        <w:t>r</w:t>
      </w:r>
      <w:r>
        <w:rPr/>
        <w:t xml:space="preserve"> ihm </w:t>
      </w:r>
      <w:r>
        <w:rPr>
          <w:rStyle w:val="Funotenanker"/>
        </w:rPr>
        <w:footnoteReference w:customMarkFollows="1" w:id="1377"/>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378"/>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379"/>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380"/>
        <w:t>v</w:t>
      </w:r>
      <w:r>
        <w:rPr/>
        <w:t xml:space="preserve">, sah er, wie </w:t>
      </w:r>
      <w:r>
        <w:rPr>
          <w:color w:val="808080"/>
        </w:rPr>
        <w:t>(dass)</w:t>
      </w:r>
      <w:r>
        <w:rPr/>
        <w:t xml:space="preserve"> der Himmel </w:t>
      </w:r>
      <w:r>
        <w:rPr>
          <w:rStyle w:val="Funotenanker"/>
        </w:rPr>
        <w:footnoteReference w:customMarkFollows="1" w:id="1381"/>
        <w:t>w</w:t>
      </w:r>
      <w:r>
        <w:rPr/>
        <w:t xml:space="preserve"> geteilt </w:t>
      </w:r>
      <w:r>
        <w:rPr>
          <w:color w:val="808080"/>
        </w:rPr>
        <w:t>(geöffnet)</w:t>
      </w:r>
      <w:r>
        <w:rPr/>
        <w:t xml:space="preserve"> wurde </w:t>
      </w:r>
      <w:r>
        <w:rPr>
          <w:rStyle w:val="Funotenanker"/>
        </w:rPr>
        <w:footnoteReference w:customMarkFollows="1" w:id="1382"/>
        <w:t>x</w:t>
      </w:r>
      <w:r>
        <w:rPr/>
        <w:t xml:space="preserve"> und der Geist wie eine Taube in ihn </w:t>
      </w:r>
      <w:r>
        <w:rPr>
          <w:color w:val="808080"/>
        </w:rPr>
        <w:t>(zu ihm; auf ihn)</w:t>
      </w:r>
      <w:r>
        <w:rPr/>
        <w:t xml:space="preserve"> </w:t>
      </w:r>
      <w:r>
        <w:rPr>
          <w:rStyle w:val="Funotenanker"/>
        </w:rPr>
        <w:footnoteReference w:customMarkFollows="1" w:id="1383"/>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384"/>
        <w:t>z</w:t>
      </w:r>
      <w:r>
        <w:rPr/>
        <w:t xml:space="preserve"> aus dem Himmel </w:t>
      </w:r>
      <w:r>
        <w:rPr>
          <w:rStyle w:val="Funotenanker"/>
        </w:rPr>
        <w:footnoteReference w:customMarkFollows="1" w:id="1385"/>
        <w:t>aa</w:t>
      </w:r>
      <w:r>
        <w:rPr/>
        <w:t xml:space="preserve">: „Du bist mein geliebter Sohn, an dir habe ich Freude </w:t>
      </w:r>
      <w:r>
        <w:rPr>
          <w:color w:val="808080"/>
        </w:rPr>
        <w:t>(Gefallen gefunden)</w:t>
      </w:r>
      <w:r>
        <w:rPr/>
        <w:t xml:space="preserve"> </w:t>
      </w:r>
      <w:r>
        <w:rPr>
          <w:rStyle w:val="Funotenanker"/>
        </w:rPr>
        <w:footnoteReference w:customMarkFollows="1" w:id="1386"/>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387"/>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388"/>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389"/>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390"/>
        <w:t>af</w:t>
      </w:r>
      <w:r>
        <w:rPr/>
        <w:t xml:space="preserve"> das Evangelium Gottes </w:t>
      </w:r>
      <w:r>
        <w:rPr>
          <w:rStyle w:val="Funotenanker"/>
        </w:rPr>
        <w:footnoteReference w:customMarkFollows="1" w:id="1391"/>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392"/>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393"/>
        <w:t>ai</w:t>
      </w:r>
      <w:r>
        <w:rPr/>
        <w:t xml:space="preserve"> und Gottes Königsherrschaft </w:t>
      </w:r>
      <w:r>
        <w:rPr>
          <w:color w:val="808080"/>
        </w:rPr>
        <w:t>(Königreich)</w:t>
      </w:r>
      <w:r>
        <w:rPr/>
        <w:t xml:space="preserve"> </w:t>
      </w:r>
      <w:r>
        <w:rPr>
          <w:rStyle w:val="Funotenanker"/>
        </w:rPr>
        <w:footnoteReference w:customMarkFollows="1" w:id="1394"/>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395"/>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396"/>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397"/>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398"/>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399"/>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400"/>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401"/>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402"/>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403"/>
        <w:t>as</w:t>
      </w:r>
      <w:r>
        <w:rPr/>
        <w:t xml:space="preserve"> </w:t>
      </w:r>
      <w:r>
        <w:rPr>
          <w:color w:val="808080"/>
        </w:rPr>
        <w:t>begann)</w:t>
      </w:r>
      <w:r>
        <w:rPr/>
        <w:t xml:space="preserve"> </w:t>
      </w:r>
      <w:r>
        <w:rPr>
          <w:rStyle w:val="Funotenanker"/>
        </w:rPr>
        <w:footnoteReference w:customMarkFollows="1" w:id="1404"/>
        <w:t>at</w:t>
      </w:r>
      <w:r>
        <w:rPr/>
        <w:t xml:space="preserve"> zu lehren </w:t>
      </w:r>
      <w:r>
        <w:rPr>
          <w:rStyle w:val="Funotenanker"/>
        </w:rPr>
        <w:footnoteReference w:customMarkFollows="1" w:id="1405"/>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406"/>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407"/>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408"/>
        <w:t>ax</w:t>
      </w:r>
      <w:r>
        <w:rPr/>
        <w:t xml:space="preserve"> Jesus von Nazaret </w:t>
      </w:r>
      <w:r>
        <w:rPr>
          <w:rStyle w:val="Funotenanker"/>
        </w:rPr>
        <w:footnoteReference w:customMarkFollows="1" w:id="1409"/>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410"/>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411"/>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412"/>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413"/>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414"/>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415"/>
        <w:t>be</w:t>
      </w:r>
      <w:r>
        <w:rPr/>
        <w:t xml:space="preserve"> verließen sie </w:t>
      </w:r>
      <w:r>
        <w:rPr>
          <w:strike/>
          <w:color w:val="808080"/>
        </w:rPr>
        <w:t>{aus}</w:t>
      </w:r>
      <w:r>
        <w:rPr/>
        <w:t xml:space="preserve"> die Synagoge und </w:t>
      </w:r>
      <w:r>
        <w:rPr>
          <w:rStyle w:val="Funotenanker"/>
        </w:rPr>
        <w:footnoteReference w:customMarkFollows="1" w:id="1416"/>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417"/>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418"/>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419"/>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420"/>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421"/>
        <w:t>bk</w:t>
      </w:r>
      <w:r>
        <w:rPr/>
        <w:t xml:space="preserve"> die Sonne untergegangen war </w:t>
      </w:r>
      <w:r>
        <w:rPr>
          <w:color w:val="808080"/>
        </w:rPr>
        <w:t>(unterging)</w:t>
      </w:r>
      <w:r>
        <w:rPr/>
        <w:t xml:space="preserve">, brachte </w:t>
      </w:r>
      <w:r>
        <w:rPr>
          <w:rStyle w:val="Funotenanker"/>
        </w:rPr>
        <w:footnoteReference w:customMarkFollows="1" w:id="1422"/>
        <w:t>bl</w:t>
      </w:r>
      <w:r>
        <w:rPr/>
        <w:t xml:space="preserve"> man alle Kranken </w:t>
      </w:r>
      <w:r>
        <w:rPr>
          <w:color w:val="808080"/>
        </w:rPr>
        <w:t>(denen es schlecht ging)</w:t>
      </w:r>
      <w:r>
        <w:rPr/>
        <w:t xml:space="preserve"> </w:t>
      </w:r>
      <w:r>
        <w:rPr>
          <w:rStyle w:val="Funotenanker"/>
        </w:rPr>
        <w:footnoteReference w:customMarkFollows="1" w:id="1423"/>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424"/>
        <w:t>bn</w:t>
      </w:r>
      <w:r>
        <w:rPr/>
        <w:t xml:space="preserve"> stand er auf, </w:t>
      </w:r>
      <w:r>
        <w:rPr>
          <w:rStyle w:val="Funotenanker"/>
        </w:rPr>
        <w:footnoteReference w:customMarkFollows="1" w:id="1425"/>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426"/>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427"/>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428"/>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429"/>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430"/>
        <w:t>bt</w:t>
      </w:r>
      <w:r>
        <w:rPr/>
        <w:t xml:space="preserve"> und trieb die Dämonen aus. </w:t>
      </w:r>
      <w:r>
        <w:rPr>
          <w:rStyle w:val="Funotenanker"/>
        </w:rPr>
        <w:footnoteReference w:customMarkFollows="1" w:id="1431"/>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432"/>
        <w:t>bv</w:t>
      </w:r>
      <w:r>
        <w:rPr/>
        <w:t xml:space="preserve"> , wobei er ihm zurief </w:t>
      </w:r>
      <w:r>
        <w:rPr>
          <w:color w:val="808080"/>
        </w:rPr>
        <w:t>(sagte)</w:t>
      </w:r>
      <w:r>
        <w:rPr/>
        <w:t xml:space="preserve"> </w:t>
      </w:r>
      <w:r>
        <w:rPr>
          <w:rStyle w:val="Funotenanker"/>
        </w:rPr>
        <w:footnoteReference w:customMarkFollows="1" w:id="1433"/>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434"/>
        <w:t>bx</w:t>
      </w:r>
      <w:r>
        <w:rPr/>
        <w:t xml:space="preserve"> darum </w:t>
      </w:r>
      <w:r>
        <w:rPr>
          <w:rStyle w:val="Funotenanker"/>
        </w:rPr>
        <w:footnoteReference w:customMarkFollows="1" w:id="1435"/>
        <w:t>by</w:t>
      </w:r>
      <w:r>
        <w:rPr/>
        <w:t xml:space="preserve"> streckte er seine Hand aus </w:t>
      </w:r>
      <w:r>
        <w:rPr>
          <w:rStyle w:val="Funotenanker"/>
        </w:rPr>
        <w:footnoteReference w:customMarkFollows="1" w:id="1436"/>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437"/>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438"/>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439"/>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440"/>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441"/>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442"/>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443"/>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444"/>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445"/>
        <w:t>a</w:t>
      </w:r>
      <w:r>
        <w:rPr/>
        <w:t xml:space="preserve"> , wurde bekannt </w:t>
      </w:r>
      <w:r>
        <w:rPr>
          <w:rStyle w:val="Funotenanker"/>
        </w:rPr>
        <w:footnoteReference w:customMarkFollows="1" w:id="1446"/>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447"/>
        <w:t>c</w:t>
      </w:r>
      <w:r>
        <w:rPr/>
        <w:t xml:space="preserve"> war </w:t>
      </w:r>
      <w:r>
        <w:rPr>
          <w:rStyle w:val="Funotenanker"/>
        </w:rPr>
        <w:footnoteReference w:customMarkFollows="1" w:id="1448"/>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449"/>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450"/>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451"/>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452"/>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453"/>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454"/>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455"/>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456"/>
        <w:t>l</w:t>
      </w:r>
      <w:r>
        <w:rPr/>
        <w:t xml:space="preserve"> sagte </w:t>
      </w:r>
      <w:r>
        <w:rPr>
          <w:rStyle w:val="Funotenanker"/>
        </w:rPr>
        <w:footnoteReference w:customMarkFollows="1" w:id="1457"/>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458"/>
        <w:t>n</w:t>
      </w:r>
      <w:r>
        <w:rPr/>
        <w:t xml:space="preserve"> in Gedanken </w:t>
      </w:r>
      <w:r>
        <w:rPr>
          <w:rStyle w:val="Funotenanker"/>
        </w:rPr>
        <w:footnoteReference w:customMarkFollows="1" w:id="1459"/>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460"/>
        <w:t>p</w:t>
      </w:r>
      <w:r>
        <w:rPr/>
        <w:t xml:space="preserve"> in seinem Geist </w:t>
      </w:r>
      <w:r>
        <w:rPr>
          <w:rStyle w:val="Funotenanker"/>
        </w:rPr>
        <w:footnoteReference w:customMarkFollows="1" w:id="1461"/>
        <w:t>q</w:t>
      </w:r>
      <w:r>
        <w:rPr/>
        <w:t xml:space="preserve"> sofort, dass sie so </w:t>
      </w:r>
      <w:r>
        <w:rPr>
          <w:strike/>
          <w:color w:val="808080"/>
        </w:rPr>
        <w:t>{bei sich}</w:t>
      </w:r>
      <w:r>
        <w:rPr/>
        <w:t xml:space="preserve"> dachten, darum sagte </w:t>
      </w:r>
      <w:r>
        <w:rPr>
          <w:rStyle w:val="Funotenanker"/>
        </w:rPr>
        <w:footnoteReference w:customMarkFollows="1" w:id="1462"/>
        <w:t>r</w:t>
      </w:r>
      <w:r>
        <w:rPr/>
        <w:t xml:space="preserve"> er zu ihnen: „Warum habt ihr solche Gedanken? </w:t>
      </w:r>
      <w:r>
        <w:rPr>
          <w:rStyle w:val="Funotenanker"/>
        </w:rPr>
        <w:footnoteReference w:customMarkFollows="1" w:id="1463"/>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464"/>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465"/>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466"/>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467"/>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468"/>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469"/>
        <w:t>y</w:t>
      </w:r>
      <w:r>
        <w:rPr/>
        <w:t xml:space="preserve"> . Und die gesamte Menschenmenge kam zu ihm, und er lehrte </w:t>
      </w:r>
      <w:r>
        <w:rPr>
          <w:rStyle w:val="Funotenanker"/>
        </w:rPr>
        <w:footnoteReference w:customMarkFollows="1" w:id="1470"/>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471"/>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472"/>
        <w:t>ab</w:t>
      </w:r>
      <w:r>
        <w:rPr/>
        <w:t xml:space="preserve"> sitzen </w:t>
      </w:r>
      <w:r>
        <w:rPr>
          <w:rStyle w:val="Funotenanker"/>
        </w:rPr>
        <w:footnoteReference w:customMarkFollows="1" w:id="1473"/>
        <w:t>ac</w:t>
      </w:r>
      <w:r>
        <w:rPr/>
        <w:t xml:space="preserve"> und sagte zu ihm: „Folge mir nach!“ </w:t>
      </w:r>
      <w:r>
        <w:rPr>
          <w:rStyle w:val="Funotenanker"/>
        </w:rPr>
        <w:footnoteReference w:customMarkFollows="1" w:id="1474"/>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475"/>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476"/>
        <w:t>af</w:t>
      </w:r>
      <w:r>
        <w:rPr/>
        <w:t xml:space="preserve"> in seinem Haus </w:t>
      </w:r>
      <w:r>
        <w:rPr>
          <w:rStyle w:val="Funotenanker"/>
        </w:rPr>
        <w:footnoteReference w:customMarkFollows="1" w:id="1477"/>
        <w:t>ag</w:t>
      </w:r>
      <w:r>
        <w:rPr/>
        <w:t xml:space="preserve"> bei Tisch war </w:t>
      </w:r>
      <w:r>
        <w:rPr>
          <w:color w:val="808080"/>
        </w:rPr>
        <w:t>(zu Gast war)</w:t>
      </w:r>
      <w:r>
        <w:rPr/>
        <w:t xml:space="preserve"> </w:t>
      </w:r>
      <w:r>
        <w:rPr>
          <w:rStyle w:val="Funotenanker"/>
        </w:rPr>
        <w:footnoteReference w:customMarkFollows="1" w:id="1478"/>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479"/>
        <w:t>ai</w:t>
      </w:r>
      <w:r>
        <w:rPr/>
        <w:t xml:space="preserve"> . Es waren nämlich viele, die </w:t>
      </w:r>
      <w:r>
        <w:rPr>
          <w:rStyle w:val="Funotenanker"/>
        </w:rPr>
        <w:footnoteReference w:customMarkFollows="1" w:id="1480"/>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481"/>
        <w:t>ak</w:t>
      </w:r>
      <w:r>
        <w:rPr/>
        <w:t xml:space="preserve"> sahen, </w:t>
      </w:r>
      <w:r>
        <w:rPr>
          <w:rStyle w:val="Funotenanker"/>
        </w:rPr>
        <w:footnoteReference w:customMarkFollows="1" w:id="1482"/>
        <w:t>al</w:t>
      </w:r>
      <w:r>
        <w:rPr/>
        <w:t xml:space="preserve"> dass er mit den Sündern und Zolleinnehmern </w:t>
      </w:r>
      <w:r>
        <w:rPr>
          <w:color w:val="808080"/>
        </w:rPr>
        <w:t>(Zöllnern)</w:t>
      </w:r>
      <w:r>
        <w:rPr/>
        <w:t xml:space="preserve"> aß </w:t>
      </w:r>
      <w:r>
        <w:rPr>
          <w:rStyle w:val="Funotenanker"/>
        </w:rPr>
        <w:footnoteReference w:customMarkFollows="1" w:id="1483"/>
        <w:t>am</w:t>
      </w:r>
      <w:r>
        <w:rPr/>
        <w:t xml:space="preserve"> , sagten sie zu seinen Jüngern: „Warum </w:t>
      </w:r>
      <w:r>
        <w:rPr>
          <w:rStyle w:val="Funotenanker"/>
        </w:rPr>
        <w:footnoteReference w:customMarkFollows="1" w:id="1484"/>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485"/>
        <w:t>ao</w:t>
      </w:r>
      <w:r>
        <w:rPr/>
        <w:t xml:space="preserve"> sagte er zu ihnen </w:t>
      </w:r>
      <w:r>
        <w:rPr>
          <w:strike/>
          <w:color w:val="808080"/>
        </w:rPr>
        <w:t>{dass}</w:t>
      </w:r>
      <w:r>
        <w:rPr/>
        <w:t xml:space="preserve"> </w:t>
      </w:r>
      <w:r>
        <w:rPr>
          <w:rStyle w:val="Funotenanker"/>
        </w:rPr>
        <w:footnoteReference w:customMarkFollows="1" w:id="1486"/>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487"/>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488"/>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489"/>
        <w:t>as</w:t>
      </w:r>
      <w:r>
        <w:rPr/>
        <w:t xml:space="preserve"> ihn: „Weshalb fasten die Jünger von Johannes und die Jünger der Pharisäer </w:t>
      </w:r>
      <w:r>
        <w:rPr>
          <w:rStyle w:val="Funotenanker"/>
        </w:rPr>
        <w:footnoteReference w:customMarkFollows="1" w:id="1490"/>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491"/>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492"/>
        <w:t>av</w:t>
      </w:r>
      <w:r>
        <w:rPr/>
        <w:t xml:space="preserve"> , und dann, an diesem Tag </w:t>
      </w:r>
      <w:r>
        <w:rPr>
          <w:rStyle w:val="Funotenanker"/>
        </w:rPr>
        <w:footnoteReference w:customMarkFollows="1" w:id="1493"/>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494"/>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495"/>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496"/>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abzureißen. </w:t>
      </w:r>
      <w:r>
        <w:rPr>
          <w:rStyle w:val="Funotenanker"/>
        </w:rPr>
        <w:footnoteReference w:customMarkFollows="1" w:id="1497"/>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498"/>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499"/>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500"/>
        <w:t>bd</w:t>
      </w:r>
      <w:r>
        <w:rPr/>
        <w:t xml:space="preserve"> in das Haus Gottes ging und die geweihten Brote </w:t>
      </w:r>
      <w:r>
        <w:rPr>
          <w:color w:val="808080"/>
        </w:rPr>
        <w:t>(Schaubrote, ausgestellten Brote)</w:t>
      </w:r>
      <w:r>
        <w:rPr/>
        <w:t xml:space="preserve"> </w:t>
      </w:r>
      <w:r>
        <w:rPr>
          <w:rStyle w:val="Funotenanker"/>
        </w:rPr>
        <w:footnoteReference w:customMarkFollows="1" w:id="1501"/>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502"/>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503"/>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504"/>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505"/>
        <w:t>a</w:t>
      </w:r>
      <w:r>
        <w:rPr/>
        <w:t xml:space="preserve"> Hand hatte. </w:t>
      </w:r>
      <w:r>
        <w:rPr>
          <w:rStyle w:val="Funotenanker"/>
        </w:rPr>
        <w:footnoteReference w:customMarkFollows="1" w:id="1506"/>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507"/>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508"/>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509"/>
        <w:t>e</w:t>
      </w:r>
      <w:r>
        <w:rPr/>
        <w:t xml:space="preserve"> zu dem Mann mit der verkümmerten </w:t>
      </w:r>
      <w:r>
        <w:rPr>
          <w:color w:val="808080"/>
        </w:rPr>
        <w:t>(gelähmten, verdorrten)</w:t>
      </w:r>
      <w:r>
        <w:rPr/>
        <w:t xml:space="preserve"> Hand </w:t>
      </w:r>
      <w:r>
        <w:rPr>
          <w:rStyle w:val="Funotenanker"/>
        </w:rPr>
        <w:footnoteReference w:customMarkFollows="1" w:id="1510"/>
        <w:t>f</w:t>
      </w:r>
      <w:r>
        <w:rPr/>
        <w:t xml:space="preserve">: „Komm </w:t>
      </w:r>
      <w:r>
        <w:rPr>
          <w:color w:val="808080"/>
        </w:rPr>
        <w:t>(Steh auf)</w:t>
      </w:r>
      <w:r>
        <w:rPr/>
        <w:t xml:space="preserve"> </w:t>
      </w:r>
      <w:r>
        <w:rPr>
          <w:rStyle w:val="Funotenanker"/>
        </w:rPr>
        <w:footnoteReference w:customMarkFollows="1" w:id="1511"/>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512"/>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513"/>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514"/>
        <w:t>j</w:t>
      </w:r>
      <w:r>
        <w:rPr/>
        <w:t xml:space="preserve"> alle der Reihe nach </w:t>
      </w:r>
      <w:r>
        <w:rPr>
          <w:color w:val="808080"/>
        </w:rPr>
        <w:t>(ringsum)</w:t>
      </w:r>
      <w:r>
        <w:rPr/>
        <w:t xml:space="preserve"> an. </w:t>
      </w:r>
      <w:r>
        <w:rPr>
          <w:rStyle w:val="Funotenanker"/>
        </w:rPr>
        <w:footnoteReference w:customMarkFollows="1" w:id="1515"/>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516"/>
        <w:t>l</w:t>
      </w:r>
      <w:r>
        <w:rPr/>
        <w:t xml:space="preserve"> ihrer Herzen </w:t>
      </w:r>
      <w:r>
        <w:rPr>
          <w:rStyle w:val="Funotenanker"/>
        </w:rPr>
        <w:footnoteReference w:customMarkFollows="1" w:id="1517"/>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518"/>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519"/>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520"/>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521"/>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522"/>
        <w:t>r</w:t>
      </w:r>
      <w:r>
        <w:rPr/>
        <w:t xml:space="preserve"> eine große Menge zu ihm, die </w:t>
      </w:r>
      <w:r>
        <w:rPr>
          <w:color w:val="808080"/>
        </w:rPr>
        <w:t>(weil/als sie)</w:t>
      </w:r>
      <w:r>
        <w:rPr/>
        <w:t xml:space="preserve"> hörten, </w:t>
      </w:r>
      <w:r>
        <w:rPr>
          <w:rStyle w:val="Funotenanker"/>
        </w:rPr>
        <w:footnoteReference w:customMarkFollows="1" w:id="1523"/>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524"/>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525"/>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526"/>
        <w:t>v</w:t>
      </w:r>
      <w:r>
        <w:rPr/>
        <w:t xml:space="preserve"> </w:t>
      </w:r>
      <w:r>
        <w:rPr>
          <w:strike/>
          <w:color w:val="808080"/>
        </w:rPr>
        <w:t>{dass}</w:t>
      </w:r>
      <w:r>
        <w:rPr/>
        <w:t xml:space="preserve"> </w:t>
      </w:r>
      <w:r>
        <w:rPr>
          <w:rStyle w:val="Funotenanker"/>
        </w:rPr>
        <w:footnoteReference w:customMarkFollows="1" w:id="1527"/>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528"/>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529"/>
        <w:t>y</w:t>
      </w:r>
      <w:r>
        <w:rPr/>
        <w:t xml:space="preserve"> diejenigen zu sich, die er selbst sich ausgesucht hatte </w:t>
      </w:r>
      <w:r>
        <w:rPr>
          <w:rStyle w:val="Funotenanker"/>
        </w:rPr>
        <w:footnoteReference w:customMarkFollows="1" w:id="1530"/>
        <w:t>z</w:t>
      </w:r>
      <w:r>
        <w:rPr/>
        <w:t xml:space="preserve">; und sie kamen zu ihm </w:t>
      </w:r>
      <w:r>
        <w:rPr>
          <w:rStyle w:val="Funotenanker"/>
        </w:rPr>
        <w:footnoteReference w:customMarkFollows="1" w:id="1531"/>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532"/>
        <w:t>ab</w:t>
      </w:r>
      <w:r>
        <w:rPr/>
        <w:t xml:space="preserve"> zwölf, damit sie mit ihm seien und damit er sie zum Predigen </w:t>
      </w:r>
      <w:r>
        <w:rPr>
          <w:color w:val="808080"/>
        </w:rPr>
        <w:t>(Verkündigen)</w:t>
      </w:r>
      <w:r>
        <w:rPr/>
        <w:t xml:space="preserve"> aussenden </w:t>
      </w:r>
      <w:r>
        <w:rPr>
          <w:b/>
          <w:color w:val="808080"/>
        </w:rPr>
        <w:t>[</w:t>
      </w:r>
      <w:r>
        <w:rPr/>
        <w:t>könnte</w:t>
      </w:r>
      <w:r>
        <w:rPr>
          <w:b/>
          <w:color w:val="808080"/>
        </w:rPr>
        <w:t>]</w:t>
      </w:r>
      <w:r>
        <w:rPr/>
        <w:t xml:space="preserve"> {{field-off:bible}} </w:t>
        <w:br/>
        <w:t>[[@BibleTOBIBLE:Mk 3:15]]</w:t>
      </w:r>
      <w:r>
        <w:rPr>
          <w:b/>
        </w:rPr>
        <w:t>15</w:t>
      </w:r>
      <w:r>
        <w:rPr/>
        <w:t xml:space="preserve"> {{field-on:bible}}und </w:t>
      </w:r>
      <w:r>
        <w:rPr>
          <w:b/>
          <w:color w:val="808080"/>
        </w:rPr>
        <w:t>[</w:t>
      </w:r>
      <w:r>
        <w:rPr/>
        <w:t>damit sie</w:t>
      </w:r>
      <w:r>
        <w:rPr>
          <w:b/>
          <w:color w:val="808080"/>
        </w:rPr>
        <w:t>]</w:t>
      </w:r>
      <w:r>
        <w:rPr/>
        <w:t xml:space="preserve"> Macht </w:t>
      </w:r>
      <w:r>
        <w:rPr>
          <w:color w:val="808080"/>
        </w:rPr>
        <w:t>(Vollmacht, Autorität, Ermächtigung)</w:t>
      </w:r>
      <w:r>
        <w:rPr/>
        <w:t xml:space="preserve"> zum Austreiben </w:t>
      </w:r>
      <w:r>
        <w:rPr>
          <w:b/>
          <w:color w:val="808080"/>
        </w:rPr>
        <w:t>[</w:t>
      </w:r>
      <w:r>
        <w:rPr/>
        <w:t>von</w:t>
      </w:r>
      <w:r>
        <w:rPr>
          <w:b/>
          <w:color w:val="808080"/>
        </w:rPr>
        <w:t>]</w:t>
      </w:r>
      <w:r>
        <w:rPr/>
        <w:t xml:space="preserve"> Dämonen hätten.{{field-off:bible}}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533"/>
        <w:t>ac</w:t>
      </w:r>
      <w:r>
        <w:rPr/>
        <w:t xml:space="preserve"> , das heißt </w:t>
      </w:r>
      <w:r>
        <w:rPr>
          <w:rStyle w:val="Funotenanker"/>
        </w:rPr>
        <w:footnoteReference w:customMarkFollows="1" w:id="1534"/>
        <w:t>ad</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535"/>
        <w:t>ae</w:t>
      </w:r>
      <w:r>
        <w:rPr/>
        <w:t xml:space="preserve"> {{field-off:bible}} </w:t>
        <w:br/>
        <w:t>[[@BibleTOBIBLE:Mk 3:19]]</w:t>
      </w:r>
      <w:r>
        <w:rPr>
          <w:b/>
        </w:rPr>
        <w:t>19</w:t>
      </w:r>
      <w:r>
        <w:rPr/>
        <w:t xml:space="preserve"> {{field-on:bible}}und Judas Iskariot </w:t>
      </w:r>
      <w:r>
        <w:rPr>
          <w:rStyle w:val="Funotenanker"/>
        </w:rPr>
        <w:footnoteReference w:customMarkFollows="1" w:id="1536"/>
        <w:t>af</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537"/>
        <w:t>ag</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538"/>
        <w:t>ah</w:t>
      </w:r>
      <w:r>
        <w:rPr/>
        <w:t xml:space="preserve"> Und wieder versammelte </w:t>
      </w:r>
      <w:r>
        <w:rPr>
          <w:rStyle w:val="Funotenanker"/>
        </w:rPr>
        <w:footnoteReference w:customMarkFollows="1" w:id="1539"/>
        <w:t>ai</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540"/>
        <w:t>aj</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541"/>
        <w:t>ak</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542"/>
        <w:t>al</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543"/>
        <w:t>am</w:t>
      </w:r>
      <w:r>
        <w:rPr/>
        <w:t xml:space="preserve"> verbreiteten </w:t>
      </w:r>
      <w:r>
        <w:rPr>
          <w:color w:val="808080"/>
        </w:rPr>
        <w:t>(meinten, sagten)</w:t>
      </w:r>
      <w:r>
        <w:rPr/>
        <w:t xml:space="preserve"> </w:t>
      </w:r>
      <w:r>
        <w:rPr>
          <w:rStyle w:val="Funotenanker"/>
        </w:rPr>
        <w:footnoteReference w:customMarkFollows="1" w:id="1544"/>
        <w:t>an</w:t>
      </w:r>
      <w:r>
        <w:rPr/>
        <w:t xml:space="preserve"> </w:t>
      </w:r>
      <w:r>
        <w:rPr>
          <w:strike/>
          <w:color w:val="808080"/>
        </w:rPr>
        <w:t>{dass}</w:t>
      </w:r>
      <w:r>
        <w:rPr/>
        <w:t xml:space="preserve">: „Er ist von Beelzebul besessen!“ </w:t>
      </w:r>
      <w:r>
        <w:rPr>
          <w:rStyle w:val="Funotenanker"/>
        </w:rPr>
        <w:footnoteReference w:customMarkFollows="1" w:id="1545"/>
        <w:t>ao</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546"/>
        <w:t>ap</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547"/>
        <w:t>aq</w:t>
      </w:r>
      <w:r>
        <w:rPr/>
        <w:t xml:space="preserve"> zu ihnen: „Wie kann Satan </w:t>
      </w:r>
      <w:r>
        <w:rPr>
          <w:rStyle w:val="Funotenanker"/>
        </w:rPr>
        <w:footnoteReference w:customMarkFollows="1" w:id="1548"/>
        <w:t>ar</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549"/>
        <w:t>as</w:t>
      </w:r>
      <w:r>
        <w:rPr/>
        <w:t xml:space="preserve"> ein Königreich </w:t>
      </w:r>
      <w:r>
        <w:rPr>
          <w:color w:val="808080"/>
        </w:rPr>
        <w:t>(Reich, Staat)</w:t>
      </w:r>
      <w:r>
        <w:rPr/>
        <w:t xml:space="preserve"> sich mit sich selbst verfeindet </w:t>
      </w:r>
      <w:r>
        <w:rPr>
          <w:rStyle w:val="Funotenanker"/>
        </w:rPr>
        <w:footnoteReference w:customMarkFollows="1" w:id="1550"/>
        <w:t>at</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551"/>
        <w:t>au</w:t>
      </w:r>
      <w:r>
        <w:rPr/>
        <w:t xml:space="preserve">.{{field-off:bible}} </w:t>
        <w:br/>
        <w:t>[[@BibleTOBIBLE:Mk 3:27]]</w:t>
      </w:r>
      <w:r>
        <w:rPr>
          <w:b/>
        </w:rPr>
        <w:t>27</w:t>
      </w:r>
      <w:r>
        <w:rPr/>
        <w:t xml:space="preserve"> {{field-on:bible}}Doch niemand kann </w:t>
      </w:r>
      <w:r>
        <w:rPr>
          <w:rStyle w:val="Funotenanker"/>
        </w:rPr>
        <w:footnoteReference w:customMarkFollows="1" w:id="1552"/>
        <w:t>av</w:t>
      </w:r>
      <w:r>
        <w:rPr/>
        <w:t xml:space="preserve"> in das Haus des Starken eindringen </w:t>
      </w:r>
      <w:r>
        <w:rPr>
          <w:color w:val="808080"/>
        </w:rPr>
        <w:t>(einbrechen, hineingehen)</w:t>
      </w:r>
      <w:r>
        <w:rPr/>
        <w:t xml:space="preserve"> und </w:t>
      </w:r>
      <w:r>
        <w:rPr>
          <w:rStyle w:val="Funotenanker"/>
        </w:rPr>
        <w:footnoteReference w:customMarkFollows="1" w:id="1553"/>
        <w:t>aw</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554"/>
        <w:t>ax</w:t>
      </w:r>
      <w:r>
        <w:rPr/>
        <w:t xml:space="preserve"> dann erst kann er sein Haus ausplündern </w:t>
      </w:r>
      <w:r>
        <w:rPr>
          <w:rStyle w:val="Funotenanker"/>
        </w:rPr>
        <w:footnoteReference w:customMarkFollows="1" w:id="1555"/>
        <w:t>ay</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556"/>
        <w:t>az</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557"/>
        <w:t>ba</w:t>
      </w:r>
      <w:r>
        <w:rPr/>
        <w:t xml:space="preserve"> kann </w:t>
      </w:r>
      <w:r>
        <w:rPr>
          <w:color w:val="808080"/>
        </w:rPr>
        <w:t>(wird)</w:t>
      </w:r>
      <w:r>
        <w:rPr/>
        <w:t xml:space="preserve"> alles vergeben werden </w:t>
      </w:r>
      <w:r>
        <w:rPr>
          <w:rStyle w:val="Funotenanker"/>
        </w:rPr>
        <w:footnoteReference w:customMarkFollows="1" w:id="1558"/>
        <w:t>bb</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559"/>
        <w:t>bc</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560"/>
        <w:t>bd</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561"/>
        <w:t>be</w:t>
      </w:r>
      <w:r>
        <w:rPr/>
        <w:t xml:space="preserve"> seine Mutter und seine Geschwister </w:t>
      </w:r>
      <w:r>
        <w:rPr>
          <w:color w:val="808080"/>
        </w:rPr>
        <w:t>(Brüder)</w:t>
      </w:r>
      <w:r>
        <w:rPr/>
        <w:t xml:space="preserve"> </w:t>
      </w:r>
      <w:r>
        <w:rPr>
          <w:rStyle w:val="Funotenanker"/>
        </w:rPr>
        <w:footnoteReference w:customMarkFollows="1" w:id="1562"/>
        <w:t>bf</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563"/>
        <w:t>bg</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564"/>
        <w:t>bh</w:t>
      </w:r>
      <w:r>
        <w:rPr/>
        <w:t xml:space="preserve"> um </w:t>
      </w:r>
      <w:r>
        <w:rPr>
          <w:color w:val="808080"/>
        </w:rPr>
        <w:t>(wobei sie)</w:t>
      </w:r>
      <w:r>
        <w:rPr/>
        <w:t xml:space="preserve"> ihn zu rufen. </w:t>
      </w:r>
      <w:r>
        <w:rPr>
          <w:rStyle w:val="Funotenanker"/>
        </w:rPr>
        <w:footnoteReference w:customMarkFollows="1" w:id="1565"/>
        <w:t>bi</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566"/>
        <w:t>bj</w:t>
      </w:r>
      <w:r>
        <w:rPr/>
        <w:t xml:space="preserve"> zu ihm: „Da draußen </w:t>
      </w:r>
      <w:r>
        <w:rPr>
          <w:rStyle w:val="Funotenanker"/>
        </w:rPr>
        <w:footnoteReference w:customMarkFollows="1" w:id="1567"/>
        <w:t>bk</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568"/>
        <w:t>bl</w:t>
      </w:r>
      <w:r>
        <w:rPr/>
        <w:t xml:space="preserve">: „Wer sind </w:t>
      </w:r>
      <w:r>
        <w:rPr>
          <w:rStyle w:val="Funotenanker"/>
        </w:rPr>
        <w:footnoteReference w:customMarkFollows="1" w:id="1569"/>
        <w:t>bm</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570"/>
        <w:t>bn</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571"/>
        <w:t>bo</w:t>
      </w:r>
      <w:r>
        <w:rPr/>
        <w:t xml:space="preserve"> um ihn saßen, </w:t>
      </w:r>
      <w:r>
        <w:rPr>
          <w:rStyle w:val="Funotenanker"/>
        </w:rPr>
        <w:footnoteReference w:customMarkFollows="1" w:id="1572"/>
        <w:t>bp</w:t>
      </w:r>
      <w:r>
        <w:rPr/>
        <w:t xml:space="preserve"> sagte er: „Siehe, </w:t>
      </w:r>
      <w:r>
        <w:rPr>
          <w:color w:val="808080"/>
        </w:rPr>
        <w:t>(Das hier sind, Ihr hier seid)</w:t>
      </w:r>
      <w:r>
        <w:rPr/>
        <w:t xml:space="preserve"> </w:t>
      </w:r>
      <w:r>
        <w:rPr>
          <w:rStyle w:val="Funotenanker"/>
        </w:rPr>
        <w:footnoteReference w:customMarkFollows="1" w:id="1573"/>
        <w:t>bq</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574"/>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575"/>
        <w:t>a</w:t>
      </w:r>
      <w:r>
        <w:rPr/>
        <w:t xml:space="preserve"> zu lehren. Und eine so gewaltige Menschenmenge versammelte sich bei ihm, dass er in ein Boot stieg und </w:t>
      </w:r>
      <w:r>
        <w:rPr>
          <w:rStyle w:val="Funotenanker"/>
        </w:rPr>
        <w:footnoteReference w:customMarkFollows="1" w:id="1576"/>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577"/>
        <w:t>c</w:t>
      </w:r>
      <w:r>
        <w:rPr/>
        <w:t xml:space="preserve"> , und die ganze Menschenmenge blieb </w:t>
      </w:r>
      <w:r>
        <w:rPr>
          <w:color w:val="808080"/>
        </w:rPr>
        <w:t>(war)</w:t>
      </w:r>
      <w:r>
        <w:rPr/>
        <w:t xml:space="preserve"> </w:t>
      </w:r>
      <w:r>
        <w:rPr>
          <w:rStyle w:val="Funotenanker"/>
        </w:rPr>
        <w:footnoteReference w:customMarkFollows="1" w:id="1578"/>
        <w:t>d</w:t>
      </w:r>
      <w:r>
        <w:rPr/>
        <w:t xml:space="preserve"> am Ufer </w:t>
      </w:r>
      <w:r>
        <w:rPr>
          <w:rStyle w:val="Funotenanker"/>
        </w:rPr>
        <w:footnoteReference w:customMarkFollows="1" w:id="1579"/>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580"/>
        <w:t>f</w:t>
      </w:r>
      <w:r>
        <w:rPr/>
        <w:t xml:space="preserve"> zu ihnen, während er lehrte </w:t>
      </w:r>
      <w:r>
        <w:rPr>
          <w:color w:val="808080"/>
        </w:rPr>
        <w:t>(bei/in/während seiner Lehre)</w:t>
      </w:r>
      <w:r>
        <w:rPr/>
        <w:t xml:space="preserve"> </w:t>
      </w:r>
      <w:r>
        <w:rPr>
          <w:rStyle w:val="Funotenanker"/>
        </w:rPr>
        <w:footnoteReference w:customMarkFollows="1" w:id="1581"/>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582"/>
        <w:t>h</w:t>
      </w:r>
      <w:r>
        <w:rPr/>
        <w:t xml:space="preserve"> an den Wegesrand </w:t>
      </w:r>
      <w:r>
        <w:rPr>
          <w:color w:val="808080"/>
        </w:rPr>
        <w:t>(auf den Weg)</w:t>
      </w:r>
      <w:r>
        <w:rPr/>
        <w:t xml:space="preserve"> </w:t>
      </w:r>
      <w:r>
        <w:rPr>
          <w:rStyle w:val="Funotenanker"/>
        </w:rPr>
        <w:footnoteReference w:customMarkFollows="1" w:id="1583"/>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584"/>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585"/>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586"/>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587"/>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588"/>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589"/>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590"/>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591"/>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592"/>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593"/>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594"/>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595"/>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596"/>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597"/>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598"/>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599"/>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600"/>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601"/>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602"/>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603"/>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604"/>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605"/>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606"/>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607"/>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608"/>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609"/>
        <w:t>ai</w:t>
      </w:r>
      <w:r>
        <w:rPr/>
        <w:t xml:space="preserve"> aller Samenkörner ist </w:t>
      </w:r>
      <w:r>
        <w:rPr>
          <w:rStyle w:val="Funotenanker"/>
        </w:rPr>
        <w:footnoteReference w:customMarkFollows="1" w:id="1610"/>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611"/>
        <w:t>ak</w:t>
      </w:r>
      <w:r>
        <w:rPr/>
        <w:t xml:space="preserve"> aller Gartenpflanzen, und es treibt so große Zweige, dass in seinem Schatten </w:t>
      </w:r>
      <w:r>
        <w:rPr>
          <w:rStyle w:val="Funotenanker"/>
        </w:rPr>
        <w:footnoteReference w:customMarkFollows="1" w:id="1612"/>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613"/>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614"/>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615"/>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616"/>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617"/>
        <w:t>aq</w:t>
      </w:r>
      <w:r>
        <w:rPr/>
        <w:t xml:space="preserve"> „Fahren wir doch </w:t>
      </w:r>
      <w:r>
        <w:rPr>
          <w:color w:val="808080"/>
        </w:rPr>
        <w:t>(lasst uns)</w:t>
      </w:r>
      <w:r>
        <w:rPr/>
        <w:t xml:space="preserve"> ans andere Ufer.“ </w:t>
      </w:r>
      <w:r>
        <w:rPr>
          <w:rStyle w:val="Funotenanker"/>
        </w:rPr>
        <w:footnoteReference w:customMarkFollows="1" w:id="1618"/>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619"/>
        <w:t>as</w:t>
      </w:r>
      <w:r>
        <w:rPr/>
        <w:t xml:space="preserve"> nahmen sie ihn im Boot mit </w:t>
      </w:r>
      <w:r>
        <w:rPr>
          <w:color w:val="808080"/>
        </w:rPr>
        <w:t>(zu sich ins Boot)</w:t>
      </w:r>
      <w:r>
        <w:rPr/>
        <w:t xml:space="preserve">, wie er war, </w:t>
      </w:r>
      <w:r>
        <w:rPr>
          <w:rStyle w:val="Funotenanker"/>
        </w:rPr>
        <w:footnoteReference w:customMarkFollows="1" w:id="1620"/>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621"/>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622"/>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623"/>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624"/>
        <w:t>ax</w:t>
      </w:r>
      <w:r>
        <w:rPr/>
        <w:t xml:space="preserve"> unterwarf </w:t>
      </w:r>
      <w:r>
        <w:rPr>
          <w:color w:val="808080"/>
        </w:rPr>
        <w:t>(fuhr an)</w:t>
      </w:r>
      <w:r>
        <w:rPr/>
        <w:t xml:space="preserve"> </w:t>
      </w:r>
      <w:r>
        <w:rPr>
          <w:rStyle w:val="Funotenanker"/>
        </w:rPr>
        <w:footnoteReference w:customMarkFollows="1" w:id="1625"/>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626"/>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627"/>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628"/>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629"/>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630"/>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631"/>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632"/>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633"/>
        <w:t>e</w:t>
      </w:r>
      <w:r>
        <w:rPr/>
        <w:t xml:space="preserve"> und die Fußfesseln zerrieben </w:t>
      </w:r>
      <w:r>
        <w:rPr>
          <w:color w:val="808080"/>
        </w:rPr>
        <w:t>(zerschmettert)</w:t>
      </w:r>
      <w:r>
        <w:rPr/>
        <w:t xml:space="preserve">, </w:t>
      </w:r>
      <w:r>
        <w:rPr>
          <w:rStyle w:val="Funotenanker"/>
        </w:rPr>
        <w:footnoteReference w:customMarkFollows="1" w:id="1634"/>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635"/>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636"/>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637"/>
        <w:t>i</w:t>
      </w:r>
      <w:r>
        <w:rPr/>
        <w:t xml:space="preserve"> kam er angerannt und warf sich vor ihm nieder </w:t>
      </w:r>
      <w:r>
        <w:rPr>
          <w:rStyle w:val="Funotenanker"/>
        </w:rPr>
        <w:footnoteReference w:customMarkFollows="1" w:id="1638"/>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639"/>
        <w:t>k</w:t>
      </w:r>
      <w:r>
        <w:rPr/>
        <w:t xml:space="preserve"> sagte: „Was willst du von mir </w:t>
      </w:r>
      <w:r>
        <w:rPr>
          <w:rStyle w:val="Funotenanker"/>
        </w:rPr>
        <w:footnoteReference w:customMarkFollows="1" w:id="1640"/>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641"/>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642"/>
        <w:t>n</w:t>
      </w:r>
      <w:r>
        <w:rPr/>
        <w:t xml:space="preserve">, </w:t>
      </w:r>
      <w:r>
        <w:rPr>
          <w:rStyle w:val="Funotenanker"/>
        </w:rPr>
        <w:footnoteReference w:customMarkFollows="1" w:id="1643"/>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644"/>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645"/>
        <w:t>q</w:t>
      </w:r>
      <w:r>
        <w:rPr/>
        <w:t xml:space="preserve"> gerade </w:t>
      </w:r>
      <w:r>
        <w:rPr>
          <w:rStyle w:val="Funotenanker"/>
        </w:rPr>
        <w:footnoteReference w:customMarkFollows="1" w:id="1646"/>
        <w:t>r</w:t>
      </w:r>
      <w:r>
        <w:rPr/>
        <w:t xml:space="preserve"> eine große Schweineherde </w:t>
      </w:r>
      <w:r>
        <w:rPr>
          <w:rStyle w:val="Funotenanker"/>
        </w:rPr>
        <w:footnoteReference w:customMarkFollows="1" w:id="1647"/>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648"/>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649"/>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650"/>
        <w:t>v</w:t>
      </w:r>
      <w:r>
        <w:rPr/>
        <w:t xml:space="preserve">.{{field-off:bible}} </w:t>
        <w:br/>
        <w:t>[[@BibleTOBIBLE:Mk 5:14]]</w:t>
      </w:r>
      <w:r>
        <w:rPr>
          <w:b/>
        </w:rPr>
        <w:t>14</w:t>
      </w:r>
      <w:r>
        <w:rPr/>
        <w:t xml:space="preserve"> {{field-on:bible}}Und ihre Hirten </w:t>
      </w:r>
      <w:r>
        <w:rPr>
          <w:rStyle w:val="Funotenanker"/>
        </w:rPr>
        <w:footnoteReference w:customMarkFollows="1" w:id="1651"/>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652"/>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653"/>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654"/>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655"/>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656"/>
        <w:t>ab</w:t>
      </w:r>
      <w:r>
        <w:rPr/>
        <w:t xml:space="preserve"> bat </w:t>
      </w:r>
      <w:r>
        <w:rPr>
          <w:color w:val="808080"/>
        </w:rPr>
        <w:t>(flehte)</w:t>
      </w:r>
      <w:r>
        <w:rPr/>
        <w:t xml:space="preserve"> ihn der, der besessen gewesen war, </w:t>
      </w:r>
      <w:r>
        <w:rPr>
          <w:rStyle w:val="Funotenanker"/>
        </w:rPr>
        <w:footnoteReference w:customMarkFollows="1" w:id="1657"/>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658"/>
        <w:t>ad</w:t>
      </w:r>
      <w:r>
        <w:rPr/>
        <w:t xml:space="preserve"> zu erzählen </w:t>
      </w:r>
      <w:r>
        <w:rPr>
          <w:color w:val="808080"/>
        </w:rPr>
        <w:t>(predigen, verkündigen)</w:t>
      </w:r>
      <w:r>
        <w:rPr/>
        <w:t xml:space="preserve">, was Jesus ihm getan hatte, </w:t>
      </w:r>
      <w:r>
        <w:rPr>
          <w:rStyle w:val="Funotenanker"/>
        </w:rPr>
        <w:footnoteReference w:customMarkFollows="1" w:id="1659"/>
        <w:t>ae</w:t>
      </w:r>
      <w:r>
        <w:rPr/>
        <w:t xml:space="preserve"> und alle staunten </w:t>
      </w:r>
      <w:r>
        <w:rPr>
          <w:color w:val="808080"/>
        </w:rPr>
        <w:t>(wunderten sich)</w:t>
      </w:r>
      <w:r>
        <w:rPr/>
        <w:t xml:space="preserve"> </w:t>
      </w:r>
      <w:r>
        <w:rPr>
          <w:rStyle w:val="Funotenanker"/>
        </w:rPr>
        <w:footnoteReference w:customMarkFollows="1" w:id="1660"/>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661"/>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662"/>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663"/>
        <w:t>ai</w:t>
      </w:r>
      <w:r>
        <w:rPr/>
        <w:t xml:space="preserve"> namens Jairus </w:t>
      </w:r>
      <w:r>
        <w:rPr>
          <w:rStyle w:val="Funotenanker"/>
        </w:rPr>
        <w:footnoteReference w:customMarkFollows="1" w:id="1664"/>
        <w:t>aj</w:t>
      </w:r>
      <w:r>
        <w:rPr/>
        <w:t xml:space="preserve"> kam, und als er ihn sah, </w:t>
      </w:r>
      <w:r>
        <w:rPr>
          <w:rStyle w:val="Funotenanker"/>
        </w:rPr>
        <w:footnoteReference w:customMarkFollows="1" w:id="1665"/>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666"/>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667"/>
        <w:t>am</w:t>
      </w:r>
      <w:r>
        <w:rPr/>
        <w:t xml:space="preserve"> – komm doch und </w:t>
      </w:r>
      <w:r>
        <w:rPr>
          <w:rStyle w:val="Funotenanker"/>
        </w:rPr>
        <w:footnoteReference w:customMarkFollows="1" w:id="1668"/>
        <w:t>an</w:t>
      </w:r>
      <w:r>
        <w:rPr/>
        <w:t xml:space="preserve"> lege ihr deine Hände auf, </w:t>
      </w:r>
      <w:r>
        <w:rPr>
          <w:rStyle w:val="Funotenanker"/>
        </w:rPr>
        <w:footnoteReference w:customMarkFollows="1" w:id="1669"/>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670"/>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671"/>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672"/>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673"/>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674"/>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675"/>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676"/>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677"/>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678"/>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679"/>
        <w:t>ay</w:t>
      </w:r>
      <w:r>
        <w:rPr/>
        <w:t xml:space="preserve"> drehte sich in der Menschenmenge um und fragte </w:t>
      </w:r>
      <w:r>
        <w:rPr>
          <w:color w:val="808080"/>
        </w:rPr>
        <w:t>(sagte, wiederholte)</w:t>
      </w:r>
      <w:r>
        <w:rPr/>
        <w:t xml:space="preserve"> </w:t>
      </w:r>
      <w:r>
        <w:rPr>
          <w:rStyle w:val="Funotenanker"/>
        </w:rPr>
        <w:footnoteReference w:customMarkFollows="1" w:id="1680"/>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681"/>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682"/>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683"/>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684"/>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685"/>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686"/>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687"/>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688"/>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689"/>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690"/>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691"/>
        <w:t>bk</w:t>
      </w:r>
      <w:r>
        <w:rPr/>
        <w:t xml:space="preserve"> und sagte zu ihr: „Talita kum!“ </w:t>
      </w:r>
      <w:r>
        <w:rPr>
          <w:rStyle w:val="Funotenanker"/>
        </w:rPr>
        <w:footnoteReference w:customMarkFollows="1" w:id="1692"/>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693"/>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694"/>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695"/>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696"/>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697"/>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698"/>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699"/>
        <w:t>b</w:t>
      </w:r>
      <w:r>
        <w:rPr/>
        <w:t xml:space="preserve"> begann er, in der Synagoge zu lehren </w:t>
      </w:r>
      <w:r>
        <w:rPr>
          <w:color w:val="808080"/>
        </w:rPr>
        <w:t>(lehrte er)</w:t>
      </w:r>
      <w:r>
        <w:rPr/>
        <w:t xml:space="preserve"> </w:t>
      </w:r>
      <w:r>
        <w:rPr>
          <w:rStyle w:val="Funotenanker"/>
        </w:rPr>
        <w:footnoteReference w:customMarkFollows="1" w:id="1700"/>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701"/>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702"/>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703"/>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704"/>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705"/>
        <w:t>h</w:t>
      </w:r>
      <w:r>
        <w:rPr/>
        <w:t xml:space="preserve"> aus, </w:t>
      </w:r>
      <w:r>
        <w:rPr>
          <w:rStyle w:val="Funotenanker"/>
        </w:rPr>
        <w:footnoteReference w:customMarkFollows="1" w:id="1706"/>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707"/>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708"/>
        <w:t>k</w:t>
      </w:r>
      <w:r>
        <w:rPr/>
        <w:t xml:space="preserve">, „und zieht keine zwei Unterhemden an!“ </w:t>
      </w:r>
      <w:r>
        <w:rPr>
          <w:rStyle w:val="Funotenanker"/>
        </w:rPr>
        <w:footnoteReference w:customMarkFollows="1" w:id="1709"/>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710"/>
        <w:t>m</w:t>
      </w:r>
      <w:r>
        <w:rPr/>
        <w:t xml:space="preserve"> dann schüttelt beim Aufbruch </w:t>
      </w:r>
      <w:r>
        <w:rPr>
          <w:color w:val="808080"/>
        </w:rPr>
        <w:t>(geht von dort weg und)</w:t>
      </w:r>
      <w:r>
        <w:rPr/>
        <w:t xml:space="preserve"> </w:t>
      </w:r>
      <w:r>
        <w:rPr>
          <w:rStyle w:val="Funotenanker"/>
        </w:rPr>
        <w:footnoteReference w:customMarkFollows="1" w:id="1711"/>
        <w:t>n</w:t>
      </w:r>
      <w:r>
        <w:rPr/>
        <w:t xml:space="preserve"> den Staub von euren Schuhsohlen </w:t>
      </w:r>
      <w:r>
        <w:rPr>
          <w:rStyle w:val="Funotenanker"/>
        </w:rPr>
        <w:footnoteReference w:customMarkFollows="1" w:id="1712"/>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713"/>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714"/>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715"/>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716"/>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717"/>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718"/>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719"/>
        <w:t>v</w:t>
      </w:r>
      <w:r>
        <w:rPr/>
        <w:t xml:space="preserve"> glaubte </w:t>
      </w:r>
      <w:r>
        <w:rPr>
          <w:color w:val="808080"/>
        </w:rPr>
        <w:t>(sagte, rief)</w:t>
      </w:r>
      <w:r>
        <w:rPr/>
        <w:t xml:space="preserve"> er </w:t>
      </w:r>
      <w:r>
        <w:rPr>
          <w:rStyle w:val="Funotenanker"/>
        </w:rPr>
        <w:footnoteReference w:customMarkFollows="1" w:id="1720"/>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721"/>
        <w:t>x</w:t>
      </w:r>
      <w:r>
        <w:rPr/>
        <w:t xml:space="preserve"> lassen </w:t>
      </w:r>
      <w:r>
        <w:rPr>
          <w:rStyle w:val="Funotenanker"/>
        </w:rPr>
        <w:footnoteReference w:customMarkFollows="1" w:id="1722"/>
        <w:t>y</w:t>
      </w:r>
      <w:r>
        <w:rPr/>
        <w:t xml:space="preserve">. </w:t>
      </w:r>
      <w:r>
        <w:rPr>
          <w:b/>
          <w:color w:val="808080"/>
        </w:rPr>
        <w:t>[</w:t>
      </w:r>
      <w:r>
        <w:rPr/>
        <w:t>Das tat er</w:t>
      </w:r>
      <w:r>
        <w:rPr>
          <w:b/>
          <w:color w:val="808080"/>
        </w:rPr>
        <w:t>]</w:t>
      </w:r>
      <w:r>
        <w:rPr/>
        <w:t xml:space="preserve"> </w:t>
      </w:r>
      <w:r>
        <w:rPr>
          <w:rStyle w:val="Funotenanker"/>
        </w:rPr>
        <w:footnoteReference w:customMarkFollows="1" w:id="1723"/>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724"/>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725"/>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726"/>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727"/>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728"/>
        <w:t>ae</w:t>
      </w:r>
      <w:r>
        <w:rPr/>
        <w:t xml:space="preserve">, und wenn er ihm zuhörte </w:t>
      </w:r>
      <w:r>
        <w:rPr>
          <w:color w:val="808080"/>
        </w:rPr>
        <w:t>(zugehört hatte)</w:t>
      </w:r>
      <w:r>
        <w:rPr/>
        <w:t xml:space="preserve">, </w:t>
      </w:r>
      <w:r>
        <w:rPr>
          <w:rStyle w:val="Funotenanker"/>
        </w:rPr>
        <w:footnoteReference w:customMarkFollows="1" w:id="1729"/>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730"/>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731"/>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732"/>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733"/>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734"/>
        <w:t>ak</w:t>
      </w:r>
      <w:r>
        <w:rPr/>
        <w:t xml:space="preserve"> hereinkam und tanzte, </w:t>
      </w:r>
      <w:r>
        <w:rPr>
          <w:rStyle w:val="Funotenanker"/>
        </w:rPr>
        <w:footnoteReference w:customMarkFollows="1" w:id="1735"/>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736"/>
        <w:t>am</w:t>
      </w:r>
      <w:r>
        <w:rPr/>
        <w:t xml:space="preserve">. Der König sagte zu dem Mädchen </w:t>
      </w:r>
      <w:r>
        <w:rPr>
          <w:rStyle w:val="Funotenanker"/>
        </w:rPr>
        <w:footnoteReference w:customMarkFollows="1" w:id="1737"/>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738"/>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739"/>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740"/>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741"/>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742"/>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743"/>
        <w:t>at</w:t>
      </w:r>
      <w:r>
        <w:rPr/>
        <w:t xml:space="preserve"> wollte er sie nicht abweisen.{{field-off:bible}} </w:t>
        <w:br/>
        <w:t>[[@BibleTOBIBLE:Mk 6:27]]</w:t>
      </w:r>
      <w:r>
        <w:rPr>
          <w:b/>
        </w:rPr>
        <w:t>27</w:t>
      </w:r>
      <w:r>
        <w:rPr/>
        <w:t xml:space="preserve"> {{field-on:bible}}Also </w:t>
      </w:r>
      <w:r>
        <w:rPr>
          <w:rStyle w:val="Funotenanker"/>
        </w:rPr>
        <w:footnoteReference w:customMarkFollows="1" w:id="1744"/>
        <w:t>au</w:t>
      </w:r>
      <w:r>
        <w:rPr/>
        <w:t xml:space="preserve"> schickte der König einen Henker und </w:t>
      </w:r>
      <w:r>
        <w:rPr>
          <w:rStyle w:val="Funotenanker"/>
        </w:rPr>
        <w:footnoteReference w:customMarkFollows="1" w:id="1745"/>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746"/>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747"/>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748"/>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749"/>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750"/>
        <w:t>ba</w:t>
      </w:r>
      <w:r>
        <w:rPr/>
        <w:t xml:space="preserve"> an.{{field-off:bible}} </w:t>
        <w:br/>
        <w:t>[[@BibleTOBIBLE:Mk 6:34]]</w:t>
      </w:r>
      <w:r>
        <w:rPr>
          <w:b/>
        </w:rPr>
        <w:t>34</w:t>
      </w:r>
      <w:r>
        <w:rPr/>
        <w:t xml:space="preserve"> {{field-on:bible}}Und als er ausstieg, </w:t>
      </w:r>
      <w:r>
        <w:rPr>
          <w:rStyle w:val="Funotenanker"/>
        </w:rPr>
        <w:footnoteReference w:customMarkFollows="1" w:id="1751"/>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752"/>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753"/>
        <w:t>bd</w:t>
      </w:r>
      <w:r>
        <w:rPr/>
        <w:t xml:space="preserve"> kamen seine Jünger zu ihm und </w:t>
      </w:r>
      <w:r>
        <w:rPr>
          <w:rStyle w:val="Funotenanker"/>
        </w:rPr>
        <w:footnoteReference w:customMarkFollows="1" w:id="1754"/>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755"/>
        <w:t>bf</w:t>
      </w:r>
      <w:r>
        <w:rPr/>
        <w:t xml:space="preserve"> und Dörfern gehen und </w:t>
      </w:r>
      <w:r>
        <w:rPr>
          <w:rStyle w:val="Funotenanker"/>
        </w:rPr>
        <w:footnoteReference w:customMarkFollows="1" w:id="1756"/>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757"/>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758"/>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759"/>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760"/>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761"/>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762"/>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763"/>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764"/>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765"/>
        <w:t>bp</w:t>
      </w:r>
      <w:r>
        <w:rPr/>
        <w:t xml:space="preserve"> auf, auch von den Fischen </w:t>
      </w:r>
      <w:r>
        <w:rPr>
          <w:rStyle w:val="Funotenanker"/>
        </w:rPr>
        <w:footnoteReference w:customMarkFollows="1" w:id="1766"/>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767"/>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768"/>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769"/>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770"/>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771"/>
        <w:t>bv</w:t>
      </w:r>
      <w:r>
        <w:rPr/>
        <w:t xml:space="preserve"> in ihre Richtung, indem er auf dem Meer lief. </w:t>
      </w:r>
      <w:r>
        <w:rPr>
          <w:rStyle w:val="Funotenanker"/>
        </w:rPr>
        <w:footnoteReference w:customMarkFollows="1" w:id="1772"/>
        <w:t>bw</w:t>
      </w:r>
      <w:r>
        <w:rPr/>
        <w:t xml:space="preserve"> Dabei </w:t>
      </w:r>
      <w:r>
        <w:rPr>
          <w:color w:val="808080"/>
        </w:rPr>
        <w:t>(und)</w:t>
      </w:r>
      <w:r>
        <w:rPr/>
        <w:t xml:space="preserve"> wollte </w:t>
      </w:r>
      <w:r>
        <w:rPr>
          <w:rStyle w:val="Funotenanker"/>
        </w:rPr>
        <w:footnoteReference w:customMarkFollows="1" w:id="1773"/>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774"/>
        <w:t>by</w:t>
      </w:r>
      <w:r>
        <w:rPr/>
        <w:t xml:space="preserve"> meinten sie, dass es ein Gespenst sei, und schrien auf </w:t>
      </w:r>
      <w:r>
        <w:rPr>
          <w:color w:val="808080"/>
        </w:rPr>
        <w:t>(fingen an zu schreien)</w:t>
      </w:r>
      <w:r>
        <w:rPr/>
        <w:t xml:space="preserve"> </w:t>
      </w:r>
      <w:r>
        <w:rPr>
          <w:rStyle w:val="Funotenanker"/>
        </w:rPr>
        <w:footnoteReference w:customMarkFollows="1" w:id="1775"/>
        <w:t>bz</w:t>
      </w:r>
      <w:r>
        <w:rPr/>
        <w:t xml:space="preserve">.{{field-off:bible}} </w:t>
        <w:br/>
        <w:t>[[@BibleTOBIBLE:Mk 6:50]]</w:t>
      </w:r>
      <w:r>
        <w:rPr>
          <w:b/>
        </w:rPr>
        <w:t>50</w:t>
      </w:r>
      <w:r>
        <w:rPr/>
        <w:t xml:space="preserve"> {{field-on:bible}}Denn alle sahen ihn und erschraken </w:t>
      </w:r>
      <w:r>
        <w:rPr>
          <w:rStyle w:val="Funotenanker"/>
        </w:rPr>
        <w:footnoteReference w:customMarkFollows="1" w:id="1776"/>
        <w:t>ca</w:t>
      </w:r>
      <w:r>
        <w:rPr/>
        <w:t xml:space="preserve">. Doch er begann sofort mit ihnen zu reden </w:t>
      </w:r>
      <w:r>
        <w:rPr>
          <w:rStyle w:val="Funotenanker"/>
        </w:rPr>
        <w:footnoteReference w:customMarkFollows="1" w:id="1777"/>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778"/>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779"/>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780"/>
        <w:t>ce</w:t>
      </w:r>
      <w:r>
        <w:rPr/>
        <w:t xml:space="preserve">, sondern ihr Herz war verstockt </w:t>
      </w:r>
      <w:r>
        <w:rPr>
          <w:color w:val="808080"/>
        </w:rPr>
        <w:t>(verhärtet)</w:t>
      </w:r>
      <w:r>
        <w:rPr/>
        <w:t xml:space="preserve"> </w:t>
      </w:r>
      <w:r>
        <w:rPr>
          <w:rStyle w:val="Funotenanker"/>
        </w:rPr>
        <w:footnoteReference w:customMarkFollows="1" w:id="1781"/>
        <w:t>cf</w:t>
      </w:r>
      <w:r>
        <w:rPr/>
        <w:t xml:space="preserve">.{{field-off:bible}} </w:t>
        <w:br/>
        <w:t>[[@BibleTOBIBLE:Mk 6:53]]</w:t>
      </w:r>
      <w:r>
        <w:rPr>
          <w:b/>
        </w:rPr>
        <w:t>53</w:t>
      </w:r>
      <w:r>
        <w:rPr/>
        <w:t xml:space="preserve"> {{field-on:bible}}Und nachdem sie übergesetzt hatten, </w:t>
      </w:r>
      <w:r>
        <w:rPr>
          <w:rStyle w:val="Funotenanker"/>
        </w:rPr>
        <w:footnoteReference w:customMarkFollows="1" w:id="1782"/>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783"/>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784"/>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785"/>
        <w:t>cj</w:t>
      </w:r>
      <w:r>
        <w:rPr/>
        <w:t xml:space="preserve"> gesamte Gegend, und sie trugen </w:t>
      </w:r>
      <w:r>
        <w:rPr>
          <w:color w:val="808080"/>
        </w:rPr>
        <w:t>(fingen an zu tragen)</w:t>
      </w:r>
      <w:r>
        <w:rPr/>
        <w:t xml:space="preserve"> </w:t>
      </w:r>
      <w:r>
        <w:rPr>
          <w:rStyle w:val="Funotenanker"/>
        </w:rPr>
        <w:footnoteReference w:customMarkFollows="1" w:id="1786"/>
        <w:t>ck</w:t>
      </w:r>
      <w:r>
        <w:rPr/>
        <w:t xml:space="preserve"> diejenigen, denen es schlecht ging </w:t>
      </w:r>
      <w:r>
        <w:rPr>
          <w:color w:val="808080"/>
        </w:rPr>
        <w:t>(die Kranken)</w:t>
      </w:r>
      <w:r>
        <w:rPr/>
        <w:t xml:space="preserve"> </w:t>
      </w:r>
      <w:r>
        <w:rPr>
          <w:rStyle w:val="Funotenanker"/>
        </w:rPr>
        <w:footnoteReference w:customMarkFollows="1" w:id="1787"/>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788"/>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789"/>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790"/>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791"/>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792"/>
        <w:t>c</w:t>
      </w:r>
      <w:r>
        <w:rPr/>
        <w:t xml:space="preserve"> die Brote </w:t>
      </w:r>
      <w:r>
        <w:rPr>
          <w:color w:val="808080"/>
        </w:rPr>
        <w:t>(ihr Essen)</w:t>
      </w:r>
      <w:r>
        <w:rPr/>
        <w:t xml:space="preserve"> aßen </w:t>
      </w:r>
      <w:r>
        <w:rPr>
          <w:rStyle w:val="Funotenanker"/>
        </w:rPr>
        <w:footnoteReference w:customMarkFollows="1" w:id="1793"/>
        <w:t>d</w:t>
      </w:r>
      <w:r>
        <w:rPr/>
        <w:t xml:space="preserve"> – </w:t>
      </w:r>
      <w:r>
        <w:rPr>
          <w:rStyle w:val="Funotenanker"/>
        </w:rPr>
        <w:footnoteReference w:customMarkFollows="1" w:id="1794"/>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795"/>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796"/>
        <w:t>g</w:t>
      </w:r>
      <w:r>
        <w:rPr/>
        <w:t xml:space="preserve"> festzuhalten, </w:t>
      </w:r>
      <w:r>
        <w:rPr>
          <w:rStyle w:val="Funotenanker"/>
        </w:rPr>
        <w:footnoteReference w:customMarkFollows="1" w:id="1797"/>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798"/>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799"/>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800"/>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801"/>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802"/>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803"/>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804"/>
        <w:t>o</w:t>
      </w:r>
      <w:r>
        <w:rPr/>
        <w:t xml:space="preserve"> außer Acht lasst, </w:t>
      </w:r>
      <w:r>
        <w:rPr>
          <w:rStyle w:val="Funotenanker"/>
        </w:rPr>
        <w:footnoteReference w:customMarkFollows="1" w:id="1805"/>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806"/>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807"/>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808"/>
        <w:t>s</w:t>
      </w:r>
      <w:r>
        <w:rPr/>
        <w:t xml:space="preserve">, das heißt »Opfergabe </w:t>
      </w:r>
      <w:r>
        <w:rPr>
          <w:color w:val="808080"/>
        </w:rPr>
        <w:t>(Geschenk)</w:t>
      </w:r>
      <w:r>
        <w:rPr/>
        <w:t>«,</w:t>
      </w:r>
      <w:r>
        <w:rPr>
          <w:rStyle w:val="Funotenanker"/>
        </w:rPr>
        <w:footnoteReference w:customMarkFollows="1" w:id="1809"/>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810"/>
        <w:t>u</w:t>
      </w:r>
      <w:r>
        <w:rPr/>
        <w:t xml:space="preserve"> ihr ihm nicht mehr, etwas </w:t>
      </w:r>
      <w:r>
        <w:rPr>
          <w:rStyle w:val="Funotenanker"/>
        </w:rPr>
        <w:footnoteReference w:customMarkFollows="1" w:id="1811"/>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812"/>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813"/>
        <w:t>x</w:t>
      </w:r>
      <w:r>
        <w:rPr/>
        <w:t xml:space="preserve"> auf </w:t>
      </w:r>
      <w:r>
        <w:rPr>
          <w:rStyle w:val="Funotenanker"/>
        </w:rPr>
        <w:footnoteReference w:customMarkFollows="1" w:id="1814"/>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815"/>
        <w:t>z</w:t>
      </w:r>
      <w:r>
        <w:rPr/>
        <w:t xml:space="preserve"> sprach nun </w:t>
      </w:r>
      <w:r>
        <w:rPr>
          <w:rStyle w:val="Funotenanker"/>
        </w:rPr>
        <w:footnoteReference w:customMarkFollows="1" w:id="1816"/>
        <w:t>aa</w:t>
      </w:r>
      <w:r>
        <w:rPr/>
        <w:t xml:space="preserve"> zu ihnen: „Hört mir alle zu und versteht </w:t>
      </w:r>
      <w:r>
        <w:rPr>
          <w:rStyle w:val="Funotenanker"/>
        </w:rPr>
        <w:footnoteReference w:customMarkFollows="1" w:id="1817"/>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818"/>
        <w:t>ac</w:t>
      </w:r>
      <w:r>
        <w:rPr/>
        <w:t xml:space="preserve"> Es ist vielmehr, was aus dem Menschen herauskommt, das den Menschen verunreinigt </w:t>
      </w:r>
      <w:r>
        <w:rPr>
          <w:rStyle w:val="Funotenanker"/>
        </w:rPr>
        <w:footnoteReference w:customMarkFollows="1" w:id="1819"/>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820"/>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821"/>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822"/>
        <w:t>ag</w:t>
      </w:r>
      <w:r>
        <w:rPr/>
        <w:t xml:space="preserve"> ausgeschieden wird </w:t>
      </w:r>
      <w:r>
        <w:rPr>
          <w:color w:val="808080"/>
        </w:rPr>
        <w:t>(hinausgelangt)</w:t>
      </w:r>
      <w:r>
        <w:rPr/>
        <w:t xml:space="preserve">?“ So erklärte [Jesus] alle Speisen für rein. </w:t>
      </w:r>
      <w:r>
        <w:rPr>
          <w:rStyle w:val="Funotenanker"/>
        </w:rPr>
        <w:footnoteReference w:customMarkFollows="1" w:id="1823"/>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824"/>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825"/>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826"/>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827"/>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828"/>
        <w:t>am</w:t>
      </w:r>
      <w:r>
        <w:rPr/>
        <w:t xml:space="preserve">. Und er begab sich in ein Haus und </w:t>
      </w:r>
      <w:r>
        <w:rPr>
          <w:rStyle w:val="Funotenanker"/>
        </w:rPr>
        <w:footnoteReference w:customMarkFollows="1" w:id="1829"/>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830"/>
        <w:t>ao</w:t>
      </w:r>
      <w:r>
        <w:rPr/>
        <w:t xml:space="preserve">, und </w:t>
      </w:r>
      <w:r>
        <w:rPr>
          <w:rStyle w:val="Funotenanker"/>
        </w:rPr>
        <w:footnoteReference w:customMarkFollows="1" w:id="1831"/>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832"/>
        <w:t>aq</w:t>
      </w:r>
      <w:r>
        <w:rPr/>
        <w:t xml:space="preserve"> – Und sie bat ihn hartnäckig </w:t>
      </w:r>
      <w:r>
        <w:rPr>
          <w:color w:val="808080"/>
        </w:rPr>
        <w:t>(immer wieder)</w:t>
      </w:r>
      <w:r>
        <w:rPr/>
        <w:t xml:space="preserve"> </w:t>
      </w:r>
      <w:r>
        <w:rPr>
          <w:rStyle w:val="Funotenanker"/>
        </w:rPr>
        <w:footnoteReference w:customMarkFollows="1" w:id="1833"/>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834"/>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835"/>
        <w:t>at</w:t>
      </w:r>
      <w:r>
        <w:rPr/>
        <w:t xml:space="preserve">, geh </w:t>
      </w:r>
      <w:r>
        <w:rPr>
          <w:rStyle w:val="Funotenanker"/>
        </w:rPr>
        <w:footnoteReference w:customMarkFollows="1" w:id="1836"/>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837"/>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838"/>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839"/>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840"/>
        <w:t>ay</w:t>
      </w:r>
      <w:r>
        <w:rPr/>
        <w:t xml:space="preserve"> zu ihm und baten </w:t>
      </w:r>
      <w:r>
        <w:rPr>
          <w:color w:val="808080"/>
        </w:rPr>
        <w:t>(forderten auf)</w:t>
      </w:r>
      <w:r>
        <w:rPr/>
        <w:t xml:space="preserve"> ihn, ihm die Hand aufzulegen </w:t>
      </w:r>
      <w:r>
        <w:rPr>
          <w:rStyle w:val="Funotenanker"/>
        </w:rPr>
        <w:footnoteReference w:customMarkFollows="1" w:id="1841"/>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842"/>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843"/>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844"/>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845"/>
        <w:t>bd</w:t>
      </w:r>
      <w:r>
        <w:rPr/>
        <w:t xml:space="preserve"> seiner Zunge löste sich, und er konnte richtig sprechen </w:t>
      </w:r>
      <w:r>
        <w:rPr>
          <w:rStyle w:val="Funotenanker"/>
        </w:rPr>
        <w:footnoteReference w:customMarkFollows="1" w:id="1846"/>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847"/>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848"/>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849"/>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850"/>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851"/>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852"/>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853"/>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854"/>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855"/>
        <w:t>g</w:t>
      </w:r>
      <w:r>
        <w:rPr/>
        <w:t xml:space="preserve"> gelangte </w:t>
      </w:r>
      <w:r>
        <w:rPr>
          <w:color w:val="808080"/>
        </w:rPr>
        <w:t>(kam)</w:t>
      </w:r>
      <w:r>
        <w:rPr/>
        <w:t xml:space="preserve"> in das Gebiet von Dalmanuta </w:t>
      </w:r>
      <w:r>
        <w:rPr>
          <w:rStyle w:val="Funotenanker"/>
        </w:rPr>
        <w:footnoteReference w:customMarkFollows="1" w:id="1856"/>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857"/>
        <w:t>i</w:t>
      </w:r>
      <w:r>
        <w:rPr/>
        <w:t xml:space="preserve"> und begannen mit ihm zu streiten, wobei sie von ihm ein Zeichen vom Himmel verlangten, </w:t>
      </w:r>
      <w:r>
        <w:rPr>
          <w:rStyle w:val="Funotenanker"/>
        </w:rPr>
        <w:footnoteReference w:customMarkFollows="1" w:id="1858"/>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59"/>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860"/>
        <w:t>l</w:t>
      </w:r>
      <w:r>
        <w:rPr/>
        <w:t xml:space="preserve"> auf und </w:t>
      </w:r>
      <w:r>
        <w:rPr>
          <w:rStyle w:val="Funotenanker"/>
        </w:rPr>
        <w:footnoteReference w:customMarkFollows="1" w:id="1861"/>
        <w:t>m</w:t>
      </w:r>
      <w:r>
        <w:rPr/>
        <w:t xml:space="preserve"> sagte: „Wie!? </w:t>
      </w:r>
      <w:r>
        <w:rPr>
          <w:rStyle w:val="Funotenanker"/>
        </w:rPr>
        <w:footnoteReference w:customMarkFollows="1" w:id="1862"/>
        <w:t>n</w:t>
      </w:r>
      <w:r>
        <w:rPr/>
        <w:t xml:space="preserve"> Diese Generation </w:t>
      </w:r>
      <w:r>
        <w:rPr>
          <w:color w:val="808080"/>
        </w:rPr>
        <w:t>(Dieses Pack)</w:t>
      </w:r>
      <w:r>
        <w:rPr/>
        <w:t xml:space="preserve"> </w:t>
      </w:r>
      <w:r>
        <w:rPr>
          <w:rStyle w:val="Funotenanker"/>
        </w:rPr>
        <w:footnoteReference w:customMarkFollows="1" w:id="1863"/>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864"/>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865"/>
        <w:t>q</w:t>
      </w:r>
      <w:r>
        <w:rPr/>
        <w:t xml:space="preserve"> hatten vergessen </w:t>
      </w:r>
      <w:r>
        <w:rPr>
          <w:color w:val="808080"/>
        </w:rPr>
        <w:t>(vergaßen)</w:t>
      </w:r>
      <w:r>
        <w:rPr/>
        <w:t xml:space="preserve">, </w:t>
      </w:r>
      <w:r>
        <w:rPr>
          <w:rStyle w:val="Funotenanker"/>
        </w:rPr>
        <w:footnoteReference w:customMarkFollows="1" w:id="1866"/>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867"/>
        <w:t>s</w:t>
      </w:r>
      <w:r>
        <w:rPr/>
        <w:t xml:space="preserve"> „Passt auf </w:t>
      </w:r>
      <w:r>
        <w:rPr>
          <w:color w:val="808080"/>
        </w:rPr>
        <w:t>(Seht zu)</w:t>
      </w:r>
      <w:r>
        <w:rPr/>
        <w:t xml:space="preserve">, hütet euch vor dem Sauerteig </w:t>
      </w:r>
      <w:r>
        <w:rPr>
          <w:rStyle w:val="Funotenanker"/>
        </w:rPr>
        <w:footnoteReference w:customMarkFollows="1" w:id="1868"/>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869"/>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870"/>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871"/>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872"/>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873"/>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874"/>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875"/>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876"/>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877"/>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878"/>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879"/>
        <w:t>ae</w:t>
      </w:r>
      <w:r>
        <w:rPr/>
        <w:t xml:space="preserve"> führte ihn aus dem Dorf hinaus, und nachdem er ihm in die Augen gespuckt </w:t>
      </w:r>
      <w:r>
        <w:rPr>
          <w:rStyle w:val="Funotenanker"/>
        </w:rPr>
        <w:footnoteReference w:customMarkFollows="1" w:id="1880"/>
        <w:t>af</w:t>
      </w:r>
      <w:r>
        <w:rPr/>
        <w:t xml:space="preserve"> und ihm die Hände aufgelegt hatte, </w:t>
      </w:r>
      <w:r>
        <w:rPr>
          <w:rStyle w:val="Funotenanker"/>
        </w:rPr>
        <w:footnoteReference w:customMarkFollows="1" w:id="1881"/>
        <w:t>ag</w:t>
      </w:r>
      <w:r>
        <w:rPr/>
        <w:t xml:space="preserve"> fragte er ihn: „Siehst du etwas?“</w:t>
      </w:r>
      <w:r>
        <w:rPr>
          <w:rStyle w:val="Funotenanker"/>
        </w:rPr>
        <w:footnoteReference w:customMarkFollows="1" w:id="1882"/>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883"/>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884"/>
        <w:t>aj</w:t>
      </w:r>
      <w:r>
        <w:rPr/>
        <w:t xml:space="preserve"> wie Bäume, ich sehe sie umhergehen.“ </w:t>
      </w:r>
      <w:r>
        <w:rPr>
          <w:rStyle w:val="Funotenanker"/>
        </w:rPr>
        <w:footnoteReference w:customMarkFollows="1" w:id="1885"/>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886"/>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887"/>
        <w:t>am</w:t>
      </w:r>
      <w:r>
        <w:rPr/>
        <w:t xml:space="preserve"> „Geh auch </w:t>
      </w:r>
      <w:r>
        <w:rPr>
          <w:color w:val="808080"/>
        </w:rPr>
        <w:t>(aber)</w:t>
      </w:r>
      <w:r>
        <w:rPr/>
        <w:t xml:space="preserve"> nicht ins Dorf! </w:t>
      </w:r>
      <w:r>
        <w:rPr>
          <w:rStyle w:val="Funotenanker"/>
        </w:rPr>
        <w:footnoteReference w:customMarkFollows="1" w:id="1888"/>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889"/>
        <w:t>ao</w:t>
      </w:r>
      <w:r>
        <w:rPr/>
        <w:t xml:space="preserve">; und auf dem Weg befragte er seine Jünger </w:t>
      </w:r>
      <w:r>
        <w:rPr>
          <w:strike/>
          <w:color w:val="808080"/>
        </w:rPr>
        <w:t>{und sagte zu ihnen}</w:t>
      </w:r>
      <w:r>
        <w:rPr/>
        <w:t xml:space="preserve"> </w:t>
      </w:r>
      <w:r>
        <w:rPr>
          <w:rStyle w:val="Funotenanker"/>
        </w:rPr>
        <w:footnoteReference w:customMarkFollows="1" w:id="1890"/>
        <w:t>ap</w:t>
      </w:r>
      <w:r>
        <w:rPr/>
        <w:t xml:space="preserve">: „Für wen halten mich die Leute?“ </w:t>
      </w:r>
      <w:r>
        <w:rPr>
          <w:rStyle w:val="Funotenanker"/>
        </w:rPr>
        <w:footnoteReference w:customMarkFollows="1" w:id="1891"/>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892"/>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893"/>
        <w:t>as</w:t>
      </w:r>
      <w:r>
        <w:rPr/>
        <w:t xml:space="preserve"> Und </w:t>
      </w:r>
      <w:r>
        <w:rPr>
          <w:strike/>
          <w:color w:val="808080"/>
        </w:rPr>
        <w:t>{antwortend}</w:t>
      </w:r>
      <w:r>
        <w:rPr/>
        <w:t xml:space="preserve"> </w:t>
      </w:r>
      <w:r>
        <w:rPr>
          <w:rStyle w:val="Funotenanker"/>
        </w:rPr>
        <w:footnoteReference w:customMarkFollows="1" w:id="1894"/>
        <w:t>at</w:t>
      </w:r>
      <w:r>
        <w:rPr/>
        <w:t xml:space="preserve"> sagte Petrus zu ihm: „Du bist der Messias </w:t>
      </w:r>
      <w:r>
        <w:rPr>
          <w:color w:val="808080"/>
        </w:rPr>
        <w:t>(Gesalbte; Christus)</w:t>
      </w:r>
      <w:r>
        <w:rPr/>
        <w:t xml:space="preserve">!“ </w:t>
      </w:r>
      <w:r>
        <w:rPr>
          <w:rStyle w:val="Funotenanker"/>
        </w:rPr>
        <w:footnoteReference w:customMarkFollows="1" w:id="1895"/>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896"/>
        <w:t>av</w:t>
      </w:r>
      <w:r>
        <w:rPr/>
        <w:t xml:space="preserve"> viel leiden, und von den Ältesten und den obersten </w:t>
      </w:r>
      <w:r>
        <w:rPr>
          <w:color w:val="808080"/>
        </w:rPr>
        <w:t>(führenden, Hohen)</w:t>
      </w:r>
      <w:r>
        <w:rPr/>
        <w:t xml:space="preserve"> Priestern </w:t>
      </w:r>
      <w:r>
        <w:rPr>
          <w:rStyle w:val="Funotenanker"/>
        </w:rPr>
        <w:footnoteReference w:customMarkFollows="1" w:id="1897"/>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898"/>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899"/>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900"/>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901"/>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902"/>
        <w:t>bb</w:t>
      </w:r>
      <w:r>
        <w:rPr/>
        <w:t xml:space="preserve">, Satan </w:t>
      </w:r>
      <w:r>
        <w:rPr>
          <w:color w:val="808080"/>
        </w:rPr>
        <w:t>(Widersacher)</w:t>
      </w:r>
      <w:r>
        <w:rPr/>
        <w:t xml:space="preserve"> </w:t>
      </w:r>
      <w:r>
        <w:rPr>
          <w:rStyle w:val="Funotenanker"/>
        </w:rPr>
        <w:footnoteReference w:customMarkFollows="1" w:id="1903"/>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904"/>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905"/>
        <w:t>be</w:t>
      </w:r>
      <w:r>
        <w:rPr/>
        <w:t xml:space="preserve"> sagte zu ihnen: „Wenn jemand mir nachfolgen </w:t>
      </w:r>
      <w:r>
        <w:rPr>
          <w:rStyle w:val="Funotenanker"/>
        </w:rPr>
        <w:footnoteReference w:customMarkFollows="1" w:id="1906"/>
        <w:t>bf</w:t>
      </w:r>
      <w:r>
        <w:rPr/>
        <w:t xml:space="preserve"> will, dann muss </w:t>
      </w:r>
      <w:r>
        <w:rPr>
          <w:color w:val="808080"/>
        </w:rPr>
        <w:t>(soll)</w:t>
      </w:r>
      <w:r>
        <w:rPr/>
        <w:t xml:space="preserve"> </w:t>
      </w:r>
      <w:r>
        <w:rPr>
          <w:rStyle w:val="Funotenanker"/>
        </w:rPr>
        <w:footnoteReference w:customMarkFollows="1" w:id="1907"/>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908"/>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909"/>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910"/>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911"/>
        <w:t>bk</w:t>
      </w:r>
      <w:r>
        <w:rPr/>
        <w:t xml:space="preserve"> über </w:t>
      </w:r>
      <w:r>
        <w:rPr>
          <w:color w:val="808080"/>
        </w:rPr>
        <w:t>(wegen)</w:t>
      </w:r>
      <w:r>
        <w:rPr/>
        <w:t xml:space="preserve"> mich und meine Worte schämt, </w:t>
      </w:r>
      <w:r>
        <w:rPr>
          <w:rStyle w:val="Funotenanker"/>
        </w:rPr>
        <w:footnoteReference w:customMarkFollows="1" w:id="1912"/>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913"/>
        <w:t>Status</w:t>
      </w:r>
      <w:r>
        <w:rPr/>
        <w:t xml:space="preserve"> Und weiter </w:t>
      </w:r>
      <w:r>
        <w:rPr>
          <w:rStyle w:val="Funotenanker"/>
        </w:rPr>
        <w:footnoteReference w:customMarkFollows="1" w:id="1914"/>
        <w:t>a</w:t>
      </w:r>
      <w:r>
        <w:rPr/>
        <w:t xml:space="preserve"> sagte er zu ihnen: „Amen </w:t>
      </w:r>
      <w:r>
        <w:rPr>
          <w:color w:val="808080"/>
        </w:rPr>
        <w:t>(Wahrlich, Ja)</w:t>
      </w:r>
      <w:r>
        <w:rPr/>
        <w:t xml:space="preserve">, ich sage euch: </w:t>
      </w:r>
      <w:r>
        <w:rPr>
          <w:rStyle w:val="Funotenanker"/>
        </w:rPr>
        <w:footnoteReference w:customMarkFollows="1" w:id="1915"/>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916"/>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917"/>
        <w:t>d</w:t>
      </w:r>
      <w:r>
        <w:rPr/>
        <w:t xml:space="preserve"> mit Macht </w:t>
      </w:r>
      <w:r>
        <w:rPr>
          <w:color w:val="808080"/>
        </w:rPr>
        <w:t>(Kraft)</w:t>
      </w:r>
      <w:r>
        <w:rPr/>
        <w:t xml:space="preserve"> gekommen ist. </w:t>
      </w:r>
      <w:r>
        <w:rPr>
          <w:rStyle w:val="Funotenanker"/>
        </w:rPr>
        <w:footnoteReference w:customMarkFollows="1" w:id="1918"/>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919"/>
        <w:t>f</w:t>
      </w:r>
      <w:r>
        <w:rPr/>
        <w:t xml:space="preserve"> für sich, allein, </w:t>
      </w:r>
      <w:r>
        <w:rPr>
          <w:rStyle w:val="Funotenanker"/>
        </w:rPr>
        <w:footnoteReference w:customMarkFollows="1" w:id="1920"/>
        <w:t>g</w:t>
      </w:r>
      <w:r>
        <w:rPr/>
        <w:t xml:space="preserve"> auf einen hohen Berg, und er wurde vor ihnen </w:t>
      </w:r>
      <w:r>
        <w:rPr>
          <w:color w:val="808080"/>
        </w:rPr>
        <w:t>(vor ihren Augen)</w:t>
      </w:r>
      <w:r>
        <w:rPr/>
        <w:t xml:space="preserve"> </w:t>
      </w:r>
      <w:r>
        <w:rPr>
          <w:rStyle w:val="Funotenanker"/>
        </w:rPr>
        <w:footnoteReference w:customMarkFollows="1" w:id="1921"/>
        <w:t>h</w:t>
      </w:r>
      <w:r>
        <w:rPr/>
        <w:t xml:space="preserve"> verwandelt </w:t>
      </w:r>
      <w:r>
        <w:rPr>
          <w:color w:val="808080"/>
        </w:rPr>
        <w:t>(verwandelte sich)</w:t>
      </w:r>
      <w:r>
        <w:rPr/>
        <w:t xml:space="preserve">: </w:t>
      </w:r>
      <w:r>
        <w:rPr>
          <w:rStyle w:val="Funotenanker"/>
        </w:rPr>
        <w:footnoteReference w:customMarkFollows="1" w:id="1922"/>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923"/>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924"/>
        <w:t>k</w:t>
      </w:r>
      <w:r>
        <w:rPr/>
        <w:t xml:space="preserve"> , wie sie kein Walker</w:t>
      </w:r>
      <w:r>
        <w:rPr>
          <w:rStyle w:val="Funotenanker"/>
        </w:rPr>
        <w:footnoteReference w:customMarkFollows="1" w:id="1925"/>
        <w:t>l</w:t>
      </w:r>
      <w:r>
        <w:rPr/>
        <w:t xml:space="preserve"> auf der </w:t>
      </w:r>
      <w:r>
        <w:rPr>
          <w:b/>
          <w:color w:val="808080"/>
        </w:rPr>
        <w:t>[</w:t>
      </w:r>
      <w:r>
        <w:rPr/>
        <w:t>ganzen</w:t>
      </w:r>
      <w:r>
        <w:rPr>
          <w:b/>
          <w:color w:val="808080"/>
        </w:rPr>
        <w:t>]</w:t>
      </w:r>
      <w:r>
        <w:rPr/>
        <w:t xml:space="preserve"> Erde </w:t>
      </w:r>
      <w:r>
        <w:rPr>
          <w:rStyle w:val="Funotenanker"/>
        </w:rPr>
        <w:footnoteReference w:customMarkFollows="1" w:id="1926"/>
        <w:t>m</w:t>
      </w:r>
      <w:r>
        <w:rPr/>
        <w:t xml:space="preserve"> </w:t>
      </w:r>
      <w:r>
        <w:rPr>
          <w:strike/>
          <w:color w:val="808080"/>
        </w:rPr>
        <w:t>{derart}</w:t>
      </w:r>
      <w:r>
        <w:rPr/>
        <w:t xml:space="preserve"> </w:t>
      </w:r>
      <w:r>
        <w:rPr>
          <w:rStyle w:val="Funotenanker"/>
        </w:rPr>
        <w:footnoteReference w:customMarkFollows="1" w:id="1927"/>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928"/>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929"/>
        <w:t>p</w:t>
      </w:r>
      <w:r>
        <w:rPr/>
        <w:t xml:space="preserve"> sprach Petrus zu Jesus: „Meister </w:t>
      </w:r>
      <w:r>
        <w:rPr>
          <w:color w:val="808080"/>
        </w:rPr>
        <w:t>(Rabbi)</w:t>
      </w:r>
      <w:r>
        <w:rPr/>
        <w:t xml:space="preserve"> </w:t>
      </w:r>
      <w:r>
        <w:rPr>
          <w:rStyle w:val="Funotenanker"/>
        </w:rPr>
        <w:footnoteReference w:customMarkFollows="1" w:id="1930"/>
        <w:t>q</w:t>
      </w:r>
      <w:r>
        <w:rPr/>
        <w:t xml:space="preserve"> , es ist gut, dass wir hier sind! Und lass uns </w:t>
      </w:r>
      <w:r>
        <w:rPr>
          <w:color w:val="808080"/>
        </w:rPr>
        <w:t>(so lass uns denn)</w:t>
      </w:r>
      <w:r>
        <w:rPr/>
        <w:t xml:space="preserve"> </w:t>
      </w:r>
      <w:r>
        <w:rPr>
          <w:rStyle w:val="Funotenanker"/>
        </w:rPr>
        <w:footnoteReference w:customMarkFollows="1" w:id="1931"/>
        <w:t>r</w:t>
      </w:r>
      <w:r>
        <w:rPr/>
        <w:t xml:space="preserve"> drei Hütten </w:t>
      </w:r>
      <w:r>
        <w:rPr>
          <w:color w:val="808080"/>
        </w:rPr>
        <w:t>(Zelte)</w:t>
      </w:r>
      <w:r>
        <w:rPr/>
        <w:t xml:space="preserve"> bauen - dir eine, Mose eine und Elija eine!“ </w:t>
      </w:r>
      <w:r>
        <w:rPr>
          <w:rStyle w:val="Funotenanker"/>
        </w:rPr>
        <w:footnoteReference w:customMarkFollows="1" w:id="1932"/>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933"/>
        <w:t>t</w:t>
      </w:r>
      <w:r>
        <w:rPr/>
        <w:t xml:space="preserve"> sie </w:t>
      </w:r>
      <w:r>
        <w:rPr>
          <w:rStyle w:val="Funotenanker"/>
        </w:rPr>
        <w:footnoteReference w:customMarkFollows="1" w:id="1934"/>
        <w:t>u</w:t>
      </w:r>
      <w:r>
        <w:rPr/>
        <w:t xml:space="preserve"> ein, und eine Stimme kam aus der Wolke: „Dies ist mein geliebter </w:t>
      </w:r>
      <w:r>
        <w:rPr>
          <w:color w:val="808080"/>
        </w:rPr>
        <w:t>(einziger)</w:t>
      </w:r>
      <w:r>
        <w:rPr/>
        <w:t xml:space="preserve"> </w:t>
      </w:r>
      <w:r>
        <w:rPr>
          <w:rStyle w:val="Funotenanker"/>
        </w:rPr>
        <w:footnoteReference w:customMarkFollows="1" w:id="1935"/>
        <w:t>v</w:t>
      </w:r>
      <w:r>
        <w:rPr/>
        <w:t xml:space="preserve"> Sohn, </w:t>
      </w:r>
      <w:r>
        <w:rPr>
          <w:b/>
          <w:color w:val="808080"/>
        </w:rPr>
        <w:t>[</w:t>
      </w:r>
      <w:r>
        <w:rPr/>
        <w:t>darum</w:t>
      </w:r>
      <w:r>
        <w:rPr>
          <w:b/>
          <w:color w:val="808080"/>
        </w:rPr>
        <w:t>]</w:t>
      </w:r>
      <w:r>
        <w:rPr/>
        <w:t xml:space="preserve"> </w:t>
      </w:r>
      <w:r>
        <w:rPr>
          <w:rStyle w:val="Funotenanker"/>
        </w:rPr>
        <w:footnoteReference w:customMarkFollows="1" w:id="1936"/>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937"/>
        <w:t>x</w:t>
      </w:r>
      <w:r>
        <w:rPr/>
        <w:t xml:space="preserve"> mehr bei sich </w:t>
      </w:r>
      <w:r>
        <w:rPr>
          <w:rStyle w:val="Funotenanker"/>
        </w:rPr>
        <w:footnoteReference w:customMarkFollows="1" w:id="1938"/>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939"/>
        <w:t>z</w:t>
      </w:r>
      <w:r>
        <w:rPr/>
        <w:t xml:space="preserve"> Berg herabstiegen, befahl er ihnen </w:t>
      </w:r>
      <w:r>
        <w:rPr>
          <w:strike/>
          <w:color w:val="808080"/>
        </w:rPr>
        <w:t>{damit}</w:t>
      </w:r>
      <w:r>
        <w:rPr/>
        <w:t xml:space="preserve">, </w:t>
      </w:r>
      <w:r>
        <w:rPr>
          <w:rStyle w:val="Funotenanker"/>
        </w:rPr>
        <w:footnoteReference w:customMarkFollows="1" w:id="1940"/>
        <w:t>aa</w:t>
      </w:r>
      <w:r>
        <w:rPr/>
        <w:t xml:space="preserve"> niemandem zu erzählen, was sie gesehen hatten - erst </w:t>
      </w:r>
      <w:r>
        <w:rPr>
          <w:color w:val="808080"/>
        </w:rPr>
        <w:t>(außer)</w:t>
      </w:r>
      <w:r>
        <w:rPr/>
        <w:t xml:space="preserve"> </w:t>
      </w:r>
      <w:r>
        <w:rPr>
          <w:rStyle w:val="Funotenanker"/>
        </w:rPr>
        <w:footnoteReference w:customMarkFollows="1" w:id="1941"/>
        <w:t>ab</w:t>
      </w:r>
      <w:r>
        <w:rPr/>
        <w:t xml:space="preserve"> , wenn der Menschensohn </w:t>
      </w:r>
      <w:r>
        <w:rPr>
          <w:rStyle w:val="Funotenanker"/>
        </w:rPr>
        <w:footnoteReference w:customMarkFollows="1" w:id="1942"/>
        <w:t>ac</w:t>
      </w:r>
      <w:r>
        <w:rPr/>
        <w:t xml:space="preserve"> von den Toten </w:t>
      </w:r>
      <w:r>
        <w:rPr>
          <w:rStyle w:val="Funotenanker"/>
        </w:rPr>
        <w:footnoteReference w:customMarkFollows="1" w:id="1943"/>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944"/>
        <w:t>ae</w:t>
      </w:r>
      <w:r>
        <w:rPr/>
        <w:t xml:space="preserve"> aber, was dies sei - „von den Toten Auferstehen“. </w:t>
      </w:r>
      <w:r>
        <w:rPr>
          <w:rStyle w:val="Funotenanker"/>
        </w:rPr>
        <w:footnoteReference w:customMarkFollows="1" w:id="1945"/>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946"/>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947"/>
        <w:t>ah</w:t>
      </w:r>
      <w:r>
        <w:rPr/>
        <w:t xml:space="preserve"> kommt </w:t>
      </w:r>
      <w:r>
        <w:rPr>
          <w:rStyle w:val="Funotenanker"/>
        </w:rPr>
        <w:footnoteReference w:customMarkFollows="1" w:id="1948"/>
        <w:t>ai</w:t>
      </w:r>
      <w:r>
        <w:rPr/>
        <w:t xml:space="preserve"> Elija zuerst und stellt alles wieder her. </w:t>
      </w:r>
      <w:r>
        <w:rPr>
          <w:rStyle w:val="Funotenanker"/>
        </w:rPr>
        <w:footnoteReference w:customMarkFollows="1" w:id="1949"/>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950"/>
        <w:t>ak</w:t>
      </w:r>
      <w:r>
        <w:rPr/>
        <w:t xml:space="preserve"> Elija ist auch </w:t>
      </w:r>
      <w:r>
        <w:rPr>
          <w:color w:val="808080"/>
        </w:rPr>
        <w:t>(sogar)</w:t>
      </w:r>
      <w:r>
        <w:rPr/>
        <w:t xml:space="preserve"> </w:t>
      </w:r>
      <w:r>
        <w:rPr>
          <w:rStyle w:val="Funotenanker"/>
        </w:rPr>
        <w:footnoteReference w:customMarkFollows="1" w:id="1951"/>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952"/>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953"/>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954"/>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955"/>
        <w:t>ap</w:t>
      </w:r>
      <w:r>
        <w:rPr/>
        <w:t xml:space="preserve"> aus </w:t>
      </w:r>
      <w:r>
        <w:rPr>
          <w:color w:val="808080"/>
        </w:rPr>
        <w:t>(aus heraus)</w:t>
      </w:r>
      <w:r>
        <w:rPr/>
        <w:t xml:space="preserve"> </w:t>
      </w:r>
      <w:r>
        <w:rPr>
          <w:rStyle w:val="Funotenanker"/>
        </w:rPr>
        <w:footnoteReference w:customMarkFollows="1" w:id="1956"/>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957"/>
        <w:t>ar</w:t>
      </w:r>
      <w:r>
        <w:rPr/>
        <w:t xml:space="preserve"> weil </w:t>
      </w:r>
      <w:r>
        <w:rPr>
          <w:rStyle w:val="Funotenanker"/>
        </w:rPr>
        <w:footnoteReference w:customMarkFollows="1" w:id="1958"/>
        <w:t>as</w:t>
      </w:r>
      <w:r>
        <w:rPr/>
        <w:t xml:space="preserve"> er einen stummen Geist </w:t>
      </w:r>
      <w:r>
        <w:rPr>
          <w:color w:val="808080"/>
        </w:rPr>
        <w:t>(einen Geist, der ihn stumm macht)</w:t>
      </w:r>
      <w:r>
        <w:rPr/>
        <w:t xml:space="preserve"> </w:t>
      </w:r>
      <w:r>
        <w:rPr>
          <w:rStyle w:val="Funotenanker"/>
        </w:rPr>
        <w:footnoteReference w:customMarkFollows="1" w:id="1959"/>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960"/>
        <w:t>au</w:t>
      </w:r>
      <w:r>
        <w:rPr/>
        <w:t xml:space="preserve"> er ihn anfällt </w:t>
      </w:r>
      <w:r>
        <w:rPr>
          <w:color w:val="808080"/>
        </w:rPr>
        <w:t>(packt)</w:t>
      </w:r>
      <w:r>
        <w:rPr/>
        <w:t xml:space="preserve">, </w:t>
      </w:r>
      <w:r>
        <w:rPr>
          <w:rStyle w:val="Funotenanker"/>
        </w:rPr>
        <w:footnoteReference w:customMarkFollows="1" w:id="1961"/>
        <w:t>av</w:t>
      </w:r>
      <w:r>
        <w:rPr/>
        <w:t xml:space="preserve"> zerrt er ihn hin und her </w:t>
      </w:r>
      <w:r>
        <w:rPr>
          <w:color w:val="808080"/>
        </w:rPr>
        <w:t>(wirft er ihn zu Boden)</w:t>
      </w:r>
      <w:r>
        <w:rPr/>
        <w:t xml:space="preserve"> </w:t>
      </w:r>
      <w:r>
        <w:rPr>
          <w:rStyle w:val="Funotenanker"/>
        </w:rPr>
        <w:footnoteReference w:customMarkFollows="1" w:id="1962"/>
        <w:t>aw</w:t>
      </w:r>
      <w:r>
        <w:rPr/>
        <w:t xml:space="preserve"> und ihm tritt Schaum vor den Mund </w:t>
      </w:r>
      <w:r>
        <w:rPr>
          <w:color w:val="808080"/>
        </w:rPr>
        <w:t>(er schäumt)</w:t>
      </w:r>
      <w:r>
        <w:rPr/>
        <w:t xml:space="preserve"> </w:t>
      </w:r>
      <w:r>
        <w:rPr>
          <w:rStyle w:val="Funotenanker"/>
        </w:rPr>
        <w:footnoteReference w:customMarkFollows="1" w:id="1963"/>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964"/>
        <w:t>ay</w:t>
      </w:r>
      <w:r>
        <w:rPr/>
        <w:t xml:space="preserve"> sie konnten es nicht </w:t>
      </w:r>
      <w:r>
        <w:rPr>
          <w:color w:val="808080"/>
        </w:rPr>
        <w:t>(sie waren zu schwach dafür)</w:t>
      </w:r>
      <w:r>
        <w:rPr/>
        <w:t xml:space="preserve">. </w:t>
      </w:r>
      <w:r>
        <w:rPr>
          <w:rStyle w:val="Funotenanker"/>
        </w:rPr>
        <w:footnoteReference w:customMarkFollows="1" w:id="1965"/>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966"/>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967"/>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968"/>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969"/>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970"/>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971"/>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972"/>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973"/>
        <w:t>bh</w:t>
      </w:r>
      <w:r>
        <w:rPr/>
        <w:t xml:space="preserve"> wenn du etwas vermagst </w:t>
      </w:r>
      <w:r>
        <w:rPr>
          <w:color w:val="808080"/>
        </w:rPr>
        <w:t>(wenn etwas in deiner Macht steht)</w:t>
      </w:r>
      <w:r>
        <w:rPr/>
        <w:t xml:space="preserve">, </w:t>
      </w:r>
      <w:r>
        <w:rPr>
          <w:rStyle w:val="Funotenanker"/>
        </w:rPr>
        <w:footnoteReference w:customMarkFollows="1" w:id="1974"/>
        <w:t>bi</w:t>
      </w:r>
      <w:r>
        <w:rPr/>
        <w:t xml:space="preserve"> dann hilf uns und hab Mitleid mit uns </w:t>
      </w:r>
      <w:r>
        <w:rPr>
          <w:color w:val="808080"/>
        </w:rPr>
        <w:t>(erbarme dich unser)</w:t>
      </w:r>
      <w:r>
        <w:rPr/>
        <w:t xml:space="preserve">! </w:t>
      </w:r>
      <w:r>
        <w:rPr>
          <w:rStyle w:val="Funotenanker"/>
        </w:rPr>
        <w:footnoteReference w:customMarkFollows="1" w:id="1975"/>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976"/>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977"/>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978"/>
        <w:t>bm</w:t>
      </w:r>
      <w:r>
        <w:rPr/>
        <w:t xml:space="preserve"> schrie </w:t>
      </w:r>
      <w:r>
        <w:rPr>
          <w:color w:val="808080"/>
        </w:rPr>
        <w:t>(schluchzte)</w:t>
      </w:r>
      <w:r>
        <w:rPr/>
        <w:t xml:space="preserve"> </w:t>
      </w:r>
      <w:r>
        <w:rPr>
          <w:rStyle w:val="Funotenanker"/>
        </w:rPr>
        <w:footnoteReference w:customMarkFollows="1" w:id="1979"/>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980"/>
        <w:t>bo</w:t>
      </w:r>
      <w:r>
        <w:rPr/>
        <w:t xml:space="preserve">, </w:t>
      </w:r>
      <w:r>
        <w:rPr>
          <w:rStyle w:val="Funotenanker"/>
        </w:rPr>
        <w:footnoteReference w:customMarkFollows="1" w:id="1981"/>
        <w:t>bp</w:t>
      </w:r>
      <w:r>
        <w:rPr/>
        <w:t xml:space="preserve"> gebot er dem unreinen Geist </w:t>
      </w:r>
      <w:r>
        <w:rPr>
          <w:strike/>
          <w:color w:val="808080"/>
        </w:rPr>
        <w:t>{und sagte zu ihm}</w:t>
      </w:r>
      <w:r>
        <w:rPr/>
        <w:t xml:space="preserve">: „Du stummer und tauber Geist, </w:t>
      </w:r>
      <w:r>
        <w:rPr>
          <w:rStyle w:val="Funotenanker"/>
        </w:rPr>
        <w:footnoteReference w:customMarkFollows="1" w:id="1982"/>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983"/>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984"/>
        <w:t>bs</w:t>
      </w:r>
      <w:r>
        <w:rPr/>
        <w:t xml:space="preserve"> wie tot, daher </w:t>
      </w:r>
      <w:r>
        <w:rPr>
          <w:color w:val="808080"/>
        </w:rPr>
        <w:t>(sodass)</w:t>
      </w:r>
      <w:r>
        <w:rPr/>
        <w:t xml:space="preserve"> </w:t>
      </w:r>
      <w:r>
        <w:rPr>
          <w:rStyle w:val="Funotenanker"/>
        </w:rPr>
        <w:footnoteReference w:customMarkFollows="1" w:id="1985"/>
        <w:t>bt</w:t>
      </w:r>
      <w:r>
        <w:rPr/>
        <w:t xml:space="preserve"> die Meisten </w:t>
      </w:r>
      <w:r>
        <w:rPr>
          <w:color w:val="808080"/>
        </w:rPr>
        <w:t>(die Menge)</w:t>
      </w:r>
      <w:r>
        <w:rPr/>
        <w:t xml:space="preserve"> </w:t>
      </w:r>
      <w:r>
        <w:rPr>
          <w:rStyle w:val="Funotenanker"/>
        </w:rPr>
        <w:footnoteReference w:customMarkFollows="1" w:id="1986"/>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987"/>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988"/>
        <w:t>bw</w:t>
      </w:r>
      <w:r>
        <w:rPr/>
        <w:t xml:space="preserve"> „Dass wir ihn nicht austreiben konnten </w:t>
      </w:r>
      <w:r>
        <w:rPr>
          <w:color w:val="808080"/>
        </w:rPr>
        <w:t>(Warum konnten wir ihn nicht austreiben)</w:t>
      </w:r>
      <w:r>
        <w:rPr/>
        <w:t xml:space="preserve">?“ </w:t>
      </w:r>
      <w:r>
        <w:rPr>
          <w:rStyle w:val="Funotenanker"/>
        </w:rPr>
        <w:footnoteReference w:customMarkFollows="1" w:id="1989"/>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990"/>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991"/>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992"/>
        <w:t>ca</w:t>
      </w:r>
      <w:r>
        <w:rPr/>
        <w:t xml:space="preserve"> seine Jünger und sagte zu ihnen: „Der Menschensohn ist in die Hände der Menschen </w:t>
      </w:r>
      <w:r>
        <w:rPr>
          <w:rStyle w:val="Funotenanker"/>
        </w:rPr>
        <w:footnoteReference w:customMarkFollows="1" w:id="1993"/>
        <w:t>cb</w:t>
      </w:r>
      <w:r>
        <w:rPr/>
        <w:t xml:space="preserve"> ausgeliefert </w:t>
      </w:r>
      <w:r>
        <w:rPr>
          <w:color w:val="808080"/>
        </w:rPr>
        <w:t>(wird ausgeliefert werden)</w:t>
      </w:r>
      <w:r>
        <w:rPr/>
        <w:t xml:space="preserve">, </w:t>
      </w:r>
      <w:r>
        <w:rPr>
          <w:rStyle w:val="Funotenanker"/>
        </w:rPr>
        <w:footnoteReference w:customMarkFollows="1" w:id="1994"/>
        <w:t>cc</w:t>
      </w:r>
      <w:r>
        <w:rPr/>
        <w:t xml:space="preserve"> und sie werden ihn töten, und nachdem </w:t>
      </w:r>
      <w:r>
        <w:rPr>
          <w:color w:val="808080"/>
        </w:rPr>
        <w:t>(obwohl)</w:t>
      </w:r>
      <w:r>
        <w:rPr/>
        <w:t xml:space="preserve"> </w:t>
      </w:r>
      <w:r>
        <w:rPr>
          <w:rStyle w:val="Funotenanker"/>
        </w:rPr>
        <w:footnoteReference w:customMarkFollows="1" w:id="1995"/>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996"/>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997"/>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998"/>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999"/>
        <w:t>ch</w:t>
      </w:r>
      <w:r>
        <w:rPr/>
        <w:t xml:space="preserve"> „Wenn jemand der Erste sein will, wird </w:t>
      </w:r>
      <w:r>
        <w:rPr>
          <w:color w:val="808080"/>
        </w:rPr>
        <w:t>(muss)</w:t>
      </w:r>
      <w:r>
        <w:rPr/>
        <w:t xml:space="preserve"> </w:t>
      </w:r>
      <w:r>
        <w:rPr>
          <w:rStyle w:val="Funotenanker"/>
        </w:rPr>
        <w:footnoteReference w:customMarkFollows="1" w:id="2000"/>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2001"/>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2002"/>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2003"/>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2004"/>
        <w:t>cm</w:t>
      </w:r>
      <w:r>
        <w:rPr/>
        <w:t xml:space="preserve"> Wir hinderten ihn daran </w:t>
      </w:r>
      <w:r>
        <w:rPr>
          <w:color w:val="808080"/>
        </w:rPr>
        <w:t>(haben versucht, ihn daran hindern)</w:t>
      </w:r>
      <w:r>
        <w:rPr/>
        <w:t xml:space="preserve">, </w:t>
      </w:r>
      <w:r>
        <w:rPr>
          <w:rStyle w:val="Funotenanker"/>
        </w:rPr>
        <w:footnoteReference w:customMarkFollows="1" w:id="2005"/>
        <w:t>cn</w:t>
      </w:r>
      <w:r>
        <w:rPr/>
        <w:t xml:space="preserve"> weil er uns nicht folgt </w:t>
      </w:r>
      <w:r>
        <w:rPr>
          <w:color w:val="808080"/>
        </w:rPr>
        <w:t>(nicht zu uns gehört)</w:t>
      </w:r>
      <w:r>
        <w:rPr/>
        <w:t xml:space="preserve">. </w:t>
      </w:r>
      <w:r>
        <w:rPr>
          <w:rStyle w:val="Funotenanker"/>
        </w:rPr>
        <w:footnoteReference w:customMarkFollows="1" w:id="2006"/>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2007"/>
        <w:t>cp</w:t>
      </w:r>
      <w:r>
        <w:rPr/>
        <w:t xml:space="preserve"> wirkt und schnell </w:t>
      </w:r>
      <w:r>
        <w:rPr>
          <w:rStyle w:val="Funotenanker"/>
        </w:rPr>
        <w:footnoteReference w:customMarkFollows="1" w:id="2008"/>
        <w:t>cq</w:t>
      </w:r>
      <w:r>
        <w:rPr/>
        <w:t xml:space="preserve"> schlecht von mir zu sprechen vermag </w:t>
      </w:r>
      <w:r>
        <w:rPr>
          <w:color w:val="808080"/>
        </w:rPr>
        <w:t>(von mir sprechen kann)</w:t>
      </w:r>
      <w:r>
        <w:rPr/>
        <w:t xml:space="preserve">. </w:t>
      </w:r>
      <w:r>
        <w:rPr>
          <w:rStyle w:val="Funotenanker"/>
        </w:rPr>
        <w:footnoteReference w:customMarkFollows="1" w:id="2009"/>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2010"/>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2011"/>
        <w:t>ct</w:t>
      </w:r>
      <w:r>
        <w:rPr/>
        <w:t xml:space="preserve"> „</w:t>
      </w:r>
      <w:r>
        <w:rPr>
          <w:strike/>
          <w:color w:val="808080"/>
        </w:rPr>
        <w:t>{Denn}</w:t>
      </w:r>
      <w:r>
        <w:rPr/>
        <w:t xml:space="preserve"> </w:t>
      </w:r>
      <w:r>
        <w:rPr>
          <w:rStyle w:val="Funotenanker"/>
        </w:rPr>
        <w:footnoteReference w:customMarkFollows="1" w:id="2012"/>
        <w:t>cu</w:t>
      </w:r>
      <w:r>
        <w:rPr/>
        <w:t xml:space="preserve"> Wer euch </w:t>
      </w:r>
      <w:r>
        <w:rPr>
          <w:b/>
          <w:color w:val="808080"/>
        </w:rPr>
        <w:t>[</w:t>
      </w:r>
      <w:r>
        <w:rPr/>
        <w:t>auch nur</w:t>
      </w:r>
      <w:r>
        <w:rPr>
          <w:b/>
          <w:color w:val="808080"/>
        </w:rPr>
        <w:t>]</w:t>
      </w:r>
      <w:r>
        <w:rPr/>
        <w:t xml:space="preserve"> </w:t>
      </w:r>
      <w:r>
        <w:rPr>
          <w:rStyle w:val="Funotenanker"/>
        </w:rPr>
        <w:footnoteReference w:customMarkFollows="1" w:id="2013"/>
        <w:t>cv</w:t>
      </w:r>
      <w:r>
        <w:rPr/>
        <w:t xml:space="preserve"> einen Becher Wasser zu trinken gibt, </w:t>
      </w:r>
      <w:r>
        <w:rPr>
          <w:rStyle w:val="Funotenanker"/>
        </w:rPr>
        <w:footnoteReference w:customMarkFollows="1" w:id="2014"/>
        <w:t>cw</w:t>
      </w:r>
      <w:r>
        <w:rPr/>
        <w:t xml:space="preserve"> weil </w:t>
      </w:r>
      <w:r>
        <w:rPr>
          <w:color w:val="808080"/>
        </w:rPr>
        <w:t>(im Namen, dass)</w:t>
      </w:r>
      <w:r>
        <w:rPr/>
        <w:t xml:space="preserve"> </w:t>
      </w:r>
      <w:r>
        <w:rPr>
          <w:rStyle w:val="Funotenanker"/>
        </w:rPr>
        <w:footnoteReference w:customMarkFollows="1" w:id="2015"/>
        <w:t>cx</w:t>
      </w:r>
      <w:r>
        <w:rPr/>
        <w:t xml:space="preserve"> ihr zu Christus gehört - Amen, ich sage euch </w:t>
      </w:r>
      <w:r>
        <w:rPr>
          <w:rStyle w:val="Funotenanker"/>
        </w:rPr>
        <w:footnoteReference w:customMarkFollows="1" w:id="2016"/>
        <w:t>cy</w:t>
      </w:r>
      <w:r>
        <w:rPr/>
        <w:t xml:space="preserve"> - der wird seinen Lohn nicht verlieren </w:t>
      </w:r>
      <w:r>
        <w:rPr>
          <w:color w:val="808080"/>
        </w:rPr>
        <w:t>(wird ihn bekommen)</w:t>
      </w:r>
      <w:r>
        <w:rPr/>
        <w:t xml:space="preserve">. </w:t>
      </w:r>
      <w:r>
        <w:rPr>
          <w:rStyle w:val="Funotenanker"/>
        </w:rPr>
        <w:footnoteReference w:customMarkFollows="1" w:id="2017"/>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2018"/>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2019"/>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2020"/>
        <w:t>dc</w:t>
      </w:r>
      <w:r>
        <w:rPr/>
        <w:t xml:space="preserve"> - für den ist </w:t>
      </w:r>
      <w:r>
        <w:rPr>
          <w:color w:val="808080"/>
        </w:rPr>
        <w:t>(wäre)</w:t>
      </w:r>
      <w:r>
        <w:rPr/>
        <w:t xml:space="preserve"> </w:t>
      </w:r>
      <w:r>
        <w:rPr>
          <w:rStyle w:val="Funotenanker"/>
        </w:rPr>
        <w:footnoteReference w:customMarkFollows="1" w:id="2021"/>
        <w:t>dd</w:t>
      </w:r>
      <w:r>
        <w:rPr/>
        <w:t xml:space="preserve"> es gut </w:t>
      </w:r>
      <w:r>
        <w:rPr>
          <w:color w:val="808080"/>
        </w:rPr>
        <w:t>(besser)</w:t>
      </w:r>
      <w:r>
        <w:rPr/>
        <w:t xml:space="preserve">, </w:t>
      </w:r>
      <w:r>
        <w:rPr>
          <w:rStyle w:val="Funotenanker"/>
        </w:rPr>
        <w:footnoteReference w:customMarkFollows="1" w:id="2022"/>
        <w:t>de</w:t>
      </w:r>
      <w:r>
        <w:rPr/>
        <w:t xml:space="preserve"> wenn ein Eselsmühlstein um seinen Hals gehängt und er ins Meer geworfen würde. </w:t>
      </w:r>
      <w:r>
        <w:rPr>
          <w:rStyle w:val="Funotenanker"/>
        </w:rPr>
        <w:footnoteReference w:customMarkFollows="1" w:id="2023"/>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2024"/>
        <w:t>dg</w:t>
      </w:r>
      <w:r>
        <w:rPr/>
        <w:t xml:space="preserve"> hau sie ab! </w:t>
      </w:r>
      <w:r>
        <w:rPr>
          <w:b/>
          <w:color w:val="808080"/>
        </w:rPr>
        <w:t>[</w:t>
      </w:r>
      <w:r>
        <w:rPr/>
        <w:t>Denn</w:t>
      </w:r>
      <w:r>
        <w:rPr>
          <w:b/>
          <w:color w:val="808080"/>
        </w:rPr>
        <w:t>]</w:t>
      </w:r>
      <w:r>
        <w:rPr/>
        <w:t xml:space="preserve"> </w:t>
      </w:r>
      <w:r>
        <w:rPr>
          <w:rStyle w:val="Funotenanker"/>
        </w:rPr>
        <w:footnoteReference w:customMarkFollows="1" w:id="2025"/>
        <w:t>dh</w:t>
      </w:r>
      <w:r>
        <w:rPr/>
        <w:t xml:space="preserve"> es ist gut </w:t>
      </w:r>
      <w:r>
        <w:rPr>
          <w:color w:val="808080"/>
        </w:rPr>
        <w:t>(besser)</w:t>
      </w:r>
      <w:r>
        <w:rPr/>
        <w:t xml:space="preserve">, dass du verstümmelt in das Leben </w:t>
      </w:r>
      <w:r>
        <w:rPr>
          <w:rStyle w:val="Funotenanker"/>
        </w:rPr>
        <w:footnoteReference w:customMarkFollows="1" w:id="2026"/>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2027"/>
        <w:t>dj</w:t>
      </w:r>
      <w:r>
        <w:rPr/>
        <w:t xml:space="preserve"> einzugehen </w:t>
      </w:r>
      <w:r>
        <w:rPr>
          <w:color w:val="808080"/>
        </w:rPr>
        <w:t>(geworfen zu werden)</w:t>
      </w:r>
      <w:r>
        <w:rPr/>
        <w:t xml:space="preserve">: </w:t>
      </w:r>
      <w:r>
        <w:rPr>
          <w:rStyle w:val="Funotenanker"/>
        </w:rPr>
        <w:footnoteReference w:customMarkFollows="1" w:id="2028"/>
        <w:t>dk</w:t>
      </w:r>
      <w:r>
        <w:rPr/>
        <w:t xml:space="preserve"> in das unauslöschliche Feuer, </w:t>
      </w:r>
      <w:r>
        <w:rPr>
          <w:rStyle w:val="Funotenanker"/>
        </w:rPr>
        <w:footnoteReference w:customMarkFollows="1" w:id="2029"/>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2030"/>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2031"/>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2032"/>
        <w:t>do</w:t>
      </w:r>
      <w:r>
        <w:rPr/>
        <w:t xml:space="preserve"> Jeder wird mit Feuer gesalzen werden. </w:t>
      </w:r>
      <w:r>
        <w:rPr>
          <w:rStyle w:val="Funotenanker"/>
        </w:rPr>
        <w:footnoteReference w:customMarkFollows="1" w:id="2033"/>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2034"/>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2035"/>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2036"/>
        <w:t>ds</w:t>
      </w:r>
      <w:r>
        <w:rPr/>
        <w:t xml:space="preserve"> euch, und haltet </w:t>
      </w:r>
      <w:r>
        <w:rPr>
          <w:b/>
          <w:color w:val="808080"/>
        </w:rPr>
        <w:t>[</w:t>
      </w:r>
      <w:r>
        <w:rPr/>
        <w:t>so</w:t>
      </w:r>
      <w:r>
        <w:rPr>
          <w:b/>
          <w:color w:val="808080"/>
        </w:rPr>
        <w:t>]</w:t>
      </w:r>
      <w:r>
        <w:rPr/>
        <w:t xml:space="preserve"> </w:t>
      </w:r>
      <w:r>
        <w:rPr>
          <w:rStyle w:val="Funotenanker"/>
        </w:rPr>
        <w:footnoteReference w:customMarkFollows="1" w:id="2037"/>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2038"/>
        <w:t>Status</w:t>
      </w:r>
      <w:r>
        <w:rPr/>
        <w:t xml:space="preserve"> Und von dort brach </w:t>
      </w:r>
      <w:r>
        <w:rPr>
          <w:color w:val="808080"/>
        </w:rPr>
        <w:t>(stand)</w:t>
      </w:r>
      <w:r>
        <w:rPr/>
        <w:t xml:space="preserve"> er auf und </w:t>
      </w:r>
      <w:r>
        <w:rPr>
          <w:rStyle w:val="Funotenanker"/>
        </w:rPr>
        <w:footnoteReference w:customMarkFollows="1" w:id="2039"/>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2040"/>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2041"/>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2042"/>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2043"/>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2044"/>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2045"/>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2046"/>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2047"/>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2048"/>
        <w:t>j</w:t>
      </w:r>
      <w:r>
        <w:rPr/>
        <w:t xml:space="preserve"> aber die Jünger wiesen sie unfreundlich ab </w:t>
      </w:r>
      <w:r>
        <w:rPr>
          <w:color w:val="808080"/>
        </w:rPr>
        <w:t>(schimpften sie)</w:t>
      </w:r>
      <w:r>
        <w:rPr/>
        <w:t xml:space="preserve"> </w:t>
      </w:r>
      <w:r>
        <w:rPr>
          <w:rStyle w:val="Funotenanker"/>
        </w:rPr>
        <w:footnoteReference w:customMarkFollows="1" w:id="2049"/>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2050"/>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2051"/>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2052"/>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2053"/>
        <w:t>o</w:t>
      </w:r>
      <w:r>
        <w:rPr/>
        <w:t xml:space="preserve"> segnete sie, indem er ihnen die Hände auflegte. </w:t>
      </w:r>
      <w:r>
        <w:rPr>
          <w:rStyle w:val="Funotenanker"/>
        </w:rPr>
        <w:footnoteReference w:customMarkFollows="1" w:id="2054"/>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2055"/>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2056"/>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2057"/>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2058"/>
        <w:t>t</w:t>
      </w:r>
      <w:r>
        <w:rPr/>
        <w:t xml:space="preserve"> gewann ihn lieb </w:t>
      </w:r>
      <w:r>
        <w:rPr>
          <w:rStyle w:val="Funotenanker"/>
        </w:rPr>
        <w:footnoteReference w:customMarkFollows="1" w:id="2059"/>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2060"/>
        <w:t>v</w:t>
      </w:r>
      <w:r>
        <w:rPr/>
        <w:t xml:space="preserve"> über diese Forderung </w:t>
      </w:r>
      <w:r>
        <w:rPr>
          <w:color w:val="808080"/>
        </w:rPr>
        <w:t>(das Gesagte; Wort)</w:t>
      </w:r>
      <w:r>
        <w:rPr/>
        <w:t xml:space="preserve"> und </w:t>
      </w:r>
      <w:r>
        <w:rPr>
          <w:rStyle w:val="Funotenanker"/>
        </w:rPr>
        <w:footnoteReference w:customMarkFollows="1" w:id="2061"/>
        <w:t>w</w:t>
      </w:r>
      <w:r>
        <w:rPr/>
        <w:t xml:space="preserve"> ging traurig davon, denn er besaß </w:t>
      </w:r>
      <w:r>
        <w:rPr>
          <w:rStyle w:val="Funotenanker"/>
        </w:rPr>
        <w:footnoteReference w:customMarkFollows="1" w:id="2062"/>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2063"/>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2064"/>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2065"/>
        <w:t>aa</w:t>
      </w:r>
      <w:r>
        <w:rPr/>
        <w:t xml:space="preserve">. Doch Jesus sagte noch einmal zu ihnen </w:t>
      </w:r>
      <w:r>
        <w:rPr>
          <w:rStyle w:val="Funotenanker"/>
        </w:rPr>
        <w:footnoteReference w:customMarkFollows="1" w:id="2066"/>
        <w:t>ab</w:t>
      </w:r>
      <w:r>
        <w:rPr/>
        <w:t xml:space="preserve">: »Kinder </w:t>
      </w:r>
      <w:r>
        <w:rPr>
          <w:rStyle w:val="Funotenanker"/>
        </w:rPr>
        <w:footnoteReference w:customMarkFollows="1" w:id="2067"/>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2068"/>
        <w:t>ad</w:t>
      </w:r>
      <w:r>
        <w:rPr/>
        <w:t xml:space="preserve">, durch das Nadelöhr </w:t>
      </w:r>
      <w:r>
        <w:rPr>
          <w:rStyle w:val="Funotenanker"/>
        </w:rPr>
        <w:footnoteReference w:customMarkFollows="1" w:id="2069"/>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2070"/>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2071"/>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2072"/>
        <w:t>ah</w:t>
      </w:r>
      <w:r>
        <w:rPr/>
        <w:t xml:space="preserve"> zu ihm: »Du weißt </w:t>
      </w:r>
      <w:r>
        <w:rPr>
          <w:color w:val="808080"/>
        </w:rPr>
        <w:t>(Siehe)</w:t>
      </w:r>
      <w:r>
        <w:rPr/>
        <w:t xml:space="preserve">, </w:t>
      </w:r>
      <w:r>
        <w:rPr>
          <w:rStyle w:val="Funotenanker"/>
        </w:rPr>
        <w:footnoteReference w:customMarkFollows="1" w:id="2073"/>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2074"/>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2075"/>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2076"/>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2077"/>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2078"/>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2079"/>
        <w:t>ao</w:t>
      </w:r>
      <w:r>
        <w:rPr/>
        <w:t xml:space="preserve"> bekamen Angst. Da </w:t>
      </w:r>
      <w:r>
        <w:rPr>
          <w:color w:val="808080"/>
        </w:rPr>
        <w:t>(und)</w:t>
      </w:r>
      <w:r>
        <w:rPr/>
        <w:t xml:space="preserve"> nahm er die Zwölf noch einmal beiseite und teilte ihnen mit </w:t>
      </w:r>
      <w:r>
        <w:rPr>
          <w:rStyle w:val="Funotenanker"/>
        </w:rPr>
        <w:footnoteReference w:customMarkFollows="1" w:id="2080"/>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2081"/>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2082"/>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2083"/>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2084"/>
        <w:t>at</w:t>
      </w:r>
      <w:r>
        <w:rPr/>
        <w:t xml:space="preserve"> tun soll?«{{field-off:bible}} </w:t>
        <w:br/>
        <w:t>[[@BibleTOBIBLE:Mk 10:37]]</w:t>
      </w:r>
      <w:r>
        <w:rPr>
          <w:b/>
        </w:rPr>
        <w:t>37</w:t>
      </w:r>
      <w:r>
        <w:rPr/>
        <w:t xml:space="preserve"> {{field-on:bible}}Sie sagten zu ihm: »Gewähre uns </w:t>
      </w:r>
      <w:r>
        <w:rPr>
          <w:rStyle w:val="Funotenanker"/>
        </w:rPr>
        <w:footnoteReference w:customMarkFollows="1" w:id="2085"/>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2086"/>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w:t>
      </w:r>
      <w:r>
        <w:rPr>
          <w:rStyle w:val="Funotenanker"/>
        </w:rPr>
        <w:footnoteReference w:customMarkFollows="1" w:id="2087"/>
        <w:t>aw</w:t>
      </w:r>
      <w:r>
        <w:rPr/>
        <w:t xml:space="preserve"> oder </w:t>
      </w:r>
      <w:r>
        <w:rPr>
          <w:b/>
          <w:color w:val="808080"/>
        </w:rPr>
        <w:t>[</w:t>
      </w:r>
      <w:r>
        <w:rPr/>
        <w:t>mit</w:t>
      </w:r>
      <w:r>
        <w:rPr>
          <w:b/>
          <w:color w:val="808080"/>
        </w:rPr>
        <w:t>]</w:t>
      </w:r>
      <w:r>
        <w:rPr/>
        <w:t xml:space="preserve"> der Taufe getauft werden </w:t>
      </w:r>
      <w:r>
        <w:rPr>
          <w:rStyle w:val="Funotenanker"/>
        </w:rPr>
        <w:footnoteReference w:customMarkFollows="1" w:id="2088"/>
        <w:t>ax</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2089"/>
        <w:t>ay</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2090"/>
        <w:t>az</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2091"/>
        <w:t>ba</w:t>
      </w:r>
      <w:r>
        <w:rPr/>
        <w:t xml:space="preserve"> waren sie wütend </w:t>
      </w:r>
      <w:r>
        <w:rPr>
          <w:color w:val="808080"/>
        </w:rPr>
        <w:t>(ärgerten sie sich)</w:t>
      </w:r>
      <w:r>
        <w:rPr/>
        <w:t xml:space="preserve"> </w:t>
      </w:r>
      <w:r>
        <w:rPr>
          <w:rStyle w:val="Funotenanker"/>
        </w:rPr>
        <w:footnoteReference w:customMarkFollows="1" w:id="2092"/>
        <w:t>bb</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2093"/>
        <w:t>bc</w:t>
      </w:r>
      <w:r>
        <w:rPr/>
        <w:t xml:space="preserve"> die Menschen </w:t>
      </w:r>
      <w:r>
        <w:rPr>
          <w:rStyle w:val="Funotenanker"/>
        </w:rPr>
        <w:footnoteReference w:customMarkFollows="1" w:id="2094"/>
        <w:t>bd</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2095"/>
        <w:t>be</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2096"/>
        <w:t>bf</w:t>
      </w:r>
      <w:r>
        <w:rPr/>
        <w:t xml:space="preserve"> ein blinder Bettler, am Straßenrand </w:t>
      </w:r>
      <w:r>
        <w:rPr>
          <w:rStyle w:val="Funotenanker"/>
        </w:rPr>
        <w:footnoteReference w:customMarkFollows="1" w:id="2097"/>
        <w:t>bg</w:t>
      </w:r>
      <w:r>
        <w:rPr/>
        <w:t xml:space="preserve">,{{field-off:bible}} </w:t>
        <w:br/>
        <w:t>[[@BibleTOBIBLE:Mk 10:47]]</w:t>
      </w:r>
      <w:r>
        <w:rPr>
          <w:b/>
        </w:rPr>
        <w:t>47</w:t>
      </w:r>
      <w:r>
        <w:rPr/>
        <w:t xml:space="preserve"> {{field-on:bible}}Und als er hörte, </w:t>
      </w:r>
      <w:r>
        <w:rPr>
          <w:rStyle w:val="Funotenanker"/>
        </w:rPr>
        <w:footnoteReference w:customMarkFollows="1" w:id="2098"/>
        <w:t>bh</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2099"/>
        <w:t>bi</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2100"/>
        <w:t>bj</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2101"/>
        <w:t>bk</w:t>
      </w:r>
      <w:r>
        <w:rPr/>
        <w:t xml:space="preserve"> kam zu Jesus.{{field-off:bible}} </w:t>
        <w:br/>
        <w:t>[[@BibleTOBIBLE:Mk 10:51]]</w:t>
      </w:r>
      <w:r>
        <w:rPr>
          <w:b/>
        </w:rPr>
        <w:t>51</w:t>
      </w:r>
      <w:r>
        <w:rPr/>
        <w:t xml:space="preserve"> {{field-on:bible}}Und Jesus fragte ihn </w:t>
      </w:r>
      <w:r>
        <w:rPr>
          <w:rStyle w:val="Funotenanker"/>
        </w:rPr>
        <w:footnoteReference w:customMarkFollows="1" w:id="2102"/>
        <w:t>bl</w:t>
      </w:r>
      <w:r>
        <w:rPr/>
        <w:t xml:space="preserve">: »Was willst du, dass ich für dich tue?« Da sagte der Blinde zu ihm: »Rabbuni </w:t>
      </w:r>
      <w:r>
        <w:rPr>
          <w:rStyle w:val="Funotenanker"/>
        </w:rPr>
        <w:footnoteReference w:customMarkFollows="1" w:id="2103"/>
        <w:t>bm</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2104"/>
        <w:t>bn</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2105"/>
        <w:t>bo</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2106"/>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2107"/>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2108"/>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2109"/>
        <w:t>c</w:t>
      </w:r>
      <w:r>
        <w:rPr/>
        <w:t xml:space="preserve"> werdet ihr ein Eselsfohlen </w:t>
      </w:r>
      <w:r>
        <w:rPr>
          <w:color w:val="808080"/>
        </w:rPr>
        <w:t>(Fohlen)</w:t>
      </w:r>
      <w:r>
        <w:rPr/>
        <w:t xml:space="preserve"> </w:t>
      </w:r>
      <w:r>
        <w:rPr>
          <w:rStyle w:val="Funotenanker"/>
        </w:rPr>
        <w:footnoteReference w:customMarkFollows="1" w:id="2110"/>
        <w:t>d</w:t>
      </w:r>
      <w:r>
        <w:rPr/>
        <w:t xml:space="preserve"> angebunden finden, auf dem noch nie ein Mensch </w:t>
      </w:r>
      <w:r>
        <w:rPr>
          <w:rStyle w:val="Funotenanker"/>
        </w:rPr>
        <w:footnoteReference w:customMarkFollows="1" w:id="2111"/>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2112"/>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2113"/>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2114"/>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2115"/>
        <w:t>i</w:t>
      </w:r>
      <w:r>
        <w:rPr/>
        <w:t xml:space="preserve">: „Hosanna! </w:t>
      </w:r>
      <w:r>
        <w:rPr>
          <w:rStyle w:val="Funotenanker"/>
        </w:rPr>
        <w:footnoteReference w:customMarkFollows="1" w:id="2116"/>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2117"/>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2118"/>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2119"/>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2120"/>
        <w:t>n</w:t>
      </w:r>
      <w:r>
        <w:rPr/>
        <w:t xml:space="preserve"> „Nie mehr, bis in Ewigkeit, soll jemand </w:t>
      </w:r>
      <w:r>
        <w:rPr>
          <w:rStyle w:val="Funotenanker"/>
        </w:rPr>
        <w:footnoteReference w:customMarkFollows="1" w:id="2121"/>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2122"/>
        <w:t>p</w:t>
      </w:r>
      <w:r>
        <w:rPr/>
        <w:t xml:space="preserve"> ging er in den Tempel </w:t>
      </w:r>
      <w:r>
        <w:rPr>
          <w:color w:val="808080"/>
        </w:rPr>
        <w:t>(Tempelbezirk)</w:t>
      </w:r>
      <w:r>
        <w:rPr/>
        <w:t xml:space="preserve"> und </w:t>
      </w:r>
      <w:r>
        <w:rPr>
          <w:rStyle w:val="Funotenanker"/>
        </w:rPr>
        <w:footnoteReference w:customMarkFollows="1" w:id="2123"/>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2124"/>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2125"/>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2126"/>
        <w:t>t</w:t>
      </w:r>
      <w:r>
        <w:rPr/>
        <w:t xml:space="preserve"> „Heißt es nicht </w:t>
      </w:r>
      <w:r>
        <w:rPr>
          <w:color w:val="808080"/>
        </w:rPr>
        <w:t>(Steht nicht geschrieben)</w:t>
      </w:r>
      <w:r>
        <w:rPr/>
        <w:t>: »Mein Haus wird ein Haus des Gebets für alle Völker</w:t>
      </w:r>
      <w:r>
        <w:rPr>
          <w:rStyle w:val="Funotenanker"/>
        </w:rPr>
        <w:footnoteReference w:customMarkFollows="1" w:id="2127"/>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2128"/>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2129"/>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2130"/>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2131"/>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2132"/>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2133"/>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2134"/>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2135"/>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2136"/>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2137"/>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2138"/>
        <w:t>af</w:t>
      </w:r>
      <w:r>
        <w:rPr/>
        <w:t xml:space="preserve"> dann werden sie </w:t>
      </w:r>
      <w:r>
        <w:rPr>
          <w:strike/>
          <w:color w:val="808080"/>
        </w:rPr>
        <w:t>{für euch}</w:t>
      </w:r>
      <w:r>
        <w:rPr/>
        <w:t xml:space="preserve"> eintreffen. </w:t>
      </w:r>
      <w:r>
        <w:rPr>
          <w:rStyle w:val="Funotenanker"/>
        </w:rPr>
        <w:footnoteReference w:customMarkFollows="1" w:id="2139"/>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2140"/>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2141"/>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2142"/>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2143"/>
        <w:t>ak</w:t>
      </w:r>
      <w:r>
        <w:rPr/>
        <w:t xml:space="preserve"> </w:t>
      </w:r>
      <w:r>
        <w:rPr>
          <w:strike/>
          <w:color w:val="808080"/>
        </w:rPr>
        <w:t>{und}</w:t>
      </w:r>
      <w:r>
        <w:rPr/>
        <w:t xml:space="preserve"> Antwortet mir, </w:t>
      </w:r>
      <w:r>
        <w:rPr>
          <w:rStyle w:val="Funotenanker"/>
        </w:rPr>
        <w:footnoteReference w:customMarkFollows="1" w:id="2144"/>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2145"/>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2146"/>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2147"/>
        <w:t>Status</w:t>
      </w:r>
      <w:r>
        <w:rPr/>
        <w:t xml:space="preserve"> </w:t>
      </w:r>
      <w:r>
        <w:rPr>
          <w:rStyle w:val="Funotenanker"/>
        </w:rPr>
        <w:footnoteReference w:customMarkFollows="1" w:id="2148"/>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2149"/>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2150"/>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2151"/>
        <w:t>d</w:t>
      </w:r>
      <w:r>
        <w:rPr/>
        <w:t xml:space="preserve"> aus und baute einen Wachtturm </w:t>
      </w:r>
      <w:r>
        <w:rPr>
          <w:rStyle w:val="Funotenanker"/>
        </w:rPr>
        <w:footnoteReference w:customMarkFollows="1" w:id="2152"/>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2153"/>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2154"/>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2155"/>
        <w:t>h</w:t>
      </w:r>
      <w:r>
        <w:rPr/>
        <w:t xml:space="preserve"> und entehrten ihn </w:t>
      </w:r>
      <w:r>
        <w:rPr>
          <w:color w:val="808080"/>
        </w:rPr>
        <w:t>(behandelten ihn verächtlich)</w:t>
      </w:r>
      <w:r>
        <w:rPr/>
        <w:t>.</w:t>
      </w:r>
      <w:r>
        <w:rPr>
          <w:rStyle w:val="Funotenanker"/>
        </w:rPr>
        <w:footnoteReference w:customMarkFollows="1" w:id="2156"/>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2157"/>
        <w:t>j</w:t>
      </w:r>
      <w:r>
        <w:rPr/>
        <w:t xml:space="preserve"> – manche verprügelten sie, andere brachten sie um</w:t>
      </w:r>
      <w:r>
        <w:rPr>
          <w:rStyle w:val="Funotenanker"/>
        </w:rPr>
        <w:footnoteReference w:customMarkFollows="1" w:id="2158"/>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2159"/>
        <w:t>l</w:t>
      </w:r>
      <w:r>
        <w:rPr/>
        <w:t xml:space="preserve">. Er sandte ihn als letzten zu ihnen, weil er glaubte </w:t>
      </w:r>
      <w:r>
        <w:rPr>
          <w:color w:val="808080"/>
        </w:rPr>
        <w:t>(dachte, sich sagte)</w:t>
      </w:r>
      <w:r>
        <w:rPr/>
        <w:t xml:space="preserve">: </w:t>
      </w:r>
      <w:r>
        <w:rPr>
          <w:rStyle w:val="Funotenanker"/>
        </w:rPr>
        <w:footnoteReference w:customMarkFollows="1" w:id="2160"/>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2161"/>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2162"/>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2163"/>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2164"/>
        <w:t>q</w:t>
      </w:r>
      <w:r>
        <w:rPr/>
        <w:t xml:space="preserve">, den die Bauleute abgelehnt </w:t>
      </w:r>
      <w:r>
        <w:rPr>
          <w:color w:val="808080"/>
        </w:rPr>
        <w:t>(verworfen, zurückgewiesen)</w:t>
      </w:r>
      <w:r>
        <w:rPr/>
        <w:t xml:space="preserve"> haben,</w:t>
        <w:br/>
        <w:t>''der''</w:t>
      </w:r>
      <w:r>
        <w:rPr>
          <w:rStyle w:val="Funotenanker"/>
        </w:rPr>
        <w:footnoteReference w:customMarkFollows="1" w:id="2165"/>
        <w:t>r</w:t>
      </w:r>
      <w:r>
        <w:rPr/>
        <w:t xml:space="preserve"> ist zum Schlussstein </w:t>
      </w:r>
      <w:r>
        <w:rPr>
          <w:color w:val="808080"/>
        </w:rPr>
        <w:t>(Kopfstein, Eckstein)</w:t>
      </w:r>
      <w:r>
        <w:rPr/>
        <w:t xml:space="preserve"> </w:t>
      </w:r>
      <w:r>
        <w:rPr>
          <w:rStyle w:val="Funotenanker"/>
        </w:rPr>
        <w:footnoteReference w:customMarkFollows="1" w:id="2166"/>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2167"/>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2168"/>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2169"/>
        <w:t>v</w:t>
      </w:r>
      <w:r>
        <w:rPr/>
        <w:t xml:space="preserve">, dass er das Gleichnis gegen sie gesprochen hatte </w:t>
      </w:r>
      <w:r>
        <w:rPr>
          <w:rStyle w:val="Funotenanker"/>
        </w:rPr>
        <w:footnoteReference w:customMarkFollows="1" w:id="2170"/>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2171"/>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2172"/>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2173"/>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2174"/>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2175"/>
        <w:t>ab</w:t>
      </w:r>
      <w:r>
        <w:rPr/>
        <w:t xml:space="preserve"> den Weg Gottes </w:t>
      </w:r>
      <w:r>
        <w:rPr>
          <w:rStyle w:val="Funotenanker"/>
        </w:rPr>
        <w:footnoteReference w:customMarkFollows="1" w:id="2176"/>
        <w:t>ac</w:t>
      </w:r>
      <w:r>
        <w:rPr/>
        <w:t xml:space="preserve">. Darf man </w:t>
      </w:r>
      <w:r>
        <w:rPr>
          <w:rStyle w:val="Funotenanker"/>
        </w:rPr>
        <w:footnoteReference w:customMarkFollows="1" w:id="2177"/>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2178"/>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2179"/>
        <w:t>af</w:t>
      </w:r>
      <w:r>
        <w:rPr/>
        <w:t xml:space="preserve"> sagte zu ihnen: „Warum stellt ihr mir eine Falle </w:t>
      </w:r>
      <w:r>
        <w:rPr>
          <w:color w:val="808080"/>
        </w:rPr>
        <w:t>(versucht ihr mich)</w:t>
      </w:r>
      <w:r>
        <w:rPr/>
        <w:t xml:space="preserve">? </w:t>
      </w:r>
      <w:r>
        <w:rPr>
          <w:rStyle w:val="Funotenanker"/>
        </w:rPr>
        <w:footnoteReference w:customMarkFollows="1" w:id="2180"/>
        <w:t>ag</w:t>
      </w:r>
      <w:r>
        <w:rPr/>
        <w:t xml:space="preserve"> Bringt mir einen Denar </w:t>
      </w:r>
      <w:r>
        <w:rPr>
          <w:rStyle w:val="Funotenanker"/>
        </w:rPr>
        <w:footnoteReference w:customMarkFollows="1" w:id="2181"/>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2182"/>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2183"/>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2184"/>
        <w:t>ak</w:t>
      </w:r>
      <w:r>
        <w:rPr/>
        <w:t>: »Wenn jemandes Bruder stirbt, und eine Frau zurücklässt</w:t>
      </w:r>
      <w:r>
        <w:rPr>
          <w:rStyle w:val="Funotenanker"/>
        </w:rPr>
        <w:footnoteReference w:customMarkFollows="1" w:id="2185"/>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2186"/>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2187"/>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2188"/>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2189"/>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2190"/>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2191"/>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2192"/>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2193"/>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2194"/>
        <w:t>a</w:t>
      </w:r>
      <w:r>
        <w:rPr/>
        <w:t xml:space="preserve"> als er aus dem Tempel hinausging </w:t>
      </w:r>
      <w:r>
        <w:rPr>
          <w:color w:val="808080"/>
        </w:rPr>
        <w:t>(hinausgeht)</w:t>
      </w:r>
      <w:r>
        <w:rPr/>
        <w:t xml:space="preserve"> </w:t>
      </w:r>
      <w:r>
        <w:rPr>
          <w:rStyle w:val="Funotenanker"/>
        </w:rPr>
        <w:footnoteReference w:customMarkFollows="1" w:id="2195"/>
        <w:t>b</w:t>
      </w:r>
      <w:r>
        <w:rPr/>
        <w:t xml:space="preserve">, sagte </w:t>
      </w:r>
      <w:r>
        <w:rPr>
          <w:color w:val="808080"/>
        </w:rPr>
        <w:t>(sagt)</w:t>
      </w:r>
      <w:r>
        <w:rPr/>
        <w:t xml:space="preserve"> </w:t>
      </w:r>
      <w:r>
        <w:rPr>
          <w:rStyle w:val="Funotenanker"/>
        </w:rPr>
        <w:footnoteReference w:customMarkFollows="1" w:id="2196"/>
        <w:t>c</w:t>
      </w:r>
      <w:r>
        <w:rPr/>
        <w:t xml:space="preserve"> einer</w:t>
      </w:r>
      <w:r>
        <w:rPr>
          <w:rStyle w:val="Funotenanker"/>
        </w:rPr>
        <w:footnoteReference w:customMarkFollows="1" w:id="2197"/>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198"/>
        <w:t>e</w:t>
      </w:r>
      <w:r>
        <w:rPr/>
        <w:t xml:space="preserve"> Was für Steine und was für Gebäude!</w:t>
      </w:r>
      <w:r>
        <w:rPr>
          <w:rStyle w:val="Funotenanker"/>
        </w:rPr>
        <w:footnoteReference w:customMarkFollows="1" w:id="2199"/>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200"/>
        <w:t>g</w:t>
      </w:r>
      <w:r>
        <w:rPr/>
        <w:t xml:space="preserve"> Nicht </w:t>
      </w:r>
      <w:r>
        <w:rPr>
          <w:color w:val="808080"/>
        </w:rPr>
        <w:t>(Keinesfalls)</w:t>
      </w:r>
      <w:r>
        <w:rPr/>
        <w:t xml:space="preserve"> </w:t>
      </w:r>
      <w:r>
        <w:rPr>
          <w:rStyle w:val="Funotenanker"/>
        </w:rPr>
        <w:footnoteReference w:customMarkFollows="1" w:id="2201"/>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202"/>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203"/>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204"/>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205"/>
        <w:t>l</w:t>
      </w:r>
      <w:r>
        <w:rPr/>
        <w:t xml:space="preserve"> Wann wird dies</w:t>
      </w:r>
      <w:r>
        <w:rPr>
          <w:rStyle w:val="Funotenanker"/>
        </w:rPr>
        <w:footnoteReference w:customMarkFollows="1" w:id="2206"/>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207"/>
        <w:t>n</w:t>
      </w:r>
      <w:r>
        <w:rPr/>
        <w:t xml:space="preserve">, zu geschehen </w:t>
      </w:r>
      <w:r>
        <w:rPr>
          <w:color w:val="808080"/>
        </w:rPr>
        <w:t>(vollendet zu werden, zu enden)</w:t>
      </w:r>
      <w:r>
        <w:rPr/>
        <w:t xml:space="preserve"> </w:t>
      </w:r>
      <w:r>
        <w:rPr>
          <w:rStyle w:val="Funotenanker"/>
        </w:rPr>
        <w:footnoteReference w:customMarkFollows="1" w:id="2208"/>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209"/>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210"/>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211"/>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212"/>
        <w:t>s</w:t>
      </w:r>
      <w:r>
        <w:rPr/>
        <w:t xml:space="preserve"> nämlich </w:t>
      </w:r>
      <w:r>
        <w:rPr>
          <w:color w:val="808080"/>
        </w:rPr>
        <w:t>(denn)</w:t>
      </w:r>
      <w:r>
        <w:rPr/>
        <w:t xml:space="preserve"> </w:t>
      </w:r>
      <w:r>
        <w:rPr>
          <w:rStyle w:val="Funotenanker"/>
        </w:rPr>
        <w:footnoteReference w:customMarkFollows="1" w:id="2213"/>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214"/>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215"/>
        <w:t>v</w:t>
      </w:r>
      <w:r>
        <w:rPr/>
        <w:t xml:space="preserve"> ausliefern</w:t>
      </w:r>
      <w:r>
        <w:rPr>
          <w:rStyle w:val="Funotenanker"/>
        </w:rPr>
        <w:footnoteReference w:customMarkFollows="1" w:id="2216"/>
        <w:t>w</w:t>
      </w:r>
      <w:r>
        <w:rPr/>
        <w:t xml:space="preserve"> an Synhedrien</w:t>
      </w:r>
      <w:r>
        <w:rPr>
          <w:rStyle w:val="Funotenanker"/>
        </w:rPr>
        <w:footnoteReference w:customMarkFollows="1" w:id="2217"/>
        <w:t>x</w:t>
      </w:r>
      <w:r>
        <w:rPr/>
        <w:t xml:space="preserve"> und Synagogen</w:t>
      </w:r>
      <w:r>
        <w:rPr>
          <w:rStyle w:val="Funotenanker"/>
        </w:rPr>
        <w:footnoteReference w:customMarkFollows="1" w:id="2218"/>
        <w:t>y</w:t>
      </w:r>
      <w:r>
        <w:rPr/>
        <w:t>, ihr werdet geprügelt werden und ihr werdet meinetwegen vor Statthalter und Könige gestellt werden, ihnen zum Zeugnis</w:t>
      </w:r>
      <w:r>
        <w:rPr>
          <w:rStyle w:val="Funotenanker"/>
        </w:rPr>
        <w:footnoteReference w:customMarkFollows="1" w:id="2219"/>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220"/>
        <w:t>aa</w:t>
      </w:r>
      <w:r>
        <w:rPr/>
        <w:t xml:space="preserve"> zuerst</w:t>
      </w:r>
      <w:r>
        <w:rPr>
          <w:rStyle w:val="Funotenanker"/>
        </w:rPr>
        <w:footnoteReference w:customMarkFollows="1" w:id="2221"/>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222"/>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223"/>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224"/>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225"/>
        <w:t>af</w:t>
      </w:r>
      <w:r>
        <w:rPr/>
        <w:t>. Der aber, der bis zum Ende</w:t>
      </w:r>
      <w:r>
        <w:rPr>
          <w:rStyle w:val="Funotenanker"/>
        </w:rPr>
        <w:footnoteReference w:customMarkFollows="1" w:id="2226"/>
        <w:t>ag</w:t>
      </w:r>
      <w:r>
        <w:rPr/>
        <w:t xml:space="preserve"> standhaft bleibt </w:t>
      </w:r>
      <w:r>
        <w:rPr>
          <w:color w:val="808080"/>
        </w:rPr>
        <w:t>(dies erduldet)</w:t>
      </w:r>
      <w:r>
        <w:rPr/>
        <w:t xml:space="preserve"> </w:t>
      </w:r>
      <w:r>
        <w:rPr>
          <w:rStyle w:val="Funotenanker"/>
        </w:rPr>
        <w:footnoteReference w:customMarkFollows="1" w:id="2227"/>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228"/>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229"/>
        <w:t>aj</w:t>
      </w:r>
      <w:r>
        <w:rPr/>
        <w:t xml:space="preserve"> –, dann sollen die in Judäa in die Berge fliehen</w:t>
      </w:r>
      <w:r>
        <w:rPr>
          <w:rStyle w:val="Funotenanker"/>
        </w:rPr>
        <w:footnoteReference w:customMarkFollows="1" w:id="2230"/>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231"/>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232"/>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233"/>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234"/>
        <w:t>ao</w:t>
      </w:r>
      <w:r>
        <w:rPr/>
        <w:t>, die in jenen Tagen</w:t>
      </w:r>
      <w:r>
        <w:rPr>
          <w:rStyle w:val="Funotenanker"/>
        </w:rPr>
        <w:footnoteReference w:customMarkFollows="1" w:id="2235"/>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236"/>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237"/>
        <w:t>ar</w:t>
      </w:r>
      <w:r>
        <w:rPr/>
        <w:t xml:space="preserve"> bis jetzt nicht geschehen ist und niemals geschehen wird</w:t>
      </w:r>
      <w:r>
        <w:rPr>
          <w:rStyle w:val="Funotenanker"/>
        </w:rPr>
        <w:footnoteReference w:customMarkFollows="1" w:id="2238"/>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239"/>
        <w:t>at</w:t>
      </w:r>
      <w:r>
        <w:rPr/>
        <w:t xml:space="preserve"> würde absolut niemand</w:t>
      </w:r>
      <w:r>
        <w:rPr>
          <w:rStyle w:val="Funotenanker"/>
        </w:rPr>
        <w:footnoteReference w:customMarkFollows="1" w:id="2240"/>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241"/>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242"/>
        <w:t>aw</w:t>
      </w:r>
      <w:r>
        <w:rPr/>
        <w:t xml:space="preserve"> werden sie Zeichen und Wunder,</w:t>
      </w:r>
      <w:r>
        <w:rPr>
          <w:rStyle w:val="Funotenanker"/>
        </w:rPr>
        <w:footnoteReference w:customMarkFollows="1" w:id="2243"/>
        <w:t>ax</w:t>
      </w:r>
      <w:r>
        <w:rPr/>
        <w:t xml:space="preserve"> um – wenn möglich – die Auserwählten zu verführen </w:t>
      </w:r>
      <w:r>
        <w:rPr>
          <w:color w:val="808080"/>
        </w:rPr>
        <w:t>(irrezuführen)</w:t>
      </w:r>
      <w:r>
        <w:rPr/>
        <w:t xml:space="preserve"> </w:t>
      </w:r>
      <w:r>
        <w:rPr>
          <w:rStyle w:val="Funotenanker"/>
        </w:rPr>
        <w:footnoteReference w:customMarkFollows="1" w:id="2244"/>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245"/>
        <w:t>az</w:t>
      </w:r>
      <w:r>
        <w:rPr/>
        <w:t xml:space="preserve"> seid achtsam! Ich habe euch alles vorausgesagt.</w:t>
      </w:r>
      <w:r>
        <w:rPr>
          <w:rStyle w:val="Funotenanker"/>
        </w:rPr>
        <w:footnoteReference w:customMarkFollows="1" w:id="2246"/>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247"/>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248"/>
        <w:t>bc</w:t>
      </w:r>
      <w:r>
        <w:rPr/>
        <w:t xml:space="preserve"> den in den Wolken kommenden Menschensohn</w:t>
      </w:r>
      <w:r>
        <w:rPr>
          <w:rStyle w:val="Funotenanker"/>
        </w:rPr>
        <w:footnoteReference w:customMarkFollows="1" w:id="2249"/>
        <w:t>bd</w:t>
      </w:r>
      <w:r>
        <w:rPr/>
        <w:t>, mit großer Macht</w:t>
      </w:r>
      <w:r>
        <w:rPr>
          <w:rStyle w:val="Funotenanker"/>
        </w:rPr>
        <w:footnoteReference w:customMarkFollows="1" w:id="2250"/>
        <w:t>be</w:t>
      </w:r>
      <w:r>
        <w:rPr/>
        <w:t xml:space="preserve"> und Herrlichkeit</w:t>
      </w:r>
      <w:r>
        <w:rPr>
          <w:rStyle w:val="Funotenanker"/>
        </w:rPr>
        <w:footnoteReference w:customMarkFollows="1" w:id="2251"/>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252"/>
        <w:t>bg</w:t>
      </w:r>
      <w:r>
        <w:rPr/>
        <w:t xml:space="preserve"> vom Ende der Erde bis zum Ende des Himmels</w:t>
      </w:r>
      <w:r>
        <w:rPr>
          <w:rStyle w:val="Funotenanker"/>
        </w:rPr>
        <w:footnoteReference w:customMarkFollows="1" w:id="2253"/>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254"/>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255"/>
        <w:t>bj</w:t>
      </w:r>
      <w:r>
        <w:rPr/>
        <w:t xml:space="preserve"> seine Zweige</w:t>
      </w:r>
      <w:r>
        <w:rPr>
          <w:rStyle w:val="Funotenanker"/>
        </w:rPr>
        <w:footnoteReference w:customMarkFollows="1" w:id="2256"/>
        <w:t>bk</w:t>
      </w:r>
      <w:r>
        <w:rPr/>
        <w:t xml:space="preserve"> weich werden </w:t>
      </w:r>
      <w:r>
        <w:rPr>
          <w:rStyle w:val="Funotenanker"/>
        </w:rPr>
        <w:footnoteReference w:customMarkFollows="1" w:id="2257"/>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258"/>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259"/>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260"/>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261"/>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262"/>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263"/>
        <w:t>br</w:t>
      </w:r>
      <w:r>
        <w:rPr/>
        <w:t xml:space="preserve"> weder die Engel </w:t>
      </w:r>
      <w:r>
        <w:rPr>
          <w:color w:val="808080"/>
        </w:rPr>
        <w:t>(Boten)</w:t>
      </w:r>
      <w:r>
        <w:rPr/>
        <w:t xml:space="preserve"> </w:t>
      </w:r>
      <w:r>
        <w:rPr>
          <w:rStyle w:val="Funotenanker"/>
        </w:rPr>
        <w:footnoteReference w:customMarkFollows="1" w:id="2264"/>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265"/>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266"/>
        <w:t>bu</w:t>
      </w:r>
      <w:r>
        <w:rPr/>
        <w:t xml:space="preserve"> </w:t>
      </w:r>
      <w:r>
        <w:rPr>
          <w:rStyle w:val="Funotenanker"/>
        </w:rPr>
        <w:footnoteReference w:customMarkFollows="1" w:id="2267"/>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268"/>
        <w:t>bw</w:t>
      </w:r>
      <w:r>
        <w:rPr/>
        <w:t xml:space="preserve"> dem Torhüter gebot, dass er wachsam sei </w:t>
      </w:r>
      <w:r>
        <w:rPr>
          <w:color w:val="808080"/>
        </w:rPr>
        <w:t>(Wache halte)</w:t>
      </w:r>
      <w:r>
        <w:rPr/>
        <w:t>.</w:t>
      </w:r>
      <w:r>
        <w:rPr>
          <w:rStyle w:val="Funotenanker"/>
        </w:rPr>
        <w:footnoteReference w:customMarkFollows="1" w:id="2269"/>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270"/>
        <w:t>by</w:t>
      </w:r>
      <w:r>
        <w:rPr/>
        <w:t xml:space="preserve"> - ob am Abend, zur Mitternacht, zum Hahnenschrei oder im Morgengrauen</w:t>
      </w:r>
      <w:r>
        <w:rPr>
          <w:rStyle w:val="Funotenanker"/>
        </w:rPr>
        <w:footnoteReference w:customMarkFollows="1" w:id="2271"/>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272"/>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2273"/>
        <w:t>Status</w:t>
      </w:r>
      <w:r>
        <w:rPr/>
        <w:t xml:space="preserve"> Das Pascha-Fest und </w:t>
      </w:r>
      <w:r>
        <w:rPr>
          <w:b/>
          <w:color w:val="808080"/>
        </w:rPr>
        <w:t>[</w:t>
      </w:r>
      <w:r>
        <w:rPr/>
        <w:t>das Fest der</w:t>
      </w:r>
      <w:r>
        <w:rPr>
          <w:b/>
          <w:color w:val="808080"/>
        </w:rPr>
        <w:t>]</w:t>
      </w:r>
      <w:r>
        <w:rPr/>
        <w:t xml:space="preserve"> ungesäuerten Brote waren </w:t>
      </w:r>
      <w:r>
        <w:rPr>
          <w:strike/>
          <w:color w:val="808080"/>
        </w:rPr>
        <w:t>{aber}</w:t>
      </w:r>
      <w:r>
        <w:rPr/>
        <w:t xml:space="preserve"> in zwei Tagen.</w:t>
      </w:r>
      <w:r>
        <w:rPr>
          <w:rStyle w:val="Funotenanker"/>
        </w:rPr>
        <w:footnoteReference w:customMarkFollows="1" w:id="2274"/>
        <w:t>a</w:t>
      </w:r>
      <w:r>
        <w:rPr/>
        <w:t xml:space="preserve"> Da suchten die Hohepriester und die Schriftgelehrten</w:t>
      </w:r>
      <w:r>
        <w:rPr>
          <w:rStyle w:val="Funotenanker"/>
        </w:rPr>
        <w:footnoteReference w:customMarkFollows="1" w:id="2275"/>
        <w:t>b</w:t>
      </w:r>
      <w:r>
        <w:rPr/>
        <w:t xml:space="preserve"> </w:t>
      </w:r>
      <w:r>
        <w:rPr>
          <w:b/>
          <w:color w:val="808080"/>
        </w:rPr>
        <w:t>[</w:t>
      </w:r>
      <w:r>
        <w:rPr/>
        <w:t>einen Weg</w:t>
      </w:r>
      <w:r>
        <w:rPr>
          <w:b/>
          <w:color w:val="808080"/>
        </w:rPr>
        <w:t>]</w:t>
      </w:r>
      <w:r>
        <w:rPr/>
        <w:t xml:space="preserve">, wie sie ihn mit einer List ergreifen und töten könnten,{{field-off:bible}} </w:t>
        <w:br/>
        <w:t>[[@BibleTOBIBLE:Mk 14:2]]</w:t>
      </w:r>
      <w:r>
        <w:rPr>
          <w:b/>
        </w:rPr>
        <w:t>2</w:t>
      </w:r>
      <w:r>
        <w:rPr/>
        <w:t xml:space="preserve"> {{field-on:bible}}denn sie sagten </w:t>
      </w:r>
      <w:r>
        <w:rPr>
          <w:color w:val="808080"/>
        </w:rPr>
        <w:t>(sagten sich)</w:t>
      </w:r>
      <w:r>
        <w:rPr/>
        <w:t>: „Nicht während des Festes,</w:t>
      </w:r>
      <w:r>
        <w:rPr>
          <w:rStyle w:val="Funotenanker"/>
        </w:rPr>
        <w:footnoteReference w:customMarkFollows="1" w:id="2276"/>
        <w:t>c</w:t>
      </w:r>
      <w:r>
        <w:rPr/>
        <w:t xml:space="preserve"> sonst wird es einen Aufruhr der Volksgemeinde geben.“</w:t>
      </w:r>
      <w:r>
        <w:rPr>
          <w:rStyle w:val="Funotenanker"/>
        </w:rPr>
        <w:footnoteReference w:customMarkFollows="1" w:id="2277"/>
        <w:t>d</w:t>
      </w:r>
      <w:r>
        <w:rPr/>
        <w:t xml:space="preserve"> {{field-off:bible}} </w:t>
        <w:br/>
        <w:t>[[@BibleTOBIBLE:Mk 14:3]]</w:t>
      </w:r>
      <w:r>
        <w:rPr>
          <w:b/>
        </w:rPr>
        <w:t>3</w:t>
      </w:r>
      <w:r>
        <w:rPr/>
        <w:t xml:space="preserve"> {{field-on:bible}}Und als er in Bethanien im Haus Simons des Leprakranken</w:t>
      </w:r>
      <w:r>
        <w:rPr>
          <w:rStyle w:val="Funotenanker"/>
        </w:rPr>
        <w:footnoteReference w:customMarkFollows="1" w:id="2278"/>
        <w:t>e</w:t>
      </w:r>
      <w:r>
        <w:rPr/>
        <w:t xml:space="preserve"> war – als er </w:t>
      </w:r>
      <w:r>
        <w:rPr>
          <w:b/>
          <w:color w:val="808080"/>
        </w:rPr>
        <w:t>[</w:t>
      </w:r>
      <w:r>
        <w:rPr/>
        <w:t>bei Tisch</w:t>
      </w:r>
      <w:r>
        <w:rPr>
          <w:b/>
          <w:color w:val="808080"/>
        </w:rPr>
        <w:t>]</w:t>
      </w:r>
      <w:r>
        <w:rPr/>
        <w:t xml:space="preserve"> lag</w:t>
      </w:r>
      <w:r>
        <w:rPr>
          <w:rStyle w:val="Funotenanker"/>
        </w:rPr>
        <w:footnoteReference w:customMarkFollows="1" w:id="2279"/>
        <w:t>f</w:t>
      </w:r>
      <w:r>
        <w:rPr/>
        <w:t xml:space="preserve"> – kam eine Frau,</w:t>
      </w:r>
      <w:r>
        <w:rPr>
          <w:rStyle w:val="Funotenanker"/>
        </w:rPr>
        <w:footnoteReference w:customMarkFollows="1" w:id="2280"/>
        <w:t>g</w:t>
      </w:r>
      <w:r>
        <w:rPr/>
        <w:t xml:space="preserve"> die ein Alabastergefäß voll kostbaren, reinem Nardenparfums</w:t>
      </w:r>
      <w:r>
        <w:rPr>
          <w:rStyle w:val="Funotenanker"/>
        </w:rPr>
        <w:footnoteReference w:customMarkFollows="1" w:id="2281"/>
        <w:t>h</w:t>
      </w:r>
      <w:r>
        <w:rPr/>
        <w:t xml:space="preserve"> </w:t>
      </w:r>
      <w:r>
        <w:rPr>
          <w:b/>
          <w:color w:val="808080"/>
        </w:rPr>
        <w:t>[</w:t>
      </w:r>
      <w:r>
        <w:rPr/>
        <w:t>bei sich</w:t>
      </w:r>
      <w:r>
        <w:rPr>
          <w:b/>
          <w:color w:val="808080"/>
        </w:rPr>
        <w:t>]</w:t>
      </w:r>
      <w:r>
        <w:rPr/>
        <w:t xml:space="preserve"> hatte. Nachdem sie das Alabastergefäß zerbrochen hatte,</w:t>
      </w:r>
      <w:r>
        <w:rPr>
          <w:rStyle w:val="Funotenanker"/>
        </w:rPr>
        <w:footnoteReference w:customMarkFollows="1" w:id="2282"/>
        <w:t>i</w:t>
      </w:r>
      <w:r>
        <w:rPr/>
        <w:t xml:space="preserve"> goss sie </w:t>
      </w:r>
      <w:r>
        <w:rPr>
          <w:b/>
          <w:color w:val="808080"/>
        </w:rPr>
        <w:t>[</w:t>
      </w:r>
      <w:r>
        <w:rPr/>
        <w:t>das Öl</w:t>
      </w:r>
      <w:r>
        <w:rPr>
          <w:b/>
          <w:color w:val="808080"/>
        </w:rPr>
        <w:t>]</w:t>
      </w:r>
      <w:r>
        <w:rPr/>
        <w:t xml:space="preserve"> herab auf seinen Kopf.{{field-off:bible}} </w:t>
        <w:br/>
        <w:t>[[@BibleTOBIBLE:Mk 14:4]]</w:t>
      </w:r>
      <w:r>
        <w:rPr>
          <w:b/>
        </w:rPr>
        <w:t>4</w:t>
      </w:r>
      <w:r>
        <w:rPr/>
        <w:t xml:space="preserve"> {{field-on:bible}}Einige aber waren </w:t>
      </w:r>
      <w:r>
        <w:rPr>
          <w:strike/>
          <w:color w:val="808080"/>
        </w:rPr>
        <w:t>{untereinander}</w:t>
      </w:r>
      <w:r>
        <w:rPr/>
        <w:t xml:space="preserve"> verärgert </w:t>
      </w:r>
      <w:r>
        <w:rPr>
          <w:color w:val="808080"/>
        </w:rPr>
        <w:t>(voller Empörung)</w:t>
      </w:r>
      <w:r>
        <w:rPr/>
        <w:t xml:space="preserve"> </w:t>
      </w:r>
      <w:r>
        <w:rPr>
          <w:b/>
          <w:color w:val="808080"/>
        </w:rPr>
        <w:t>[</w:t>
      </w:r>
      <w:r>
        <w:rPr/>
        <w:t>und sagten</w:t>
      </w:r>
      <w:r>
        <w:rPr>
          <w:b/>
          <w:color w:val="808080"/>
        </w:rPr>
        <w:t>]</w:t>
      </w:r>
      <w:r>
        <w:rPr/>
        <w:t xml:space="preserve"> zueinander: „Für was ist diese Verschwendung des Parfums geschehen?{{field-off:bible}} </w:t>
        <w:br/>
        <w:t>[[@BibleTOBIBLE:Mk 14:5]]</w:t>
      </w:r>
      <w:r>
        <w:rPr>
          <w:b/>
        </w:rPr>
        <w:t>5</w:t>
      </w:r>
      <w:r>
        <w:rPr/>
        <w:t xml:space="preserve"> {{field-on:bible}}Man hätte nämlich dieses Parfum für mehr als 300 Denare</w:t>
      </w:r>
      <w:r>
        <w:rPr>
          <w:rStyle w:val="Funotenanker"/>
        </w:rPr>
        <w:footnoteReference w:customMarkFollows="1" w:id="2283"/>
        <w:t>j</w:t>
      </w:r>
      <w:r>
        <w:rPr/>
        <w:t xml:space="preserve"> </w:t>
      </w:r>
      <w:r>
        <w:rPr>
          <w:color w:val="808080"/>
        </w:rPr>
        <w:t>(teurer als für 300 Denare)</w:t>
      </w:r>
      <w:r>
        <w:rPr/>
        <w:t xml:space="preserve"> verkaufen und </w:t>
      </w:r>
      <w:r>
        <w:rPr>
          <w:b/>
          <w:color w:val="808080"/>
        </w:rPr>
        <w:t>[</w:t>
      </w:r>
      <w:r>
        <w:rPr/>
        <w:t>den Erlös</w:t>
      </w:r>
      <w:r>
        <w:rPr>
          <w:b/>
          <w:color w:val="808080"/>
        </w:rPr>
        <w:t>]</w:t>
      </w:r>
      <w:r>
        <w:rPr/>
        <w:t xml:space="preserve"> den Armen geben können.“</w:t>
      </w:r>
      <w:r>
        <w:rPr>
          <w:rStyle w:val="Funotenanker"/>
        </w:rPr>
        <w:footnoteReference w:customMarkFollows="1" w:id="2284"/>
        <w:t>k</w:t>
      </w:r>
      <w:r>
        <w:rPr/>
        <w:t xml:space="preserve"> Und sie machten ihr Vorwürfe.{{field-off:bible}} </w:t>
        <w:br/>
        <w:t>[[@BibleTOBIBLE:Mk 14:6]]</w:t>
      </w:r>
      <w:r>
        <w:rPr>
          <w:b/>
        </w:rPr>
        <w:t>6</w:t>
      </w:r>
      <w:r>
        <w:rPr/>
        <w:t xml:space="preserve"> {{field-on:bible}}Jesus aber sprach: „Lasst sie! Was macht ihr ihr Beschwerden?</w:t>
      </w:r>
      <w:r>
        <w:rPr>
          <w:rStyle w:val="Funotenanker"/>
        </w:rPr>
        <w:footnoteReference w:customMarkFollows="1" w:id="2285"/>
        <w:t>l</w:t>
      </w:r>
      <w:r>
        <w:rPr/>
        <w:t xml:space="preserve"> Sie hat ein gutes Werk</w:t>
      </w:r>
      <w:r>
        <w:rPr>
          <w:rStyle w:val="Funotenanker"/>
        </w:rPr>
        <w:footnoteReference w:customMarkFollows="1" w:id="2286"/>
        <w:t>m</w:t>
      </w:r>
      <w:r>
        <w:rPr/>
        <w:t xml:space="preserve"> an mir getan –{{field-off:bible}} </w:t>
        <w:br/>
        <w:t>[[@BibleTOBIBLE:Mk 14:7]]</w:t>
      </w:r>
      <w:r>
        <w:rPr>
          <w:b/>
        </w:rPr>
        <w:t>7</w:t>
      </w:r>
      <w:r>
        <w:rPr/>
        <w:t xml:space="preserve"> {{field-on:bible}}und</w:t>
      </w:r>
      <w:r>
        <w:rPr>
          <w:rStyle w:val="Funotenanker"/>
        </w:rPr>
        <w:footnoteReference w:customMarkFollows="1" w:id="2287"/>
        <w:t>n</w:t>
      </w:r>
      <w:r>
        <w:rPr/>
        <w:t xml:space="preserve"> die Armen habt ihr immer bei euch und sooft </w:t>
      </w:r>
      <w:r>
        <w:rPr>
          <w:color w:val="808080"/>
        </w:rPr>
        <w:t>(falls)</w:t>
      </w:r>
      <w:r>
        <w:rPr/>
        <w:t xml:space="preserve"> ihr wollt, könnt ihr ihnen </w:t>
      </w:r>
      <w:r>
        <w:rPr>
          <w:color w:val="808080"/>
        </w:rPr>
        <w:t>(immer)</w:t>
      </w:r>
      <w:r>
        <w:rPr/>
        <w:t xml:space="preserve"> </w:t>
      </w:r>
      <w:r>
        <w:rPr>
          <w:rStyle w:val="Funotenanker"/>
        </w:rPr>
        <w:footnoteReference w:customMarkFollows="1" w:id="2288"/>
        <w:t>o</w:t>
      </w:r>
      <w:r>
        <w:rPr/>
        <w:t xml:space="preserve"> wohltun </w:t>
      </w:r>
      <w:r>
        <w:rPr>
          <w:color w:val="808080"/>
        </w:rPr>
        <w:t>(Gutes tun)</w:t>
      </w:r>
      <w:r>
        <w:rPr/>
        <w:t xml:space="preserve">; mich aber habt ihr nicht immer.{{field-off:bible}} </w:t>
        <w:br/>
        <w:t>[[@BibleTOBIBLE:Mk 14:8]]</w:t>
      </w:r>
      <w:r>
        <w:rPr>
          <w:b/>
        </w:rPr>
        <w:t>8</w:t>
      </w:r>
      <w:r>
        <w:rPr/>
        <w:t xml:space="preserve"> {{field-on:bible}}Was sie </w:t>
      </w:r>
      <w:r>
        <w:rPr>
          <w:b/>
          <w:color w:val="808080"/>
        </w:rPr>
        <w:t>[</w:t>
      </w:r>
      <w:r>
        <w:rPr/>
        <w:t>tun</w:t>
      </w:r>
      <w:r>
        <w:rPr>
          <w:b/>
          <w:color w:val="808080"/>
        </w:rPr>
        <w:t>]</w:t>
      </w:r>
      <w:r>
        <w:rPr/>
        <w:t xml:space="preserve"> konnte </w:t>
      </w:r>
      <w:r>
        <w:rPr>
          <w:color w:val="808080"/>
        </w:rPr>
        <w:t>(was sie hatte)</w:t>
      </w:r>
      <w:r>
        <w:rPr/>
        <w:t>,</w:t>
      </w:r>
      <w:r>
        <w:rPr>
          <w:rStyle w:val="Funotenanker"/>
        </w:rPr>
        <w:footnoteReference w:customMarkFollows="1" w:id="2289"/>
        <w:t>p</w:t>
      </w:r>
      <w:r>
        <w:rPr/>
        <w:t xml:space="preserve"> hat sie getan: Sie hat es vorweggenommen, meinen Leib für das Begräbnis einzubalsamieren</w:t>
      </w:r>
      <w:r>
        <w:rPr>
          <w:rStyle w:val="Funotenanker"/>
        </w:rPr>
        <w:footnoteReference w:customMarkFollows="1" w:id="2290"/>
        <w:t>q</w:t>
      </w:r>
      <w:r>
        <w:rPr/>
        <w:t xml:space="preserve">.{{field-off:bible}} </w:t>
        <w:br/>
        <w:t>[[@BibleTOBIBLE:Mk 14:9]]</w:t>
      </w:r>
      <w:r>
        <w:rPr>
          <w:b/>
        </w:rPr>
        <w:t>9</w:t>
      </w:r>
      <w:r>
        <w:rPr/>
        <w:t xml:space="preserve"> {{field-on:bible}}Amen, ich sage euch,</w:t>
      </w:r>
      <w:r>
        <w:rPr>
          <w:rStyle w:val="Funotenanker"/>
        </w:rPr>
        <w:footnoteReference w:customMarkFollows="1" w:id="2291"/>
        <w:t>r</w:t>
      </w:r>
      <w:r>
        <w:rPr/>
        <w:t xml:space="preserve"> wo auch immer diese Freuden-Botschaft </w:t>
      </w:r>
      <w:r>
        <w:rPr>
          <w:color w:val="808080"/>
        </w:rPr>
        <w:t>(dieses Evangelium)</w:t>
      </w:r>
      <w:r>
        <w:rPr/>
        <w:t xml:space="preserve"> </w:t>
      </w:r>
      <w:r>
        <w:rPr>
          <w:rStyle w:val="Funotenanker"/>
        </w:rPr>
        <w:footnoteReference w:customMarkFollows="1" w:id="2292"/>
        <w:t>s</w:t>
      </w:r>
      <w:r>
        <w:rPr/>
        <w:t xml:space="preserve"> auf der ganzen Welt verkündet wird, wird auch von dem, was diese getan hat, gesprochen werden – zur Erinnerung an sie.“{{field-off:bible}} </w:t>
        <w:br/>
        <w:t>[[@BibleTOBIBLE:Mk 14:10]]</w:t>
      </w:r>
      <w:r>
        <w:rPr>
          <w:b/>
        </w:rPr>
        <w:t>10</w:t>
      </w:r>
      <w:r>
        <w:rPr/>
        <w:t xml:space="preserve"> {{field-on:bible}}Und Judas Iskariot, einer der Zwölf, ging zu den Hohepriestern, um ihn an sie auszuliefern.{{field-off:bible}} </w:t>
        <w:br/>
        <w:t>[[@BibleTOBIBLE:Mk 14:11]]</w:t>
      </w:r>
      <w:r>
        <w:rPr>
          <w:b/>
        </w:rPr>
        <w:t>11</w:t>
      </w:r>
      <w:r>
        <w:rPr/>
        <w:t xml:space="preserve"> {{field-on:bible}}Und sie freuten sich, als sie </w:t>
      </w:r>
      <w:r>
        <w:rPr>
          <w:b/>
          <w:color w:val="808080"/>
        </w:rPr>
        <w:t>[</w:t>
      </w:r>
      <w:r>
        <w:rPr/>
        <w:t>das</w:t>
      </w:r>
      <w:r>
        <w:rPr>
          <w:b/>
          <w:color w:val="808080"/>
        </w:rPr>
        <w:t>]</w:t>
      </w:r>
      <w:r>
        <w:rPr/>
        <w:t xml:space="preserve"> hörten, und versprachen, ihm Geld zu geben. Und er suchte </w:t>
      </w:r>
      <w:r>
        <w:rPr>
          <w:b/>
          <w:color w:val="808080"/>
        </w:rPr>
        <w:t>[</w:t>
      </w:r>
      <w:r>
        <w:rPr/>
        <w:t>einen Weg</w:t>
      </w:r>
      <w:r>
        <w:rPr>
          <w:b/>
          <w:color w:val="808080"/>
        </w:rPr>
        <w:t>]</w:t>
      </w:r>
      <w:r>
        <w:rPr/>
        <w:t>, wie er ihn zur rechten Zeit</w:t>
      </w:r>
      <w:r>
        <w:rPr>
          <w:rStyle w:val="Funotenanker"/>
        </w:rPr>
        <w:footnoteReference w:customMarkFollows="1" w:id="2293"/>
        <w:t>t</w:t>
      </w:r>
      <w:r>
        <w:rPr/>
        <w:t xml:space="preserve"> ausliefern könnte.{{field-off:bible}} </w:t>
        <w:br/>
        <w:t>[[@BibleTOBIBLE:Mk 14:12]]</w:t>
      </w:r>
      <w:r>
        <w:rPr>
          <w:b/>
        </w:rPr>
        <w:t>12</w:t>
      </w:r>
      <w:r>
        <w:rPr/>
        <w:t xml:space="preserve"> {{field-on:bible}}Und am ersten Tag </w:t>
      </w:r>
      <w:r>
        <w:rPr>
          <w:b/>
          <w:color w:val="808080"/>
        </w:rPr>
        <w:t>[</w:t>
      </w:r>
      <w:r>
        <w:rPr/>
        <w:t>des Festes</w:t>
      </w:r>
      <w:r>
        <w:rPr>
          <w:b/>
          <w:color w:val="808080"/>
        </w:rPr>
        <w:t>]</w:t>
      </w:r>
      <w:r>
        <w:rPr/>
        <w:t xml:space="preserve"> der ungesäuerten </w:t>
      </w:r>
      <w:r>
        <w:rPr>
          <w:b/>
          <w:color w:val="808080"/>
        </w:rPr>
        <w:t>[</w:t>
      </w:r>
      <w:r>
        <w:rPr/>
        <w:t>Brote</w:t>
      </w:r>
      <w:r>
        <w:rPr>
          <w:b/>
          <w:color w:val="808080"/>
        </w:rPr>
        <w:t>]</w:t>
      </w:r>
      <w:r>
        <w:rPr/>
        <w:t>,</w:t>
      </w:r>
      <w:r>
        <w:rPr>
          <w:rStyle w:val="Funotenanker"/>
        </w:rPr>
        <w:footnoteReference w:customMarkFollows="1" w:id="2294"/>
        <w:t>u</w:t>
      </w:r>
      <w:r>
        <w:rPr/>
        <w:t xml:space="preserve"> als sie das Pascha</w:t>
      </w:r>
      <w:r>
        <w:rPr>
          <w:b/>
          <w:color w:val="808080"/>
        </w:rPr>
        <w:t>[</w:t>
      </w:r>
      <w:r>
        <w:rPr/>
        <w:t>lamm</w:t>
      </w:r>
      <w:r>
        <w:rPr>
          <w:b/>
          <w:color w:val="808080"/>
        </w:rPr>
        <w:t>]</w:t>
      </w:r>
      <w:r>
        <w:rPr/>
        <w:t xml:space="preserve"> opferten </w:t>
      </w:r>
      <w:r>
        <w:rPr>
          <w:color w:val="808080"/>
        </w:rPr>
        <w:t>(an dem man das Pascha</w:t>
      </w:r>
      <w:r>
        <w:rPr>
          <w:b/>
          <w:color w:val="808080"/>
        </w:rPr>
        <w:t>[</w:t>
      </w:r>
      <w:r>
        <w:rPr>
          <w:color w:val="808080"/>
        </w:rPr>
        <w:t>lamm</w:t>
      </w:r>
      <w:r>
        <w:rPr>
          <w:b/>
          <w:color w:val="808080"/>
        </w:rPr>
        <w:t>]</w:t>
      </w:r>
      <w:r>
        <w:rPr>
          <w:color w:val="808080"/>
        </w:rPr>
        <w:t xml:space="preserve"> zu opfern pflegte)</w:t>
      </w:r>
      <w:r>
        <w:rPr/>
        <w:t>,</w:t>
      </w:r>
      <w:r>
        <w:rPr>
          <w:rStyle w:val="Funotenanker"/>
        </w:rPr>
        <w:footnoteReference w:customMarkFollows="1" w:id="2295"/>
        <w:t>v</w:t>
      </w:r>
      <w:r>
        <w:rPr/>
        <w:t xml:space="preserve"> fragten</w:t>
      </w:r>
      <w:r>
        <w:rPr>
          <w:rStyle w:val="Funotenanker"/>
        </w:rPr>
        <w:footnoteReference w:customMarkFollows="1" w:id="2296"/>
        <w:t>w</w:t>
      </w:r>
      <w:r>
        <w:rPr/>
        <w:t xml:space="preserve"> ihn seine Jünger: „Wo willst du, </w:t>
      </w:r>
      <w:r>
        <w:rPr>
          <w:b/>
          <w:color w:val="808080"/>
        </w:rPr>
        <w:t>[</w:t>
      </w:r>
      <w:r>
        <w:rPr/>
        <w:t>dass</w:t>
      </w:r>
      <w:r>
        <w:rPr>
          <w:b/>
          <w:color w:val="808080"/>
        </w:rPr>
        <w:t>]</w:t>
      </w:r>
      <w:r>
        <w:rPr/>
        <w:t xml:space="preserve"> wir </w:t>
      </w:r>
      <w:r>
        <w:rPr>
          <w:strike/>
          <w:color w:val="808080"/>
        </w:rPr>
        <w:t>{fortgehend}</w:t>
      </w:r>
      <w:r>
        <w:rPr/>
        <w:t xml:space="preserve"> vorbereiten, damit du das Pascha essen kann?“{{field-off:bible}} </w:t>
        <w:br/>
        <w:t>[[@BibleTOBIBLE:Mk 14:13]]</w:t>
      </w:r>
      <w:r>
        <w:rPr>
          <w:b/>
        </w:rPr>
        <w:t>13</w:t>
      </w:r>
      <w:r>
        <w:rPr/>
        <w:t xml:space="preserve"> {{field-on:bible}}Und er sandte zwei seiner Jünger</w:t>
      </w:r>
      <w:r>
        <w:rPr>
          <w:rStyle w:val="Funotenanker"/>
        </w:rPr>
        <w:footnoteReference w:customMarkFollows="1" w:id="2297"/>
        <w:t>x</w:t>
      </w:r>
      <w:r>
        <w:rPr/>
        <w:t xml:space="preserve"> und sagte zu ihnen: „Geht in die Stadt, und es wird ein Mann auf euch zutreten,</w:t>
      </w:r>
      <w:r>
        <w:rPr>
          <w:rStyle w:val="Funotenanker"/>
        </w:rPr>
        <w:footnoteReference w:customMarkFollows="1" w:id="2298"/>
        <w:t>y</w:t>
      </w:r>
      <w:r>
        <w:rPr/>
        <w:t xml:space="preserve"> der einen Krug Wasser trägt. Folgt ihm,{{field-off:bible}} </w:t>
        <w:br/>
        <w:t>[[@BibleTOBIBLE:Mk 14:14]]</w:t>
      </w:r>
      <w:r>
        <w:rPr>
          <w:b/>
        </w:rPr>
        <w:t>14</w:t>
      </w:r>
      <w:r>
        <w:rPr/>
        <w:t xml:space="preserve"> {{field-on:bible}}und wo auch immer er hineingeht, sagt zu dem Hausherrn </w:t>
      </w:r>
      <w:r>
        <w:rPr>
          <w:strike/>
          <w:color w:val="808080"/>
        </w:rPr>
        <w:t>{dass}</w:t>
      </w:r>
      <w:r>
        <w:rPr/>
        <w:t>: »Der Lehrer sagt: »Wo ist mein Gästezimmer, wo ich das Pascha</w:t>
      </w:r>
      <w:r>
        <w:rPr>
          <w:b/>
          <w:color w:val="808080"/>
        </w:rPr>
        <w:t>[</w:t>
      </w:r>
      <w:r>
        <w:rPr/>
        <w:t>mahl</w:t>
      </w:r>
      <w:r>
        <w:rPr>
          <w:b/>
          <w:color w:val="808080"/>
        </w:rPr>
        <w:t>]</w:t>
      </w:r>
      <w:r>
        <w:rPr/>
        <w:t xml:space="preserve"> mit meinen Jüngern essen kann?««!</w:t>
      </w:r>
      <w:r>
        <w:rPr>
          <w:rStyle w:val="Funotenanker"/>
        </w:rPr>
        <w:footnoteReference w:customMarkFollows="1" w:id="2299"/>
        <w:t>z</w:t>
      </w:r>
      <w:r>
        <w:rPr/>
        <w:t xml:space="preserve"> {{field-off:bible}} </w:t>
        <w:br/>
        <w:t>[[@BibleTOBIBLE:Mk 14:15]]</w:t>
      </w:r>
      <w:r>
        <w:rPr>
          <w:b/>
        </w:rPr>
        <w:t>15</w:t>
      </w:r>
      <w:r>
        <w:rPr/>
        <w:t xml:space="preserve"> {{field-on:bible}}Und dieser wird euch ein großes Zimmer im Obergeschoss zeigen, möbliert und vorbereitet. Dort bereitet für uns vor!“</w:t>
      </w:r>
      <w:r>
        <w:rPr>
          <w:rStyle w:val="Funotenanker"/>
        </w:rPr>
        <w:footnoteReference w:customMarkFollows="1" w:id="2300"/>
        <w:t>aa</w:t>
      </w:r>
      <w:r>
        <w:rPr/>
        <w:t xml:space="preserve"> {{field-off:bible}} </w:t>
        <w:br/>
        <w:t>[[@BibleTOBIBLE:Mk 14:16]]</w:t>
      </w:r>
      <w:r>
        <w:rPr>
          <w:b/>
        </w:rPr>
        <w:t>16</w:t>
      </w:r>
      <w:r>
        <w:rPr/>
        <w:t xml:space="preserve"> {{field-on:bible}}Und die Jünger gingen hinaus und kamen in die Stadt, und sie fanden </w:t>
      </w:r>
      <w:r>
        <w:rPr>
          <w:b/>
          <w:color w:val="808080"/>
        </w:rPr>
        <w:t>[</w:t>
      </w:r>
      <w:r>
        <w:rPr/>
        <w:t>alles so</w:t>
      </w:r>
      <w:r>
        <w:rPr>
          <w:b/>
          <w:color w:val="808080"/>
        </w:rPr>
        <w:t>]</w:t>
      </w:r>
      <w:r>
        <w:rPr/>
        <w:t xml:space="preserve"> vor, wie er </w:t>
      </w:r>
      <w:r>
        <w:rPr>
          <w:b/>
          <w:color w:val="808080"/>
        </w:rPr>
        <w:t>[</w:t>
      </w:r>
      <w:r>
        <w:rPr/>
        <w:t>es</w:t>
      </w:r>
      <w:r>
        <w:rPr>
          <w:b/>
          <w:color w:val="808080"/>
        </w:rPr>
        <w:t>]</w:t>
      </w:r>
      <w:r>
        <w:rPr/>
        <w:t xml:space="preserve"> ihnen gesagt hatte, und sie bereiteten das Pascha</w:t>
      </w:r>
      <w:r>
        <w:rPr>
          <w:b/>
          <w:color w:val="808080"/>
        </w:rPr>
        <w:t>[</w:t>
      </w:r>
      <w:r>
        <w:rPr/>
        <w:t>mahl</w:t>
      </w:r>
      <w:r>
        <w:rPr>
          <w:b/>
          <w:color w:val="808080"/>
        </w:rPr>
        <w:t>]</w:t>
      </w:r>
      <w:r>
        <w:rPr/>
        <w:t xml:space="preserve"> vor.{{field-off:bible}} </w:t>
        <w:br/>
        <w:t>[[@BibleTOBIBLE:Mk 14:17]]</w:t>
      </w:r>
      <w:r>
        <w:rPr>
          <w:b/>
        </w:rPr>
        <w:t>17</w:t>
      </w:r>
      <w:r>
        <w:rPr/>
        <w:t xml:space="preserve"> {{field-on:bible}}Und als </w:t>
      </w:r>
      <w:r>
        <w:rPr>
          <w:b/>
          <w:color w:val="808080"/>
        </w:rPr>
        <w:t>[</w:t>
      </w:r>
      <w:r>
        <w:rPr/>
        <w:t>es</w:t>
      </w:r>
      <w:r>
        <w:rPr>
          <w:b/>
          <w:color w:val="808080"/>
        </w:rPr>
        <w:t>]</w:t>
      </w:r>
      <w:r>
        <w:rPr/>
        <w:t xml:space="preserve"> Abend geworden war </w:t>
      </w:r>
      <w:r>
        <w:rPr>
          <w:color w:val="808080"/>
        </w:rPr>
        <w:t>(wurde)</w:t>
      </w:r>
      <w:r>
        <w:rPr/>
        <w:t xml:space="preserve">, kam er mit den Zwölf.{{field-off:bible}} </w:t>
        <w:br/>
        <w:t>[[@BibleTOBIBLE:Mk 14:18]]</w:t>
      </w:r>
      <w:r>
        <w:rPr>
          <w:b/>
        </w:rPr>
        <w:t>18</w:t>
      </w:r>
      <w:r>
        <w:rPr/>
        <w:t xml:space="preserve"> {{field-on:bible}}Und während </w:t>
      </w:r>
      <w:r>
        <w:rPr>
          <w:color w:val="808080"/>
        </w:rPr>
        <w:t>(als)</w:t>
      </w:r>
      <w:r>
        <w:rPr/>
        <w:t xml:space="preserve"> </w:t>
      </w:r>
      <w:r>
        <w:rPr>
          <w:rStyle w:val="Funotenanker"/>
        </w:rPr>
        <w:footnoteReference w:customMarkFollows="1" w:id="2301"/>
        <w:t>ab</w:t>
      </w:r>
      <w:r>
        <w:rPr/>
        <w:t xml:space="preserve"> sie zum Essen lagen,</w:t>
      </w:r>
      <w:r>
        <w:rPr>
          <w:rStyle w:val="Funotenanker"/>
        </w:rPr>
        <w:footnoteReference w:customMarkFollows="1" w:id="2302"/>
        <w:t>ac</w:t>
      </w:r>
      <w:r>
        <w:rPr/>
        <w:t xml:space="preserve"> sagte Jesus: „Amen, ich sage euch: Einer von euch, der mit mir isst,</w:t>
      </w:r>
      <w:r>
        <w:rPr>
          <w:rStyle w:val="Funotenanker"/>
        </w:rPr>
        <w:footnoteReference w:customMarkFollows="1" w:id="2303"/>
        <w:t>ad</w:t>
      </w:r>
      <w:r>
        <w:rPr/>
        <w:t xml:space="preserve"> wird mich ausliefern</w:t>
      </w:r>
      <w:r>
        <w:rPr>
          <w:rStyle w:val="Funotenanker"/>
        </w:rPr>
        <w:footnoteReference w:customMarkFollows="1" w:id="2304"/>
        <w:t>ae</w:t>
      </w:r>
      <w:r>
        <w:rPr/>
        <w:t xml:space="preserve">.“{{field-off:bible}} </w:t>
        <w:br/>
        <w:t>[[@BibleTOBIBLE:Mk 14:19]]</w:t>
      </w:r>
      <w:r>
        <w:rPr>
          <w:b/>
        </w:rPr>
        <w:t>19</w:t>
      </w:r>
      <w:r>
        <w:rPr/>
        <w:t xml:space="preserve"> {{field-on:bible}}Das machte sie bestürzt </w:t>
      </w:r>
      <w:r>
        <w:rPr>
          <w:color w:val="808080"/>
        </w:rPr>
        <w:t>(traurig)</w:t>
      </w:r>
      <w:r>
        <w:rPr/>
        <w:t xml:space="preserve"> und einer nach dem anderen sagte zu ihm: „Doch nicht etwa ich?“{{field-off:bible}} </w:t>
        <w:br/>
        <w:t>[[@BibleTOBIBLE:Mk 14:20]]</w:t>
      </w:r>
      <w:r>
        <w:rPr>
          <w:b/>
        </w:rPr>
        <w:t>20</w:t>
      </w:r>
      <w:r>
        <w:rPr/>
        <w:t xml:space="preserve"> {{field-on:bible}}Da sagte er zu ihnen: „Einer der Zwölf, der </w:t>
      </w:r>
      <w:r>
        <w:rPr>
          <w:b/>
          <w:color w:val="808080"/>
        </w:rPr>
        <w:t>[</w:t>
      </w:r>
      <w:r>
        <w:rPr/>
        <w:t>das Brot</w:t>
      </w:r>
      <w:r>
        <w:rPr>
          <w:b/>
          <w:color w:val="808080"/>
        </w:rPr>
        <w:t>]</w:t>
      </w:r>
      <w:r>
        <w:rPr/>
        <w:t xml:space="preserve"> mit mir in die </w:t>
      </w:r>
      <w:r>
        <w:rPr>
          <w:color w:val="808080"/>
        </w:rPr>
        <w:t>(eine)</w:t>
      </w:r>
      <w:r>
        <w:rPr/>
        <w:t xml:space="preserve"> </w:t>
      </w:r>
      <w:r>
        <w:rPr>
          <w:rStyle w:val="Funotenanker"/>
        </w:rPr>
        <w:footnoteReference w:customMarkFollows="1" w:id="2305"/>
        <w:t>af</w:t>
      </w:r>
      <w:r>
        <w:rPr/>
        <w:t xml:space="preserve"> Schüssel tunkt.</w:t>
      </w:r>
      <w:r>
        <w:rPr>
          <w:rStyle w:val="Funotenanker"/>
        </w:rPr>
        <w:footnoteReference w:customMarkFollows="1" w:id="2306"/>
        <w:t>ag</w:t>
      </w:r>
      <w:r>
        <w:rPr/>
        <w:t xml:space="preserve"> {{field-off:bible}} </w:t>
        <w:br/>
        <w:t>[[@BibleTOBIBLE:Mk 14:21]]</w:t>
      </w:r>
      <w:r>
        <w:rPr>
          <w:b/>
        </w:rPr>
        <w:t>21</w:t>
      </w:r>
      <w:r>
        <w:rPr/>
        <w:t xml:space="preserve"> {{field-on:bible}}Denn der Menschensohn</w:t>
      </w:r>
      <w:r>
        <w:rPr>
          <w:rStyle w:val="Funotenanker"/>
        </w:rPr>
        <w:footnoteReference w:customMarkFollows="1" w:id="2307"/>
        <w:t>ah</w:t>
      </w:r>
      <w:r>
        <w:rPr/>
        <w:t xml:space="preserve"> geht</w:t>
      </w:r>
      <w:r>
        <w:rPr>
          <w:rStyle w:val="Funotenanker"/>
        </w:rPr>
        <w:footnoteReference w:customMarkFollows="1" w:id="2308"/>
        <w:t>ai</w:t>
      </w:r>
      <w:r>
        <w:rPr/>
        <w:t xml:space="preserve"> zwar, wie über ihn geschrieben steht,</w:t>
      </w:r>
      <w:r>
        <w:rPr>
          <w:rStyle w:val="Funotenanker"/>
        </w:rPr>
        <w:footnoteReference w:customMarkFollows="1" w:id="2309"/>
        <w:t>aj</w:t>
      </w:r>
      <w:r>
        <w:rPr/>
        <w:t xml:space="preserve"> aber wehe jenem Menschen, durch den der Menschensohn ausgeliefert wird! </w:t>
      </w:r>
      <w:r>
        <w:rPr>
          <w:b/>
          <w:color w:val="808080"/>
        </w:rPr>
        <w:t>[</w:t>
      </w:r>
      <w:r>
        <w:rPr/>
        <w:t>Es wäre</w:t>
      </w:r>
      <w:r>
        <w:rPr>
          <w:b/>
          <w:color w:val="808080"/>
        </w:rPr>
        <w:t>]</w:t>
      </w:r>
      <w:r>
        <w:rPr/>
        <w:t xml:space="preserve"> besser für ihn, wenn jener Mensch nicht geboren worden wäre.“{{field-off:bible}} </w:t>
        <w:br/>
        <w:t>[[@BibleTOBIBLE:Mk 14:22]]</w:t>
      </w:r>
      <w:r>
        <w:rPr>
          <w:b/>
        </w:rPr>
        <w:t>22</w:t>
      </w:r>
      <w:r>
        <w:rPr/>
        <w:t xml:space="preserve"> {{field-on:bible}}Und als er bei </w:t>
      </w:r>
      <w:r>
        <w:rPr>
          <w:color w:val="808080"/>
        </w:rPr>
        <w:t>(nach)</w:t>
      </w:r>
      <w:r>
        <w:rPr/>
        <w:t xml:space="preserve"> ihrem Essen ein Brot genommen und </w:t>
      </w:r>
      <w:r>
        <w:rPr>
          <w:b/>
          <w:color w:val="808080"/>
        </w:rPr>
        <w:t>[</w:t>
      </w:r>
      <w:r>
        <w:rPr/>
        <w:t>Gott</w:t>
      </w:r>
      <w:r>
        <w:rPr>
          <w:b/>
          <w:color w:val="808080"/>
        </w:rPr>
        <w:t>]</w:t>
      </w:r>
      <w:r>
        <w:rPr/>
        <w:t xml:space="preserve"> gedankt hatte,</w:t>
      </w:r>
      <w:r>
        <w:rPr>
          <w:rStyle w:val="Funotenanker"/>
        </w:rPr>
        <w:footnoteReference w:customMarkFollows="1" w:id="2310"/>
        <w:t>ak</w:t>
      </w:r>
      <w:r>
        <w:rPr/>
        <w:t xml:space="preserve"> hatte, brach er </w:t>
      </w:r>
      <w:r>
        <w:rPr>
          <w:b/>
          <w:color w:val="808080"/>
        </w:rPr>
        <w:t>[</w:t>
      </w:r>
      <w:r>
        <w:rPr/>
        <w:t>es</w:t>
      </w:r>
      <w:r>
        <w:rPr>
          <w:b/>
          <w:color w:val="808080"/>
        </w:rPr>
        <w:t>]</w:t>
      </w:r>
      <w:r>
        <w:rPr/>
        <w:t>,</w:t>
      </w:r>
      <w:r>
        <w:rPr>
          <w:rStyle w:val="Funotenanker"/>
        </w:rPr>
        <w:footnoteReference w:customMarkFollows="1" w:id="2311"/>
        <w:t>al</w:t>
      </w:r>
      <w:r>
        <w:rPr/>
        <w:t xml:space="preserve"> gab </w:t>
      </w:r>
      <w:r>
        <w:rPr>
          <w:b/>
          <w:color w:val="808080"/>
        </w:rPr>
        <w:t>[</w:t>
      </w:r>
      <w:r>
        <w:rPr/>
        <w:t>es</w:t>
      </w:r>
      <w:r>
        <w:rPr>
          <w:b/>
          <w:color w:val="808080"/>
        </w:rPr>
        <w:t>]</w:t>
      </w:r>
      <w:r>
        <w:rPr/>
        <w:t xml:space="preserve"> ihnen und sagte: „Nehmt, dies</w:t>
      </w:r>
      <w:r>
        <w:rPr>
          <w:rStyle w:val="Funotenanker"/>
        </w:rPr>
        <w:footnoteReference w:customMarkFollows="1" w:id="2312"/>
        <w:t>am</w:t>
      </w:r>
      <w:r>
        <w:rPr/>
        <w:t xml:space="preserve"> ist mein Leib!“</w:t>
      </w:r>
      <w:r>
        <w:rPr>
          <w:rStyle w:val="Funotenanker"/>
        </w:rPr>
        <w:footnoteReference w:customMarkFollows="1" w:id="2313"/>
        <w:t>an</w:t>
      </w:r>
      <w:r>
        <w:rPr/>
        <w:t xml:space="preserve"> {{field-off:bible}} </w:t>
        <w:br/>
        <w:t>[[@BibleTOBIBLE:Mk 14:23]]</w:t>
      </w:r>
      <w:r>
        <w:rPr>
          <w:b/>
        </w:rPr>
        <w:t>23</w:t>
      </w:r>
      <w:r>
        <w:rPr/>
        <w:t xml:space="preserve"> {{field-on:bible}}Und als er einen Becher </w:t>
      </w:r>
      <w:r>
        <w:rPr>
          <w:color w:val="808080"/>
        </w:rPr>
        <w:t>(Kelch)</w:t>
      </w:r>
      <w:r>
        <w:rPr/>
        <w:t xml:space="preserve"> </w:t>
      </w:r>
      <w:r>
        <w:rPr>
          <w:rStyle w:val="Funotenanker"/>
        </w:rPr>
        <w:footnoteReference w:customMarkFollows="1" w:id="2314"/>
        <w:t>ao</w:t>
      </w:r>
      <w:r>
        <w:rPr/>
        <w:t xml:space="preserve"> genommen und </w:t>
      </w:r>
      <w:r>
        <w:rPr>
          <w:b/>
          <w:color w:val="808080"/>
        </w:rPr>
        <w:t>[</w:t>
      </w:r>
      <w:r>
        <w:rPr/>
        <w:t>Gott</w:t>
      </w:r>
      <w:r>
        <w:rPr>
          <w:b/>
          <w:color w:val="808080"/>
        </w:rPr>
        <w:t>]</w:t>
      </w:r>
      <w:r>
        <w:rPr/>
        <w:t xml:space="preserve"> gedankt</w:t>
      </w:r>
      <w:r>
        <w:rPr>
          <w:rStyle w:val="Funotenanker"/>
        </w:rPr>
        <w:footnoteReference w:customMarkFollows="1" w:id="2315"/>
        <w:t>ap</w:t>
      </w:r>
      <w:r>
        <w:rPr/>
        <w:t xml:space="preserve"> hatte, gab er </w:t>
      </w:r>
      <w:r>
        <w:rPr>
          <w:b/>
          <w:color w:val="808080"/>
        </w:rPr>
        <w:t>[</w:t>
      </w:r>
      <w:r>
        <w:rPr/>
        <w:t>ihn</w:t>
      </w:r>
      <w:r>
        <w:rPr>
          <w:b/>
          <w:color w:val="808080"/>
        </w:rPr>
        <w:t>]</w:t>
      </w:r>
      <w:r>
        <w:rPr/>
        <w:t xml:space="preserve"> ihnen und sie alle tranken aus diesem.</w:t>
      </w:r>
      <w:r>
        <w:rPr>
          <w:rStyle w:val="Funotenanker"/>
        </w:rPr>
        <w:footnoteReference w:customMarkFollows="1" w:id="2316"/>
        <w:t>aq</w:t>
      </w:r>
      <w:r>
        <w:rPr/>
        <w:t xml:space="preserve"> {{field-off:bible}} </w:t>
        <w:br/>
        <w:t>[[@BibleTOBIBLE:Mk 14:24]]</w:t>
      </w:r>
      <w:r>
        <w:rPr>
          <w:b/>
        </w:rPr>
        <w:t>24</w:t>
      </w:r>
      <w:r>
        <w:rPr/>
        <w:t xml:space="preserve"> {{field-on:bible}}Und er sagte zu ihnen: „Dies ist mein Blut des </w:t>
      </w:r>
      <w:r>
        <w:rPr>
          <w:color w:val="808080"/>
        </w:rPr>
        <w:t>(neuen)</w:t>
      </w:r>
      <w:r>
        <w:rPr/>
        <w:t xml:space="preserve"> </w:t>
      </w:r>
      <w:r>
        <w:rPr>
          <w:rStyle w:val="Funotenanker"/>
        </w:rPr>
        <w:footnoteReference w:customMarkFollows="1" w:id="2317"/>
        <w:t>ar</w:t>
      </w:r>
      <w:r>
        <w:rPr/>
        <w:t xml:space="preserve"> Bundes, für viele</w:t>
      </w:r>
      <w:r>
        <w:rPr>
          <w:rStyle w:val="Funotenanker"/>
        </w:rPr>
        <w:footnoteReference w:customMarkFollows="1" w:id="2318"/>
        <w:t>as</w:t>
      </w:r>
      <w:r>
        <w:rPr/>
        <w:t xml:space="preserve"> vergossen.</w:t>
      </w:r>
      <w:r>
        <w:rPr>
          <w:rStyle w:val="Funotenanker"/>
        </w:rPr>
        <w:footnoteReference w:customMarkFollows="1" w:id="2319"/>
        <w:t>at</w:t>
      </w:r>
      <w:r>
        <w:rPr/>
        <w:t xml:space="preserve"> {{field-off:bible}} </w:t>
        <w:br/>
        <w:t>[[@BibleTOBIBLE:Mk 14:25]]</w:t>
      </w:r>
      <w:r>
        <w:rPr>
          <w:b/>
        </w:rPr>
        <w:t>25</w:t>
      </w:r>
      <w:r>
        <w:rPr/>
        <w:t xml:space="preserve"> {{field-on:bible}}Amen, ich sage euch: Ich werde nicht wieder vom Gewächs des Weinstocks trinken bis zu jenem Tag, an dem ich </w:t>
      </w:r>
      <w:r>
        <w:rPr>
          <w:b/>
          <w:color w:val="808080"/>
        </w:rPr>
        <w:t>[</w:t>
      </w:r>
      <w:r>
        <w:rPr/>
        <w:t>von</w:t>
      </w:r>
      <w:r>
        <w:rPr>
          <w:b/>
          <w:color w:val="808080"/>
        </w:rPr>
        <w:t>]</w:t>
      </w:r>
      <w:r>
        <w:rPr/>
        <w:t xml:space="preserve"> ihm erneut </w:t>
      </w:r>
      <w:r>
        <w:rPr>
          <w:color w:val="808080"/>
        </w:rPr>
        <w:t>(ihn als neuen)</w:t>
      </w:r>
      <w:r>
        <w:rPr/>
        <w:t xml:space="preserve"> </w:t>
      </w:r>
      <w:r>
        <w:rPr>
          <w:rStyle w:val="Funotenanker"/>
        </w:rPr>
        <w:footnoteReference w:customMarkFollows="1" w:id="2320"/>
        <w:t>au</w:t>
      </w:r>
      <w:r>
        <w:rPr/>
        <w:t xml:space="preserve"> im Reich Gottes trinken werde.“{{field-off:bible}} </w:t>
        <w:br/>
        <w:t>[[@BibleTOBIBLE:Mk 14:26]]</w:t>
      </w:r>
      <w:r>
        <w:rPr>
          <w:b/>
        </w:rPr>
        <w:t>26</w:t>
      </w:r>
      <w:r>
        <w:rPr/>
        <w:t xml:space="preserve"> {{field-on:bible}}Und nachdem sie </w:t>
      </w:r>
      <w:r>
        <w:rPr>
          <w:b/>
          <w:color w:val="808080"/>
        </w:rPr>
        <w:t>[</w:t>
      </w:r>
      <w:r>
        <w:rPr/>
        <w:t>Loblieder</w:t>
      </w:r>
      <w:r>
        <w:rPr>
          <w:b/>
          <w:color w:val="808080"/>
        </w:rPr>
        <w:t>]</w:t>
      </w:r>
      <w:r>
        <w:rPr/>
        <w:t xml:space="preserve"> gesungen hatten,</w:t>
      </w:r>
      <w:r>
        <w:rPr>
          <w:rStyle w:val="Funotenanker"/>
        </w:rPr>
        <w:footnoteReference w:customMarkFollows="1" w:id="2321"/>
        <w:t>av</w:t>
      </w:r>
      <w:r>
        <w:rPr/>
        <w:t xml:space="preserve"> gingen sie hinaus zum Ölberg.</w:t>
      </w:r>
      <w:r>
        <w:rPr>
          <w:rStyle w:val="Funotenanker"/>
        </w:rPr>
        <w:footnoteReference w:customMarkFollows="1" w:id="2322"/>
        <w:t>aw</w:t>
      </w:r>
      <w:r>
        <w:rPr/>
        <w:t xml:space="preserve"> </w:t>
      </w:r>
      <w:r>
        <w:rPr>
          <w:position w:val="8"/>
          <w:sz w:val="19"/>
        </w:rPr>
        <w:t>[[ ℘ &gt;&gt; BibleTOBIBLE:2Sa 15:30]]</w:t>
      </w:r>
      <w:r>
        <w:rPr/>
        <w:t xml:space="preserve"> {{field-off:bible}} </w:t>
        <w:br/>
        <w:t>[[@BibleTOBIBLE:Mk 14:27]]</w:t>
      </w:r>
      <w:r>
        <w:rPr>
          <w:b/>
        </w:rPr>
        <w:t>27</w:t>
      </w:r>
      <w:r>
        <w:rPr/>
        <w:t xml:space="preserve"> {{field-on:bible}}Da sagt</w:t>
      </w:r>
      <w:r>
        <w:rPr>
          <w:b/>
          <w:color w:val="808080"/>
        </w:rPr>
        <w:t>[</w:t>
      </w:r>
      <w:r>
        <w:rPr/>
        <w:t>e</w:t>
      </w:r>
      <w:r>
        <w:rPr>
          <w:b/>
          <w:color w:val="808080"/>
        </w:rPr>
        <w:t>]</w:t>
      </w:r>
      <w:r>
        <w:rPr/>
        <w:t xml:space="preserve"> Jesus zu ihnen: „Ihr werdet alle zu Fall kommen </w:t>
      </w:r>
      <w:r>
        <w:rPr>
          <w:color w:val="808080"/>
        </w:rPr>
        <w:t>(ärgern)</w:t>
      </w:r>
      <w:r>
        <w:rPr/>
        <w:t>,</w:t>
      </w:r>
      <w:r>
        <w:rPr>
          <w:rStyle w:val="Funotenanker"/>
        </w:rPr>
        <w:footnoteReference w:customMarkFollows="1" w:id="2323"/>
        <w:t>ax</w:t>
      </w:r>
      <w:r>
        <w:rPr/>
        <w:t>,weil geschrieben steht:</w:t>
      </w:r>
      <w:r>
        <w:rPr>
          <w:rStyle w:val="Funotenanker"/>
        </w:rPr>
        <w:footnoteReference w:customMarkFollows="1" w:id="2324"/>
        <w:t>ay</w:t>
      </w:r>
      <w:r>
        <w:rPr/>
        <w:t xml:space="preserve"> »Ich werde den Hirten schlagen </w:t>
      </w:r>
      <w:r>
        <w:rPr>
          <w:color w:val="808080"/>
        </w:rPr>
        <w:t>(erschlagen)</w:t>
      </w:r>
      <w:r>
        <w:rPr/>
        <w:t>, und die Schafe werden zerstreut werden.«</w:t>
      </w:r>
      <w:r>
        <w:rPr>
          <w:rStyle w:val="Funotenanker"/>
        </w:rPr>
        <w:footnoteReference w:customMarkFollows="1" w:id="2325"/>
        <w:t>az</w:t>
      </w:r>
      <w:r>
        <w:rPr/>
        <w:t xml:space="preserve"> </w:t>
      </w:r>
      <w:r>
        <w:rPr>
          <w:position w:val="8"/>
          <w:sz w:val="19"/>
        </w:rPr>
        <w:t>[[ ℘ &gt;&gt; BibleTOBIBLE:Zec 13:7]]</w:t>
      </w:r>
      <w:r>
        <w:rPr/>
        <w:t xml:space="preserve"> {{field-off:bible}} </w:t>
        <w:br/>
        <w:t>[[@BibleTOBIBLE:Mk 14:28]]</w:t>
      </w:r>
      <w:r>
        <w:rPr>
          <w:b/>
        </w:rPr>
        <w:t>28</w:t>
      </w:r>
      <w:r>
        <w:rPr/>
        <w:t xml:space="preserve"> {{field-on:bible}}Doch nachdem ich auferweckt worden sein werde, werde ich euch nach Galiläa vorausgehen </w:t>
      </w:r>
      <w:r>
        <w:rPr>
          <w:color w:val="808080"/>
        </w:rPr>
        <w:t>(in Galiläa anführen)</w:t>
      </w:r>
      <w:r>
        <w:rPr/>
        <w:t xml:space="preserve">.“ </w:t>
      </w:r>
      <w:r>
        <w:rPr>
          <w:position w:val="8"/>
          <w:sz w:val="19"/>
        </w:rPr>
        <w:t>[[ ℘ &gt;&gt; BibleTOBIBLE:Mk 16:7]]</w:t>
      </w:r>
      <w:r>
        <w:rPr/>
        <w:t xml:space="preserve"> {{field-off:bible}} </w:t>
        <w:br/>
        <w:t>[[@BibleTOBIBLE:Mk 14:29]]</w:t>
      </w:r>
      <w:r>
        <w:rPr>
          <w:b/>
        </w:rPr>
        <w:t>29</w:t>
      </w:r>
      <w:r>
        <w:rPr/>
        <w:t xml:space="preserve"> {{field-on:bible}}Petrus aber sagte zu ihm: „Und wenn alle zu Fall kommen </w:t>
      </w:r>
      <w:r>
        <w:rPr>
          <w:color w:val="808080"/>
        </w:rPr>
        <w:t>(sich ärgern)</w:t>
      </w:r>
      <w:r>
        <w:rPr/>
        <w:t xml:space="preserve"> werden – ich aber nicht!“{{field-off:bible}} </w:t>
        <w:br/>
        <w:t>[[@BibleTOBIBLE:Mk 14:30]]</w:t>
      </w:r>
      <w:r>
        <w:rPr>
          <w:b/>
        </w:rPr>
        <w:t>30</w:t>
      </w:r>
      <w:r>
        <w:rPr/>
        <w:t xml:space="preserve"> {{field-on:bible}}Und Jesus sagt</w:t>
      </w:r>
      <w:r>
        <w:rPr>
          <w:b/>
          <w:color w:val="808080"/>
        </w:rPr>
        <w:t>[</w:t>
      </w:r>
      <w:r>
        <w:rPr/>
        <w:t>e</w:t>
      </w:r>
      <w:r>
        <w:rPr>
          <w:b/>
          <w:color w:val="808080"/>
        </w:rPr>
        <w:t>]</w:t>
      </w:r>
      <w:r>
        <w:rPr/>
        <w:t xml:space="preserve"> zu ihm: „Amen, ich sage dir: Du wirst mich heute, in dieser Nacht, vor dem zweimaligen Krähen des Hahns,</w:t>
      </w:r>
      <w:r>
        <w:rPr>
          <w:rStyle w:val="Funotenanker"/>
        </w:rPr>
        <w:footnoteReference w:customMarkFollows="1" w:id="2326"/>
        <w:t>ba</w:t>
      </w:r>
      <w:r>
        <w:rPr/>
        <w:t xml:space="preserve"> dreimal verleugnen.“{{field-off:bible}} </w:t>
        <w:br/>
        <w:t>[[@BibleTOBIBLE:Mk 14:31]]</w:t>
      </w:r>
      <w:r>
        <w:rPr>
          <w:b/>
        </w:rPr>
        <w:t>31</w:t>
      </w:r>
      <w:r>
        <w:rPr/>
        <w:t xml:space="preserve"> {{field-on:bible}}Er aber sagte </w:t>
      </w:r>
      <w:r>
        <w:rPr>
          <w:b/>
          <w:color w:val="808080"/>
        </w:rPr>
        <w:t>[</w:t>
      </w:r>
      <w:r>
        <w:rPr/>
        <w:t>überaus</w:t>
      </w:r>
      <w:r>
        <w:rPr>
          <w:b/>
          <w:color w:val="808080"/>
        </w:rPr>
        <w:t>]</w:t>
      </w:r>
      <w:r>
        <w:rPr/>
        <w:t xml:space="preserve"> vehement:</w:t>
      </w:r>
      <w:r>
        <w:rPr>
          <w:rStyle w:val="Funotenanker"/>
        </w:rPr>
        <w:footnoteReference w:customMarkFollows="1" w:id="2327"/>
        <w:t>bb</w:t>
      </w:r>
      <w:r>
        <w:rPr/>
        <w:t xml:space="preserve"> „Wenn ich zusammen sterben müsste mit dir, werde ich dich keinesfalls verleugnen!“ Und genauso redeten auch alle </w:t>
      </w:r>
      <w:r>
        <w:rPr>
          <w:b/>
          <w:color w:val="808080"/>
        </w:rPr>
        <w:t>[</w:t>
      </w:r>
      <w:r>
        <w:rPr/>
        <w:t>anderen</w:t>
      </w:r>
      <w:r>
        <w:rPr>
          <w:b/>
          <w:color w:val="808080"/>
        </w:rPr>
        <w:t>]</w:t>
      </w:r>
      <w:r>
        <w:rPr/>
        <w:t xml:space="preserve">.{{field-off:bible}} </w:t>
        <w:br/>
        <w:t>[[@BibleTOBIBLE:Mk 14:32]]</w:t>
      </w:r>
      <w:r>
        <w:rPr>
          <w:b/>
        </w:rPr>
        <w:t>32</w:t>
      </w:r>
      <w:r>
        <w:rPr/>
        <w:t xml:space="preserve"> {{field-on:bible}}Und sie kommen </w:t>
      </w:r>
      <w:r>
        <w:rPr>
          <w:color w:val="808080"/>
        </w:rPr>
        <w:t>(kamen)</w:t>
      </w:r>
      <w:r>
        <w:rPr/>
        <w:t xml:space="preserve"> zu einem Grundstück </w:t>
      </w:r>
      <w:r>
        <w:rPr>
          <w:color w:val="808080"/>
        </w:rPr>
        <w:t>(Landstück)</w:t>
      </w:r>
      <w:r>
        <w:rPr/>
        <w:t>, dessen Name „Getsemani“</w:t>
      </w:r>
      <w:r>
        <w:rPr>
          <w:rStyle w:val="Funotenanker"/>
        </w:rPr>
        <w:footnoteReference w:customMarkFollows="1" w:id="2328"/>
        <w:t>bc</w:t>
      </w:r>
      <w:r>
        <w:rPr/>
        <w:t xml:space="preserve"> </w:t>
      </w:r>
      <w:r>
        <w:rPr>
          <w:b/>
          <w:color w:val="808080"/>
        </w:rPr>
        <w:t>[</w:t>
      </w:r>
      <w:r>
        <w:rPr/>
        <w:t>war</w:t>
      </w:r>
      <w:r>
        <w:rPr>
          <w:b/>
          <w:color w:val="808080"/>
        </w:rPr>
        <w:t>]</w:t>
      </w:r>
      <w:r>
        <w:rPr/>
        <w:t>, und er sagt</w:t>
      </w:r>
      <w:r>
        <w:rPr>
          <w:b/>
          <w:color w:val="808080"/>
        </w:rPr>
        <w:t>[</w:t>
      </w:r>
      <w:r>
        <w:rPr/>
        <w:t>e</w:t>
      </w:r>
      <w:r>
        <w:rPr>
          <w:b/>
          <w:color w:val="808080"/>
        </w:rPr>
        <w:t>]</w:t>
      </w:r>
      <w:r>
        <w:rPr/>
        <w:t xml:space="preserve"> seinen Jüngern: „Setzt euch </w:t>
      </w:r>
      <w:r>
        <w:rPr>
          <w:color w:val="808080"/>
        </w:rPr>
        <w:t>(sitzt)</w:t>
      </w:r>
      <w:r>
        <w:rPr/>
        <w:t xml:space="preserve"> hier, bis ich gebetet habe!“{{field-off:bible}} </w:t>
        <w:br/>
        <w:t>[[@BibleTOBIBLE:Mk 14:33]]</w:t>
      </w:r>
      <w:r>
        <w:rPr>
          <w:b/>
        </w:rPr>
        <w:t>33</w:t>
      </w:r>
      <w:r>
        <w:rPr/>
        <w:t xml:space="preserve"> {{field-on:bible}}Dann nimmt </w:t>
      </w:r>
      <w:r>
        <w:rPr>
          <w:color w:val="808080"/>
        </w:rPr>
        <w:t>(nahm)</w:t>
      </w:r>
      <w:r>
        <w:rPr/>
        <w:t xml:space="preserve"> er Petrus und Jakobus und Johannes mit sich und begann, erschreckt </w:t>
      </w:r>
      <w:r>
        <w:rPr>
          <w:color w:val="808080"/>
        </w:rPr>
        <w:t>(erstaunt)</w:t>
      </w:r>
      <w:r>
        <w:rPr/>
        <w:t xml:space="preserve"> und verängstigt zu sein </w:t>
      </w:r>
      <w:r>
        <w:rPr>
          <w:color w:val="808080"/>
        </w:rPr>
        <w:t>(war erschreckt und verängstigt)</w:t>
      </w:r>
      <w:r>
        <w:rPr/>
        <w:t>,</w:t>
      </w:r>
      <w:r>
        <w:rPr>
          <w:rStyle w:val="Funotenanker"/>
        </w:rPr>
        <w:footnoteReference w:customMarkFollows="1" w:id="2329"/>
        <w:t>bd</w:t>
      </w:r>
      <w:r>
        <w:rPr/>
        <w:t xml:space="preserve"> </w:t>
      </w:r>
      <w:r>
        <w:rPr>
          <w:position w:val="8"/>
          <w:sz w:val="19"/>
        </w:rPr>
        <w:t>[[ ℘ &gt;&gt; BibleTOBIBLE:Ps 42:6]]</w:t>
      </w:r>
      <w:r>
        <w:rPr/>
        <w:t xml:space="preserve"> {{field-off:bible}} </w:t>
        <w:br/>
        <w:t>[[@BibleTOBIBLE:Mk 14:34]]</w:t>
      </w:r>
      <w:r>
        <w:rPr>
          <w:b/>
        </w:rPr>
        <w:t>34</w:t>
      </w:r>
      <w:r>
        <w:rPr/>
        <w:t xml:space="preserve"> {{field-on:bible}}und er sagt</w:t>
      </w:r>
      <w:r>
        <w:rPr>
          <w:b/>
          <w:color w:val="808080"/>
        </w:rPr>
        <w:t>[</w:t>
      </w:r>
      <w:r>
        <w:rPr/>
        <w:t>e</w:t>
      </w:r>
      <w:r>
        <w:rPr>
          <w:b/>
          <w:color w:val="808080"/>
        </w:rPr>
        <w:t>]</w:t>
      </w:r>
      <w:r>
        <w:rPr/>
        <w:t xml:space="preserve"> ihnen: „Meine Seele ist </w:t>
      </w:r>
      <w:r>
        <w:rPr>
          <w:color w:val="808080"/>
        </w:rPr>
        <w:t>(ich bin)</w:t>
      </w:r>
      <w:r>
        <w:rPr/>
        <w:t xml:space="preserve"> zu Tode betrübt</w:t>
      </w:r>
      <w:r>
        <w:rPr>
          <w:rStyle w:val="Funotenanker"/>
        </w:rPr>
        <w:footnoteReference w:customMarkFollows="1" w:id="2330"/>
        <w:t>be</w:t>
      </w:r>
      <w:r>
        <w:rPr/>
        <w:t xml:space="preserve">; bleibt hier und wacht </w:t>
      </w:r>
      <w:r>
        <w:rPr>
          <w:color w:val="808080"/>
        </w:rPr>
        <w:t>(bleibt wach)</w:t>
      </w:r>
      <w:r>
        <w:rPr/>
        <w:t xml:space="preserve">!“{{field-off:bible}} </w:t>
        <w:br/>
        <w:t>[[@BibleTOBIBLE:Mk 14:35]]</w:t>
      </w:r>
      <w:r>
        <w:rPr>
          <w:b/>
        </w:rPr>
        <w:t>35</w:t>
      </w:r>
      <w:r>
        <w:rPr/>
        <w:t xml:space="preserve"> {{field-on:bible}}Und nachdem er ein wenig weitergegangen war, warf er sich </w:t>
      </w:r>
      <w:r>
        <w:rPr>
          <w:color w:val="808080"/>
        </w:rPr>
        <w:t>(fiel er)</w:t>
      </w:r>
      <w:r>
        <w:rPr/>
        <w:t xml:space="preserve"> auf die Erde</w:t>
      </w:r>
      <w:r>
        <w:rPr>
          <w:rStyle w:val="Funotenanker"/>
        </w:rPr>
        <w:footnoteReference w:customMarkFollows="1" w:id="2331"/>
        <w:t>bf</w:t>
      </w:r>
      <w:r>
        <w:rPr/>
        <w:t xml:space="preserve"> und betete, dass – wenn es möglich sei – die Stunde an ihm vorüberginge,</w:t>
      </w:r>
      <w:r>
        <w:rPr>
          <w:rStyle w:val="Funotenanker"/>
        </w:rPr>
        <w:footnoteReference w:customMarkFollows="1" w:id="2332"/>
        <w:t>bg</w:t>
      </w:r>
      <w:r>
        <w:rPr/>
        <w:t xml:space="preserve"> {{field-off:bible}} </w:t>
        <w:br/>
        <w:t>[[@BibleTOBIBLE:Mk 14:36]]</w:t>
      </w:r>
      <w:r>
        <w:rPr>
          <w:b/>
        </w:rPr>
        <w:t>36</w:t>
      </w:r>
      <w:r>
        <w:rPr/>
        <w:t xml:space="preserve"> {{field-on:bible}}und er sagte: „Abba, Vater,</w:t>
      </w:r>
      <w:r>
        <w:rPr>
          <w:rStyle w:val="Funotenanker"/>
        </w:rPr>
        <w:footnoteReference w:customMarkFollows="1" w:id="2333"/>
        <w:t>bh</w:t>
      </w:r>
      <w:r>
        <w:rPr/>
        <w:t xml:space="preserve"> alles </w:t>
      </w:r>
      <w:r>
        <w:rPr>
          <w:b/>
          <w:color w:val="808080"/>
        </w:rPr>
        <w:t>[</w:t>
      </w:r>
      <w:r>
        <w:rPr/>
        <w:t>ist</w:t>
      </w:r>
      <w:r>
        <w:rPr>
          <w:b/>
          <w:color w:val="808080"/>
        </w:rPr>
        <w:t>]</w:t>
      </w:r>
      <w:r>
        <w:rPr/>
        <w:t xml:space="preserve"> dir möglich. Trag diesen Becher </w:t>
      </w:r>
      <w:r>
        <w:rPr>
          <w:color w:val="808080"/>
        </w:rPr>
        <w:t>(Kelch)</w:t>
      </w:r>
      <w:r>
        <w:rPr/>
        <w:t xml:space="preserve"> </w:t>
      </w:r>
      <w:r>
        <w:rPr>
          <w:rStyle w:val="Funotenanker"/>
        </w:rPr>
        <w:footnoteReference w:customMarkFollows="1" w:id="2334"/>
        <w:t>bi</w:t>
      </w:r>
      <w:r>
        <w:rPr/>
        <w:t xml:space="preserve"> an mir vorüber! Doch nicht, wie ich will, sondern wie du </w:t>
      </w:r>
      <w:r>
        <w:rPr>
          <w:b/>
          <w:color w:val="808080"/>
        </w:rPr>
        <w:t>[</w:t>
      </w:r>
      <w:r>
        <w:rPr/>
        <w:t>willst</w:t>
      </w:r>
      <w:r>
        <w:rPr>
          <w:b/>
          <w:color w:val="808080"/>
        </w:rPr>
        <w:t>]</w:t>
      </w:r>
      <w:r>
        <w:rPr/>
        <w:t xml:space="preserve">!“{{field-off:bible}} </w:t>
        <w:br/>
        <w:t>[[@BibleTOBIBLE:Mk 14:37]]</w:t>
      </w:r>
      <w:r>
        <w:rPr>
          <w:b/>
        </w:rPr>
        <w:t>37</w:t>
      </w:r>
      <w:r>
        <w:rPr/>
        <w:t xml:space="preserve"> {{field-on:bible}}Und er kommt </w:t>
      </w:r>
      <w:r>
        <w:rPr>
          <w:color w:val="808080"/>
        </w:rPr>
        <w:t>(kam)</w:t>
      </w:r>
      <w:r>
        <w:rPr/>
        <w:t xml:space="preserve"> und findet </w:t>
      </w:r>
      <w:r>
        <w:rPr>
          <w:color w:val="808080"/>
        </w:rPr>
        <w:t>(fand)</w:t>
      </w:r>
      <w:r>
        <w:rPr/>
        <w:t xml:space="preserve"> sie schlafend </w:t>
      </w:r>
      <w:r>
        <w:rPr>
          <w:b/>
          <w:color w:val="808080"/>
        </w:rPr>
        <w:t>[</w:t>
      </w:r>
      <w:r>
        <w:rPr/>
        <w:t>vor</w:t>
      </w:r>
      <w:r>
        <w:rPr>
          <w:b/>
          <w:color w:val="808080"/>
        </w:rPr>
        <w:t>]</w:t>
      </w:r>
      <w:r>
        <w:rPr/>
        <w:t xml:space="preserve"> und er sagt</w:t>
      </w:r>
      <w:r>
        <w:rPr>
          <w:b/>
          <w:color w:val="808080"/>
        </w:rPr>
        <w:t>[</w:t>
      </w:r>
      <w:r>
        <w:rPr/>
        <w:t>e</w:t>
      </w:r>
      <w:r>
        <w:rPr>
          <w:b/>
          <w:color w:val="808080"/>
        </w:rPr>
        <w:t>]</w:t>
      </w:r>
      <w:r>
        <w:rPr/>
        <w:t xml:space="preserve"> zu Petrus: „Simon, du schläfst!? </w:t>
      </w:r>
      <w:r>
        <w:rPr>
          <w:color w:val="808080"/>
        </w:rPr>
        <w:t>(Schläfst du?)</w:t>
      </w:r>
      <w:r>
        <w:rPr/>
        <w:t xml:space="preserve"> Vermochtest du nicht eine einzige Stunde zu wachen!?{{field-off:bible}} </w:t>
        <w:br/>
        <w:t>[[@BibleTOBIBLE:Mk 14:38]]</w:t>
      </w:r>
      <w:r>
        <w:rPr>
          <w:b/>
        </w:rPr>
        <w:t>38</w:t>
      </w:r>
      <w:r>
        <w:rPr/>
        <w:t xml:space="preserve"> {{field-on:bible}}Seid wach </w:t>
      </w:r>
      <w:r>
        <w:rPr>
          <w:color w:val="808080"/>
        </w:rPr>
        <w:t>(wachsam)</w:t>
      </w:r>
      <w:r>
        <w:rPr/>
        <w:t xml:space="preserve"> und betet darum, dass </w:t>
      </w:r>
      <w:r>
        <w:rPr>
          <w:color w:val="808080"/>
        </w:rPr>
        <w:t>(damit)</w:t>
      </w:r>
      <w:r>
        <w:rPr/>
        <w:t xml:space="preserve"> </w:t>
      </w:r>
      <w:r>
        <w:rPr>
          <w:rStyle w:val="Funotenanker"/>
        </w:rPr>
        <w:footnoteReference w:customMarkFollows="1" w:id="2335"/>
        <w:t>bj</w:t>
      </w:r>
      <w:r>
        <w:rPr/>
        <w:t xml:space="preserve"> ihr nicht in Versuchung geratet! Der Geist</w:t>
      </w:r>
      <w:r>
        <w:rPr>
          <w:rStyle w:val="Funotenanker"/>
        </w:rPr>
        <w:footnoteReference w:customMarkFollows="1" w:id="2336"/>
        <w:t>bk</w:t>
      </w:r>
      <w:r>
        <w:rPr/>
        <w:t xml:space="preserve"> </w:t>
      </w:r>
      <w:r>
        <w:rPr>
          <w:b/>
          <w:color w:val="808080"/>
        </w:rPr>
        <w:t>[</w:t>
      </w:r>
      <w:r>
        <w:rPr/>
        <w:t>ist</w:t>
      </w:r>
      <w:r>
        <w:rPr>
          <w:b/>
          <w:color w:val="808080"/>
        </w:rPr>
        <w:t>]</w:t>
      </w:r>
      <w:r>
        <w:rPr/>
        <w:t xml:space="preserve"> zwar willig, aber das Fleisch </w:t>
      </w:r>
      <w:r>
        <w:rPr>
          <w:b/>
          <w:color w:val="808080"/>
        </w:rPr>
        <w:t>[</w:t>
      </w:r>
      <w:r>
        <w:rPr/>
        <w:t>ist</w:t>
      </w:r>
      <w:r>
        <w:rPr>
          <w:b/>
          <w:color w:val="808080"/>
        </w:rPr>
        <w:t>]</w:t>
      </w:r>
      <w:r>
        <w:rPr/>
        <w:t xml:space="preserve"> schwach.“{{field-off:bible}} </w:t>
        <w:br/>
        <w:t>[[@BibleTOBIBLE:Mk 14:39]]</w:t>
      </w:r>
      <w:r>
        <w:rPr>
          <w:b/>
        </w:rPr>
        <w:t>39</w:t>
      </w:r>
      <w:r>
        <w:rPr/>
        <w:t xml:space="preserve"> {{field-on:bible}}Und nachdem er erneut weggegangen war, betete und sprach dasselbe Gebet </w:t>
      </w:r>
      <w:r>
        <w:rPr>
          <w:color w:val="808080"/>
        </w:rPr>
        <w:t>(Wort)</w:t>
      </w:r>
      <w:r>
        <w:rPr/>
        <w:t xml:space="preserve">.{{field-off:bible}} </w:t>
        <w:br/>
        <w:t>[[@BibleTOBIBLE:Mk 14:40]]</w:t>
      </w:r>
      <w:r>
        <w:rPr>
          <w:b/>
        </w:rPr>
        <w:t>40</w:t>
      </w:r>
      <w:r>
        <w:rPr/>
        <w:t xml:space="preserve"> {{field-on:bible}}Und nachdem er zurückkehrte, fand er sie erneut schlafend </w:t>
      </w:r>
      <w:r>
        <w:rPr>
          <w:b/>
          <w:color w:val="808080"/>
        </w:rPr>
        <w:t>[</w:t>
      </w:r>
      <w:r>
        <w:rPr/>
        <w:t>vor</w:t>
      </w:r>
      <w:r>
        <w:rPr>
          <w:b/>
          <w:color w:val="808080"/>
        </w:rPr>
        <w:t>]</w:t>
      </w:r>
      <w:r>
        <w:rPr/>
        <w:t>,</w:t>
      </w:r>
      <w:r>
        <w:rPr>
          <w:rStyle w:val="Funotenanker"/>
        </w:rPr>
        <w:footnoteReference w:customMarkFollows="1" w:id="2337"/>
        <w:t>bl</w:t>
      </w:r>
      <w:r>
        <w:rPr/>
        <w:t xml:space="preserve"> denn ihre Augen waren schwer. Und sie wussten nicht, was sie ihm antworten sollten.</w:t>
      </w:r>
      <w:r>
        <w:rPr>
          <w:rStyle w:val="Funotenanker"/>
        </w:rPr>
        <w:footnoteReference w:customMarkFollows="1" w:id="2338"/>
        <w:t>bm</w:t>
      </w:r>
      <w:r>
        <w:rPr/>
        <w:t xml:space="preserve"> {{field-off:bible}} </w:t>
        <w:br/>
        <w:t>[[@BibleTOBIBLE:Mk 14:41]]</w:t>
      </w:r>
      <w:r>
        <w:rPr>
          <w:b/>
        </w:rPr>
        <w:t>41</w:t>
      </w:r>
      <w:r>
        <w:rPr/>
        <w:t xml:space="preserve"> {{field-on:bible}}Und er kommt </w:t>
      </w:r>
      <w:r>
        <w:rPr>
          <w:color w:val="808080"/>
        </w:rPr>
        <w:t>(kam)</w:t>
      </w:r>
      <w:r>
        <w:rPr/>
        <w:t xml:space="preserve"> das dritte Mal</w:t>
      </w:r>
      <w:r>
        <w:rPr>
          <w:rStyle w:val="Funotenanker"/>
        </w:rPr>
        <w:footnoteReference w:customMarkFollows="1" w:id="2339"/>
        <w:t>bn</w:t>
      </w:r>
      <w:r>
        <w:rPr/>
        <w:t xml:space="preserve"> und sagt</w:t>
      </w:r>
      <w:r>
        <w:rPr>
          <w:b/>
          <w:color w:val="808080"/>
        </w:rPr>
        <w:t>[</w:t>
      </w:r>
      <w:r>
        <w:rPr/>
        <w:t>e</w:t>
      </w:r>
      <w:r>
        <w:rPr>
          <w:b/>
          <w:color w:val="808080"/>
        </w:rPr>
        <w:t>]</w:t>
      </w:r>
      <w:r>
        <w:rPr/>
        <w:t xml:space="preserve"> ihnen: „Von nun an könnt ihr schlafen und euch ausruhen, es langt.</w:t>
      </w:r>
      <w:r>
        <w:rPr>
          <w:rStyle w:val="Funotenanker"/>
        </w:rPr>
        <w:footnoteReference w:customMarkFollows="1" w:id="2340"/>
        <w:t>bo</w:t>
      </w:r>
      <w:r>
        <w:rPr/>
        <w:t xml:space="preserve"> Die Stunde ist gekommen, siehe!, ausgeliefert wird der Menschensohn in die Hände der Sünder.{{field-off:bible}} </w:t>
        <w:br/>
        <w:t>[[@BibleTOBIBLE:Mk 14:42]]</w:t>
      </w:r>
      <w:r>
        <w:rPr>
          <w:b/>
        </w:rPr>
        <w:t>42</w:t>
      </w:r>
      <w:r>
        <w:rPr/>
        <w:t xml:space="preserve"> {{field-on:bible}}Erhebt euch, lasst uns aufbrechen! Siehe!, der mich ausliefert, ist genaht.“{{field-off:bible}} </w:t>
        <w:br/>
        <w:t>[[@BibleTOBIBLE:Mk 14:43]]</w:t>
      </w:r>
      <w:r>
        <w:rPr>
          <w:b/>
        </w:rPr>
        <w:t>43</w:t>
      </w:r>
      <w:r>
        <w:rPr/>
        <w:t xml:space="preserve"> {{field-on:bible}}Und sogleich, noch während er redete, kommt </w:t>
      </w:r>
      <w:r>
        <w:rPr>
          <w:color w:val="808080"/>
        </w:rPr>
        <w:t>(kam)</w:t>
      </w:r>
      <w:r>
        <w:rPr/>
        <w:t xml:space="preserve"> Judas, einer der Zwölf, und mit ihm eine Menge</w:t>
      </w:r>
      <w:r>
        <w:rPr>
          <w:rStyle w:val="Funotenanker"/>
        </w:rPr>
        <w:footnoteReference w:customMarkFollows="1" w:id="2341"/>
        <w:t>bp</w:t>
      </w:r>
      <w:r>
        <w:rPr/>
        <w:t xml:space="preserve"> mit Schwertern und Keulen </w:t>
      </w:r>
      <w:r>
        <w:rPr>
          <w:color w:val="808080"/>
        </w:rPr>
        <w:t>(Schlagstöcken)</w:t>
      </w:r>
      <w:r>
        <w:rPr/>
        <w:t xml:space="preserve"> </w:t>
      </w:r>
      <w:r>
        <w:rPr>
          <w:rStyle w:val="Funotenanker"/>
        </w:rPr>
        <w:footnoteReference w:customMarkFollows="1" w:id="2342"/>
        <w:t>bq</w:t>
      </w:r>
      <w:r>
        <w:rPr/>
        <w:t xml:space="preserve"> von den Hohepriestern und den Schriftgelehrten und den Ältesten.</w:t>
      </w:r>
      <w:r>
        <w:rPr>
          <w:rStyle w:val="Funotenanker"/>
        </w:rPr>
        <w:footnoteReference w:customMarkFollows="1" w:id="2343"/>
        <w:t>br</w:t>
      </w:r>
      <w:r>
        <w:rPr/>
        <w:t xml:space="preserve"> {{field-off:bible}} </w:t>
        <w:br/>
        <w:t>[[@BibleTOBIBLE:Mk 14:44]]</w:t>
      </w:r>
      <w:r>
        <w:rPr>
          <w:b/>
        </w:rPr>
        <w:t>44</w:t>
      </w:r>
      <w:r>
        <w:rPr/>
        <w:t xml:space="preserve"> {{field-on:bible}}Aber der ihn auslieferte, hatte ihnen ein Signal gegeben </w:t>
      </w:r>
      <w:r>
        <w:rPr>
          <w:color w:val="808080"/>
        </w:rPr>
        <w:t>(ein Signal mit ihnen vereinbart)</w:t>
      </w:r>
      <w:r>
        <w:rPr/>
        <w:t xml:space="preserve"> </w:t>
      </w:r>
      <w:r>
        <w:rPr>
          <w:strike/>
          <w:color w:val="808080"/>
        </w:rPr>
        <w:t>{, sagend}</w:t>
      </w:r>
      <w:r>
        <w:rPr/>
        <w:t xml:space="preserve">: „Den, welchen ich küssen </w:t>
      </w:r>
      <w:r>
        <w:rPr>
          <w:color w:val="808080"/>
        </w:rPr>
        <w:t>(lieben)</w:t>
      </w:r>
      <w:r>
        <w:rPr/>
        <w:t xml:space="preserve"> werde,</w:t>
      </w:r>
      <w:r>
        <w:rPr>
          <w:rStyle w:val="Funotenanker"/>
        </w:rPr>
        <w:footnoteReference w:customMarkFollows="1" w:id="2344"/>
        <w:t>bs</w:t>
      </w:r>
      <w:r>
        <w:rPr/>
        <w:t xml:space="preserve"> der ist es. Ergreift ihn und führt ihn gesichert </w:t>
      </w:r>
      <w:r>
        <w:rPr>
          <w:color w:val="808080"/>
        </w:rPr>
        <w:t>(unter Bewachung, sicher)</w:t>
      </w:r>
      <w:r>
        <w:rPr/>
        <w:t xml:space="preserve"> ab!“{{field-off:bible}} </w:t>
        <w:br/>
        <w:t>[[@BibleTOBIBLE:Mk 14:45]]</w:t>
      </w:r>
      <w:r>
        <w:rPr>
          <w:b/>
        </w:rPr>
        <w:t>45</w:t>
      </w:r>
      <w:r>
        <w:rPr/>
        <w:t xml:space="preserve"> {{field-on:bible}}Und als er kam </w:t>
      </w:r>
      <w:r>
        <w:rPr>
          <w:b/>
          <w:color w:val="808080"/>
        </w:rPr>
        <w:t>[</w:t>
      </w:r>
      <w:r>
        <w:rPr/>
        <w:t>und</w:t>
      </w:r>
      <w:r>
        <w:rPr>
          <w:b/>
          <w:color w:val="808080"/>
        </w:rPr>
        <w:t>]</w:t>
      </w:r>
      <w:r>
        <w:rPr/>
        <w:t xml:space="preserve"> sogleich zu ihm kam, sagt</w:t>
      </w:r>
      <w:r>
        <w:rPr>
          <w:b/>
          <w:color w:val="808080"/>
        </w:rPr>
        <w:t>[</w:t>
      </w:r>
      <w:r>
        <w:rPr/>
        <w:t>e</w:t>
      </w:r>
      <w:r>
        <w:rPr>
          <w:b/>
          <w:color w:val="808080"/>
        </w:rPr>
        <w:t>]</w:t>
      </w:r>
      <w:r>
        <w:rPr/>
        <w:t xml:space="preserve"> er: „Rabbi! </w:t>
      </w:r>
      <w:r>
        <w:rPr>
          <w:color w:val="808080"/>
        </w:rPr>
        <w:t>(Rabbi, Rabbi!)</w:t>
      </w:r>
      <w:r>
        <w:rPr/>
        <w:t>“,,</w:t>
      </w:r>
      <w:r>
        <w:rPr>
          <w:rStyle w:val="Funotenanker"/>
        </w:rPr>
        <w:footnoteReference w:customMarkFollows="1" w:id="2345"/>
        <w:t>bt</w:t>
      </w:r>
      <w:r>
        <w:rPr/>
        <w:t xml:space="preserve"> und er küsste ihn.{{field-off:bible}} </w:t>
        <w:br/>
        <w:t>[[@BibleTOBIBLE:Mk 14:46]]</w:t>
      </w:r>
      <w:r>
        <w:rPr>
          <w:b/>
        </w:rPr>
        <w:t>46</w:t>
      </w:r>
      <w:r>
        <w:rPr/>
        <w:t xml:space="preserve"> {{field-on:bible}}Da legten sie </w:t>
      </w:r>
      <w:r>
        <w:rPr>
          <w:color w:val="808080"/>
        </w:rPr>
        <w:t>(sie aber legten)</w:t>
      </w:r>
      <w:r>
        <w:rPr/>
        <w:t xml:space="preserve"> die Hände an ihn und ergriffen ihn </w:t>
      </w:r>
      <w:r>
        <w:rPr>
          <w:color w:val="808080"/>
        </w:rPr>
        <w:t>(nahmen ihn fest)</w:t>
      </w:r>
      <w:r>
        <w:rPr/>
        <w:t xml:space="preserve">.{{field-off:bible}} </w:t>
        <w:br/>
        <w:t>[[@BibleTOBIBLE:Mk 14:47]]</w:t>
      </w:r>
      <w:r>
        <w:rPr>
          <w:b/>
        </w:rPr>
        <w:t>47</w:t>
      </w:r>
      <w:r>
        <w:rPr/>
        <w:t xml:space="preserve"> {{field-on:bible}}Ein Gewisser aber von den Dabeistehenden</w:t>
      </w:r>
      <w:r>
        <w:rPr>
          <w:rStyle w:val="Funotenanker"/>
        </w:rPr>
        <w:footnoteReference w:customMarkFollows="1" w:id="2346"/>
        <w:t>bu</w:t>
      </w:r>
      <w:r>
        <w:rPr/>
        <w:t xml:space="preserve"> zog das Schwert, schlug den Diener des Hohepriesters und trennte dessen Ohr </w:t>
      </w:r>
      <w:r>
        <w:rPr>
          <w:color w:val="808080"/>
        </w:rPr>
        <w:t>(Ohrläppchen?)</w:t>
      </w:r>
      <w:r>
        <w:rPr/>
        <w:t xml:space="preserve"> ab.</w:t>
      </w:r>
      <w:r>
        <w:rPr>
          <w:rStyle w:val="Funotenanker"/>
        </w:rPr>
        <w:footnoteReference w:customMarkFollows="1" w:id="2347"/>
        <w:t>bv</w:t>
      </w:r>
      <w:r>
        <w:rPr/>
        <w:t xml:space="preserve"> {{field-off:bible}} </w:t>
        <w:br/>
        <w:t>[[@BibleTOBIBLE:Mk 14:48]]</w:t>
      </w:r>
      <w:r>
        <w:rPr>
          <w:b/>
        </w:rPr>
        <w:t>48</w:t>
      </w:r>
      <w:r>
        <w:rPr/>
        <w:t xml:space="preserve"> {{field-on:bible}}Und Jesus antwortete</w:t>
      </w:r>
      <w:r>
        <w:rPr>
          <w:rStyle w:val="Funotenanker"/>
        </w:rPr>
        <w:footnoteReference w:customMarkFollows="1" w:id="2348"/>
        <w:t>bw</w:t>
      </w:r>
      <w:r>
        <w:rPr/>
        <w:t xml:space="preserve"> </w:t>
      </w:r>
      <w:r>
        <w:rPr>
          <w:strike/>
          <w:color w:val="808080"/>
        </w:rPr>
        <w:t>{und sagte zu}</w:t>
      </w:r>
      <w:r>
        <w:rPr/>
        <w:t xml:space="preserve"> ihnen: „Wie gegen einen Räuber </w:t>
      </w:r>
      <w:r>
        <w:rPr>
          <w:color w:val="808080"/>
        </w:rPr>
        <w:t>(Rebellen, Aufwiegler)</w:t>
      </w:r>
      <w:r>
        <w:rPr/>
        <w:t xml:space="preserve"> </w:t>
      </w:r>
      <w:r>
        <w:rPr>
          <w:rStyle w:val="Funotenanker"/>
        </w:rPr>
        <w:footnoteReference w:customMarkFollows="1" w:id="2349"/>
        <w:t>bx</w:t>
      </w:r>
      <w:r>
        <w:rPr/>
        <w:t xml:space="preserve"> seid ihr mit Schwertern und Keulen ausgezogen, um mich festzunehmen!?{{field-off:bible}} </w:t>
        <w:br/>
        <w:t>[[@BibleTOBIBLE:Mk 14:49]]</w:t>
      </w:r>
      <w:r>
        <w:rPr>
          <w:b/>
        </w:rPr>
        <w:t>49</w:t>
      </w:r>
      <w:r>
        <w:rPr/>
        <w:t xml:space="preserve"> {{field-on:bible}}Tag für Tag </w:t>
      </w:r>
      <w:r>
        <w:rPr>
          <w:color w:val="808080"/>
        </w:rPr>
        <w:t>(Tagsüber)</w:t>
      </w:r>
      <w:r>
        <w:rPr/>
        <w:t xml:space="preserve"> </w:t>
      </w:r>
      <w:r>
        <w:rPr>
          <w:rStyle w:val="Funotenanker"/>
        </w:rPr>
        <w:footnoteReference w:customMarkFollows="1" w:id="2350"/>
        <w:t>by</w:t>
      </w:r>
      <w:r>
        <w:rPr/>
        <w:t xml:space="preserve"> war ich bei euch im Tempel</w:t>
      </w:r>
      <w:r>
        <w:rPr>
          <w:rStyle w:val="Funotenanker"/>
        </w:rPr>
        <w:footnoteReference w:customMarkFollows="1" w:id="2351"/>
        <w:t>bz</w:t>
      </w:r>
      <w:r>
        <w:rPr/>
        <w:t xml:space="preserve"> und lehrte </w:t>
      </w:r>
      <w:r>
        <w:rPr>
          <w:color w:val="808080"/>
        </w:rPr>
        <w:t>(Tag für Tag lehrte ich bei euch im Tempel)</w:t>
      </w:r>
      <w:r>
        <w:rPr/>
        <w:t xml:space="preserve"> und ihr habt mich nicht ergriffen. Aber </w:t>
      </w:r>
      <w:r>
        <w:rPr>
          <w:b/>
          <w:color w:val="808080"/>
        </w:rPr>
        <w:t>[</w:t>
      </w:r>
      <w:r>
        <w:rPr/>
        <w:t>es sei</w:t>
      </w:r>
      <w:r>
        <w:rPr>
          <w:b/>
          <w:color w:val="808080"/>
        </w:rPr>
        <w:t>]</w:t>
      </w:r>
      <w:r>
        <w:rPr/>
        <w:t>, dass die Schriften erfüllt werden!</w:t>
      </w:r>
      <w:r>
        <w:rPr>
          <w:rStyle w:val="Funotenanker"/>
        </w:rPr>
        <w:footnoteReference w:customMarkFollows="1" w:id="2352"/>
        <w:t>ca</w:t>
      </w:r>
      <w:r>
        <w:rPr/>
        <w:t xml:space="preserve"> </w:t>
      </w:r>
      <w:r>
        <w:rPr>
          <w:color w:val="808080"/>
        </w:rPr>
        <w:t xml:space="preserve">(Aber </w:t>
      </w:r>
      <w:r>
        <w:rPr>
          <w:b/>
          <w:color w:val="808080"/>
        </w:rPr>
        <w:t>[</w:t>
      </w:r>
      <w:r>
        <w:rPr>
          <w:color w:val="808080"/>
        </w:rPr>
        <w:t>all dies geschieht</w:t>
      </w:r>
      <w:r>
        <w:rPr>
          <w:b/>
          <w:color w:val="808080"/>
        </w:rPr>
        <w:t>]</w:t>
      </w:r>
      <w:r>
        <w:rPr>
          <w:color w:val="808080"/>
        </w:rPr>
        <w:t>, damit die Schriften erfüllt werden.)</w:t>
      </w:r>
      <w:r>
        <w:rPr/>
        <w:t xml:space="preserve">“{{field-off:bible}} </w:t>
        <w:br/>
        <w:t>[[@BibleTOBIBLE:Mk 14:50]]</w:t>
      </w:r>
      <w:r>
        <w:rPr>
          <w:b/>
        </w:rPr>
        <w:t>50</w:t>
      </w:r>
      <w:r>
        <w:rPr/>
        <w:t xml:space="preserve"> {{field-on:bible}}Und indem sie ihn verließen, flohen alle.{{field-off:bible}} </w:t>
        <w:br/>
        <w:t>[[@BibleTOBIBLE:Mk 14:51]]</w:t>
      </w:r>
      <w:r>
        <w:rPr>
          <w:b/>
        </w:rPr>
        <w:t>51</w:t>
      </w:r>
      <w:r>
        <w:rPr/>
        <w:t xml:space="preserve"> {{field-on:bible}}Und ein gewisser junger Mann folgte ihm</w:t>
      </w:r>
      <w:r>
        <w:rPr>
          <w:rStyle w:val="Funotenanker"/>
        </w:rPr>
        <w:footnoteReference w:customMarkFollows="1" w:id="2353"/>
        <w:t>cb</w:t>
      </w:r>
      <w:r>
        <w:rPr/>
        <w:t xml:space="preserve"> </w:t>
      </w:r>
      <w:r>
        <w:rPr>
          <w:color w:val="808080"/>
        </w:rPr>
        <w:t>(wollte ihm folgen)</w:t>
      </w:r>
      <w:r>
        <w:rPr/>
        <w:t>, bekleidet mit einem Leinentuch</w:t>
      </w:r>
      <w:r>
        <w:rPr>
          <w:rStyle w:val="Funotenanker"/>
        </w:rPr>
        <w:footnoteReference w:customMarkFollows="1" w:id="2354"/>
        <w:t>cc</w:t>
      </w:r>
      <w:r>
        <w:rPr/>
        <w:t xml:space="preserve"> über </w:t>
      </w:r>
      <w:r>
        <w:rPr>
          <w:b/>
          <w:color w:val="808080"/>
        </w:rPr>
        <w:t>[</w:t>
      </w:r>
      <w:r>
        <w:rPr/>
        <w:t>seinem</w:t>
      </w:r>
      <w:r>
        <w:rPr>
          <w:b/>
          <w:color w:val="808080"/>
        </w:rPr>
        <w:t>]</w:t>
      </w:r>
      <w:r>
        <w:rPr/>
        <w:t xml:space="preserve"> nackten </w:t>
      </w:r>
      <w:r>
        <w:rPr>
          <w:b/>
          <w:color w:val="808080"/>
        </w:rPr>
        <w:t>[</w:t>
      </w:r>
      <w:r>
        <w:rPr/>
        <w:t>Körper</w:t>
      </w:r>
      <w:r>
        <w:rPr>
          <w:b/>
          <w:color w:val="808080"/>
        </w:rPr>
        <w:t>]</w:t>
      </w:r>
      <w:r>
        <w:rPr/>
        <w:t xml:space="preserve">, und sie ergreifen </w:t>
      </w:r>
      <w:r>
        <w:rPr>
          <w:color w:val="808080"/>
        </w:rPr>
        <w:t>(ergriffen)</w:t>
      </w:r>
      <w:r>
        <w:rPr/>
        <w:t xml:space="preserve"> ihn,{{field-off:bible}} </w:t>
        <w:br/>
        <w:t>[[@BibleTOBIBLE:Mk 14:52]]</w:t>
      </w:r>
      <w:r>
        <w:rPr>
          <w:b/>
        </w:rPr>
        <w:t>52</w:t>
      </w:r>
      <w:r>
        <w:rPr/>
        <w:t xml:space="preserve"> {{field-on:bible}}aber er ließ das Leinentuch zurück und floh nackt.</w:t>
      </w:r>
      <w:r>
        <w:rPr>
          <w:rStyle w:val="Funotenanker"/>
        </w:rPr>
        <w:footnoteReference w:customMarkFollows="1" w:id="2355"/>
        <w:t>cd</w:t>
      </w:r>
      <w:r>
        <w:rPr/>
        <w:t xml:space="preserve"> {{field-off:bible}} </w:t>
        <w:br/>
        <w:t>[[@BibleTOBIBLE:Mk 14:53]]</w:t>
      </w:r>
      <w:r>
        <w:rPr>
          <w:b/>
        </w:rPr>
        <w:t>53</w:t>
      </w:r>
      <w:r>
        <w:rPr/>
        <w:t xml:space="preserve"> {{field-on:bible}}Und sie führten Jesus zum Hohepriester ab und alle obersten </w:t>
      </w:r>
      <w:r>
        <w:rPr>
          <w:color w:val="808080"/>
        </w:rPr>
        <w:t>(führenden, Hohe-)</w:t>
      </w:r>
      <w:r>
        <w:rPr/>
        <w:t xml:space="preserve"> Priester</w:t>
      </w:r>
      <w:r>
        <w:rPr>
          <w:rStyle w:val="Funotenanker"/>
        </w:rPr>
        <w:footnoteReference w:customMarkFollows="1" w:id="2356"/>
        <w:t>ce</w:t>
      </w:r>
      <w:r>
        <w:rPr/>
        <w:t xml:space="preserve"> und die Ältesten und die Schriftgelehrten kommen </w:t>
      </w:r>
      <w:r>
        <w:rPr>
          <w:color w:val="808080"/>
        </w:rPr>
        <w:t>(kamen)</w:t>
      </w:r>
      <w:r>
        <w:rPr/>
        <w:t xml:space="preserve"> zusammen </w:t>
      </w:r>
      <w:r>
        <w:rPr>
          <w:color w:val="808080"/>
        </w:rPr>
        <w:t>(versammelten sich)</w:t>
      </w:r>
      <w:r>
        <w:rPr/>
        <w:t xml:space="preserve">.{{field-off:bible}} </w:t>
        <w:br/>
        <w:t>[[@BibleTOBIBLE:Mk 14:54]]</w:t>
      </w:r>
      <w:r>
        <w:rPr>
          <w:b/>
        </w:rPr>
        <w:t>54</w:t>
      </w:r>
      <w:r>
        <w:rPr/>
        <w:t xml:space="preserve"> {{field-on:bible}}Und Petrus war ihm in einiger Entfernung bis nach drinnen </w:t>
      </w:r>
      <w:r>
        <w:rPr>
          <w:color w:val="808080"/>
        </w:rPr>
        <w:t>(hinein)</w:t>
      </w:r>
      <w:r>
        <w:rPr/>
        <w:t xml:space="preserve"> in den Innenhof </w:t>
      </w:r>
      <w:r>
        <w:rPr>
          <w:color w:val="808080"/>
        </w:rPr>
        <w:t>(Palast)</w:t>
      </w:r>
      <w:r>
        <w:rPr/>
        <w:t xml:space="preserve"> des Hohepriesters gefolgt, und </w:t>
      </w:r>
      <w:r>
        <w:rPr>
          <w:b/>
          <w:color w:val="808080"/>
        </w:rPr>
        <w:t>[</w:t>
      </w:r>
      <w:r>
        <w:rPr/>
        <w:t>dort</w:t>
      </w:r>
      <w:r>
        <w:rPr>
          <w:b/>
          <w:color w:val="808080"/>
        </w:rPr>
        <w:t>]</w:t>
      </w:r>
      <w:r>
        <w:rPr/>
        <w:t xml:space="preserve"> saß er </w:t>
      </w:r>
      <w:r>
        <w:rPr>
          <w:color w:val="808080"/>
        </w:rPr>
        <w:t>(setzte er sich)</w:t>
      </w:r>
      <w:r>
        <w:rPr/>
        <w:t xml:space="preserve"> </w:t>
      </w:r>
      <w:r>
        <w:rPr>
          <w:rStyle w:val="Funotenanker"/>
        </w:rPr>
        <w:footnoteReference w:customMarkFollows="1" w:id="2357"/>
        <w:t>cf</w:t>
      </w:r>
      <w:r>
        <w:rPr/>
        <w:t xml:space="preserve"> bei den Dienern </w:t>
      </w:r>
      <w:r>
        <w:rPr>
          <w:color w:val="808080"/>
        </w:rPr>
        <w:t>(Wächtern)</w:t>
      </w:r>
      <w:r>
        <w:rPr/>
        <w:t xml:space="preserve"> </w:t>
      </w:r>
      <w:r>
        <w:rPr>
          <w:rStyle w:val="Funotenanker"/>
        </w:rPr>
        <w:footnoteReference w:customMarkFollows="1" w:id="2358"/>
        <w:t>cg</w:t>
      </w:r>
      <w:r>
        <w:rPr/>
        <w:t xml:space="preserve"> und wärmte sich am Licht </w:t>
      </w:r>
      <w:r>
        <w:rPr>
          <w:color w:val="808080"/>
        </w:rPr>
        <w:t>(Feuer)</w:t>
      </w:r>
      <w:r>
        <w:rPr/>
        <w:t>.</w:t>
      </w:r>
      <w:r>
        <w:rPr>
          <w:rStyle w:val="Funotenanker"/>
        </w:rPr>
        <w:footnoteReference w:customMarkFollows="1" w:id="2359"/>
        <w:t>ch</w:t>
      </w:r>
      <w:r>
        <w:rPr/>
        <w:t xml:space="preserve"> {{field-off:bible}} </w:t>
        <w:br/>
        <w:t>[[@BibleTOBIBLE:Mk 14:55]]</w:t>
      </w:r>
      <w:r>
        <w:rPr>
          <w:b/>
        </w:rPr>
        <w:t>55</w:t>
      </w:r>
      <w:r>
        <w:rPr/>
        <w:t xml:space="preserve"> {{field-on:bible}}Die obersten </w:t>
      </w:r>
      <w:r>
        <w:rPr>
          <w:color w:val="808080"/>
        </w:rPr>
        <w:t>(führenden, Hohen)</w:t>
      </w:r>
      <w:r>
        <w:rPr/>
        <w:t xml:space="preserve"> Priester </w:t>
      </w:r>
      <w:r>
        <w:rPr>
          <w:strike/>
          <w:color w:val="808080"/>
        </w:rPr>
        <w:t>{aber}</w:t>
      </w:r>
      <w:r>
        <w:rPr/>
        <w:t xml:space="preserve"> und der ganze Hohe Rat </w:t>
      </w:r>
      <w:r>
        <w:rPr>
          <w:color w:val="808080"/>
        </w:rPr>
        <w:t>(Sanhedrin)</w:t>
      </w:r>
      <w:r>
        <w:rPr/>
        <w:t xml:space="preserve"> suchten nach einer Zeugenaussage gegen Jesus, um ihn zu töten, aber sie fanden keine,{{field-off:bible}} </w:t>
        <w:br/>
        <w:t>[[@BibleTOBIBLE:Mk 14:56]]</w:t>
      </w:r>
      <w:r>
        <w:rPr>
          <w:b/>
        </w:rPr>
        <w:t>56</w:t>
      </w:r>
      <w:r>
        <w:rPr/>
        <w:t xml:space="preserve"> {{field-on:bible}}denn viele machten Falschaussagen gegen ihn, aber ihre Aussagen waren nicht übereinstimmend </w:t>
      </w:r>
      <w:r>
        <w:rPr>
          <w:color w:val="808080"/>
        </w:rPr>
        <w:t>(gleich)</w:t>
      </w:r>
      <w:r>
        <w:rPr/>
        <w:t xml:space="preserve">.{{field-off:bible}} </w:t>
        <w:br/>
        <w:t>[[@BibleTOBIBLE:Mk 14:57]]</w:t>
      </w:r>
      <w:r>
        <w:rPr>
          <w:b/>
        </w:rPr>
        <w:t>57</w:t>
      </w:r>
      <w:r>
        <w:rPr/>
        <w:t xml:space="preserve"> {{field-on:bible}}Und einige standen auf und machten gegen ihn Falschaussagen, </w:t>
      </w:r>
      <w:r>
        <w:rPr>
          <w:strike/>
          <w:color w:val="808080"/>
        </w:rPr>
        <w:t>{sagend}</w:t>
      </w:r>
      <w:r>
        <w:rPr/>
        <w:t xml:space="preserve">:{{field-off:bible}} </w:t>
        <w:br/>
        <w:t>[[@BibleTOBIBLE:Mk 14:58]]</w:t>
      </w:r>
      <w:r>
        <w:rPr>
          <w:b/>
        </w:rPr>
        <w:t>58</w:t>
      </w:r>
      <w:r>
        <w:rPr/>
        <w:t xml:space="preserve"> {{field-on:bible}}„Wir haben gehört, wie </w:t>
      </w:r>
      <w:r>
        <w:rPr>
          <w:color w:val="808080"/>
        </w:rPr>
        <w:t>(dass)</w:t>
      </w:r>
      <w:r>
        <w:rPr/>
        <w:t xml:space="preserve"> er sagte: Ich werde diesen von Hand erbauten</w:t>
      </w:r>
      <w:r>
        <w:rPr>
          <w:rStyle w:val="Funotenanker"/>
        </w:rPr>
        <w:footnoteReference w:customMarkFollows="1" w:id="2360"/>
        <w:t>ci</w:t>
      </w:r>
      <w:r>
        <w:rPr/>
        <w:t xml:space="preserve"> Tempel abreißen und innerhalb von drei Tagen einen anderen, nicht von Hand erbauten, errichten!“</w:t>
      </w:r>
      <w:r>
        <w:rPr>
          <w:rStyle w:val="Funotenanker"/>
        </w:rPr>
        <w:footnoteReference w:customMarkFollows="1" w:id="2361"/>
        <w:t>cj</w:t>
      </w:r>
      <w:r>
        <w:rPr/>
        <w:t xml:space="preserve"> </w:t>
      </w:r>
      <w:r>
        <w:rPr>
          <w:position w:val="8"/>
          <w:sz w:val="19"/>
        </w:rPr>
        <w:t>[[ ℘ &gt;&gt; BibleTOBIBLE:Jn 2:19]][[ ℘ &gt;&gt; BibleTOBIBLE:Ac 6:14]]</w:t>
      </w:r>
      <w:r>
        <w:rPr/>
        <w:t xml:space="preserve"> {{field-off:bible}} </w:t>
        <w:br/>
        <w:t>[[@BibleTOBIBLE:Mk 14:59]]</w:t>
      </w:r>
      <w:r>
        <w:rPr>
          <w:b/>
        </w:rPr>
        <w:t>59</w:t>
      </w:r>
      <w:r>
        <w:rPr/>
        <w:t xml:space="preserve"> {{field-on:bible}}Aber </w:t>
      </w:r>
      <w:r>
        <w:rPr>
          <w:color w:val="808080"/>
        </w:rPr>
        <w:t>(und)</w:t>
      </w:r>
      <w:r>
        <w:rPr/>
        <w:t xml:space="preserve"> nicht einmal </w:t>
      </w:r>
      <w:r>
        <w:rPr>
          <w:color w:val="808080"/>
        </w:rPr>
        <w:t>(auch nicht)</w:t>
      </w:r>
      <w:r>
        <w:rPr/>
        <w:t xml:space="preserve"> darin </w:t>
      </w:r>
      <w:r>
        <w:rPr>
          <w:color w:val="808080"/>
        </w:rPr>
        <w:t>(so)</w:t>
      </w:r>
      <w:r>
        <w:rPr/>
        <w:t xml:space="preserve"> war ihre Aussage </w:t>
      </w:r>
      <w:r>
        <w:rPr>
          <w:color w:val="808080"/>
        </w:rPr>
        <w:t>(ihr Zeugnis)</w:t>
      </w:r>
      <w:r>
        <w:rPr/>
        <w:t xml:space="preserve"> übereinstimmend </w:t>
      </w:r>
      <w:r>
        <w:rPr>
          <w:color w:val="808080"/>
        </w:rPr>
        <w:t>(gleich)</w:t>
      </w:r>
      <w:r>
        <w:rPr/>
        <w:t xml:space="preserve">.{{field-off:bible}} </w:t>
        <w:br/>
        <w:t>[[@BibleTOBIBLE:Mk 14:60]]</w:t>
      </w:r>
      <w:r>
        <w:rPr>
          <w:b/>
        </w:rPr>
        <w:t>60</w:t>
      </w:r>
      <w:r>
        <w:rPr/>
        <w:t xml:space="preserve"> {{field-on:bible}}Da </w:t>
      </w:r>
      <w:r>
        <w:rPr>
          <w:color w:val="808080"/>
        </w:rPr>
        <w:t>(und)</w:t>
      </w:r>
      <w:r>
        <w:rPr/>
        <w:t xml:space="preserve"> stand der Hohe Priester auf, </w:t>
      </w:r>
      <w:r>
        <w:rPr>
          <w:b/>
          <w:color w:val="808080"/>
        </w:rPr>
        <w:t>[</w:t>
      </w:r>
      <w:r>
        <w:rPr/>
        <w:t>trat</w:t>
      </w:r>
      <w:r>
        <w:rPr>
          <w:b/>
          <w:color w:val="808080"/>
        </w:rPr>
        <w:t>]</w:t>
      </w:r>
      <w:r>
        <w:rPr/>
        <w:t xml:space="preserve"> </w:t>
      </w:r>
      <w:r>
        <w:rPr>
          <w:rStyle w:val="Funotenanker"/>
        </w:rPr>
        <w:footnoteReference w:customMarkFollows="1" w:id="2362"/>
        <w:t>ck</w:t>
      </w:r>
      <w:r>
        <w:rPr/>
        <w:t xml:space="preserve"> in die Mitte und</w:t>
      </w:r>
      <w:r>
        <w:rPr>
          <w:rStyle w:val="Funotenanker"/>
        </w:rPr>
        <w:footnoteReference w:customMarkFollows="1" w:id="2363"/>
        <w:t>cl</w:t>
      </w:r>
      <w:r>
        <w:rPr/>
        <w:t xml:space="preserve"> fragte </w:t>
      </w:r>
      <w:r>
        <w:rPr>
          <w:color w:val="808080"/>
        </w:rPr>
        <w:t>(befragte, verhörte)</w:t>
      </w:r>
      <w:r>
        <w:rPr/>
        <w:t xml:space="preserve"> Jesus, </w:t>
      </w:r>
      <w:r>
        <w:rPr>
          <w:strike/>
          <w:color w:val="808080"/>
        </w:rPr>
        <w:t>{indem er sagte}</w:t>
      </w:r>
      <w:r>
        <w:rPr/>
        <w:t xml:space="preserve">: „Entgegnest </w:t>
      </w:r>
      <w:r>
        <w:rPr>
          <w:color w:val="808080"/>
        </w:rPr>
        <w:t>(antwortest)</w:t>
      </w:r>
      <w:r>
        <w:rPr/>
        <w:t xml:space="preserve"> du gar nichts </w:t>
      </w:r>
      <w:r>
        <w:rPr>
          <w:b/>
          <w:color w:val="808080"/>
        </w:rPr>
        <w:t>[</w:t>
      </w:r>
      <w:r>
        <w:rPr/>
        <w:t>auf das</w:t>
      </w:r>
      <w:r>
        <w:rPr>
          <w:b/>
          <w:color w:val="808080"/>
        </w:rPr>
        <w:t>]</w:t>
      </w:r>
      <w:r>
        <w:rPr/>
        <w:t xml:space="preserve">, was diese gegen dich als Aussage machen?“ </w:t>
      </w:r>
      <w:r>
        <w:rPr>
          <w:color w:val="808080"/>
        </w:rPr>
        <w:t>(„Entgegnest du nichts? Was sagen diese gegen dich aus?“)</w:t>
      </w:r>
      <w:r>
        <w:rPr/>
        <w:t xml:space="preserve"> {{field-off:bible}} </w:t>
        <w:br/>
        <w:t>[[@BibleTOBIBLE:Mk 14:61]]</w:t>
      </w:r>
      <w:r>
        <w:rPr>
          <w:b/>
        </w:rPr>
        <w:t>61</w:t>
      </w:r>
      <w:r>
        <w:rPr/>
        <w:t xml:space="preserve"> {{field-on:bible}}Er aber schwieg </w:t>
      </w:r>
      <w:r>
        <w:rPr>
          <w:b/>
          <w:color w:val="808080"/>
        </w:rPr>
        <w:t>[</w:t>
      </w:r>
      <w:r>
        <w:rPr/>
        <w:t>weiter</w:t>
      </w:r>
      <w:r>
        <w:rPr>
          <w:b/>
          <w:color w:val="808080"/>
        </w:rPr>
        <w:t>]</w:t>
      </w:r>
      <w:r>
        <w:rPr/>
        <w:t xml:space="preserve"> </w:t>
      </w:r>
      <w:r>
        <w:rPr>
          <w:rStyle w:val="Funotenanker"/>
        </w:rPr>
        <w:footnoteReference w:customMarkFollows="1" w:id="2364"/>
        <w:t>cm</w:t>
      </w:r>
      <w:r>
        <w:rPr/>
        <w:t xml:space="preserve"> und antwortete gar nichts. Wieder fragte </w:t>
      </w:r>
      <w:r>
        <w:rPr>
          <w:color w:val="808080"/>
        </w:rPr>
        <w:t>(befragte, verhörte)</w:t>
      </w:r>
      <w:r>
        <w:rPr/>
        <w:t xml:space="preserve"> ihn der Hohepriester und sagt</w:t>
      </w:r>
      <w:r>
        <w:rPr>
          <w:b/>
          <w:color w:val="808080"/>
        </w:rPr>
        <w:t>[</w:t>
      </w:r>
      <w:r>
        <w:rPr/>
        <w:t>e</w:t>
      </w:r>
      <w:r>
        <w:rPr>
          <w:b/>
          <w:color w:val="808080"/>
        </w:rPr>
        <w:t>]</w:t>
      </w:r>
      <w:r>
        <w:rPr/>
        <w:t xml:space="preserve"> </w:t>
      </w:r>
      <w:r>
        <w:rPr>
          <w:b/>
          <w:color w:val="808080"/>
        </w:rPr>
        <w:t>[</w:t>
      </w:r>
      <w:r>
        <w:rPr/>
        <w:t>zu</w:t>
      </w:r>
      <w:r>
        <w:rPr>
          <w:b/>
          <w:color w:val="808080"/>
        </w:rPr>
        <w:t>]</w:t>
      </w:r>
      <w:r>
        <w:rPr/>
        <w:t xml:space="preserve"> ihm: „Bist du der Messias </w:t>
      </w:r>
      <w:r>
        <w:rPr>
          <w:color w:val="808080"/>
        </w:rPr>
        <w:t>(Gesalbte, Christus, versprochene Retter)</w:t>
      </w:r>
      <w:r>
        <w:rPr/>
        <w:t xml:space="preserve">, der Sohn des Gepriesenen </w:t>
      </w:r>
      <w:r>
        <w:rPr>
          <w:color w:val="808080"/>
        </w:rPr>
        <w:t>(Hochgelobten, zu Preisenden)</w:t>
      </w:r>
      <w:r>
        <w:rPr/>
        <w:t xml:space="preserve">?“{{field-off:bible}} </w:t>
        <w:br/>
        <w:t>[[@BibleTOBIBLE:Mk 14:62]]</w:t>
      </w:r>
      <w:r>
        <w:rPr>
          <w:b/>
        </w:rPr>
        <w:t>62</w:t>
      </w:r>
      <w:r>
        <w:rPr/>
        <w:t xml:space="preserve"> {{field-on:bible}}Da </w:t>
      </w:r>
      <w:r>
        <w:rPr>
          <w:color w:val="808080"/>
        </w:rPr>
        <w:t>(aber)</w:t>
      </w:r>
      <w:r>
        <w:rPr/>
        <w:t xml:space="preserve"> sagte Jesus: „Ich bin </w:t>
      </w:r>
      <w:r>
        <w:rPr>
          <w:b/>
          <w:color w:val="808080"/>
        </w:rPr>
        <w:t>[</w:t>
      </w:r>
      <w:r>
        <w:rPr/>
        <w:t>es</w:t>
      </w:r>
      <w:r>
        <w:rPr>
          <w:b/>
          <w:color w:val="808080"/>
        </w:rPr>
        <w:t>]</w:t>
      </w:r>
      <w:r>
        <w:rPr/>
        <w:t xml:space="preserve">, und ihr werdet den Menschensohn </w:t>
      </w:r>
      <w:r>
        <w:rPr>
          <w:color w:val="808080"/>
        </w:rPr>
        <w:t>(Sohn des Menschen)</w:t>
      </w:r>
      <w:r>
        <w:rPr/>
        <w:t xml:space="preserve"> sehen, wie er an der rechten </w:t>
      </w:r>
      <w:r>
        <w:rPr>
          <w:b/>
          <w:color w:val="808080"/>
        </w:rPr>
        <w:t>[</w:t>
      </w:r>
      <w:r>
        <w:rPr/>
        <w:t>Seite</w:t>
      </w:r>
      <w:r>
        <w:rPr>
          <w:b/>
          <w:color w:val="808080"/>
        </w:rPr>
        <w:t>]</w:t>
      </w:r>
      <w:r>
        <w:rPr/>
        <w:t xml:space="preserve"> des Allmächtigen </w:t>
      </w:r>
      <w:r>
        <w:rPr>
          <w:color w:val="808080"/>
        </w:rPr>
        <w:t>(der Macht)</w:t>
      </w:r>
      <w:r>
        <w:rPr/>
        <w:t xml:space="preserve"> </w:t>
      </w:r>
      <w:r>
        <w:rPr>
          <w:rStyle w:val="Funotenanker"/>
        </w:rPr>
        <w:footnoteReference w:customMarkFollows="1" w:id="2365"/>
        <w:t>cn</w:t>
      </w:r>
      <w:r>
        <w:rPr/>
        <w:t xml:space="preserve"> sitzt</w:t>
      </w:r>
      <w:r>
        <w:rPr>
          <w:rStyle w:val="Funotenanker"/>
        </w:rPr>
        <w:footnoteReference w:customMarkFollows="1" w:id="2366"/>
        <w:t>co</w:t>
      </w:r>
      <w:r>
        <w:rPr/>
        <w:t xml:space="preserve"> und mit den Wolken des Himmels kommt.“</w:t>
      </w:r>
      <w:r>
        <w:rPr>
          <w:rStyle w:val="Funotenanker"/>
        </w:rPr>
        <w:footnoteReference w:customMarkFollows="1" w:id="2367"/>
        <w:t>cp</w:t>
      </w:r>
      <w:r>
        <w:rPr/>
        <w:t xml:space="preserve"> </w:t>
      </w:r>
      <w:r>
        <w:rPr>
          <w:rStyle w:val="Funotenanker"/>
        </w:rPr>
        <w:footnoteReference w:customMarkFollows="1" w:id="2368"/>
        <w:t>cq</w:t>
      </w:r>
      <w:r>
        <w:rPr/>
        <w:t xml:space="preserve"> </w:t>
      </w:r>
      <w:r>
        <w:rPr>
          <w:position w:val="8"/>
          <w:sz w:val="19"/>
        </w:rPr>
        <w:t>[[ ℘ &gt;&gt; BibleTOBIBLE:Da 7:13]]</w:t>
      </w:r>
      <w:r>
        <w:rPr/>
        <w:t xml:space="preserve"> {{field-off:bible}} </w:t>
        <w:br/>
        <w:t>[[@BibleTOBIBLE:Mk 14:63]]</w:t>
      </w:r>
      <w:r>
        <w:rPr>
          <w:b/>
        </w:rPr>
        <w:t>63</w:t>
      </w:r>
      <w:r>
        <w:rPr/>
        <w:t xml:space="preserve"> {{field-on:bible}}Da </w:t>
      </w:r>
      <w:r>
        <w:rPr>
          <w:color w:val="808080"/>
        </w:rPr>
        <w:t>(aber)</w:t>
      </w:r>
      <w:r>
        <w:rPr/>
        <w:t xml:space="preserve"> zerriss der Hohe Priester seine Kleider</w:t>
      </w:r>
      <w:r>
        <w:rPr>
          <w:rStyle w:val="Funotenanker"/>
        </w:rPr>
        <w:footnoteReference w:customMarkFollows="1" w:id="2369"/>
        <w:t>cr</w:t>
      </w:r>
      <w:r>
        <w:rPr/>
        <w:t xml:space="preserve"> </w:t>
      </w:r>
      <w:r>
        <w:rPr>
          <w:b/>
          <w:color w:val="808080"/>
        </w:rPr>
        <w:t>[</w:t>
      </w:r>
      <w:r>
        <w:rPr/>
        <w:t>und</w:t>
      </w:r>
      <w:r>
        <w:rPr>
          <w:b/>
          <w:color w:val="808080"/>
        </w:rPr>
        <w:t>]</w:t>
      </w:r>
      <w:r>
        <w:rPr/>
        <w:t xml:space="preserve"> sagt</w:t>
      </w:r>
      <w:r>
        <w:rPr>
          <w:b/>
          <w:color w:val="808080"/>
        </w:rPr>
        <w:t>[</w:t>
      </w:r>
      <w:r>
        <w:rPr/>
        <w:t>e</w:t>
      </w:r>
      <w:r>
        <w:rPr>
          <w:b/>
          <w:color w:val="808080"/>
        </w:rPr>
        <w:t>]</w:t>
      </w:r>
      <w:r>
        <w:rPr/>
        <w:t xml:space="preserve">: „Wozu </w:t>
      </w:r>
      <w:r>
        <w:rPr>
          <w:color w:val="808080"/>
        </w:rPr>
        <w:t>(was)</w:t>
      </w:r>
      <w:r>
        <w:rPr/>
        <w:t xml:space="preserve"> bedürfen wir noch Zeugen?{{field-off:bible}} </w:t>
        <w:br/>
        <w:t>[[@BibleTOBIBLE:Mk 14:64]]</w:t>
      </w:r>
      <w:r>
        <w:rPr>
          <w:b/>
        </w:rPr>
        <w:t>64</w:t>
      </w:r>
      <w:r>
        <w:rPr/>
        <w:t xml:space="preserve"> {{field-on:bible}}Ihr habt die Gotteslästerung gehört.</w:t>
      </w:r>
      <w:r>
        <w:rPr>
          <w:rStyle w:val="Funotenanker"/>
        </w:rPr>
        <w:footnoteReference w:customMarkFollows="1" w:id="2370"/>
        <w:t>cs</w:t>
      </w:r>
      <w:r>
        <w:rPr/>
        <w:t xml:space="preserve"> Was ist eurer Urteil </w:t>
      </w:r>
      <w:r>
        <w:rPr>
          <w:color w:val="808080"/>
        </w:rPr>
        <w:t>(eure Meinung)</w:t>
      </w:r>
      <w:r>
        <w:rPr/>
        <w:t xml:space="preserve">?“ Und </w:t>
      </w:r>
      <w:r>
        <w:rPr>
          <w:color w:val="808080"/>
        </w:rPr>
        <w:t>(aber)</w:t>
      </w:r>
      <w:r>
        <w:rPr/>
        <w:t xml:space="preserve"> sie alle verurteilten ihn, des Todes schuldig zu sein. </w:t>
      </w:r>
      <w:r>
        <w:rPr>
          <w:rStyle w:val="Funotenanker"/>
        </w:rPr>
        <w:footnoteReference w:customMarkFollows="1" w:id="2371"/>
        <w:t>ct</w:t>
      </w:r>
      <w:r>
        <w:rPr/>
        <w:t xml:space="preserve"> {{field-off:bible}} </w:t>
        <w:br/>
        <w:t>[[@BibleTOBIBLE:Mk 14:65]]</w:t>
      </w:r>
      <w:r>
        <w:rPr>
          <w:b/>
        </w:rPr>
        <w:t>65</w:t>
      </w:r>
      <w:r>
        <w:rPr/>
        <w:t xml:space="preserve"> {{field-on:bible}}Dann spuckten ihn einige an und verhüllten sein Gesicht und prügelten ihn und sagten ihm:</w:t>
      </w:r>
      <w:r>
        <w:rPr>
          <w:rStyle w:val="Funotenanker"/>
        </w:rPr>
        <w:footnoteReference w:customMarkFollows="1" w:id="2372"/>
        <w:t>cu</w:t>
      </w:r>
      <w:r>
        <w:rPr/>
        <w:t xml:space="preserve"> „Prophezeie!“,</w:t>
      </w:r>
      <w:r>
        <w:rPr>
          <w:rStyle w:val="Funotenanker"/>
        </w:rPr>
        <w:footnoteReference w:customMarkFollows="1" w:id="2373"/>
        <w:t>cv</w:t>
      </w:r>
      <w:r>
        <w:rPr/>
        <w:t xml:space="preserve"> und </w:t>
      </w:r>
      <w:r>
        <w:rPr>
          <w:b/>
          <w:color w:val="808080"/>
        </w:rPr>
        <w:t>[</w:t>
      </w:r>
      <w:r>
        <w:rPr/>
        <w:t>auch</w:t>
      </w:r>
      <w:r>
        <w:rPr>
          <w:b/>
          <w:color w:val="808080"/>
        </w:rPr>
        <w:t>]</w:t>
      </w:r>
      <w:r>
        <w:rPr/>
        <w:t xml:space="preserve"> die Diener nahmen sich seiner mit Ohrfeigen an.</w:t>
      </w:r>
      <w:r>
        <w:rPr>
          <w:rStyle w:val="Funotenanker"/>
        </w:rPr>
        <w:footnoteReference w:customMarkFollows="1" w:id="2374"/>
        <w:t>cw</w:t>
      </w:r>
      <w:r>
        <w:rPr/>
        <w:t xml:space="preserve"> {{field-off:bible}} </w:t>
        <w:br/>
        <w:t>[[@BibleTOBIBLE:Mk 14:66]]</w:t>
      </w:r>
      <w:r>
        <w:rPr>
          <w:b/>
        </w:rPr>
        <w:t>66</w:t>
      </w:r>
      <w:r>
        <w:rPr/>
        <w:t xml:space="preserve"> {{field-on:bible}}Und während Petrus unten im Hof</w:t>
      </w:r>
      <w:r>
        <w:rPr>
          <w:rStyle w:val="Funotenanker"/>
        </w:rPr>
        <w:footnoteReference w:customMarkFollows="1" w:id="2375"/>
        <w:t>cx</w:t>
      </w:r>
      <w:r>
        <w:rPr/>
        <w:t xml:space="preserve"> war, kommt </w:t>
      </w:r>
      <w:r>
        <w:rPr>
          <w:color w:val="808080"/>
        </w:rPr>
        <w:t>(kam)</w:t>
      </w:r>
      <w:r>
        <w:rPr/>
        <w:t xml:space="preserve"> eine der Mägde des Hohepriesters,{{field-off:bible}} </w:t>
        <w:br/>
        <w:t>[[@BibleTOBIBLE:Mk 14:67]]</w:t>
      </w:r>
      <w:r>
        <w:rPr>
          <w:b/>
        </w:rPr>
        <w:t>67</w:t>
      </w:r>
      <w:r>
        <w:rPr/>
        <w:t xml:space="preserve"> {{field-on:bible}}und als sie sah, dass Petrus sich wärmte, blickte sie ihn an und sagt</w:t>
      </w:r>
      <w:r>
        <w:rPr>
          <w:b/>
          <w:color w:val="808080"/>
        </w:rPr>
        <w:t>[</w:t>
      </w:r>
      <w:r>
        <w:rPr/>
        <w:t>e</w:t>
      </w:r>
      <w:r>
        <w:rPr>
          <w:b/>
          <w:color w:val="808080"/>
        </w:rPr>
        <w:t>]</w:t>
      </w:r>
      <w:r>
        <w:rPr/>
        <w:t>: „Auch du warst mit</w:t>
      </w:r>
      <w:r>
        <w:rPr>
          <w:rStyle w:val="Funotenanker"/>
        </w:rPr>
        <w:footnoteReference w:customMarkFollows="1" w:id="2376"/>
        <w:t>cy</w:t>
      </w:r>
      <w:r>
        <w:rPr/>
        <w:t xml:space="preserve"> dem Nazarener Jesus!“{{field-off:bible}} </w:t>
        <w:br/>
        <w:t>[[@BibleTOBIBLE:Mk 14:68]]</w:t>
      </w:r>
      <w:r>
        <w:rPr>
          <w:b/>
        </w:rPr>
        <w:t>68</w:t>
      </w:r>
      <w:r>
        <w:rPr/>
        <w:t xml:space="preserve"> {{field-on:bible}}Aber er leugnete</w:t>
      </w:r>
      <w:r>
        <w:rPr>
          <w:rStyle w:val="Funotenanker"/>
        </w:rPr>
        <w:footnoteReference w:customMarkFollows="1" w:id="2377"/>
        <w:t>cz</w:t>
      </w:r>
      <w:r>
        <w:rPr/>
        <w:t xml:space="preserve"> und sagte: „Weder weiß ich noch verstehe ich, was du sagst.“</w:t>
      </w:r>
      <w:r>
        <w:rPr>
          <w:rStyle w:val="Funotenanker"/>
        </w:rPr>
        <w:footnoteReference w:customMarkFollows="1" w:id="2378"/>
        <w:t>da</w:t>
      </w:r>
      <w:r>
        <w:rPr/>
        <w:t xml:space="preserve"> Und er ging hinaus nach draußen in den Vorhof,</w:t>
      </w:r>
      <w:r>
        <w:rPr>
          <w:rStyle w:val="Funotenanker"/>
        </w:rPr>
        <w:footnoteReference w:customMarkFollows="1" w:id="2379"/>
        <w:t>db</w:t>
      </w:r>
      <w:r>
        <w:rPr/>
        <w:t xml:space="preserve"> </w:t>
      </w:r>
      <w:r>
        <w:rPr>
          <w:strike/>
          <w:color w:val="808080"/>
        </w:rPr>
        <w:t>{und ein Hahn krähte}</w:t>
      </w:r>
      <w:r>
        <w:rPr/>
        <w:t>.</w:t>
      </w:r>
      <w:r>
        <w:rPr>
          <w:rStyle w:val="Funotenanker"/>
        </w:rPr>
        <w:footnoteReference w:customMarkFollows="1" w:id="2380"/>
        <w:t>dc</w:t>
      </w:r>
      <w:r>
        <w:rPr/>
        <w:t xml:space="preserve"> {{field-off:bible}} </w:t>
        <w:br/>
        <w:t>[[@BibleTOBIBLE:Mk 14:69]]</w:t>
      </w:r>
      <w:r>
        <w:rPr>
          <w:b/>
        </w:rPr>
        <w:t>69</w:t>
      </w:r>
      <w:r>
        <w:rPr/>
        <w:t xml:space="preserve"> {{field-on:bible}}Und als die Magd ihn sah, sagte</w:t>
      </w:r>
      <w:r>
        <w:rPr>
          <w:rStyle w:val="Funotenanker"/>
        </w:rPr>
        <w:footnoteReference w:customMarkFollows="1" w:id="2381"/>
        <w:t>dd</w:t>
      </w:r>
      <w:r>
        <w:rPr/>
        <w:t xml:space="preserve"> sie erneut zu den Dabeistehenden: „Dieser gehört zu</w:t>
      </w:r>
      <w:r>
        <w:rPr>
          <w:rStyle w:val="Funotenanker"/>
        </w:rPr>
        <w:footnoteReference w:customMarkFollows="1" w:id="2382"/>
        <w:t>de</w:t>
      </w:r>
      <w:r>
        <w:rPr/>
        <w:t xml:space="preserve"> ihnen!“{{field-off:bible}} </w:t>
        <w:br/>
        <w:t>[[@BibleTOBIBLE:Mk 14:70]]</w:t>
      </w:r>
      <w:r>
        <w:rPr>
          <w:b/>
        </w:rPr>
        <w:t>70</w:t>
      </w:r>
      <w:r>
        <w:rPr/>
        <w:t xml:space="preserve"> {{field-on:bible}}Aber er leugnete wieder. Und kurz danach sagten diejenigen, die dabeistanden, erneut zu Petrus: „Wahrhaftig, du gehörst zu ihnen, denn du bist auch ein Galiläer!“</w:t>
      </w:r>
      <w:r>
        <w:rPr>
          <w:rStyle w:val="Funotenanker"/>
        </w:rPr>
        <w:footnoteReference w:customMarkFollows="1" w:id="2383"/>
        <w:t>df</w:t>
      </w:r>
      <w:r>
        <w:rPr/>
        <w:t xml:space="preserve"> {{field-off:bible}} </w:t>
        <w:br/>
        <w:t>[[@BibleTOBIBLE:Mk 14:71]]</w:t>
      </w:r>
      <w:r>
        <w:rPr>
          <w:b/>
        </w:rPr>
        <w:t>71</w:t>
      </w:r>
      <w:r>
        <w:rPr/>
        <w:t xml:space="preserve"> {{field-on:bible}}Er aber verfluchte</w:t>
      </w:r>
      <w:r>
        <w:rPr>
          <w:rStyle w:val="Funotenanker"/>
        </w:rPr>
        <w:footnoteReference w:customMarkFollows="1" w:id="2384"/>
        <w:t>dg</w:t>
      </w:r>
      <w:r>
        <w:rPr/>
        <w:t xml:space="preserve"> und zu schwor: „Ich kenne diesen Menschen nicht, </w:t>
      </w:r>
      <w:r>
        <w:rPr>
          <w:b/>
          <w:color w:val="808080"/>
        </w:rPr>
        <w:t>[</w:t>
      </w:r>
      <w:r>
        <w:rPr/>
        <w:t>von</w:t>
      </w:r>
      <w:r>
        <w:rPr>
          <w:b/>
          <w:color w:val="808080"/>
        </w:rPr>
        <w:t>]</w:t>
      </w:r>
      <w:r>
        <w:rPr/>
        <w:t xml:space="preserve"> den ihr sprecht!“{{field-off:bible}} </w:t>
        <w:br/>
        <w:t>[[@BibleTOBIBLE:Mk 14:72]]</w:t>
      </w:r>
      <w:r>
        <w:rPr>
          <w:b/>
        </w:rPr>
        <w:t>72</w:t>
      </w:r>
      <w:r>
        <w:rPr/>
        <w:t xml:space="preserve"> {{field-on:bible}}Und sogleich krähte zum zweiten Mal </w:t>
      </w:r>
      <w:r>
        <w:rPr>
          <w:color w:val="808080"/>
        </w:rPr>
        <w:t>(</w:t>
      </w:r>
      <w:r>
        <w:rPr>
          <w:strike/>
          <w:color w:val="808080"/>
        </w:rPr>
        <w:t>{zum zweiten Mal}</w:t>
      </w:r>
      <w:r>
        <w:rPr>
          <w:color w:val="808080"/>
        </w:rPr>
        <w:t>)</w:t>
      </w:r>
      <w:r>
        <w:rPr/>
        <w:t xml:space="preserve"> ein Hahn. Da erinnerte sich Petrus an das Wort, wie</w:t>
      </w:r>
      <w:r>
        <w:rPr>
          <w:rStyle w:val="Funotenanker"/>
        </w:rPr>
        <w:footnoteReference w:customMarkFollows="1" w:id="2385"/>
        <w:t>dh</w:t>
      </w:r>
      <w:r>
        <w:rPr/>
        <w:t xml:space="preserve"> Jesus zu ihm gesagt hatte: „Bevor dem zweimaligen Krähen des Hahns wirst du mich dreimal verleugnen.“ Und er brach in Tränen aus.</w:t>
      </w:r>
      <w:r>
        <w:rPr>
          <w:rStyle w:val="Funotenanker"/>
        </w:rPr>
        <w:footnoteReference w:customMarkFollows="1" w:id="2386"/>
        <w:t>di</w:t>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387"/>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388"/>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389"/>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390"/>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391"/>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Schädels.{{field-off:bible}}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392"/>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393"/>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sechsten Stunde, geschah eine Finsternis über dem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394"/>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395"/>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396"/>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397"/>
        <w:t>Status</w:t>
      </w:r>
      <w:r>
        <w:rPr/>
        <w:t xml:space="preserve"> Und als der Sabbat vorüber war</w:t>
      </w:r>
      <w:r>
        <w:rPr>
          <w:rStyle w:val="Funotenanker"/>
        </w:rPr>
        <w:footnoteReference w:customMarkFollows="1" w:id="2398"/>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399"/>
        <w:t>b</w:t>
      </w:r>
      <w:r>
        <w:rPr/>
        <w:t xml:space="preserve"> und Salome Spezereien </w:t>
      </w:r>
      <w:r>
        <w:rPr>
          <w:color w:val="808080"/>
        </w:rPr>
        <w:t>(wohlriechende Kräuter, Gewürze)</w:t>
      </w:r>
      <w:r>
        <w:rPr/>
        <w:t xml:space="preserve"> </w:t>
      </w:r>
      <w:r>
        <w:rPr>
          <w:rStyle w:val="Funotenanker"/>
        </w:rPr>
        <w:footnoteReference w:customMarkFollows="1" w:id="2400"/>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401"/>
        <w:t>d</w:t>
      </w:r>
      <w:r>
        <w:rPr/>
        <w:t xml:space="preserve"> gingen sie zum Grab, während </w:t>
      </w:r>
      <w:r>
        <w:rPr>
          <w:color w:val="808080"/>
        </w:rPr>
        <w:t>(als)</w:t>
      </w:r>
      <w:r>
        <w:rPr/>
        <w:t xml:space="preserve"> die Sonne aufging</w:t>
      </w:r>
      <w:r>
        <w:rPr>
          <w:rStyle w:val="Funotenanker"/>
        </w:rPr>
        <w:footnoteReference w:customMarkFollows="1" w:id="2402"/>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403"/>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404"/>
        <w:t>g</w:t>
      </w:r>
      <w:r>
        <w:rPr/>
        <w:t xml:space="preserve"> in das Grab, sahen</w:t>
      </w:r>
      <w:r>
        <w:rPr>
          <w:rStyle w:val="Funotenanker"/>
        </w:rPr>
        <w:footnoteReference w:customMarkFollows="1" w:id="2405"/>
        <w:t>h</w:t>
      </w:r>
      <w:r>
        <w:rPr/>
        <w:t xml:space="preserve"> sie einen Jüngling zur Rechten </w:t>
      </w:r>
      <w:r>
        <w:rPr>
          <w:color w:val="808080"/>
        </w:rPr>
        <w:t>(auf der rechten Seite)</w:t>
      </w:r>
      <w:r>
        <w:rPr/>
        <w:t xml:space="preserve"> </w:t>
      </w:r>
      <w:r>
        <w:rPr>
          <w:rStyle w:val="Funotenanker"/>
        </w:rPr>
        <w:footnoteReference w:customMarkFollows="1" w:id="2406"/>
        <w:t>i</w:t>
      </w:r>
      <w:r>
        <w:rPr/>
        <w:t xml:space="preserve"> sitzen, der ein weißes Gewand an</w:t>
      </w:r>
      <w:r>
        <w:rPr>
          <w:color w:val="808080"/>
        </w:rPr>
        <w:t>(gezogen)</w:t>
      </w:r>
      <w:r>
        <w:rPr/>
        <w:t xml:space="preserve"> </w:t>
      </w:r>
      <w:r>
        <w:rPr>
          <w:rStyle w:val="Funotenanker"/>
        </w:rPr>
        <w:footnoteReference w:customMarkFollows="1" w:id="2407"/>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408"/>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409"/>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410"/>
        <w:t>m</w:t>
      </w:r>
      <w:r>
        <w:rPr/>
        <w:t xml:space="preserve"> euch vorangeht nach Galiläa</w:t>
      </w:r>
      <w:r>
        <w:rPr>
          <w:rStyle w:val="Funotenanker"/>
        </w:rPr>
        <w:footnoteReference w:customMarkFollows="1" w:id="2411"/>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412"/>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413"/>
        <w:t>p</w:t>
      </w:r>
      <w:r>
        <w:rPr/>
        <w:t xml:space="preserve">. Und sie sagten keinem </w:t>
      </w:r>
      <w:r>
        <w:rPr>
          <w:color w:val="808080"/>
        </w:rPr>
        <w:t>(niemandem)</w:t>
      </w:r>
      <w:r>
        <w:rPr/>
        <w:t xml:space="preserve"> etwas; denn</w:t>
      </w:r>
      <w:r>
        <w:rPr>
          <w:rStyle w:val="Funotenanker"/>
        </w:rPr>
        <w:footnoteReference w:customMarkFollows="1" w:id="2414"/>
        <w:t>q</w:t>
      </w:r>
      <w:r>
        <w:rPr/>
        <w:t xml:space="preserve"> sie fürchteten sich. </w:t>
      </w:r>
      <w:r>
        <w:rPr>
          <w:rStyle w:val="Funotenanker"/>
        </w:rPr>
        <w:footnoteReference w:customMarkFollows="1" w:id="2415"/>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416"/>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417"/>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418"/>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419"/>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420"/>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421"/>
        <w:t>Status</w:t>
      </w:r>
      <w:r>
        <w:rPr/>
        <w:t xml:space="preserve"> Und Maria</w:t>
      </w:r>
      <w:r>
        <w:rPr>
          <w:rStyle w:val="Funotenanker"/>
        </w:rPr>
        <w:footnoteReference w:customMarkFollows="1" w:id="2422"/>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423"/>
        <w:t>b</w:t>
      </w:r>
      <w:r>
        <w:rPr/>
        <w:t xml:space="preserve"> preist </w:t>
      </w:r>
      <w:r>
        <w:rPr>
          <w:color w:val="808080"/>
        </w:rPr>
        <w:t>(macht groß</w:t>
      </w:r>
      <w:r>
        <w:rPr/>
        <w:t xml:space="preserve"> </w:t>
      </w:r>
      <w:r>
        <w:rPr>
          <w:rStyle w:val="Funotenanker"/>
        </w:rPr>
        <w:footnoteReference w:customMarkFollows="1" w:id="2424"/>
        <w:t>c</w:t>
      </w:r>
      <w:r>
        <w:rPr/>
        <w:t xml:space="preserve"> </w:t>
      </w:r>
      <w:r>
        <w:rPr>
          <w:color w:val="808080"/>
        </w:rPr>
        <w:t>, dankt)</w:t>
      </w:r>
      <w:r>
        <w:rPr/>
        <w:t xml:space="preserve"> </w:t>
      </w:r>
      <w:r>
        <w:rPr>
          <w:rStyle w:val="Funotenanker"/>
        </w:rPr>
        <w:footnoteReference w:customMarkFollows="1" w:id="2425"/>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426"/>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427"/>
        <w:t>f</w:t>
      </w:r>
      <w:r>
        <w:rPr/>
        <w:t xml:space="preserve"> seiner Sklavin </w:t>
      </w:r>
      <w:r>
        <w:rPr>
          <w:color w:val="808080"/>
        </w:rPr>
        <w:t>(Magd)</w:t>
      </w:r>
      <w:r>
        <w:rPr/>
        <w:t xml:space="preserve"> </w:t>
      </w:r>
      <w:r>
        <w:rPr>
          <w:rStyle w:val="Funotenanker"/>
        </w:rPr>
        <w:footnoteReference w:customMarkFollows="1" w:id="2428"/>
        <w:t>g</w:t>
      </w:r>
      <w:r>
        <w:rPr/>
        <w:t xml:space="preserve"> hat er geschaut </w:t>
      </w:r>
      <w:r>
        <w:rPr>
          <w:color w:val="808080"/>
        </w:rPr>
        <w:t>(sich angenommen)</w:t>
      </w:r>
      <w:r>
        <w:rPr/>
        <w:t xml:space="preserve"> </w:t>
      </w:r>
      <w:r>
        <w:rPr>
          <w:rStyle w:val="Funotenanker"/>
        </w:rPr>
        <w:footnoteReference w:customMarkFollows="1" w:id="2429"/>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430"/>
        <w:t>i</w:t>
      </w:r>
      <w:r>
        <w:rPr/>
        <w:t xml:space="preserve"> von nun an halten für glücklich </w:t>
      </w:r>
      <w:r>
        <w:rPr>
          <w:color w:val="808080"/>
        </w:rPr>
        <w:t>(werden mich für glücklich halten)</w:t>
      </w:r>
      <w:r>
        <w:rPr/>
        <w:t xml:space="preserve"> </w:t>
      </w:r>
      <w:r>
        <w:rPr>
          <w:rStyle w:val="Funotenanker"/>
        </w:rPr>
        <w:footnoteReference w:customMarkFollows="1" w:id="2431"/>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432"/>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433"/>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434"/>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435"/>
        <w:t>n</w:t>
      </w:r>
      <w:r>
        <w:rPr/>
        <w:t xml:space="preserve"> seine Huld </w:t>
      </w:r>
      <w:r>
        <w:rPr>
          <w:color w:val="808080"/>
        </w:rPr>
        <w:t>(Gnade, Erbarmen, Barmherzigkeit)</w:t>
      </w:r>
      <w:r>
        <w:rPr/>
        <w:t xml:space="preserve"> </w:t>
      </w:r>
      <w:r>
        <w:rPr>
          <w:rStyle w:val="Funotenanker"/>
        </w:rPr>
        <w:footnoteReference w:customMarkFollows="1" w:id="2436"/>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437"/>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438"/>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439"/>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440"/>
        <w:t>s</w:t>
      </w:r>
      <w:r>
        <w:rPr/>
        <w:t xml:space="preserve"> mit seinem Arm </w:t>
      </w:r>
      <w:r>
        <w:rPr>
          <w:color w:val="808080"/>
        </w:rPr>
        <w:t>(Macht)</w:t>
      </w:r>
      <w:r>
        <w:rPr/>
        <w:t>:</w:t>
      </w:r>
      <w:r>
        <w:rPr>
          <w:rStyle w:val="Funotenanker"/>
        </w:rPr>
        <w:footnoteReference w:customMarkFollows="1" w:id="2441"/>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442"/>
        <w:t>u</w:t>
      </w:r>
      <w:r>
        <w:rPr/>
        <w:t xml:space="preserve"> Hochmütige </w:t>
      </w:r>
      <w:r>
        <w:rPr>
          <w:color w:val="808080"/>
        </w:rPr>
        <w:t>(Stolze)</w:t>
      </w:r>
      <w:r>
        <w:rPr/>
        <w:t xml:space="preserve"> </w:t>
      </w:r>
      <w:r>
        <w:rPr>
          <w:rStyle w:val="Funotenanker"/>
        </w:rPr>
        <w:footnoteReference w:customMarkFollows="1" w:id="2443"/>
        <w:t>v</w:t>
      </w:r>
      <w:r>
        <w:rPr/>
        <w:t xml:space="preserve"> an der Gesinnung ihres Gemüts </w:t>
      </w:r>
      <w:r>
        <w:rPr>
          <w:color w:val="808080"/>
        </w:rPr>
        <w:t>(Hochmütige)</w:t>
      </w:r>
      <w:r>
        <w:rPr/>
        <w:t xml:space="preserve"> </w:t>
      </w:r>
      <w:r>
        <w:rPr>
          <w:rStyle w:val="Funotenanker"/>
        </w:rPr>
        <w:footnoteReference w:customMarkFollows="1" w:id="2444"/>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445"/>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446"/>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447"/>
        <w:t>z</w:t>
      </w:r>
      <w:r>
        <w:rPr/>
        <w:t xml:space="preserve"> bereichert </w:t>
      </w:r>
      <w:r>
        <w:rPr>
          <w:color w:val="808080"/>
        </w:rPr>
        <w:t>(füllt, sättigt)</w:t>
      </w:r>
      <w:r>
        <w:rPr/>
        <w:t xml:space="preserve"> </w:t>
      </w:r>
      <w:r>
        <w:rPr>
          <w:rStyle w:val="Funotenanker"/>
        </w:rPr>
        <w:footnoteReference w:customMarkFollows="1" w:id="2448"/>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449"/>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450"/>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451"/>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452"/>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453"/>
        <w:t>Status</w:t>
      </w:r>
      <w:r>
        <w:rPr/>
        <w:t xml:space="preserve"> Im fünfzehnten Herrschaftsjahr </w:t>
      </w:r>
      <w:r>
        <w:rPr>
          <w:strike/>
          <w:color w:val="808080"/>
        </w:rPr>
        <w:t>{aber}</w:t>
      </w:r>
      <w:r>
        <w:rPr/>
        <w:t xml:space="preserve"> des Kaisers Tiberius, als</w:t>
      </w:r>
      <w:r>
        <w:rPr>
          <w:rStyle w:val="Funotenanker"/>
        </w:rPr>
        <w:footnoteReference w:customMarkFollows="1" w:id="2454"/>
        <w:t>a</w:t>
      </w:r>
      <w:r>
        <w:rPr/>
        <w:t xml:space="preserve"> Pontius Pilatus über Judäa herrschte und als Herodes Vierfürst </w:t>
      </w:r>
      <w:r>
        <w:rPr>
          <w:color w:val="808080"/>
        </w:rPr>
        <w:t>(Tetrarch)</w:t>
      </w:r>
      <w:r>
        <w:rPr/>
        <w:t xml:space="preserve"> </w:t>
      </w:r>
      <w:r>
        <w:rPr>
          <w:rStyle w:val="Funotenanker"/>
        </w:rPr>
        <w:footnoteReference w:customMarkFollows="1" w:id="2455"/>
        <w:t>b</w:t>
      </w:r>
      <w:r>
        <w:rPr/>
        <w:t xml:space="preserve"> über Galiläa war, sein Bruder Philippus </w:t>
      </w:r>
      <w:r>
        <w:rPr>
          <w:strike/>
          <w:color w:val="808080"/>
        </w:rPr>
        <w:t>{aber}</w:t>
      </w:r>
      <w:r>
        <w:rPr/>
        <w:t xml:space="preserve"> Vierfürst über Ituräa und das trachonitische Gebiet sowie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456"/>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457"/>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458"/>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459"/>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460"/>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antwortete er </w:t>
      </w:r>
      <w:r>
        <w:rPr>
          <w:b/>
          <w:color w:val="808080"/>
        </w:rPr>
        <w:t>[</w:t>
      </w:r>
      <w:r>
        <w:rPr/>
        <w:t>jeweils</w:t>
      </w:r>
      <w:r>
        <w:rPr>
          <w:b/>
          <w:color w:val="808080"/>
        </w:rPr>
        <w:t>]</w:t>
      </w:r>
      <w:r>
        <w:rPr/>
        <w:t xml:space="preserve"> </w:t>
      </w:r>
      <w:r>
        <w:rPr>
          <w:rStyle w:val="Funotenanker"/>
        </w:rPr>
        <w:footnoteReference w:customMarkFollows="1" w:id="2461"/>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w:t>
      </w:r>
      <w:r>
        <w:rPr>
          <w:strike/>
          <w:color w:val="808080"/>
        </w:rPr>
        <w:t>{aber}</w:t>
      </w:r>
      <w:r>
        <w:rPr/>
        <w:t xml:space="preserve">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{{field-on:bible}}Als </w:t>
      </w:r>
      <w:r>
        <w:rPr>
          <w:color w:val="808080"/>
        </w:rPr>
        <w:t>(weil)</w:t>
      </w:r>
      <w:r>
        <w:rPr/>
        <w:t xml:space="preserve"> wiederum </w:t>
      </w:r>
      <w:r>
        <w:rPr>
          <w:color w:val="808080"/>
        </w:rPr>
        <w:t>(aber)</w:t>
      </w:r>
      <w:r>
        <w:rPr/>
        <w:t xml:space="preserve">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w:t>
      </w:r>
      <w:r>
        <w:rPr>
          <w:color w:val="808080"/>
        </w:rPr>
        <w:t>(Messias, Gesalbte)</w:t>
      </w:r>
      <w:r>
        <w:rPr/>
        <w:t xml:space="preserve">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462"/>
        <w:t>i</w:t>
      </w:r>
      <w:r>
        <w:rPr/>
        <w:t xml:space="preserve"> stärker ist als ich; ich bin unwürdig, diesem</w:t>
      </w:r>
      <w:r>
        <w:rPr>
          <w:rStyle w:val="Funotenanker"/>
        </w:rPr>
        <w:footnoteReference w:customMarkFollows="1" w:id="2463"/>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464"/>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465"/>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466"/>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467"/>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468"/>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469"/>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470"/>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471"/>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472"/>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473"/>
        <w:t>e</w:t>
      </w:r>
      <w:r>
        <w:rPr/>
        <w:t xml:space="preserve"> er ihnen zu: „Männer </w:t>
      </w:r>
      <w:r>
        <w:rPr>
          <w:color w:val="808080"/>
        </w:rPr>
        <w:t>(Kinder)</w:t>
      </w:r>
      <w:r>
        <w:rPr/>
        <w:t xml:space="preserve"> </w:t>
      </w:r>
      <w:r>
        <w:rPr>
          <w:rStyle w:val="Funotenanker"/>
        </w:rPr>
        <w:footnoteReference w:customMarkFollows="1" w:id="2474"/>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475"/>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476"/>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477"/>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478"/>
        <w:t>j</w:t>
      </w:r>
      <w:r>
        <w:rPr/>
        <w:t xml:space="preserve"> und stürzte sich ins Meer </w:t>
      </w:r>
      <w:r>
        <w:rPr>
          <w:color w:val="808080"/>
        </w:rPr>
        <w:t>(in den See)</w:t>
      </w:r>
      <w:r>
        <w:rPr/>
        <w:t xml:space="preserve"> </w:t>
      </w:r>
      <w:r>
        <w:rPr>
          <w:rStyle w:val="Funotenanker"/>
        </w:rPr>
        <w:footnoteReference w:customMarkFollows="1" w:id="2479"/>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480"/>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481"/>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482"/>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483"/>
        <w:t>o</w:t>
      </w:r>
      <w:r>
        <w:rPr/>
        <w:t>, und obwohl es so viele waren,</w:t>
      </w:r>
      <w:r>
        <w:rPr>
          <w:rStyle w:val="Funotenanker"/>
        </w:rPr>
        <w:footnoteReference w:customMarkFollows="1" w:id="2484"/>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485"/>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486"/>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487"/>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488"/>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489"/>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490"/>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491"/>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492"/>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493"/>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494"/>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495"/>
        <w:t>Status</w:t>
      </w:r>
      <w:r>
        <w:rPr/>
        <w:t xml:space="preserve"> Und als sich der Tag des Wochenfests</w:t>
      </w:r>
      <w:r>
        <w:rPr>
          <w:rStyle w:val="Funotenanker"/>
        </w:rPr>
        <w:footnoteReference w:customMarkFollows="1" w:id="2496"/>
        <w:t>a</w:t>
      </w:r>
      <w:r>
        <w:rPr/>
        <w:t xml:space="preserve"> erfüllte </w:t>
      </w:r>
      <w:r>
        <w:rPr>
          <w:color w:val="808080"/>
        </w:rPr>
        <w:t>(zu Ende ging)</w:t>
      </w:r>
      <w:r>
        <w:rPr/>
        <w:t>,</w:t>
      </w:r>
      <w:r>
        <w:rPr>
          <w:rStyle w:val="Funotenanker"/>
        </w:rPr>
        <w:footnoteReference w:customMarkFollows="1" w:id="2497"/>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498"/>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499"/>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500"/>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501"/>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502"/>
        <w:t>g</w:t>
      </w:r>
      <w:r>
        <w:rPr/>
        <w:t xml:space="preserve"> </w:t>
      </w:r>
      <w:r>
        <w:rPr>
          <w:strike/>
          <w:color w:val="808080"/>
        </w:rPr>
        <w:t>{aber}</w:t>
      </w:r>
      <w:r>
        <w:rPr/>
        <w:t xml:space="preserve"> Juden in Jerusalem, fromme</w:t>
      </w:r>
      <w:r>
        <w:rPr>
          <w:rStyle w:val="Funotenanker"/>
        </w:rPr>
        <w:footnoteReference w:customMarkFollows="1" w:id="2503"/>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504"/>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505"/>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506"/>
        <w:t>k</w:t>
      </w:r>
      <w:r>
        <w:rPr/>
        <w:t xml:space="preserve"> und Meder und Elamiter und die Bewohner von Mesopotamien, vom Judäischen</w:t>
      </w:r>
      <w:r>
        <w:rPr>
          <w:rStyle w:val="Funotenanker"/>
        </w:rPr>
        <w:footnoteReference w:customMarkFollows="1" w:id="2507"/>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508"/>
        <w:t>m</w:t>
      </w:r>
      <w:r>
        <w:rPr/>
        <w:t xml:space="preserve"> Kreter und Araber - wir hören sie in unseren Zungen die Großtaten Gottes rühmen!“</w:t>
      </w:r>
      <w:r>
        <w:rPr>
          <w:rStyle w:val="Funotenanker"/>
        </w:rPr>
        <w:footnoteReference w:customMarkFollows="1" w:id="2509"/>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510"/>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511"/>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512"/>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513"/>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514"/>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515"/>
        <w:t>t</w:t>
      </w:r>
      <w:r>
        <w:rPr/>
        <w:t xml:space="preserve"> –,{{field-off:bible}} </w:t>
        <w:br/>
        <w:t>[[@BibleTOBIBLE:Ac 2:16]]</w:t>
      </w:r>
      <w:r>
        <w:rPr>
          <w:b/>
        </w:rPr>
        <w:t>16</w:t>
      </w:r>
      <w:r>
        <w:rPr/>
        <w:t xml:space="preserve"> {{field-on:bible}}sondern: Dies ist</w:t>
      </w:r>
      <w:r>
        <w:rPr>
          <w:rStyle w:val="Funotenanker"/>
        </w:rPr>
        <w:footnoteReference w:customMarkFollows="1" w:id="2516"/>
        <w:t>u</w:t>
      </w:r>
      <w:r>
        <w:rPr/>
        <w:t xml:space="preserve"> das durch den Propheten Joel Vorhergesagte:</w:t>
      </w:r>
      <w:r>
        <w:rPr>
          <w:rStyle w:val="Funotenanker"/>
        </w:rPr>
        <w:footnoteReference w:customMarkFollows="1" w:id="2517"/>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518"/>
        <w:t>w</w:t>
      </w:r>
      <w:r>
        <w:rPr/>
        <w:t xml:space="preserve"> in den Letzten Tagen:«</w:t>
      </w:r>
      <w:r>
        <w:rPr>
          <w:rStyle w:val="Funotenanker"/>
        </w:rPr>
        <w:footnoteReference w:customMarkFollows="1" w:id="2519"/>
        <w:t>x</w:t>
      </w:r>
      <w:r>
        <w:rPr/>
        <w:t xml:space="preserve"> – sagt Gott</w:t>
      </w:r>
      <w:r>
        <w:rPr>
          <w:rStyle w:val="Funotenanker"/>
        </w:rPr>
        <w:footnoteReference w:customMarkFollows="1" w:id="2520"/>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521"/>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522"/>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523"/>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524"/>
        <w:t>ac</w:t>
      </w:r>
      <w:r>
        <w:rPr/>
        <w:t xml:space="preserve">Vor dem Kommen des Tags des Herrn, des großen und sichtbaren </w:t>
      </w:r>
      <w:r>
        <w:rPr>
          <w:color w:val="808080"/>
        </w:rPr>
        <w:t>(prachtvollen)</w:t>
      </w:r>
      <w:r>
        <w:rPr/>
        <w:t>.</w:t>
      </w:r>
      <w:r>
        <w:rPr>
          <w:rStyle w:val="Funotenanker"/>
        </w:rPr>
        <w:footnoteReference w:customMarkFollows="1" w:id="2525"/>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526"/>
        <w:t>ae</w:t>
      </w:r>
      <w:r>
        <w:rPr/>
        <w:t xml:space="preserve"> Jeder, der den Namen des Herrn anruft,</w:t>
      </w:r>
      <w:r>
        <w:rPr>
          <w:rStyle w:val="Funotenanker"/>
        </w:rPr>
        <w:footnoteReference w:customMarkFollows="1" w:id="2527"/>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528"/>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529"/>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530"/>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531"/>
        <w:t>aj</w:t>
      </w:r>
      <w:r>
        <w:rPr/>
        <w:t xml:space="preserve"> des Todes löste, weil es nicht möglich war, dass er unter ihm gehalten wurde.</w:t>
      </w:r>
      <w:r>
        <w:rPr>
          <w:rStyle w:val="Funotenanker"/>
        </w:rPr>
        <w:footnoteReference w:customMarkFollows="1" w:id="2532"/>
        <w:t>ak</w:t>
      </w:r>
      <w:r>
        <w:rPr/>
        <w:t xml:space="preserve"> {{field-off:bible}} </w:t>
        <w:br/>
        <w:t>[[@BibleTOBIBLE:Ac 2:25]]</w:t>
      </w:r>
      <w:r>
        <w:rPr>
          <w:b/>
        </w:rPr>
        <w:t>25</w:t>
      </w:r>
      <w:r>
        <w:rPr/>
        <w:t xml:space="preserve"> {{field-on:bible}}Denn</w:t>
      </w:r>
      <w:r>
        <w:rPr>
          <w:rStyle w:val="Funotenanker"/>
        </w:rPr>
        <w:footnoteReference w:customMarkFollows="1" w:id="2533"/>
        <w:t>al</w:t>
      </w:r>
      <w:r>
        <w:rPr/>
        <w:t xml:space="preserve"> David sagt über ihn: </w:t>
        <w:br/>
        <w:t>»Ich hatte den Herrn vor mir vor Augen</w:t>
      </w:r>
      <w:r>
        <w:rPr>
          <w:rStyle w:val="Funotenanker"/>
        </w:rPr>
        <w:footnoteReference w:customMarkFollows="1" w:id="2534"/>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535"/>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536"/>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537"/>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538"/>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539"/>
        <w:t>ar</w:t>
      </w:r>
      <w:r>
        <w:rPr/>
        <w:t xml:space="preserve"> kundgetan,Du wirst mich erfüllen mit Freude vor deinem Gesicht.«</w:t>
      </w:r>
      <w:r>
        <w:rPr>
          <w:rStyle w:val="Funotenanker"/>
        </w:rPr>
        <w:footnoteReference w:customMarkFollows="1" w:id="2540"/>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541"/>
        <w:t>at</w:t>
      </w:r>
      <w:r>
        <w:rPr/>
        <w:t xml:space="preserve"> {{field-off:bible}} </w:t>
        <w:br/>
        <w:t>[[@BibleTOBIBLE:Ac 2:30]]</w:t>
      </w:r>
      <w:r>
        <w:rPr>
          <w:b/>
        </w:rPr>
        <w:t>30</w:t>
      </w:r>
      <w:r>
        <w:rPr/>
        <w:t xml:space="preserve"> {{field-on:bible}}Weil er nun ein Prophet</w:t>
      </w:r>
      <w:r>
        <w:rPr>
          <w:rStyle w:val="Funotenanker"/>
        </w:rPr>
        <w:footnoteReference w:customMarkFollows="1" w:id="2542"/>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543"/>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544"/>
        <w:t>aw</w:t>
      </w:r>
      <w:r>
        <w:rPr/>
        <w:t xml:space="preserve"> </w:t>
      </w:r>
      <w:r>
        <w:rPr>
          <w:strike/>
          <w:color w:val="808080"/>
        </w:rPr>
        <w:t>{sagt[e] er,}</w:t>
      </w:r>
      <w:r>
        <w:rPr/>
        <w:t xml:space="preserve"> </w:t>
      </w:r>
      <w:r>
        <w:rPr>
          <w:rStyle w:val="Funotenanker"/>
        </w:rPr>
        <w:footnoteReference w:customMarkFollows="1" w:id="2545"/>
        <w:t>ax</w:t>
      </w:r>
      <w:r>
        <w:rPr/>
        <w:t xml:space="preserve"> »und es lasse sich taufen ein jeder von euch auf</w:t>
      </w:r>
      <w:r>
        <w:rPr>
          <w:rStyle w:val="Funotenanker"/>
        </w:rPr>
        <w:footnoteReference w:customMarkFollows="1" w:id="2546"/>
        <w:t>ay</w:t>
      </w:r>
      <w:r>
        <w:rPr/>
        <w:t xml:space="preserve"> den Namen Jesu Christi</w:t>
      </w:r>
      <w:r>
        <w:rPr>
          <w:rStyle w:val="Funotenanker"/>
        </w:rPr>
        <w:footnoteReference w:customMarkFollows="1" w:id="2547"/>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548"/>
        <w:t>ba</w:t>
      </w:r>
      <w:r>
        <w:rPr/>
        <w:t xml:space="preserve"> und euren Kindern, und allen, die fern</w:t>
      </w:r>
      <w:r>
        <w:rPr>
          <w:rStyle w:val="Funotenanker"/>
        </w:rPr>
        <w:footnoteReference w:customMarkFollows="1" w:id="2549"/>
        <w:t>bb</w:t>
      </w:r>
      <w:r>
        <w:rPr/>
        <w:t xml:space="preserve"> </w:t>
      </w:r>
      <w:r>
        <w:rPr>
          <w:b/>
          <w:color w:val="808080"/>
        </w:rPr>
        <w:t>[</w:t>
      </w:r>
      <w:r>
        <w:rPr/>
        <w:t>sind</w:t>
      </w:r>
      <w:r>
        <w:rPr>
          <w:b/>
          <w:color w:val="808080"/>
        </w:rPr>
        <w:t>]</w:t>
      </w:r>
      <w:r>
        <w:rPr/>
        <w:t>, wie viele auch hinzurufen</w:t>
      </w:r>
      <w:r>
        <w:rPr>
          <w:rStyle w:val="Funotenanker"/>
        </w:rPr>
        <w:footnoteReference w:customMarkFollows="1" w:id="2550"/>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551"/>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552"/>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553"/>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554"/>
        <w:t>bg</w:t>
      </w:r>
      <w:r>
        <w:rPr/>
        <w:t xml:space="preserve"> an der Lehre</w:t>
      </w:r>
      <w:r>
        <w:rPr>
          <w:rStyle w:val="Funotenanker"/>
        </w:rPr>
        <w:footnoteReference w:customMarkFollows="1" w:id="2555"/>
        <w:t>bh</w:t>
      </w:r>
      <w:r>
        <w:rPr/>
        <w:t xml:space="preserve"> der Apostel und an der Gemeinschaft,</w:t>
      </w:r>
      <w:r>
        <w:rPr>
          <w:rStyle w:val="Funotenanker"/>
        </w:rPr>
        <w:footnoteReference w:customMarkFollows="1" w:id="2556"/>
        <w:t>bi</w:t>
      </w:r>
      <w:r>
        <w:rPr/>
        <w:t xml:space="preserve"> </w:t>
      </w:r>
      <w:r>
        <w:rPr>
          <w:color w:val="808080"/>
        </w:rPr>
        <w:t>(dem gemeinschaftlichen Brotbrechen)</w:t>
      </w:r>
      <w:r>
        <w:rPr/>
        <w:t xml:space="preserve"> </w:t>
      </w:r>
      <w:r>
        <w:rPr>
          <w:rStyle w:val="Funotenanker"/>
        </w:rPr>
        <w:footnoteReference w:customMarkFollows="1" w:id="2557"/>
        <w:t>bj</w:t>
      </w:r>
      <w:r>
        <w:rPr/>
        <w:t xml:space="preserve"> dem Brotbrechen</w:t>
      </w:r>
      <w:r>
        <w:rPr>
          <w:rStyle w:val="Funotenanker"/>
        </w:rPr>
        <w:footnoteReference w:customMarkFollows="1" w:id="2558"/>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559"/>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560"/>
        <w:t>bm</w:t>
      </w:r>
      <w:r>
        <w:rPr/>
        <w:t xml:space="preserve"> </w:t>
      </w:r>
      <w:r>
        <w:rPr>
          <w:strike/>
          <w:color w:val="808080"/>
        </w:rPr>
        <w:t>{und}</w:t>
      </w:r>
      <w:r>
        <w:rPr/>
        <w:t xml:space="preserve"> </w:t>
      </w:r>
      <w:r>
        <w:rPr>
          <w:rStyle w:val="Funotenanker"/>
        </w:rPr>
        <w:footnoteReference w:customMarkFollows="1" w:id="2561"/>
        <w:t>bn</w:t>
      </w:r>
      <w:r>
        <w:rPr/>
        <w:t xml:space="preserve"> sie hatten alles gemeinsam:</w:t>
      </w:r>
      <w:r>
        <w:rPr>
          <w:rStyle w:val="Funotenanker"/>
        </w:rPr>
        <w:footnoteReference w:customMarkFollows="1" w:id="2562"/>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563"/>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564"/>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565"/>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566"/>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567"/>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568"/>
        <w:t>b</w:t>
      </w:r>
      <w:r>
        <w:rPr/>
        <w:t xml:space="preserve"> bekannt macht</w:t>
      </w:r>
      <w:r>
        <w:rPr>
          <w:rStyle w:val="Funotenanker"/>
        </w:rPr>
        <w:footnoteReference w:customMarkFollows="1" w:id="2569"/>
        <w:t>c</w:t>
      </w:r>
      <w:r>
        <w:rPr/>
        <w:t xml:space="preserve"> </w:t>
      </w:r>
      <w:r>
        <w:rPr>
          <w:color w:val="808080"/>
        </w:rPr>
        <w:t>(sichtbar macht; sehen lässt; zeigt)</w:t>
      </w:r>
      <w:r>
        <w:rPr/>
        <w:t xml:space="preserve"> </w:t>
      </w:r>
      <w:r>
        <w:rPr>
          <w:rStyle w:val="Funotenanker"/>
        </w:rPr>
        <w:footnoteReference w:customMarkFollows="1" w:id="2570"/>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571"/>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572"/>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573"/>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574"/>
        <w:t>h</w:t>
      </w:r>
      <w:r>
        <w:rPr/>
        <w:t xml:space="preserve"> vor Gott</w:t>
      </w:r>
      <w:r>
        <w:rPr>
          <w:rStyle w:val="Funotenanker"/>
        </w:rPr>
        <w:footnoteReference w:customMarkFollows="1" w:id="2575"/>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576"/>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577"/>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578"/>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579"/>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580"/>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581"/>
        <w:t>d</w:t>
      </w:r>
      <w:r>
        <w:rPr/>
        <w:t xml:space="preserve"> in Christus </w:t>
      </w:r>
      <w:r>
        <w:rPr>
          <w:color w:val="808080"/>
        </w:rPr>
        <w:t>(an Christus Glaubenden)</w:t>
      </w:r>
      <w:r>
        <w:rPr/>
        <w:t xml:space="preserve"> </w:t>
      </w:r>
      <w:r>
        <w:rPr>
          <w:rStyle w:val="Funotenanker"/>
        </w:rPr>
        <w:footnoteReference w:customMarkFollows="1" w:id="2582"/>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583"/>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584"/>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585"/>
        <w:t>h</w:t>
      </w:r>
      <w:r>
        <w:rPr/>
        <w:t xml:space="preserve"> gehört haben</w:t>
      </w:r>
      <w:r>
        <w:rPr>
          <w:rStyle w:val="Funotenanker"/>
        </w:rPr>
        <w:footnoteReference w:customMarkFollows="1" w:id="2586"/>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587"/>
        <w:t>j</w:t>
      </w:r>
      <w:r>
        <w:rPr/>
        <w:t xml:space="preserve"> der </w:t>
      </w:r>
      <w:r>
        <w:rPr>
          <w:color w:val="808080"/>
        </w:rPr>
        <w:t>(durch die)</w:t>
      </w:r>
      <w:r>
        <w:rPr/>
        <w:t xml:space="preserve"> Hoffnung, die im Himmel</w:t>
      </w:r>
      <w:r>
        <w:rPr>
          <w:rStyle w:val="Funotenanker"/>
        </w:rPr>
        <w:footnoteReference w:customMarkFollows="1" w:id="2588"/>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589"/>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590"/>
        <w:t>m</w:t>
      </w:r>
      <w:r>
        <w:rPr/>
        <w:t xml:space="preserve"> gehört habt,{{field-off:bible}} </w:t>
        <w:br/>
        <w:t>[[@BibleTOBIBLE:Col 1:6]]</w:t>
      </w:r>
      <w:r>
        <w:rPr>
          <w:b/>
        </w:rPr>
        <w:t>6</w:t>
      </w:r>
      <w:r>
        <w:rPr/>
        <w:t xml:space="preserve"> {{field-on:bible}}das zu euch gekommen ist,</w:t>
      </w:r>
      <w:r>
        <w:rPr>
          <w:rStyle w:val="Funotenanker"/>
        </w:rPr>
        <w:footnoteReference w:customMarkFollows="1" w:id="2591"/>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592"/>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593"/>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594"/>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595"/>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596"/>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597"/>
        <w:t>t</w:t>
      </w:r>
      <w:r>
        <w:rPr/>
        <w:t xml:space="preserve"> gelernt habt, der ein treuer Diener Christi an unserer Stelle </w:t>
      </w:r>
      <w:r>
        <w:rPr>
          <w:color w:val="808080"/>
        </w:rPr>
        <w:t>(für euch)</w:t>
      </w:r>
      <w:r>
        <w:rPr/>
        <w:t xml:space="preserve"> </w:t>
      </w:r>
      <w:r>
        <w:rPr>
          <w:rStyle w:val="Funotenanker"/>
        </w:rPr>
        <w:footnoteReference w:customMarkFollows="1" w:id="2598"/>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599"/>
        <w:t>v</w:t>
      </w:r>
      <w:r>
        <w:rPr/>
        <w:t xml:space="preserve"> deutlich gemacht </w:t>
      </w:r>
      <w:r>
        <w:rPr>
          <w:color w:val="808080"/>
        </w:rPr>
        <w:t>(aufgezeigt, offenbart)</w:t>
      </w:r>
      <w:r>
        <w:rPr/>
        <w:t xml:space="preserve"> hat.</w:t>
      </w:r>
      <w:r>
        <w:rPr>
          <w:rStyle w:val="Funotenanker"/>
        </w:rPr>
        <w:footnoteReference w:customMarkFollows="1" w:id="2600"/>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601"/>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602"/>
        <w:t>y</w:t>
      </w:r>
      <w:r>
        <w:rPr/>
        <w:t xml:space="preserve"> und innerlich </w:t>
      </w:r>
      <w:r>
        <w:rPr>
          <w:color w:val="808080"/>
        </w:rPr>
        <w:t>(in eurer Gesinnung, Denkweise, Geisteshaltung)</w:t>
      </w:r>
      <w:r>
        <w:rPr/>
        <w:t xml:space="preserve"> </w:t>
      </w:r>
      <w:r>
        <w:rPr>
          <w:rStyle w:val="Funotenanker"/>
        </w:rPr>
        <w:footnoteReference w:customMarkFollows="1" w:id="2603"/>
        <w:t>z</w:t>
      </w:r>
      <w:r>
        <w:rPr/>
        <w:t xml:space="preserve"> Feinde aufgrund </w:t>
      </w:r>
      <w:r>
        <w:rPr>
          <w:color w:val="808080"/>
        </w:rPr>
        <w:t>(in)</w:t>
      </w:r>
      <w:r>
        <w:rPr/>
        <w:t xml:space="preserve"> </w:t>
      </w:r>
      <w:r>
        <w:rPr>
          <w:rStyle w:val="Funotenanker"/>
        </w:rPr>
        <w:footnoteReference w:customMarkFollows="1" w:id="2604"/>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605"/>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606"/>
        <w:t>ac</w:t>
      </w:r>
      <w:r>
        <w:rPr/>
        <w:t xml:space="preserve"> seines fleischlichen Körpers</w:t>
      </w:r>
      <w:r>
        <w:rPr>
          <w:rStyle w:val="Funotenanker"/>
        </w:rPr>
        <w:footnoteReference w:customMarkFollows="1" w:id="2607"/>
        <w:t>ad</w:t>
      </w:r>
      <w:r>
        <w:rPr/>
        <w:t xml:space="preserve"> durch den Tod versöhnt</w:t>
      </w:r>
      <w:r>
        <w:rPr>
          <w:rStyle w:val="Funotenanker"/>
        </w:rPr>
        <w:footnoteReference w:customMarkFollows="1" w:id="2608"/>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609"/>
        <w:t>af</w:t>
      </w:r>
      <w:r>
        <w:rPr/>
        <w:t xml:space="preserve"> zu präsentieren </w:t>
      </w:r>
      <w:r>
        <w:rPr>
          <w:color w:val="808080"/>
        </w:rPr>
        <w:t>(zu machen, vor sich hinzustellen)</w:t>
      </w:r>
      <w:r>
        <w:rPr/>
        <w:t xml:space="preserve"> </w:t>
      </w:r>
      <w:r>
        <w:rPr>
          <w:rStyle w:val="Funotenanker"/>
        </w:rPr>
        <w:footnoteReference w:customMarkFollows="1" w:id="2610"/>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611"/>
        <w:t>ah</w:t>
      </w:r>
      <w:r>
        <w:rPr/>
        <w:t xml:space="preserve"> und sicher, und nicht von der Hoffnung des Evangeliums abgebracht werdet,</w:t>
      </w:r>
      <w:r>
        <w:rPr>
          <w:rStyle w:val="Funotenanker"/>
        </w:rPr>
        <w:footnoteReference w:customMarkFollows="1" w:id="2612"/>
        <w:t>ai</w:t>
      </w:r>
      <w:r>
        <w:rPr/>
        <w:t xml:space="preserve"> das ihr gehört habt, </w:t>
      </w:r>
      <w:r>
        <w:rPr>
          <w:b/>
          <w:color w:val="808080"/>
        </w:rPr>
        <w:t>[</w:t>
      </w:r>
      <w:r>
        <w:rPr/>
        <w:t>des Evangeliums</w:t>
      </w:r>
      <w:r>
        <w:rPr>
          <w:b/>
          <w:color w:val="808080"/>
        </w:rPr>
        <w:t>]</w:t>
      </w:r>
      <w:r>
        <w:rPr/>
        <w:t>,</w:t>
      </w:r>
      <w:r>
        <w:rPr>
          <w:rStyle w:val="Funotenanker"/>
        </w:rPr>
        <w:footnoteReference w:customMarkFollows="1" w:id="2613"/>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614"/>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615"/>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616"/>
        <w:t>a</w:t>
      </w:r>
      <w:r>
        <w:rPr/>
        <w:t xml:space="preserve"> Grüße! </w:t>
      </w:r>
      <w:r>
        <w:rPr>
          <w:rStyle w:val="Funotenanker"/>
        </w:rPr>
        <w:footnoteReference w:customMarkFollows="1" w:id="2617"/>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618"/>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619"/>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620"/>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621"/>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622"/>
        <w:t>g</w:t>
      </w:r>
      <w:r>
        <w:rPr/>
        <w:t xml:space="preserve"> soll ein vollkommenes Werk </w:t>
      </w:r>
      <w:r>
        <w:rPr>
          <w:color w:val="808080"/>
        </w:rPr>
        <w:t>(vollkommenes Handeln)</w:t>
      </w:r>
      <w:r>
        <w:rPr/>
        <w:t xml:space="preserve"> </w:t>
      </w:r>
      <w:r>
        <w:rPr>
          <w:rStyle w:val="Funotenanker"/>
        </w:rPr>
        <w:footnoteReference w:customMarkFollows="1" w:id="2623"/>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624"/>
        <w:t>i</w:t>
      </w:r>
      <w:r>
        <w:rPr/>
        <w:t xml:space="preserve"> , damit </w:t>
      </w:r>
      <w:r>
        <w:rPr>
          <w:color w:val="808080"/>
        </w:rPr>
        <w:t>(:)</w:t>
      </w:r>
      <w:r>
        <w:rPr/>
        <w:t xml:space="preserve"> </w:t>
      </w:r>
      <w:r>
        <w:rPr>
          <w:rStyle w:val="Funotenanker"/>
        </w:rPr>
        <w:footnoteReference w:customMarkFollows="1" w:id="2625"/>
        <w:t>j</w:t>
      </w:r>
      <w:r>
        <w:rPr/>
        <w:t xml:space="preserve"> ihr vollkommen und vollständig und </w:t>
      </w:r>
      <w:r>
        <w:rPr>
          <w:color w:val="808080"/>
        </w:rPr>
        <w:t>(indem, wenn, weil ihr)</w:t>
      </w:r>
      <w:r>
        <w:rPr/>
        <w:t xml:space="preserve"> </w:t>
      </w:r>
      <w:r>
        <w:rPr>
          <w:rStyle w:val="Funotenanker"/>
        </w:rPr>
        <w:footnoteReference w:customMarkFollows="1" w:id="2626"/>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627"/>
        <w:t>l</w:t>
      </w:r>
      <w:r>
        <w:rPr/>
        <w:t xml:space="preserve"> einem </w:t>
      </w:r>
      <w:r>
        <w:rPr>
          <w:color w:val="808080"/>
        </w:rPr>
        <w:t>(jemandem)</w:t>
      </w:r>
      <w:r>
        <w:rPr/>
        <w:t xml:space="preserve"> </w:t>
      </w:r>
      <w:r>
        <w:rPr>
          <w:rStyle w:val="Funotenanker"/>
        </w:rPr>
        <w:footnoteReference w:customMarkFollows="1" w:id="2628"/>
        <w:t>m</w:t>
      </w:r>
      <w:r>
        <w:rPr/>
        <w:t xml:space="preserve"> von euch an Weisheit </w:t>
      </w:r>
      <w:r>
        <w:rPr>
          <w:rStyle w:val="Funotenanker"/>
        </w:rPr>
        <w:footnoteReference w:customMarkFollows="1" w:id="2629"/>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630"/>
        <w:t>o</w:t>
      </w:r>
      <w:r>
        <w:rPr/>
        <w:t xml:space="preserve"> und ohne Vorwürfe </w:t>
      </w:r>
      <w:r>
        <w:rPr>
          <w:rStyle w:val="Funotenanker"/>
        </w:rPr>
        <w:footnoteReference w:customMarkFollows="1" w:id="2631"/>
        <w:t>p</w:t>
      </w:r>
      <w:r>
        <w:rPr/>
        <w:t xml:space="preserve"> gibt, </w:t>
      </w:r>
      <w:r>
        <w:rPr>
          <w:rStyle w:val="Funotenanker"/>
        </w:rPr>
        <w:footnoteReference w:customMarkFollows="1" w:id="2632"/>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633"/>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634"/>
        <w:t>s</w:t>
      </w:r>
      <w:r>
        <w:rPr/>
        <w:t xml:space="preserve"> </w:t>
      </w:r>
      <w:r>
        <w:rPr>
          <w:color w:val="808080"/>
        </w:rPr>
        <w:t>(keinerlei Bedenken haben)</w:t>
      </w:r>
      <w:r>
        <w:rPr/>
        <w:t xml:space="preserve">: Denn wer zweifelt </w:t>
      </w:r>
      <w:r>
        <w:rPr>
          <w:rStyle w:val="Funotenanker"/>
        </w:rPr>
        <w:footnoteReference w:customMarkFollows="1" w:id="2635"/>
        <w:t>t</w:t>
      </w:r>
      <w:r>
        <w:rPr/>
        <w:t xml:space="preserve"> , gleicht einer Meereswoge, die vom Wind bewegt und hin- und hergetrieben wird. </w:t>
      </w:r>
      <w:r>
        <w:rPr>
          <w:rStyle w:val="Funotenanker"/>
        </w:rPr>
        <w:footnoteReference w:customMarkFollows="1" w:id="2636"/>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637"/>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638"/>
        <w:t>w</w:t>
      </w:r>
      <w:r>
        <w:rPr/>
        <w:t>,</w:t>
      </w:r>
      <w:r>
        <w:rPr>
          <w:position w:val="8"/>
          <w:sz w:val="19"/>
        </w:rPr>
        <w:t>[[ ℘ &gt;&gt; BibleTOBIBLE:Jas 4:8]]</w:t>
      </w:r>
      <w:r>
        <w:rPr/>
        <w:t xml:space="preserve"> wankelmütig auf allen seinen Wegen </w:t>
      </w:r>
      <w:r>
        <w:rPr>
          <w:rStyle w:val="Funotenanker"/>
        </w:rPr>
        <w:footnoteReference w:customMarkFollows="1" w:id="2639"/>
        <w:t>x</w:t>
      </w:r>
      <w:r>
        <w:rPr/>
        <w:t xml:space="preserve"> {{field-off:bible}} </w:t>
        <w:br/>
        <w:t>[[@BibleTOBIBLE:Jas 1:9]]</w:t>
      </w:r>
      <w:r>
        <w:rPr>
          <w:b/>
        </w:rPr>
        <w:t>9</w:t>
      </w:r>
      <w:r>
        <w:rPr/>
        <w:t xml:space="preserve"> {{field-on:bible}}Stattdessen</w:t>
      </w:r>
      <w:r>
        <w:rPr>
          <w:rStyle w:val="Funotenanker"/>
        </w:rPr>
        <w:footnoteReference w:customMarkFollows="1" w:id="2640"/>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641"/>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642"/>
        <w:t>aa</w:t>
      </w:r>
      <w:r>
        <w:rPr/>
        <w:t xml:space="preserve"> aber seiner Erniedrigung, denn er wird wie eine Grasblüte</w:t>
      </w:r>
      <w:r>
        <w:rPr>
          <w:rStyle w:val="Funotenanker"/>
        </w:rPr>
        <w:footnoteReference w:customMarkFollows="1" w:id="2643"/>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644"/>
        <w:t>ac</w:t>
      </w:r>
      <w:r>
        <w:rPr/>
        <w:t xml:space="preserve"> mit dem heißen Wind </w:t>
      </w:r>
      <w:r>
        <w:rPr>
          <w:rStyle w:val="Funotenanker"/>
        </w:rPr>
        <w:footnoteReference w:customMarkFollows="1" w:id="2645"/>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646"/>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647"/>
        <w:t>af</w:t>
      </w:r>
      <w:r>
        <w:rPr/>
        <w:t xml:space="preserve">, der eine Bewährungsprobe </w:t>
      </w:r>
      <w:r>
        <w:rPr>
          <w:color w:val="808080"/>
        </w:rPr>
        <w:t>(Prüfung, Versuchung)</w:t>
      </w:r>
      <w:r>
        <w:rPr/>
        <w:t xml:space="preserve"> </w:t>
      </w:r>
      <w:r>
        <w:rPr>
          <w:rStyle w:val="Funotenanker"/>
        </w:rPr>
        <w:footnoteReference w:customMarkFollows="1" w:id="2648"/>
        <w:t>ag</w:t>
      </w:r>
      <w:r>
        <w:rPr/>
        <w:t xml:space="preserve"> </w:t>
      </w:r>
      <w:r>
        <w:rPr>
          <w:b/>
          <w:color w:val="808080"/>
        </w:rPr>
        <w:t>[</w:t>
      </w:r>
      <w:r>
        <w:rPr/>
        <w:t>standhaft</w:t>
      </w:r>
      <w:r>
        <w:rPr>
          <w:b/>
          <w:color w:val="808080"/>
        </w:rPr>
        <w:t>]</w:t>
      </w:r>
      <w:r>
        <w:rPr/>
        <w:t xml:space="preserve"> </w:t>
      </w:r>
      <w:r>
        <w:rPr>
          <w:rStyle w:val="Funotenanker"/>
        </w:rPr>
        <w:footnoteReference w:customMarkFollows="1" w:id="2649"/>
        <w:t>ah</w:t>
      </w:r>
      <w:r>
        <w:rPr/>
        <w:t xml:space="preserve"> erträgt, denn wenn </w:t>
      </w:r>
      <w:r>
        <w:rPr>
          <w:color w:val="808080"/>
        </w:rPr>
        <w:t>(weil, indem)</w:t>
      </w:r>
      <w:r>
        <w:rPr/>
        <w:t xml:space="preserve"> </w:t>
      </w:r>
      <w:r>
        <w:rPr>
          <w:rStyle w:val="Funotenanker"/>
        </w:rPr>
        <w:footnoteReference w:customMarkFollows="1" w:id="2650"/>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651"/>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652"/>
        <w:t>ak</w:t>
      </w:r>
      <w:r>
        <w:rPr/>
        <w:t xml:space="preserve"> denen verheißen hat, die ihn lieben</w:t>
      </w:r>
      <w:r>
        <w:rPr>
          <w:rStyle w:val="Funotenanker"/>
        </w:rPr>
        <w:footnoteReference w:customMarkFollows="1" w:id="2653"/>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654"/>
        <w:t>am</w:t>
      </w:r>
      <w:r>
        <w:rPr/>
        <w:t xml:space="preserve"> sagen</w:t>
      </w:r>
      <w:r>
        <w:rPr>
          <w:rStyle w:val="Funotenanker"/>
        </w:rPr>
        <w:footnoteReference w:customMarkFollows="1" w:id="2655"/>
        <w:t>an</w:t>
      </w:r>
      <w:r>
        <w:rPr/>
        <w:t xml:space="preserve">, </w:t>
      </w:r>
      <w:r>
        <w:rPr>
          <w:strike/>
          <w:color w:val="808080"/>
        </w:rPr>
        <w:t>{dass}</w:t>
      </w:r>
      <w:r>
        <w:rPr/>
        <w:t xml:space="preserve"> </w:t>
      </w:r>
      <w:r>
        <w:rPr>
          <w:rStyle w:val="Funotenanker"/>
        </w:rPr>
        <w:footnoteReference w:customMarkFollows="1" w:id="2656"/>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657"/>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658"/>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659"/>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660"/>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661"/>
        <w:t>at</w:t>
      </w:r>
      <w:r>
        <w:rPr/>
        <w:t xml:space="preserve">, gebiert Tod.{{field-off:bible}} </w:t>
        <w:br/>
        <w:t>[[@BibleTOBIBLE:Jas 1:16]]</w:t>
      </w:r>
      <w:r>
        <w:rPr>
          <w:b/>
        </w:rPr>
        <w:t>16</w:t>
      </w:r>
      <w:r>
        <w:rPr/>
        <w:t xml:space="preserve"> {{field-on:bible}}Lasst euch nicht täuschen</w:t>
      </w:r>
      <w:r>
        <w:rPr>
          <w:rStyle w:val="Funotenanker"/>
        </w:rPr>
        <w:footnoteReference w:customMarkFollows="1" w:id="2662"/>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663"/>
        <w:t>av</w:t>
      </w:r>
      <w:r>
        <w:rPr/>
        <w:t xml:space="preserve"> vom Vater der Lichter</w:t>
      </w:r>
      <w:r>
        <w:rPr>
          <w:rStyle w:val="Funotenanker"/>
        </w:rPr>
        <w:footnoteReference w:customMarkFollows="1" w:id="2664"/>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665"/>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666"/>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667"/>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668"/>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669"/>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670"/>
        <w:t>bc</w:t>
      </w:r>
      <w:r>
        <w:rPr/>
        <w:t>.</w:t>
      </w:r>
      <w:r>
        <w:rPr>
          <w:rStyle w:val="Funotenanker"/>
        </w:rPr>
        <w:footnoteReference w:customMarkFollows="1" w:id="2671"/>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672"/>
        <w:t>be</w:t>
      </w:r>
      <w:r>
        <w:rPr/>
        <w:t xml:space="preserve"> ab </w:t>
      </w:r>
      <w:r>
        <w:rPr>
          <w:b/>
          <w:color w:val="808080"/>
        </w:rPr>
        <w:t>[</w:t>
      </w:r>
      <w:r>
        <w:rPr/>
        <w:t>und</w:t>
      </w:r>
      <w:r>
        <w:rPr>
          <w:b/>
          <w:color w:val="808080"/>
        </w:rPr>
        <w:t>]</w:t>
      </w:r>
      <w:r>
        <w:rPr/>
        <w:t xml:space="preserve"> </w:t>
      </w:r>
      <w:r>
        <w:rPr>
          <w:rStyle w:val="Funotenanker"/>
        </w:rPr>
        <w:footnoteReference w:customMarkFollows="1" w:id="2673"/>
        <w:t>bf</w:t>
      </w:r>
      <w:r>
        <w:rPr/>
        <w:t xml:space="preserve"> nehmt das eingepflanzte Wort, das eure Seelen zu retten vermag, in Bescheidenheit</w:t>
      </w:r>
      <w:r>
        <w:rPr>
          <w:rStyle w:val="Funotenanker"/>
        </w:rPr>
        <w:footnoteReference w:customMarkFollows="1" w:id="2674"/>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675"/>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676"/>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677"/>
        <w:t>bj</w:t>
      </w:r>
      <w:r>
        <w:rPr/>
        <w:t xml:space="preserve"> in einem Spiegel betrachtet</w:t>
      </w:r>
      <w:r>
        <w:rPr>
          <w:rStyle w:val="Funotenanker"/>
        </w:rPr>
        <w:footnoteReference w:customMarkFollows="1" w:id="2678"/>
        <w:t>bk</w:t>
      </w:r>
      <w:r>
        <w:rPr/>
        <w:t xml:space="preserve"> –</w:t>
      </w:r>
      <w:r>
        <w:rPr>
          <w:rStyle w:val="Funotenanker"/>
        </w:rPr>
        <w:footnoteReference w:customMarkFollows="1" w:id="2679"/>
        <w:t>bl</w:t>
      </w:r>
      <w:r>
        <w:rPr/>
        <w:t xml:space="preserve"> {{field-off:bible}} </w:t>
        <w:br/>
        <w:t>[[@BibleTOBIBLE:Jas 1:24]]</w:t>
      </w:r>
      <w:r>
        <w:rPr>
          <w:b/>
        </w:rPr>
        <w:t>24</w:t>
      </w:r>
      <w:r>
        <w:rPr/>
        <w:t xml:space="preserve"> {{field-on:bible}}denn er betrachtet sich</w:t>
      </w:r>
      <w:r>
        <w:rPr>
          <w:rStyle w:val="Funotenanker"/>
        </w:rPr>
        <w:footnoteReference w:customMarkFollows="1" w:id="2680"/>
        <w:t>bm</w:t>
      </w:r>
      <w:r>
        <w:rPr/>
        <w:t xml:space="preserve"> und geht weg und vergisst sofort, wie er aussah</w:t>
      </w:r>
      <w:r>
        <w:rPr>
          <w:rStyle w:val="Funotenanker"/>
        </w:rPr>
        <w:footnoteReference w:customMarkFollows="1" w:id="2681"/>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682"/>
        <w:t>bo</w:t>
      </w:r>
      <w:r>
        <w:rPr/>
        <w:t xml:space="preserve"> und dabei bleibt</w:t>
      </w:r>
      <w:r>
        <w:rPr>
          <w:rStyle w:val="Funotenanker"/>
        </w:rPr>
        <w:footnoteReference w:customMarkFollows="1" w:id="2683"/>
        <w:t>bp</w:t>
      </w:r>
      <w:r>
        <w:rPr/>
        <w:t>, indem er kein vergesslicher Hörer</w:t>
      </w:r>
      <w:r>
        <w:rPr>
          <w:rStyle w:val="Funotenanker"/>
        </w:rPr>
        <w:footnoteReference w:customMarkFollows="1" w:id="2684"/>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685"/>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686"/>
        <w:t>bs</w:t>
      </w:r>
      <w:r>
        <w:rPr/>
        <w:t xml:space="preserve"> seine Zunge nicht im Zaum hält, sondern sein Herz betrügt</w:t>
      </w:r>
      <w:r>
        <w:rPr>
          <w:rStyle w:val="Funotenanker"/>
        </w:rPr>
        <w:footnoteReference w:customMarkFollows="1" w:id="2687"/>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688"/>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689"/>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690"/>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691"/>
        <w:t>a</w:t>
      </w:r>
      <w:r>
        <w:rPr/>
        <w:t xml:space="preserve"> der Herrlichkeit</w:t>
      </w:r>
      <w:r>
        <w:rPr>
          <w:rStyle w:val="Funotenanker"/>
        </w:rPr>
        <w:footnoteReference w:customMarkFollows="1" w:id="2692"/>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693"/>
        <w:t>c</w:t>
      </w:r>
      <w:r>
        <w:rPr/>
        <w:t xml:space="preserve"> ein Mann mit goldenen Ringen an den Fingern</w:t>
      </w:r>
      <w:r>
        <w:rPr>
          <w:rStyle w:val="Funotenanker"/>
        </w:rPr>
        <w:footnoteReference w:customMarkFollows="1" w:id="2694"/>
        <w:t>d</w:t>
      </w:r>
      <w:r>
        <w:rPr/>
        <w:t xml:space="preserve"> in prächtiger</w:t>
      </w:r>
      <w:r>
        <w:rPr>
          <w:rStyle w:val="Funotenanker"/>
        </w:rPr>
        <w:footnoteReference w:customMarkFollows="1" w:id="2695"/>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696"/>
        <w:t>f</w:t>
      </w:r>
      <w:r>
        <w:rPr/>
        <w:t>, und sagt: Setze du dich hier auf den guten Platz</w:t>
      </w:r>
      <w:r>
        <w:rPr>
          <w:rStyle w:val="Funotenanker"/>
        </w:rPr>
        <w:footnoteReference w:customMarkFollows="1" w:id="2697"/>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698"/>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699"/>
        <w:t>i</w:t>
      </w:r>
      <w:r>
        <w:rPr/>
        <w:t xml:space="preserve"> unterschieden</w:t>
      </w:r>
      <w:r>
        <w:rPr>
          <w:rStyle w:val="Funotenanker"/>
        </w:rPr>
        <w:footnoteReference w:customMarkFollows="1" w:id="2700"/>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701"/>
        <w:t>k</w:t>
      </w:r>
      <w:r>
        <w:rPr/>
        <w:t xml:space="preserve"> geworden?</w:t>
      </w:r>
      <w:r>
        <w:rPr>
          <w:rStyle w:val="Funotenanker"/>
        </w:rPr>
        <w:footnoteReference w:customMarkFollows="1" w:id="2702"/>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703"/>
        <w:t>m</w:t>
      </w:r>
      <w:r>
        <w:rPr/>
        <w:t xml:space="preserve"> Armen </w:t>
      </w:r>
      <w:r>
        <w:rPr>
          <w:b/>
          <w:color w:val="808080"/>
        </w:rPr>
        <w:t>[</w:t>
      </w:r>
      <w:r>
        <w:rPr/>
        <w:t>dazu</w:t>
      </w:r>
      <w:r>
        <w:rPr>
          <w:b/>
          <w:color w:val="808080"/>
        </w:rPr>
        <w:t>]</w:t>
      </w:r>
      <w:r>
        <w:rPr/>
        <w:t xml:space="preserve"> erwählt</w:t>
      </w:r>
      <w:r>
        <w:rPr>
          <w:rStyle w:val="Funotenanker"/>
        </w:rPr>
        <w:footnoteReference w:customMarkFollows="1" w:id="2704"/>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705"/>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706"/>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707"/>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708"/>
        <w:t>r</w:t>
      </w:r>
      <w:r>
        <w:rPr/>
        <w:t>.</w:t>
      </w:r>
      <w:r>
        <w:rPr>
          <w:rStyle w:val="Funotenanker"/>
        </w:rPr>
        <w:footnoteReference w:customMarkFollows="1" w:id="2709"/>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710"/>
        <w:t>t</w:t>
      </w:r>
      <w:r>
        <w:rPr/>
        <w:t xml:space="preserve"> </w:t>
      </w:r>
      <w:r>
        <w:rPr>
          <w:color w:val="808080"/>
        </w:rPr>
        <w:t>)</w:t>
      </w:r>
      <w:r>
        <w:rPr/>
        <w:t>, begeht ihr Sünde, indem ihr vom Gesetz als Übertreter</w:t>
      </w:r>
      <w:r>
        <w:rPr>
          <w:rStyle w:val="Funotenanker"/>
        </w:rPr>
        <w:footnoteReference w:customMarkFollows="1" w:id="2711"/>
        <w:t>u</w:t>
      </w:r>
      <w:r>
        <w:rPr/>
        <w:t xml:space="preserve"> überführt werdet</w:t>
      </w:r>
      <w:r>
        <w:rPr>
          <w:rStyle w:val="Funotenanker"/>
        </w:rPr>
        <w:footnoteReference w:customMarkFollows="1" w:id="2712"/>
        <w:t>v</w:t>
      </w:r>
      <w:r>
        <w:rPr/>
        <w:t>.</w:t>
      </w:r>
      <w:r>
        <w:rPr>
          <w:rStyle w:val="Funotenanker"/>
        </w:rPr>
        <w:footnoteReference w:customMarkFollows="1" w:id="2713"/>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714"/>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715"/>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716"/>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717"/>
        <w:t>aa</w:t>
      </w:r>
      <w:r>
        <w:rPr/>
        <w:t>.</w:t>
      </w:r>
      <w:r>
        <w:rPr>
          <w:rStyle w:val="Funotenanker"/>
        </w:rPr>
        <w:footnoteReference w:customMarkFollows="1" w:id="2718"/>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719"/>
        <w:t>ac</w:t>
      </w:r>
      <w:r>
        <w:rPr/>
        <w:t xml:space="preserve"> dem Gesetz der Freiheit gerichtet </w:t>
      </w:r>
      <w:r>
        <w:rPr>
          <w:color w:val="808080"/>
        </w:rPr>
        <w:t>(werden wollen)</w:t>
      </w:r>
      <w:r>
        <w:rPr/>
        <w:t xml:space="preserve"> </w:t>
      </w:r>
      <w:r>
        <w:rPr>
          <w:rStyle w:val="Funotenanker"/>
        </w:rPr>
        <w:footnoteReference w:customMarkFollows="1" w:id="2720"/>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721"/>
        <w:t>ae</w:t>
      </w:r>
      <w:r>
        <w:rPr/>
        <w:t xml:space="preserve"> meine Geschwister, wenn jemand Glauben zu haben behauptet, aber keine Werke hat?</w:t>
      </w:r>
      <w:r>
        <w:rPr>
          <w:rStyle w:val="Funotenanker"/>
        </w:rPr>
        <w:footnoteReference w:customMarkFollows="1" w:id="2722"/>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723"/>
        <w:t>ag</w:t>
      </w:r>
      <w:r>
        <w:rPr/>
        <w:t>, wärmt euch und esst euch satt!“, aber ihr gebt ihnen nicht, was für den Leib erforderlich ist</w:t>
      </w:r>
      <w:r>
        <w:rPr>
          <w:rStyle w:val="Funotenanker"/>
        </w:rPr>
        <w:footnoteReference w:customMarkFollows="1" w:id="2724"/>
        <w:t>ah</w:t>
      </w:r>
      <w:r>
        <w:rPr/>
        <w:t>, was nützt das</w:t>
      </w:r>
      <w:r>
        <w:rPr>
          <w:rStyle w:val="Funotenanker"/>
        </w:rPr>
        <w:footnoteReference w:customMarkFollows="1" w:id="2725"/>
        <w:t>ai</w:t>
      </w:r>
      <w:r>
        <w:rPr/>
        <w:t>?</w:t>
      </w:r>
      <w:r>
        <w:rPr>
          <w:rStyle w:val="Funotenanker"/>
        </w:rPr>
        <w:footnoteReference w:customMarkFollows="1" w:id="2726"/>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727"/>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728"/>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729"/>
        <w:t>am</w:t>
      </w:r>
      <w:r>
        <w:rPr/>
        <w:t xml:space="preserve"> – Du hast recht!</w:t>
      </w:r>
      <w:r>
        <w:rPr>
          <w:rStyle w:val="Funotenanker"/>
        </w:rPr>
        <w:footnoteReference w:customMarkFollows="1" w:id="2730"/>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731"/>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732"/>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733"/>
        <w:t>aq</w:t>
      </w:r>
      <w:r>
        <w:rPr/>
        <w:t xml:space="preserve">?{{field-off:bible}} </w:t>
        <w:br/>
        <w:t>[[@BibleTOBIBLE:Jas 2:22]]</w:t>
      </w:r>
      <w:r>
        <w:rPr>
          <w:b/>
        </w:rPr>
        <w:t>22</w:t>
      </w:r>
      <w:r>
        <w:rPr/>
        <w:t xml:space="preserve"> {{field-on:bible}}Du siehst, dass der Glaube mit seinen</w:t>
      </w:r>
      <w:r>
        <w:rPr>
          <w:rStyle w:val="Funotenanker"/>
        </w:rPr>
        <w:footnoteReference w:customMarkFollows="1" w:id="2734"/>
        <w:t>ar</w:t>
      </w:r>
      <w:r>
        <w:rPr/>
        <w:t xml:space="preserve"> Werken zusammenwirkte</w:t>
      </w:r>
      <w:r>
        <w:rPr>
          <w:rStyle w:val="Funotenanker"/>
        </w:rPr>
        <w:footnoteReference w:customMarkFollows="1" w:id="2735"/>
        <w:t>as</w:t>
      </w:r>
      <w:r>
        <w:rPr/>
        <w:t xml:space="preserve"> und durch die</w:t>
      </w:r>
      <w:r>
        <w:rPr>
          <w:rStyle w:val="Funotenanker"/>
        </w:rPr>
        <w:footnoteReference w:customMarkFollows="1" w:id="2736"/>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737"/>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738"/>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739"/>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740"/>
        <w:t>ax</w:t>
      </w:r>
      <w:r>
        <w:rPr/>
        <w:t xml:space="preserve"> hinausführte?</w:t>
      </w:r>
      <w:r>
        <w:rPr>
          <w:rStyle w:val="Funotenanker"/>
        </w:rPr>
        <w:footnoteReference w:customMarkFollows="1" w:id="2741"/>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742"/>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743"/>
        <w:t>a</w:t>
      </w:r>
      <w:r>
        <w:rPr/>
        <w:t xml:space="preserve"> meine Geschwister, denn ihr wisst,</w:t>
      </w:r>
      <w:r>
        <w:rPr>
          <w:rStyle w:val="Funotenanker"/>
        </w:rPr>
        <w:footnoteReference w:customMarkFollows="1" w:id="2744"/>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745"/>
        <w:t>c</w:t>
      </w:r>
      <w:r>
        <w:rPr/>
        <w:t xml:space="preserve"> vielfach </w:t>
      </w:r>
      <w:r>
        <w:rPr>
          <w:color w:val="808080"/>
        </w:rPr>
        <w:t>(in vieler Hinsicht)</w:t>
      </w:r>
      <w:r>
        <w:rPr/>
        <w:t>. Wenn jemand beim Reden</w:t>
      </w:r>
      <w:r>
        <w:rPr>
          <w:rStyle w:val="Funotenanker"/>
        </w:rPr>
        <w:footnoteReference w:customMarkFollows="1" w:id="2746"/>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747"/>
        <w:t>e</w:t>
      </w:r>
      <w:r>
        <w:rPr/>
        <w:t xml:space="preserve">, fähig, auch den ganzen Körper zu zügeln </w:t>
      </w:r>
      <w:r>
        <w:rPr>
          <w:color w:val="808080"/>
        </w:rPr>
        <w:t>(in Zaum zu halten)</w:t>
      </w:r>
      <w:r>
        <w:rPr/>
        <w:t>.</w:t>
      </w:r>
      <w:r>
        <w:rPr>
          <w:rStyle w:val="Funotenanker"/>
        </w:rPr>
        <w:footnoteReference w:customMarkFollows="1" w:id="2748"/>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749"/>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750"/>
        <w:t>h</w:t>
      </w:r>
      <w:r>
        <w:rPr/>
        <w:t xml:space="preserve"> legen, damit sie uns gehorchen,</w:t>
      </w:r>
      <w:r>
        <w:rPr>
          <w:rStyle w:val="Funotenanker"/>
        </w:rPr>
        <w:footnoteReference w:customMarkFollows="1" w:id="2751"/>
        <w:t>i</w:t>
      </w:r>
      <w:r>
        <w:rPr/>
        <w:t xml:space="preserve"> dann</w:t>
      </w:r>
      <w:r>
        <w:rPr>
          <w:rStyle w:val="Funotenanker"/>
        </w:rPr>
        <w:footnoteReference w:customMarkFollows="1" w:id="2752"/>
        <w:t>j</w:t>
      </w:r>
      <w:r>
        <w:rPr/>
        <w:t xml:space="preserve"> lenken wir ihren ganzen Körper.</w:t>
      </w:r>
      <w:r>
        <w:rPr>
          <w:rStyle w:val="Funotenanker"/>
        </w:rPr>
        <w:footnoteReference w:customMarkFollows="1" w:id="2753"/>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754"/>
        <w:t>l</w:t>
      </w:r>
      <w:r>
        <w:rPr/>
        <w:t xml:space="preserve"> werden sie von einem winzigen</w:t>
      </w:r>
      <w:r>
        <w:rPr>
          <w:rStyle w:val="Funotenanker"/>
        </w:rPr>
        <w:footnoteReference w:customMarkFollows="1" w:id="2755"/>
        <w:t>m</w:t>
      </w:r>
      <w:r>
        <w:rPr/>
        <w:t xml:space="preserve"> Steuerruder gelenkt, wohin die Absicht </w:t>
      </w:r>
      <w:r>
        <w:rPr>
          <w:color w:val="808080"/>
        </w:rPr>
        <w:t>(Drang, Eifer, Trachten)</w:t>
      </w:r>
      <w:r>
        <w:rPr/>
        <w:t xml:space="preserve"> </w:t>
      </w:r>
      <w:r>
        <w:rPr>
          <w:rStyle w:val="Funotenanker"/>
        </w:rPr>
        <w:footnoteReference w:customMarkFollows="1" w:id="2756"/>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757"/>
        <w:t>o</w:t>
      </w:r>
      <w:r>
        <w:rPr/>
        <w:t xml:space="preserve"> steht</w:t>
      </w:r>
      <w:r>
        <w:rPr>
          <w:rStyle w:val="Funotenanker"/>
        </w:rPr>
        <w:footnoteReference w:customMarkFollows="1" w:id="2758"/>
        <w:t>p</w:t>
      </w:r>
      <w:r>
        <w:rPr/>
        <w:t xml:space="preserve"> die Zunge unter unseren Gliedern da;</w:t>
      </w:r>
      <w:r>
        <w:rPr>
          <w:rStyle w:val="Funotenanker"/>
        </w:rPr>
        <w:footnoteReference w:customMarkFollows="1" w:id="2759"/>
        <w:t>q</w:t>
      </w:r>
      <w:r>
        <w:rPr/>
        <w:t xml:space="preserve"> sie, die den ganzen Körper beschmutzt und das Rad</w:t>
      </w:r>
      <w:r>
        <w:rPr>
          <w:rStyle w:val="Funotenanker"/>
        </w:rPr>
        <w:footnoteReference w:customMarkFollows="1" w:id="2760"/>
        <w:t>r</w:t>
      </w:r>
      <w:r>
        <w:rPr/>
        <w:t xml:space="preserve"> des Werdens</w:t>
      </w:r>
      <w:r>
        <w:rPr>
          <w:rStyle w:val="Funotenanker"/>
        </w:rPr>
        <w:footnoteReference w:customMarkFollows="1" w:id="2761"/>
        <w:t>s</w:t>
      </w:r>
      <w:r>
        <w:rPr/>
        <w:t xml:space="preserve"> in Brand setzt,</w:t>
      </w:r>
      <w:r>
        <w:rPr>
          <w:rStyle w:val="Funotenanker"/>
        </w:rPr>
        <w:footnoteReference w:customMarkFollows="1" w:id="2762"/>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763"/>
        <w:t>u</w:t>
      </w:r>
      <w:r>
        <w:rPr/>
        <w:t xml:space="preserve"> in Brand gesetzt.</w:t>
      </w:r>
      <w:r>
        <w:rPr>
          <w:rStyle w:val="Funotenanker"/>
        </w:rPr>
        <w:footnoteReference w:customMarkFollows="1" w:id="2764"/>
        <w:t>v</w:t>
      </w:r>
      <w:r>
        <w:rPr/>
        <w:t xml:space="preserve"> {{field-off:bible}} </w:t>
        <w:br/>
        <w:t>[[@BibleTOBIBLE:Jas 3:7]]</w:t>
      </w:r>
      <w:r>
        <w:rPr>
          <w:b/>
        </w:rPr>
        <w:t>7</w:t>
      </w:r>
      <w:r>
        <w:rPr/>
        <w:t xml:space="preserve"> {{field-on:bible}}Jede</w:t>
      </w:r>
      <w:r>
        <w:rPr>
          <w:rStyle w:val="Funotenanker"/>
        </w:rPr>
        <w:footnoteReference w:customMarkFollows="1" w:id="2765"/>
        <w:t>w</w:t>
      </w:r>
      <w:r>
        <w:rPr/>
        <w:t xml:space="preserve"> Art </w:t>
      </w:r>
      <w:r>
        <w:rPr>
          <w:b/>
          <w:color w:val="808080"/>
        </w:rPr>
        <w:t>[</w:t>
      </w:r>
      <w:r>
        <w:rPr/>
        <w:t>der</w:t>
      </w:r>
      <w:r>
        <w:rPr>
          <w:b/>
          <w:color w:val="808080"/>
        </w:rPr>
        <w:t>]</w:t>
      </w:r>
      <w:r>
        <w:rPr/>
        <w:t xml:space="preserve"> Säugetiere</w:t>
      </w:r>
      <w:r>
        <w:rPr>
          <w:rStyle w:val="Funotenanker"/>
        </w:rPr>
        <w:footnoteReference w:customMarkFollows="1" w:id="2766"/>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767"/>
        <w:t>y</w:t>
      </w:r>
      <w:r>
        <w:rPr/>
        <w:t xml:space="preserve"> gezähmt worden</w:t>
      </w:r>
      <w:r>
        <w:rPr>
          <w:rStyle w:val="Funotenanker"/>
        </w:rPr>
        <w:footnoteReference w:customMarkFollows="1" w:id="2768"/>
        <w:t>z</w:t>
      </w:r>
      <w:r>
        <w:rPr/>
        <w:t xml:space="preserve">,{{field-off:bible}} </w:t>
        <w:br/>
        <w:t>[[@BibleTOBIBLE:Jas 3:8]]</w:t>
      </w:r>
      <w:r>
        <w:rPr>
          <w:b/>
        </w:rPr>
        <w:t>8</w:t>
      </w:r>
      <w:r>
        <w:rPr/>
        <w:t xml:space="preserve"> {{field-on:bible}}aber die Zunge vermag kein Mensch</w:t>
      </w:r>
      <w:r>
        <w:rPr>
          <w:rStyle w:val="Funotenanker"/>
        </w:rPr>
        <w:footnoteReference w:customMarkFollows="1" w:id="2769"/>
        <w:t>aa</w:t>
      </w:r>
      <w:r>
        <w:rPr/>
        <w:t xml:space="preserve"> zu bändigen, </w:t>
      </w:r>
      <w:r>
        <w:rPr>
          <w:b/>
          <w:color w:val="808080"/>
        </w:rPr>
        <w:t>[</w:t>
      </w:r>
      <w:r>
        <w:rPr/>
        <w:t>das</w:t>
      </w:r>
      <w:r>
        <w:rPr>
          <w:b/>
          <w:color w:val="808080"/>
        </w:rPr>
        <w:t>]</w:t>
      </w:r>
      <w:r>
        <w:rPr/>
        <w:t xml:space="preserve"> </w:t>
      </w:r>
      <w:r>
        <w:rPr>
          <w:rStyle w:val="Funotenanker"/>
        </w:rPr>
        <w:footnoteReference w:customMarkFollows="1" w:id="2770"/>
        <w:t>ab</w:t>
      </w:r>
      <w:r>
        <w:rPr/>
        <w:t xml:space="preserve"> ruhelose </w:t>
      </w:r>
      <w:r>
        <w:rPr>
          <w:color w:val="808080"/>
        </w:rPr>
        <w:t>(unruhige</w:t>
      </w:r>
      <w:r>
        <w:rPr/>
        <w:t xml:space="preserve"> </w:t>
      </w:r>
      <w:r>
        <w:rPr>
          <w:rStyle w:val="Funotenanker"/>
        </w:rPr>
        <w:footnoteReference w:customMarkFollows="1" w:id="2771"/>
        <w:t>ac</w:t>
      </w:r>
      <w:r>
        <w:rPr/>
        <w:t xml:space="preserve"> </w:t>
      </w:r>
      <w:r>
        <w:rPr>
          <w:color w:val="808080"/>
        </w:rPr>
        <w:t>, unkontrollierte</w:t>
      </w:r>
      <w:r>
        <w:rPr/>
        <w:t xml:space="preserve"> </w:t>
      </w:r>
      <w:r>
        <w:rPr>
          <w:rStyle w:val="Funotenanker"/>
        </w:rPr>
        <w:footnoteReference w:customMarkFollows="1" w:id="2772"/>
        <w:t>ad</w:t>
      </w:r>
      <w:r>
        <w:rPr/>
        <w:t xml:space="preserve"> </w:t>
      </w:r>
      <w:r>
        <w:rPr>
          <w:color w:val="808080"/>
        </w:rPr>
        <w:t>, wankelmütige</w:t>
      </w:r>
      <w:r>
        <w:rPr/>
        <w:t xml:space="preserve"> </w:t>
      </w:r>
      <w:r>
        <w:rPr>
          <w:rStyle w:val="Funotenanker"/>
        </w:rPr>
        <w:footnoteReference w:customMarkFollows="1" w:id="2773"/>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774"/>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775"/>
        <w:t>ag</w:t>
      </w:r>
      <w:r>
        <w:rPr/>
        <w:t>:</w:t>
      </w:r>
      <w:r>
        <w:rPr>
          <w:rStyle w:val="Funotenanker"/>
        </w:rPr>
        <w:footnoteReference w:customMarkFollows="1" w:id="2776"/>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777"/>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778"/>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779"/>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780"/>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781"/>
        <w:t>am</w:t>
      </w:r>
      <w:r>
        <w:rPr/>
        <w:t xml:space="preserve"> unter euch? Er soll durch</w:t>
      </w:r>
      <w:r>
        <w:rPr>
          <w:rStyle w:val="Funotenanker"/>
        </w:rPr>
        <w:footnoteReference w:customMarkFollows="1" w:id="2782"/>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783"/>
        <w:t>ao</w:t>
      </w:r>
      <w:r>
        <w:rPr/>
        <w:t xml:space="preserve"> </w:t>
      </w:r>
      <w:r>
        <w:rPr>
          <w:b/>
          <w:color w:val="808080"/>
        </w:rPr>
        <w:t>[</w:t>
      </w:r>
      <w:r>
        <w:rPr/>
        <w:t>aus</w:t>
      </w:r>
      <w:r>
        <w:rPr>
          <w:b/>
          <w:color w:val="808080"/>
        </w:rPr>
        <w:t>]</w:t>
      </w:r>
      <w:r>
        <w:rPr/>
        <w:t xml:space="preserve"> Weisheit</w:t>
      </w:r>
      <w:r>
        <w:rPr>
          <w:rStyle w:val="Funotenanker"/>
        </w:rPr>
        <w:footnoteReference w:customMarkFollows="1" w:id="2784"/>
        <w:t>ap</w:t>
      </w:r>
      <w:r>
        <w:rPr/>
        <w:t xml:space="preserve"> erweisen </w:t>
      </w:r>
      <w:r>
        <w:rPr>
          <w:color w:val="808080"/>
        </w:rPr>
        <w:t>(muss erweisen</w:t>
      </w:r>
      <w:r>
        <w:rPr/>
        <w:t xml:space="preserve"> </w:t>
      </w:r>
      <w:r>
        <w:rPr>
          <w:rStyle w:val="Funotenanker"/>
        </w:rPr>
        <w:footnoteReference w:customMarkFollows="1" w:id="2785"/>
        <w:t>aq</w:t>
      </w:r>
      <w:r>
        <w:rPr/>
        <w:t xml:space="preserve"> </w:t>
      </w:r>
      <w:r>
        <w:rPr>
          <w:color w:val="808080"/>
        </w:rPr>
        <w:t>)</w:t>
      </w:r>
      <w:r>
        <w:rPr/>
        <w:t xml:space="preserve"> </w:t>
      </w:r>
      <w:r>
        <w:rPr>
          <w:rStyle w:val="Funotenanker"/>
        </w:rPr>
        <w:footnoteReference w:customMarkFollows="1" w:id="2786"/>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787"/>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788"/>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789"/>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790"/>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791"/>
        <w:t>aw</w:t>
      </w:r>
      <w:r>
        <w:rPr/>
        <w:t xml:space="preserve"> gemeinem </w:t>
      </w:r>
      <w:r>
        <w:rPr>
          <w:color w:val="808080"/>
        </w:rPr>
        <w:t>(niederem, schlimmem)</w:t>
      </w:r>
      <w:r>
        <w:rPr/>
        <w:t xml:space="preserve"> </w:t>
      </w:r>
      <w:r>
        <w:rPr>
          <w:rStyle w:val="Funotenanker"/>
        </w:rPr>
        <w:footnoteReference w:customMarkFollows="1" w:id="2792"/>
        <w:t>ax</w:t>
      </w:r>
      <w:r>
        <w:rPr/>
        <w:t xml:space="preserve"> Tun </w:t>
      </w:r>
      <w:r>
        <w:rPr>
          <w:color w:val="808080"/>
        </w:rPr>
        <w:t>(Sache, Tat; Rechtsstreit</w:t>
      </w:r>
      <w:r>
        <w:rPr/>
        <w:t xml:space="preserve"> </w:t>
      </w:r>
      <w:r>
        <w:rPr>
          <w:rStyle w:val="Funotenanker"/>
        </w:rPr>
        <w:footnoteReference w:customMarkFollows="1" w:id="2793"/>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794"/>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795"/>
        <w:t>ba</w:t>
      </w:r>
      <w:r>
        <w:rPr/>
        <w:t xml:space="preserve"> </w:t>
      </w:r>
      <w:r>
        <w:rPr>
          <w:b/>
          <w:color w:val="808080"/>
        </w:rPr>
        <w:t>[</w:t>
      </w:r>
      <w:r>
        <w:rPr/>
        <w:t>die</w:t>
      </w:r>
      <w:r>
        <w:rPr>
          <w:b/>
          <w:color w:val="808080"/>
        </w:rPr>
        <w:t>]</w:t>
      </w:r>
      <w:r>
        <w:rPr/>
        <w:t xml:space="preserve"> Ernte</w:t>
      </w:r>
      <w:r>
        <w:rPr>
          <w:rStyle w:val="Funotenanker"/>
        </w:rPr>
        <w:footnoteReference w:customMarkFollows="1" w:id="2796"/>
        <w:t>bb</w:t>
      </w:r>
      <w:r>
        <w:rPr/>
        <w:t xml:space="preserve"> </w:t>
      </w:r>
      <w:r>
        <w:rPr>
          <w:b/>
          <w:color w:val="808080"/>
        </w:rPr>
        <w:t>[</w:t>
      </w:r>
      <w:r>
        <w:rPr/>
        <w:t>der</w:t>
      </w:r>
      <w:r>
        <w:rPr>
          <w:b/>
          <w:color w:val="808080"/>
        </w:rPr>
        <w:t>]</w:t>
      </w:r>
      <w:r>
        <w:rPr/>
        <w:t xml:space="preserve"> Gerechtigkeit</w:t>
      </w:r>
      <w:r>
        <w:rPr>
          <w:rStyle w:val="Funotenanker"/>
        </w:rPr>
        <w:footnoteReference w:customMarkFollows="1" w:id="2797"/>
        <w:t>bc</w:t>
      </w:r>
      <w:r>
        <w:rPr/>
        <w:t xml:space="preserve"> wird in Frieden gesät für</w:t>
      </w:r>
      <w:r>
        <w:rPr>
          <w:rStyle w:val="Funotenanker"/>
        </w:rPr>
        <w:footnoteReference w:customMarkFollows="1" w:id="2798"/>
        <w:t>bd</w:t>
      </w:r>
      <w:r>
        <w:rPr/>
        <w:t xml:space="preserve"> jene, die Frieden stiften</w:t>
      </w:r>
      <w:r>
        <w:rPr>
          <w:rStyle w:val="Funotenanker"/>
        </w:rPr>
        <w:footnoteReference w:customMarkFollows="1" w:id="2799"/>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800"/>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801"/>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802"/>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803"/>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804"/>
        <w:t>d</w:t>
      </w:r>
      <w:r>
        <w:rPr/>
        <w:t xml:space="preserve"> nicht, ihr mordet </w:t>
      </w:r>
      <w:r>
        <w:rPr>
          <w:color w:val="808080"/>
        </w:rPr>
        <w:t>(tötet; beneidet)</w:t>
      </w:r>
      <w:r>
        <w:rPr/>
        <w:t xml:space="preserve"> </w:t>
      </w:r>
      <w:r>
        <w:rPr>
          <w:rStyle w:val="Funotenanker"/>
        </w:rPr>
        <w:footnoteReference w:customMarkFollows="1" w:id="2805"/>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806"/>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807"/>
        <w:t>g</w:t>
      </w:r>
      <w:r>
        <w:rPr/>
        <w:t>;</w:t>
      </w:r>
      <w:r>
        <w:rPr>
          <w:rStyle w:val="Funotenanker"/>
        </w:rPr>
        <w:footnoteReference w:customMarkFollows="1" w:id="2808"/>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809"/>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810"/>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811"/>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812"/>
        <w:t>l</w:t>
      </w:r>
      <w:r>
        <w:rPr/>
        <w:t xml:space="preserve"> jeder, der</w:t>
      </w:r>
      <w:r>
        <w:rPr>
          <w:rStyle w:val="Funotenanker"/>
        </w:rPr>
        <w:footnoteReference w:customMarkFollows="1" w:id="2813"/>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814"/>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815"/>
        <w:t>o</w:t>
      </w:r>
      <w:r>
        <w:rPr/>
        <w:t xml:space="preserve"> den er in uns wohnen ließ,</w:t>
      </w:r>
      <w:r>
        <w:rPr>
          <w:rStyle w:val="Funotenanker"/>
        </w:rPr>
        <w:footnoteReference w:customMarkFollows="1" w:id="2816"/>
        <w:t>p</w:t>
      </w:r>
      <w:r>
        <w:rPr/>
        <w:t xml:space="preserve"> {{field-off:bible}} </w:t>
        <w:br/>
        <w:t>[[@BibleTOBIBLE:Jas 4:6]]</w:t>
      </w:r>
      <w:r>
        <w:rPr>
          <w:b/>
        </w:rPr>
        <w:t>6</w:t>
      </w:r>
      <w:r>
        <w:rPr/>
        <w:t xml:space="preserve"> {{field-on:bible}}aber er gibt umso größere Gnade?</w:t>
      </w:r>
      <w:r>
        <w:rPr>
          <w:rStyle w:val="Funotenanker"/>
        </w:rPr>
        <w:footnoteReference w:customMarkFollows="1" w:id="2817"/>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818"/>
        <w:t>r</w:t>
      </w:r>
      <w:r>
        <w:rPr/>
        <w:t xml:space="preserve"> </w:t>
      </w:r>
      <w:r>
        <w:rPr>
          <w:color w:val="808080"/>
        </w:rPr>
        <w:t>)</w:t>
      </w:r>
      <w:r>
        <w:rPr/>
        <w:t xml:space="preserve"> aber gibt er Gnade.“</w:t>
      </w:r>
      <w:r>
        <w:rPr>
          <w:rStyle w:val="Funotenanker"/>
        </w:rPr>
        <w:footnoteReference w:customMarkFollows="1" w:id="2819"/>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820"/>
        <w:t>t</w:t>
      </w:r>
      <w:r>
        <w:rPr/>
        <w:t xml:space="preserve">;{{field-off:bible}} </w:t>
        <w:br/>
        <w:t>[[@BibleTOBIBLE:Jas 4:8]]</w:t>
      </w:r>
      <w:r>
        <w:rPr>
          <w:b/>
        </w:rPr>
        <w:t>8</w:t>
      </w:r>
      <w:r>
        <w:rPr/>
        <w:t xml:space="preserve"> {{field-on:bible}}nähert euch</w:t>
      </w:r>
      <w:r>
        <w:rPr>
          <w:rStyle w:val="Funotenanker"/>
        </w:rPr>
        <w:footnoteReference w:customMarkFollows="1" w:id="2821"/>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822"/>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823"/>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824"/>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825"/>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826"/>
        <w:t>z</w:t>
      </w:r>
      <w:r>
        <w:rPr/>
        <w:t xml:space="preserve"> verleumdet oder seinen Bruder verurteilt</w:t>
      </w:r>
      <w:r>
        <w:rPr>
          <w:rStyle w:val="Funotenanker"/>
        </w:rPr>
        <w:footnoteReference w:customMarkFollows="1" w:id="2827"/>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828"/>
        <w:t>ab</w:t>
      </w:r>
      <w:r>
        <w:rPr/>
        <w:t xml:space="preserve"> {{field-off:bible}} </w:t>
        <w:br/>
        <w:t>[[@BibleTOBIBLE:Jas 4:12]]</w:t>
      </w:r>
      <w:r>
        <w:rPr>
          <w:b/>
        </w:rPr>
        <w:t>12</w:t>
      </w:r>
      <w:r>
        <w:rPr/>
        <w:t xml:space="preserve"> {{field-on:bible}}Einer ist</w:t>
      </w:r>
      <w:r>
        <w:rPr>
          <w:rStyle w:val="Funotenanker"/>
        </w:rPr>
        <w:footnoteReference w:customMarkFollows="1" w:id="2829"/>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830"/>
        <w:t>ad</w:t>
      </w:r>
      <w:r>
        <w:rPr/>
        <w:t xml:space="preserve">?{{field-off:bible}} </w:t>
        <w:br/>
        <w:t>[[@BibleTOBIBLE:Jas 4:13]]</w:t>
      </w:r>
      <w:r>
        <w:rPr>
          <w:b/>
        </w:rPr>
        <w:t>13</w:t>
      </w:r>
      <w:r>
        <w:rPr/>
        <w:t xml:space="preserve"> {{field-on:bible}}Jetzt zu euch</w:t>
      </w:r>
      <w:r>
        <w:rPr>
          <w:rStyle w:val="Funotenanker"/>
        </w:rPr>
        <w:footnoteReference w:customMarkFollows="1" w:id="2831"/>
        <w:t>ae</w:t>
      </w:r>
      <w:r>
        <w:rPr/>
        <w:t>, die ihr sagt</w:t>
      </w:r>
      <w:r>
        <w:rPr>
          <w:rStyle w:val="Funotenanker"/>
        </w:rPr>
        <w:footnoteReference w:customMarkFollows="1" w:id="2832"/>
        <w:t>af</w:t>
      </w:r>
      <w:r>
        <w:rPr/>
        <w:t>: „Heute oder morgen wollen</w:t>
      </w:r>
      <w:r>
        <w:rPr>
          <w:rStyle w:val="Funotenanker"/>
        </w:rPr>
        <w:footnoteReference w:customMarkFollows="1" w:id="2833"/>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834"/>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835"/>
        <w:t>ai</w:t>
      </w:r>
      <w:r>
        <w:rPr/>
        <w:t xml:space="preserve"> — ihr seid nämlich</w:t>
      </w:r>
      <w:r>
        <w:rPr>
          <w:rStyle w:val="Funotenanker"/>
        </w:rPr>
        <w:footnoteReference w:customMarkFollows="1" w:id="2836"/>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837"/>
        <w:t>ak</w:t>
      </w:r>
      <w:r>
        <w:rPr/>
        <w:t xml:space="preserve"> </w:t>
      </w:r>
      <w:r>
        <w:rPr>
          <w:color w:val="808080"/>
        </w:rPr>
        <w:t>)</w:t>
      </w:r>
      <w:r>
        <w:rPr/>
        <w:t xml:space="preserve"> </w:t>
      </w:r>
      <w:r>
        <w:rPr>
          <w:rStyle w:val="Funotenanker"/>
        </w:rPr>
        <w:footnoteReference w:customMarkFollows="1" w:id="2838"/>
        <w:t>al</w:t>
      </w:r>
      <w:r>
        <w:rPr/>
        <w:t xml:space="preserve"> und dann </w:t>
      </w:r>
      <w:r>
        <w:rPr>
          <w:color w:val="808080"/>
        </w:rPr>
        <w:t>(danach)</w:t>
      </w:r>
      <w:r>
        <w:rPr/>
        <w:t xml:space="preserve"> verschwindet</w:t>
      </w:r>
      <w:r>
        <w:rPr>
          <w:rStyle w:val="Funotenanker"/>
        </w:rPr>
        <w:footnoteReference w:customMarkFollows="1" w:id="2839"/>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840"/>
        <w:t>an</w:t>
      </w:r>
      <w:r>
        <w:rPr/>
        <w:t xml:space="preserve"> ihr sagen: „Wenn der Herr will, dann werden wir leben und dieses oder jenes tun.“</w:t>
      </w:r>
      <w:r>
        <w:rPr>
          <w:rStyle w:val="Funotenanker"/>
        </w:rPr>
        <w:footnoteReference w:customMarkFollows="1" w:id="2841"/>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842"/>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843"/>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844"/>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845"/>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846"/>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847"/>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848"/>
        <w:t>b</w:t>
      </w:r>
      <w:r>
        <w:rPr/>
        <w:t xml:space="preserve">.{{field-off:bible}} </w:t>
        <w:br/>
        <w:t>[[@BibleTOBIBLE:Jas 5:2]]</w:t>
      </w:r>
      <w:r>
        <w:rPr>
          <w:b/>
        </w:rPr>
        <w:t>2</w:t>
      </w:r>
      <w:r>
        <w:rPr/>
        <w:t xml:space="preserve"> {{field-on:bible}}Euer Reichtum ist vermodert</w:t>
      </w:r>
      <w:r>
        <w:rPr>
          <w:rStyle w:val="Funotenanker"/>
        </w:rPr>
        <w:footnoteReference w:customMarkFollows="1" w:id="2849"/>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850"/>
        <w:t>d</w:t>
      </w:r>
      <w:r>
        <w:rPr/>
        <w:t xml:space="preserve">.{{field-off:bible}} </w:t>
        <w:br/>
        <w:t>[[@BibleTOBIBLE:Jas 5:3]]</w:t>
      </w:r>
      <w:r>
        <w:rPr>
          <w:b/>
        </w:rPr>
        <w:t>3</w:t>
      </w:r>
      <w:r>
        <w:rPr/>
        <w:t xml:space="preserve"> {{field-on:bible}}Euer Gold und Silber sind verrostet</w:t>
      </w:r>
      <w:r>
        <w:rPr>
          <w:rStyle w:val="Funotenanker"/>
        </w:rPr>
        <w:footnoteReference w:customMarkFollows="1" w:id="2851"/>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852"/>
        <w:t>f</w:t>
      </w:r>
      <w:r>
        <w:rPr/>
        <w:t xml:space="preserve"> und euer Fleisch</w:t>
      </w:r>
      <w:r>
        <w:rPr>
          <w:rStyle w:val="Funotenanker"/>
        </w:rPr>
        <w:footnoteReference w:customMarkFollows="1" w:id="2853"/>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854"/>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855"/>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856"/>
        <w:t>j</w:t>
      </w:r>
      <w:r>
        <w:rPr/>
        <w:t>, schreit,</w:t>
      </w:r>
      <w:r>
        <w:rPr>
          <w:rStyle w:val="Funotenanker"/>
        </w:rPr>
        <w:footnoteReference w:customMarkFollows="1" w:id="2857"/>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858"/>
        <w:t>l</w:t>
      </w:r>
      <w:r>
        <w:rPr/>
        <w:t xml:space="preserve"> hingekommen.{{field-off:bible}} </w:t>
        <w:br/>
        <w:t>[[@BibleTOBIBLE:Jas 5:5]]</w:t>
      </w:r>
      <w:r>
        <w:rPr>
          <w:b/>
        </w:rPr>
        <w:t>5</w:t>
      </w:r>
      <w:r>
        <w:rPr/>
        <w:t xml:space="preserve"> {{field-on:bible}}Ihr habt geschwelgt</w:t>
      </w:r>
      <w:r>
        <w:rPr>
          <w:rStyle w:val="Funotenanker"/>
        </w:rPr>
        <w:footnoteReference w:customMarkFollows="1" w:id="2859"/>
        <w:t>m</w:t>
      </w:r>
      <w:r>
        <w:rPr/>
        <w:t xml:space="preserve"> auf der Erde und üppig gelebt</w:t>
      </w:r>
      <w:r>
        <w:rPr>
          <w:rStyle w:val="Funotenanker"/>
        </w:rPr>
        <w:footnoteReference w:customMarkFollows="1" w:id="2860"/>
        <w:t>n</w:t>
      </w:r>
      <w:r>
        <w:rPr/>
        <w:t>, ihr habt eure Herzen am</w:t>
      </w:r>
      <w:r>
        <w:rPr>
          <w:rStyle w:val="Funotenanker"/>
        </w:rPr>
        <w:footnoteReference w:customMarkFollows="1" w:id="2861"/>
        <w:t>o</w:t>
      </w:r>
      <w:r>
        <w:rPr/>
        <w:t xml:space="preserve"> Schlachttag</w:t>
      </w:r>
      <w:r>
        <w:rPr>
          <w:rStyle w:val="Funotenanker"/>
        </w:rPr>
        <w:footnoteReference w:customMarkFollows="1" w:id="2862"/>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863"/>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864"/>
        <w:t>r</w:t>
      </w:r>
      <w:r>
        <w:rPr/>
        <w:t xml:space="preserve"> er leistet euch keinen Widerstand.</w:t>
      </w:r>
      <w:r>
        <w:rPr>
          <w:rStyle w:val="Funotenanker"/>
        </w:rPr>
        <w:footnoteReference w:customMarkFollows="1" w:id="2865"/>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866"/>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867"/>
        <w:t>u</w:t>
      </w:r>
      <w:r>
        <w:rPr/>
        <w:t xml:space="preserve"> bis sie den Früh- und den Spätregen empfangen hat.</w:t>
      </w:r>
      <w:r>
        <w:rPr>
          <w:rStyle w:val="Funotenanker"/>
        </w:rPr>
        <w:footnoteReference w:customMarkFollows="1" w:id="2868"/>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869"/>
        <w:t>w</w:t>
      </w:r>
      <w:r>
        <w:rPr/>
        <w:t xml:space="preserve">!{{field-off:bible}} </w:t>
        <w:br/>
        <w:t>[[@BibleTOBIBLE:Jas 5:9]]</w:t>
      </w:r>
      <w:r>
        <w:rPr>
          <w:b/>
        </w:rPr>
        <w:t>9</w:t>
      </w:r>
      <w:r>
        <w:rPr/>
        <w:t xml:space="preserve"> {{field-on:bible}}Murrt nicht gegen einander,</w:t>
      </w:r>
      <w:r>
        <w:rPr>
          <w:rStyle w:val="Funotenanker"/>
        </w:rPr>
        <w:footnoteReference w:customMarkFollows="1" w:id="2870"/>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871"/>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872"/>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873"/>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874"/>
        <w:t>ab</w:t>
      </w:r>
      <w:r>
        <w:rPr/>
        <w:t xml:space="preserve"> weder beim Himmel, noch bei der Erde, oder bei irgendeinem anderen Eid. Vielmehr soll euer Ja ein Ja und euer Nein ein Nein sein</w:t>
      </w:r>
      <w:r>
        <w:rPr>
          <w:rStyle w:val="Funotenanker"/>
        </w:rPr>
        <w:footnoteReference w:customMarkFollows="1" w:id="2875"/>
        <w:t>ac</w:t>
      </w:r>
      <w:r>
        <w:rPr/>
        <w:t>, damit ihr nicht dem Gericht verfallt</w:t>
      </w:r>
      <w:r>
        <w:rPr>
          <w:rStyle w:val="Funotenanker"/>
        </w:rPr>
        <w:footnoteReference w:customMarkFollows="1" w:id="2876"/>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877"/>
        <w:t>ae</w:t>
      </w:r>
      <w:r>
        <w:rPr/>
        <w:t>; ist einer guten Mutes, soll er Loblieder singen</w:t>
      </w:r>
      <w:r>
        <w:rPr>
          <w:rStyle w:val="Funotenanker"/>
        </w:rPr>
        <w:footnoteReference w:customMarkFollows="1" w:id="2878"/>
        <w:t>af</w:t>
      </w:r>
      <w:r>
        <w:rPr/>
        <w:t>;</w:t>
      </w:r>
      <w:r>
        <w:rPr>
          <w:rStyle w:val="Funotenanker"/>
        </w:rPr>
        <w:footnoteReference w:customMarkFollows="1" w:id="2879"/>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880"/>
        <w:t>ah</w:t>
      </w:r>
      <w:r>
        <w:rPr/>
        <w:t>, soll er die Ältesten der Gemeinde herbeirufen</w:t>
      </w:r>
      <w:r>
        <w:rPr>
          <w:rStyle w:val="Funotenanker"/>
        </w:rPr>
        <w:footnoteReference w:customMarkFollows="1" w:id="2881"/>
        <w:t>ai</w:t>
      </w:r>
      <w:r>
        <w:rPr/>
        <w:t xml:space="preserve"> und sie sollen über ihn </w:t>
      </w:r>
      <w:r>
        <w:rPr>
          <w:color w:val="808080"/>
        </w:rPr>
        <w:t>(für ihn)</w:t>
      </w:r>
      <w:r>
        <w:rPr/>
        <w:t xml:space="preserve"> beten</w:t>
      </w:r>
      <w:r>
        <w:rPr>
          <w:rStyle w:val="Funotenanker"/>
        </w:rPr>
        <w:footnoteReference w:customMarkFollows="1" w:id="2882"/>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883"/>
        <w:t>ak</w:t>
      </w:r>
      <w:r>
        <w:rPr/>
        <w:t xml:space="preserve"> im Namen des Herrn salben</w:t>
      </w:r>
      <w:r>
        <w:rPr>
          <w:rStyle w:val="Funotenanker"/>
        </w:rPr>
        <w:footnoteReference w:customMarkFollows="1" w:id="2884"/>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885"/>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886"/>
        <w:t>an</w:t>
      </w:r>
      <w:r>
        <w:rPr/>
        <w:t>, wird ihm vergeben werden.</w:t>
      </w:r>
      <w:r>
        <w:rPr>
          <w:rStyle w:val="Funotenanker"/>
        </w:rPr>
        <w:footnoteReference w:customMarkFollows="1" w:id="2887"/>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888"/>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889"/>
        <w:t>aq</w:t>
      </w:r>
      <w:r>
        <w:rPr/>
        <w:t>, dass es nicht regnen würde</w:t>
      </w:r>
      <w:r>
        <w:rPr>
          <w:rStyle w:val="Funotenanker"/>
        </w:rPr>
        <w:footnoteReference w:customMarkFollows="1" w:id="2890"/>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891"/>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892"/>
        <w:t>at</w:t>
      </w:r>
      <w:r>
        <w:rPr/>
        <w:t>, dass derjenige, der einen Sünder von seinem Irrweg</w:t>
      </w:r>
      <w:r>
        <w:rPr>
          <w:rStyle w:val="Funotenanker"/>
        </w:rPr>
        <w:footnoteReference w:customMarkFollows="1" w:id="2893"/>
        <w:t>au</w:t>
      </w:r>
      <w:r>
        <w:rPr/>
        <w:t xml:space="preserve"> auf den rechten Weg zurückgeführt hat,</w:t>
      </w:r>
      <w:r>
        <w:rPr>
          <w:rStyle w:val="Funotenanker"/>
        </w:rPr>
        <w:footnoteReference w:customMarkFollows="1" w:id="2894"/>
        <w:t>av</w:t>
      </w:r>
      <w:r>
        <w:rPr/>
        <w:t xml:space="preserve"> seine Seele </w:t>
      </w:r>
      <w:r>
        <w:rPr>
          <w:color w:val="808080"/>
        </w:rPr>
        <w:t>(Leben)</w:t>
      </w:r>
      <w:r>
        <w:rPr/>
        <w:t xml:space="preserve"> vom Tod erretten und eine Menge Sünden zudecken wird.</w:t>
      </w:r>
      <w:r>
        <w:rPr>
          <w:rStyle w:val="Funotenanker"/>
        </w:rPr>
        <w:footnoteReference w:customMarkFollows="1" w:id="2895"/>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rStyle w:val="Funotenzeichen"/>
        </w:rPr>
        <w:footnoteRef/>
      </w:r>
      <w:r>
        <w:rPr/>
        <w:tab/>
        <w:t>[Status: Zuverlässig]</w:t>
      </w:r>
    </w:p>
  </w:footnote>
  <w:footnote w:id="3">
    <w:p>
      <w:pPr>
        <w:pStyle w:val="Funote"/>
        <w:rPr/>
      </w:pPr>
      <w:r>
        <w:rPr>
          <w:rStyle w:val="Funotenzeichen"/>
        </w:rPr>
        <w:footnoteRef/>
      </w:r>
      <w:r>
        <w:rPr/>
        <w:tab/>
        <w:t>Dieses Waw muss im Kontext von Ex 2,25 gesehen werden.</w:t>
      </w:r>
    </w:p>
  </w:footnote>
  <w:footnote w:id="4">
    <w:p>
      <w:pPr>
        <w:pStyle w:val="Funote"/>
        <w:rPr/>
      </w:pPr>
      <w:r>
        <w:rPr>
          <w:rStyle w:val="Funotenzeichen"/>
        </w:rPr>
        <w:footnoteRef/>
      </w:r>
      <w:r>
        <w:rPr/>
        <w:tab/>
        <w:t>Kleinvieh entspricht Schafen und Ziegen (vgl. DBL Hebrew, 7366).</w:t>
      </w:r>
    </w:p>
  </w:footnote>
  <w:footnote w:id="5">
    <w:p>
      <w:pPr>
        <w:pStyle w:val="Funote"/>
        <w:rPr/>
      </w:pPr>
      <w:r>
        <w:rPr>
          <w:rStyle w:val="Funotenzeichen"/>
        </w:rPr>
        <w:footnoteRef/>
      </w:r>
      <w:r>
        <w:rPr/>
        <w:tab/>
        <w:t>Wörtlich: „war hütend/Hirte das Kleinvieh (Akk.)“. Die gewählte Übersetzung entspricht dem Konsens anderer Übersetzungen.</w:t>
      </w:r>
    </w:p>
  </w:footnote>
  <w:footnote w:id="6">
    <w:p>
      <w:pPr>
        <w:pStyle w:val="Funote"/>
        <w:rPr/>
      </w:pPr>
      <w:r>
        <w:rPr>
          <w:rStyle w:val="Funotenzeichen"/>
        </w:rPr>
        <w:footnoteRef/>
      </w:r>
      <w:r>
        <w:rPr/>
        <w:tab/>
        <w:t>Wörtlich „Flamme des Feuers“.</w:t>
      </w:r>
    </w:p>
  </w:footnote>
  <w:footnote w:id="7">
    <w:p>
      <w:pPr>
        <w:pStyle w:val="Funote"/>
        <w:rPr/>
      </w:pPr>
      <w:r>
        <w:rPr>
          <w:rStyle w:val="Funotenzeichen"/>
        </w:rPr>
        <w:footnoteRef/>
      </w:r>
      <w:r>
        <w:rPr/>
        <w:tab/>
        <w:t xml:space="preserve">Das Wort bezeichnet vermutlich einen Dornbusch, möglicherweise eine Brombeere (vgl. BDB, </w:t>
      </w:r>
      <w:r>
        <w:rPr>
          <w:rtl w:val="true"/>
          <w:lang w:bidi="he-IL"/>
        </w:rPr>
        <w:t>סְנֶה</w:t>
      </w:r>
      <w:r>
        <w:rPr/>
        <w:t>).</w:t>
      </w:r>
    </w:p>
  </w:footnote>
  <w:footnote w:id="8">
    <w:p>
      <w:pPr>
        <w:pStyle w:val="Funote"/>
        <w:rPr/>
      </w:pPr>
      <w:r>
        <w:rPr>
          <w:rStyle w:val="Funotenzeichen"/>
        </w:rPr>
        <w:footnoteRef/>
      </w:r>
      <w:r>
        <w:rPr/>
        <w:tab/>
        <w:t xml:space="preserve">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 </w:t>
      </w:r>
    </w:p>
  </w:footnote>
  <w:footnote w:id="9">
    <w:p>
      <w:pPr>
        <w:pStyle w:val="Funote"/>
        <w:rPr/>
      </w:pPr>
      <w:r>
        <w:rPr>
          <w:rStyle w:val="Funotenzeichen"/>
        </w:rPr>
        <w:footnoteRef/>
      </w:r>
      <w:r>
        <w:rPr/>
        <w:tab/>
        <w:t xml:space="preserve">D.h. „lichterloh“. Im Deutschen wird die zusätzliche Information, dass </w:t>
      </w:r>
      <w:r>
        <w:rPr>
          <w:i/>
        </w:rPr>
        <w:t>Feuer</w:t>
      </w:r>
      <w:r>
        <w:rPr/>
        <w:t xml:space="preserve"> in dem Busch brannte, als überflüssig empfunden. </w:t>
      </w:r>
    </w:p>
  </w:footnote>
  <w:footnote w:id="10">
    <w:p>
      <w:pPr>
        <w:pStyle w:val="Funote"/>
        <w:rPr/>
      </w:pPr>
      <w:r>
        <w:rPr>
          <w:rStyle w:val="Funotenzeichen"/>
        </w:rPr>
        <w:footnoteRef/>
      </w:r>
      <w:r>
        <w:rPr/>
        <w:tab/>
        <w:t>Ein Ptz. akt., das eine fortwährende Handlung ausdrückt.</w:t>
      </w:r>
    </w:p>
  </w:footnote>
  <w:footnote w:id="11">
    <w:p>
      <w:pPr>
        <w:pStyle w:val="Funote"/>
        <w:rPr/>
      </w:pPr>
      <w:r>
        <w:rPr>
          <w:rStyle w:val="Funotenzeichen"/>
        </w:rPr>
        <w:footnoteRef/>
      </w:r>
      <w:r>
        <w:rPr/>
        <w:tab/>
        <w:t>Der Kohortativ ist eine Selbstaufforderung.</w:t>
      </w:r>
    </w:p>
  </w:footnote>
  <w:footnote w:id="12">
    <w:p>
      <w:pPr>
        <w:pStyle w:val="Funote"/>
        <w:rPr/>
      </w:pPr>
      <w:r>
        <w:rPr>
          <w:rStyle w:val="Funotenzeichen"/>
        </w:rPr>
        <w:footnoteRef/>
      </w:r>
      <w:r>
        <w:rPr/>
        <w:tab/>
        <w:t xml:space="preserve">Zwei verbundene Kohortative, von denen der zweite den Zweck angibt. </w:t>
      </w:r>
    </w:p>
  </w:footnote>
  <w:footnote w:id="13">
    <w:p>
      <w:pPr>
        <w:pStyle w:val="Funote"/>
        <w:rPr/>
      </w:pPr>
      <w:r>
        <w:rPr>
          <w:rStyle w:val="Funotenzeichen"/>
        </w:rPr>
        <w:footnoteRef/>
      </w:r>
      <w:r>
        <w:rPr/>
        <w:tab/>
        <w:t>Duratives Ipf., das (wie das Ptz. in V. 2) ein fortwährendes Geschehen andeutet.</w:t>
      </w:r>
    </w:p>
  </w:footnote>
  <w:footnote w:id="14">
    <w:p>
      <w:pPr>
        <w:pStyle w:val="Funote"/>
        <w:rPr/>
      </w:pPr>
      <w:r>
        <w:rPr>
          <w:rStyle w:val="Funotenzeichen"/>
        </w:rPr>
        <w:footnoteRef/>
      </w:r>
      <w:r>
        <w:rPr/>
        <w:tab/>
        <w:t xml:space="preserve">Oder: „,[und herausfinden], warum der Busch nicht verbrennt!“ Die gewählte Lösung ist wohl eine genauere Übersetzung des Wortbestands, weil kein Verb ergänzt werden muss. </w:t>
      </w:r>
    </w:p>
  </w:footnote>
  <w:footnote w:id="15">
    <w:p>
      <w:pPr>
        <w:pStyle w:val="Funote"/>
        <w:rPr/>
      </w:pPr>
      <w:r>
        <w:rPr>
          <w:rStyle w:val="Funotenzeichen"/>
        </w:rPr>
        <w:footnoteRef/>
      </w:r>
      <w:r>
        <w:rPr/>
        <w:tab/>
        <w:t>Also sinngemäß: „Ich höre!“</w:t>
      </w:r>
    </w:p>
  </w:footnote>
  <w:footnote w:id="16">
    <w:p>
      <w:pPr>
        <w:pStyle w:val="Funote"/>
        <w:rPr/>
      </w:pPr>
      <w:r>
        <w:rPr>
          <w:rStyle w:val="Funotenzeichen"/>
        </w:rPr>
        <w:footnoteRef/>
      </w:r>
      <w:r>
        <w:rPr/>
        <w:tab/>
        <w:t>Wörtlich „Erdboden-Heiliges/Heiligtum“.</w:t>
      </w:r>
    </w:p>
  </w:footnote>
  <w:footnote w:id="17">
    <w:p>
      <w:pPr>
        <w:pStyle w:val="Funote"/>
        <w:rPr/>
      </w:pPr>
      <w:r>
        <w:rPr>
          <w:rStyle w:val="Funotenzeichen"/>
        </w:rPr>
        <w:footnoteRef/>
      </w:r>
      <w:r>
        <w:rPr/>
        <w:tab/>
        <w:t>„</w:t>
      </w:r>
      <w:r>
        <w:rPr/>
        <w:t xml:space="preserve">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 </w:t>
      </w:r>
    </w:p>
  </w:footnote>
  <w:footnote w:id="18">
    <w:p>
      <w:pPr>
        <w:pStyle w:val="Funote"/>
        <w:rPr/>
      </w:pPr>
      <w:r>
        <w:rPr>
          <w:rStyle w:val="Funotenzeichen"/>
        </w:rPr>
        <w:footnoteRef/>
      </w:r>
      <w:r>
        <w:rPr/>
        <w:tab/>
        <w:t xml:space="preserve">Hier heißt es im Hebräischen „ihrer“ mit Bezug auf die Menschen, die das Volk bilden (Constructio ad sensum). Im Deutschen muss entsprechend aber „seiner“ verwendet werden. </w:t>
      </w:r>
    </w:p>
  </w:footnote>
  <w:footnote w:id="19">
    <w:p>
      <w:pPr>
        <w:pStyle w:val="Funote"/>
        <w:rPr/>
      </w:pPr>
      <w:r>
        <w:rPr>
          <w:rStyle w:val="Funotenzeichen"/>
        </w:rPr>
        <w:footnoteRef/>
      </w:r>
      <w:r>
        <w:rPr/>
        <w:tab/>
        <w:t xml:space="preserve">Perfekt, das mit einem „Verb der Beziehung“ („wissen“) präsentisch gebraucht wird. </w:t>
      </w:r>
    </w:p>
  </w:footnote>
  <w:footnote w:id="20">
    <w:p>
      <w:pPr>
        <w:pStyle w:val="Funote"/>
        <w:rPr/>
      </w:pPr>
      <w:r>
        <w:rPr>
          <w:rStyle w:val="Funotenzeichen"/>
        </w:rPr>
        <w:footnoteRef/>
      </w:r>
      <w:r>
        <w:rPr/>
        <w:tab/>
        <w:t>Oder, etwas freier: „in dem Milch und Honig fließen.“</w:t>
      </w:r>
    </w:p>
  </w:footnote>
  <w:footnote w:id="21">
    <w:p>
      <w:pPr>
        <w:pStyle w:val="Funote"/>
        <w:rPr/>
      </w:pPr>
      <w:r>
        <w:rPr>
          <w:rStyle w:val="Funotenzeichen"/>
        </w:rPr>
        <w:footnoteRef/>
      </w:r>
      <w:r>
        <w:rPr/>
        <w:tab/>
        <w:t>„</w:t>
      </w:r>
      <w:r>
        <w:rPr/>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rStyle w:val="Funotenzeichen"/>
        </w:rPr>
        <w:footnoteRef/>
      </w:r>
      <w:r>
        <w:rPr/>
        <w:tab/>
        <w:t xml:space="preserve">Die nur sinngemäß übersetzbare Partikel „siehe“ wirkt als Verstärkung der gemachten Aussage. Hier wurde sie in den Kontext eingearbeitet, indem der Kontrast am Satzanfang besonders stark ausgedrückt wurde. </w:t>
      </w:r>
    </w:p>
  </w:footnote>
  <w:footnote w:id="23">
    <w:p>
      <w:pPr>
        <w:pStyle w:val="Funote"/>
        <w:rPr/>
      </w:pPr>
      <w:r>
        <w:rPr>
          <w:rStyle w:val="Funotenzeichen"/>
        </w:rPr>
        <w:footnoteRef/>
      </w:r>
      <w:r>
        <w:rPr/>
        <w:tab/>
        <w:t xml:space="preserve">Constructio ad sensum: Das hier verwendete Partizip steht im Plural, weil es sich auf Ägypten als Metapher für die Ägypter bezieht. </w:t>
      </w:r>
    </w:p>
  </w:footnote>
  <w:footnote w:id="24">
    <w:p>
      <w:pPr>
        <w:pStyle w:val="Funote"/>
        <w:rPr/>
      </w:pPr>
      <w:r>
        <w:rPr>
          <w:rStyle w:val="Funotenzeichen"/>
        </w:rPr>
        <w:footnoteRef/>
      </w:r>
      <w:r>
        <w:rPr/>
        <w:tab/>
        <w:t>Das hier verwendete Stilmittel ist typisch Hebräisch: mit Unterdrückung wird unterdrückt. Freier: »auf welche Weise Ägypten/die Ägypter...«, »wie grausam (GNB)/schwer (LBBH) Ägypten/die Ägypter«</w:t>
      </w:r>
    </w:p>
  </w:footnote>
  <w:footnote w:id="25">
    <w:p>
      <w:pPr>
        <w:pStyle w:val="Funote"/>
        <w:rPr/>
      </w:pPr>
      <w:r>
        <w:rPr>
          <w:rStyle w:val="Funotenzeichen"/>
        </w:rPr>
        <w:footnoteRef/>
      </w:r>
      <w:r>
        <w:rPr/>
        <w:tab/>
        <w:t>Emphatischer Imperativ (LBBH).</w:t>
      </w:r>
    </w:p>
  </w:footnote>
  <w:footnote w:id="26">
    <w:p>
      <w:pPr>
        <w:pStyle w:val="Funote"/>
        <w:rPr/>
      </w:pPr>
      <w:r>
        <w:rPr>
          <w:rStyle w:val="Funotenzeichen"/>
        </w:rPr>
        <w:footnoteRef/>
      </w:r>
      <w:r>
        <w:rPr/>
        <w:tab/>
        <w:t xml:space="preserve">Oder: „und führe hinaus“ (Ipv.). Bei der Konstellation Ipv. + Waw + Ipv. gibt der letzte Ipv. in der Regel Ziel oder Zweck an. </w:t>
      </w:r>
    </w:p>
  </w:footnote>
  <w:footnote w:id="27">
    <w:p>
      <w:pPr>
        <w:pStyle w:val="Funote"/>
        <w:rPr/>
      </w:pPr>
      <w:r>
        <w:rPr>
          <w:rStyle w:val="Funotenzeichen"/>
        </w:rPr>
        <w:footnoteRef/>
      </w:r>
      <w:r>
        <w:rPr/>
        <w:tab/>
        <w:t>Beide Ipf.</w:t>
      </w:r>
    </w:p>
  </w:footnote>
  <w:footnote w:id="28">
    <w:p>
      <w:pPr>
        <w:pStyle w:val="Funote"/>
        <w:rPr/>
      </w:pPr>
      <w:r>
        <w:rPr>
          <w:rStyle w:val="Funotenzeichen"/>
        </w:rPr>
        <w:footnoteRef/>
      </w:r>
      <w:r>
        <w:rPr/>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rStyle w:val="Funotenzeichen"/>
        </w:rPr>
        <w:footnoteRef/>
      </w:r>
      <w:r>
        <w:rPr/>
        <w:tab/>
        <w:t xml:space="preserve">Sowohl eine gegenwärtige als auch eine zukünftige Deutung sind möglich, weil das Verb statisch ist. </w:t>
      </w:r>
    </w:p>
  </w:footnote>
  <w:footnote w:id="30">
    <w:p>
      <w:pPr>
        <w:pStyle w:val="Funote"/>
        <w:rPr/>
      </w:pPr>
      <w:r>
        <w:rPr>
          <w:rStyle w:val="Funotenzeichen"/>
        </w:rPr>
        <w:footnoteRef/>
      </w:r>
      <w:r>
        <w:rPr/>
        <w:tab/>
        <w:t>Wörtlich „ für dich das“.</w:t>
      </w:r>
    </w:p>
  </w:footnote>
  <w:footnote w:id="31">
    <w:p>
      <w:pPr>
        <w:pStyle w:val="Funote"/>
        <w:rPr/>
      </w:pPr>
      <w:r>
        <w:rPr>
          <w:rStyle w:val="Funotenzeichen"/>
        </w:rPr>
        <w:footnoteRef/>
      </w:r>
      <w:r>
        <w:rPr/>
        <w:tab/>
        <w:t xml:space="preserve">Inf. cs. mit </w:t>
      </w:r>
      <w:r>
        <w:rPr>
          <w:rtl w:val="true"/>
          <w:lang w:bidi="he-IL"/>
        </w:rPr>
        <w:t>בְּ</w:t>
      </w:r>
      <w:r>
        <w:rPr/>
        <w:t>.</w:t>
      </w:r>
    </w:p>
  </w:footnote>
  <w:footnote w:id="32">
    <w:p>
      <w:pPr>
        <w:pStyle w:val="Funote"/>
        <w:rPr/>
      </w:pPr>
      <w:r>
        <w:rPr>
          <w:rStyle w:val="Funotenzeichen"/>
        </w:rPr>
        <w:footnoteRef/>
      </w:r>
      <w:r>
        <w:rPr/>
        <w:tab/>
        <w:t>Wörtlich: „Siehe, ich komme... und...“</w:t>
      </w:r>
    </w:p>
  </w:footnote>
  <w:footnote w:id="33">
    <w:p>
      <w:pPr>
        <w:pStyle w:val="Funote"/>
        <w:rPr/>
      </w:pPr>
      <w:r>
        <w:rPr>
          <w:rStyle w:val="Funotenzeichen"/>
        </w:rPr>
        <w:footnoteRef/>
      </w:r>
      <w:r>
        <w:rPr/>
        <w:tab/>
        <w:t>Ipf.</w:t>
      </w:r>
    </w:p>
  </w:footnote>
  <w:footnote w:id="34">
    <w:p>
      <w:pPr>
        <w:pStyle w:val="Funote"/>
        <w:rPr/>
      </w:pPr>
      <w:r>
        <w:rPr>
          <w:rStyle w:val="Funotenzeichen"/>
        </w:rPr>
        <w:footnoteRef/>
      </w:r>
      <w:r>
        <w:rPr/>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rStyle w:val="Funotenzeichen"/>
        </w:rPr>
        <w:footnoteRef/>
      </w:r>
      <w:r>
        <w:rPr/>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rStyle w:val="Funotenzeichen"/>
        </w:rPr>
        <w:footnoteRef/>
      </w:r>
      <w:r>
        <w:rPr/>
        <w:tab/>
        <w:t>Hier steht eine AKwaw-From. In der direkten Rede macht sie Aussagen über die sichere Zukunft. Nach einem Imperativ ist sie als bindender Direktiv zu verstehen. Dasselbe gilt beim nächsten Verb.</w:t>
      </w:r>
    </w:p>
  </w:footnote>
  <w:footnote w:id="37">
    <w:p>
      <w:pPr>
        <w:pStyle w:val="Funote"/>
        <w:rPr/>
      </w:pPr>
      <w:r>
        <w:rPr>
          <w:rStyle w:val="Funotenzeichen"/>
        </w:rPr>
        <w:footnoteRef/>
      </w:r>
      <w:r>
        <w:rPr/>
        <w:tab/>
        <w:t xml:space="preserve">Das Nifal von </w:t>
      </w:r>
      <w:r>
        <w:rPr>
          <w:rtl w:val="true"/>
          <w:lang w:bidi="he-IL"/>
        </w:rPr>
        <w:t>ראה</w:t>
      </w:r>
      <w:r>
        <w:rPr/>
        <w:t xml:space="preserve"> </w:t>
      </w:r>
      <w:r>
        <w:rPr/>
        <w:t>kann als Passiv übersetzt werden.</w:t>
      </w:r>
    </w:p>
  </w:footnote>
  <w:footnote w:id="38">
    <w:p>
      <w:pPr>
        <w:pStyle w:val="Funote"/>
        <w:rPr/>
      </w:pPr>
      <w:r>
        <w:rPr>
          <w:rStyle w:val="Funotenzeichen"/>
        </w:rPr>
        <w:footnoteRef/>
      </w:r>
      <w:r>
        <w:rPr/>
        <w:tab/>
        <w:t>Die LXX bezeugt »der Gott Abrahams, der Gott Isaaks und der Gott Abrahams«.</w:t>
      </w:r>
    </w:p>
  </w:footnote>
  <w:footnote w:id="39">
    <w:p>
      <w:pPr>
        <w:pStyle w:val="Funote"/>
        <w:rPr/>
      </w:pPr>
      <w:r>
        <w:rPr>
          <w:rStyle w:val="Funotenzeichen"/>
        </w:rPr>
        <w:footnoteRef/>
      </w:r>
      <w:r>
        <w:rPr/>
        <w:tab/>
        <w:t>„</w:t>
      </w:r>
      <w:r>
        <w:rPr/>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rStyle w:val="Funotenzeichen"/>
        </w:rPr>
        <w:footnoteRef/>
      </w:r>
      <w:r>
        <w:rPr/>
        <w:tab/>
        <w:t xml:space="preserve">Das Wort </w:t>
      </w:r>
      <w:r>
        <w:rPr>
          <w:rtl w:val="true"/>
          <w:lang w:bidi="he-IL"/>
        </w:rPr>
        <w:t>פקד</w:t>
      </w:r>
      <w:r>
        <w:rPr/>
        <w:t xml:space="preserve"> </w:t>
      </w:r>
      <w:r>
        <w:rPr/>
        <w:t xml:space="preserve">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 </w:t>
      </w:r>
    </w:p>
  </w:footnote>
  <w:footnote w:id="41">
    <w:p>
      <w:pPr>
        <w:pStyle w:val="Funote"/>
        <w:rPr/>
      </w:pPr>
      <w:r>
        <w:rPr>
          <w:rStyle w:val="Funotenzeichen"/>
        </w:rPr>
        <w:footnoteRef/>
      </w:r>
      <w:r>
        <w:rPr/>
        <w:tab/>
        <w:t>Der textus graecus originalis bezeugt hier die 3.Sg: „Da dachte/sagte er“.</w:t>
      </w:r>
    </w:p>
  </w:footnote>
  <w:footnote w:id="42">
    <w:p>
      <w:pPr>
        <w:pStyle w:val="Funote"/>
        <w:rPr/>
      </w:pPr>
      <w:r>
        <w:rPr>
          <w:rStyle w:val="Funotenzeichen"/>
        </w:rPr>
        <w:footnoteRef/>
      </w:r>
      <w:r>
        <w:rPr/>
        <w:tab/>
        <w:t xml:space="preserve">Siehe Fußnoten V. 8. </w:t>
      </w:r>
    </w:p>
  </w:footnote>
  <w:footnote w:id="43">
    <w:p>
      <w:pPr>
        <w:pStyle w:val="Funote"/>
        <w:rPr/>
      </w:pPr>
      <w:r>
        <w:rPr>
          <w:rStyle w:val="Funotenzeichen"/>
        </w:rPr>
        <w:footnoteRef/>
      </w:r>
      <w:r>
        <w:rPr/>
        <w:tab/>
        <w:t>Die LXX bezeugt hier die 2.Sg. mas.</w:t>
      </w:r>
    </w:p>
  </w:footnote>
  <w:footnote w:id="44">
    <w:p>
      <w:pPr>
        <w:pStyle w:val="Funote"/>
        <w:rPr/>
      </w:pPr>
      <w:r>
        <w:rPr>
          <w:rStyle w:val="Funotenzeichen"/>
        </w:rPr>
        <w:footnoteRef/>
      </w:r>
      <w:r>
        <w:rPr/>
        <w:tab/>
        <w:t xml:space="preserve">Der Kohortativ lässt beide Möglichkeiten zu. </w:t>
      </w:r>
    </w:p>
  </w:footnote>
  <w:footnote w:id="45">
    <w:p>
      <w:pPr>
        <w:pStyle w:val="Funote"/>
        <w:rPr/>
      </w:pPr>
      <w:r>
        <w:rPr>
          <w:rStyle w:val="Funotenzeichen"/>
        </w:rPr>
        <w:footnoteRef/>
      </w:r>
      <w:r>
        <w:rPr/>
        <w:tab/>
        <w:t>Wörtlich: „eine Reise/Weg [von] drei Tagen“</w:t>
      </w:r>
    </w:p>
  </w:footnote>
  <w:footnote w:id="46">
    <w:p>
      <w:pPr>
        <w:pStyle w:val="Funote"/>
        <w:rPr/>
      </w:pPr>
      <w:r>
        <w:rPr>
          <w:rStyle w:val="Funotenzeichen"/>
        </w:rPr>
        <w:footnoteRef/>
      </w:r>
      <w:r>
        <w:rPr/>
        <w:tab/>
        <w:t>D.h. »wenn er nicht gezwungen wird« oder »auch nicht, wenn er gezwungen wird«. LXX: »außer«. Eine genauere Behandlung in NET Ex 3:19 Fußnote 65.</w:t>
      </w:r>
    </w:p>
  </w:footnote>
  <w:footnote w:id="47">
    <w:p>
      <w:pPr>
        <w:pStyle w:val="Funote"/>
        <w:rPr/>
      </w:pPr>
      <w:r>
        <w:rPr>
          <w:rStyle w:val="Funotenzeichen"/>
        </w:rPr>
        <w:footnoteRef/>
      </w:r>
      <w:r>
        <w:rPr/>
        <w:tab/>
        <w:t>D.h. „ich werde dafür sorgen, dass die Ägypter euch gesonnen sind“.</w:t>
      </w:r>
    </w:p>
  </w:footnote>
  <w:footnote w:id="48">
    <w:p>
      <w:pPr>
        <w:pStyle w:val="Funote"/>
        <w:rPr/>
      </w:pPr>
      <w:r>
        <w:rPr>
          <w:rStyle w:val="Funotenzeichen"/>
        </w:rPr>
        <w:footnoteRef/>
      </w:r>
      <w:r>
        <w:rPr/>
        <w:tab/>
        <w:t>Wörtlich „leer“.</w:t>
      </w:r>
    </w:p>
  </w:footnote>
  <w:footnote w:id="49">
    <w:p>
      <w:pPr>
        <w:pStyle w:val="Funote"/>
        <w:rPr/>
      </w:pPr>
      <w:r>
        <w:rPr>
          <w:rStyle w:val="Funotenzeichen"/>
        </w:rPr>
        <w:footnoteRef/>
      </w:r>
      <w:r>
        <w:rPr/>
        <w:tab/>
        <w:t>Ipf.</w:t>
      </w:r>
    </w:p>
  </w:footnote>
  <w:footnote w:id="50">
    <w:p>
      <w:pPr>
        <w:pStyle w:val="Funote"/>
        <w:rPr/>
      </w:pPr>
      <w:r>
        <w:rPr>
          <w:rStyle w:val="Funotenzeichen"/>
        </w:rPr>
        <w:footnoteRef/>
      </w:r>
      <w:r>
        <w:rPr/>
        <w:tab/>
        <w:t>[Status: Zuverlässig]</w:t>
      </w:r>
    </w:p>
  </w:footnote>
  <w:footnote w:id="51">
    <w:p>
      <w:pPr>
        <w:pStyle w:val="Funote"/>
        <w:rPr/>
      </w:pPr>
      <w:r>
        <w:rPr>
          <w:rStyle w:val="Funotenzeichen"/>
        </w:rPr>
        <w:footnoteRef/>
      </w:r>
      <w:r>
        <w:rPr/>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rStyle w:val="Funotenzeichen"/>
        </w:rPr>
        <w:footnoteRef/>
      </w:r>
      <w:r>
        <w:rPr/>
        <w:tab/>
        <w:t xml:space="preserve">Ägypten und Kanaan stehen hier metonym als </w:t>
      </w:r>
      <w:r>
        <w:rPr>
          <w:i/>
        </w:rPr>
        <w:t>toto pro pars</w:t>
      </w:r>
      <w:r>
        <w:rPr/>
        <w:t xml:space="preserve">; die gesamte Einheit (das ganze Land) wird also stellvertretend für einen Teil (die Bewohner) genannt. „[die Bewohner]“ wurde deshalb ergänzt. </w:t>
      </w:r>
    </w:p>
  </w:footnote>
  <w:footnote w:id="53">
    <w:p>
      <w:pPr>
        <w:pStyle w:val="Funote"/>
        <w:rPr/>
      </w:pPr>
      <w:r>
        <w:rPr>
          <w:rStyle w:val="Funotenzeichen"/>
        </w:rPr>
        <w:footnoteRef/>
      </w:r>
      <w:r>
        <w:rPr/>
        <w:tab/>
        <w:t xml:space="preserve">Partizip. Oder: „in das ich euch führen werde“, dann als Gegensatz zum vormaligen Leben in Ägypten gedeutet (vgl. NET). </w:t>
      </w:r>
    </w:p>
  </w:footnote>
  <w:footnote w:id="54">
    <w:p>
      <w:pPr>
        <w:pStyle w:val="Funote"/>
        <w:rPr/>
      </w:pPr>
      <w:r>
        <w:rPr>
          <w:rStyle w:val="Funotenzeichen"/>
        </w:rPr>
        <w:footnoteRef/>
      </w:r>
      <w:r>
        <w:rPr/>
        <w:tab/>
        <w:t>Wörtlich „gehen in“, sinngemäß jedoch eher „leben gemäß“; bezeichnet die Lebensführung (Sprinkle 2008, 24).</w:t>
      </w:r>
    </w:p>
  </w:footnote>
  <w:footnote w:id="55">
    <w:p>
      <w:pPr>
        <w:pStyle w:val="Funote"/>
        <w:rPr/>
      </w:pPr>
      <w:r>
        <w:rPr>
          <w:rStyle w:val="Funotenzeichen"/>
        </w:rPr>
        <w:footnoteRef/>
      </w:r>
      <w:r>
        <w:rPr>
          <w:b/>
          <w:i/>
        </w:rPr>
        <w:tab/>
        <w:t>Meine</w:t>
      </w:r>
      <w:r>
        <w:rPr>
          <w:i/>
        </w:rPr>
        <w:t xml:space="preserve"> Verordnungen</w:t>
      </w:r>
      <w:r>
        <w:rPr/>
        <w:t xml:space="preserve"> Die Hervorhebung ergibt sich aus der Wortstellung. Hier bildet nicht wie sonst das Prädikat den Satzanfang, sondern das Objekt (Milgrom 2000, 1521). </w:t>
      </w:r>
    </w:p>
  </w:footnote>
  <w:footnote w:id="56">
    <w:p>
      <w:pPr>
        <w:pStyle w:val="Funote"/>
        <w:rPr/>
      </w:pPr>
      <w:r>
        <w:rPr>
          <w:rStyle w:val="Funotenzeichen"/>
        </w:rPr>
        <w:footnoteRef/>
      </w:r>
      <w:r>
        <w:rPr>
          <w:i/>
        </w:rPr>
        <w:tab/>
        <w:t>tun (handeln)</w:t>
      </w:r>
      <w:r>
        <w:rPr/>
        <w:t xml:space="preserve"> Es handelt sich um dasselbe Wort, das in V. 3 mit „handeln“ übersetzt wurde. </w:t>
      </w:r>
    </w:p>
  </w:footnote>
  <w:footnote w:id="57">
    <w:p>
      <w:pPr>
        <w:pStyle w:val="Funote"/>
        <w:rPr/>
      </w:pPr>
      <w:r>
        <w:rPr>
          <w:rStyle w:val="Funotenzeichen"/>
        </w:rPr>
        <w:footnoteRef/>
      </w:r>
      <w:r>
        <w:rPr/>
        <w:tab/>
        <w:t xml:space="preserve">Es handelt sich um dasselbe Wort wie in V. 3 „Bräuche“, nur dass hier (im Paar mit „Gesetzen“) eine andere Konnotation vorhanden ist; es geht um Vorschriften und nicht nur Gepflogenheiten. </w:t>
      </w:r>
    </w:p>
  </w:footnote>
  <w:footnote w:id="58">
    <w:p>
      <w:pPr>
        <w:pStyle w:val="Funote"/>
        <w:rPr/>
      </w:pPr>
      <w:r>
        <w:rPr>
          <w:rStyle w:val="Funotenzeichen"/>
        </w:rPr>
        <w:footnoteRef/>
      </w:r>
      <w:r>
        <w:rPr/>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rStyle w:val="Funotenzeichen"/>
        </w:rPr>
        <w:footnoteRef/>
      </w:r>
      <w:r>
        <w:rPr/>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 xml:space="preserve">denn“/„von denen gilt“ ist entweder Relativpronomen oder kausale Konjunktion, syntaktisch ist beides möglich. „und“ ist hier konsekutiv oder final; die Auflösung der Satzreihe zu Qualifikation→Folge entspricht also ebenfalls dem ursprünglichen Sinn. </w:t>
        <w:br/>
        <w:t xml:space="preserve">Der Wechsel in die dritte Person hat wohl den Grund, dass dieses Prinzip nicht nur für das angesprochene Israel gilt, sondern auch für im Land lebende Fremde, die sich ebenfalls an die im Folgenden gelisteten Gebote halten müssen (vgl. V. 26; Milgrom 2000, 1522). </w:t>
      </w:r>
    </w:p>
  </w:footnote>
  <w:footnote w:id="60">
    <w:p>
      <w:pPr>
        <w:pStyle w:val="Funote"/>
        <w:rPr/>
      </w:pPr>
      <w:r>
        <w:rPr>
          <w:rStyle w:val="Funotenzeichen"/>
        </w:rPr>
        <w:footnoteRef/>
      </w:r>
      <w:r>
        <w:rPr>
          <w:i/>
        </w:rPr>
        <w:tab/>
        <w:t>wird durch sie (nach/in ihnen) leben</w:t>
      </w:r>
      <w:r>
        <w:rPr/>
        <w:t xml:space="preserve"> Dieser Satz hat eine weit reichende Wirkungsgeschichte im AT, in der jüdischen Auslegung und im NT entfaltet. Was bedeutet „leben“? Geht es um diesseitiges oder jenseitiges Leben oder nur um die Lebensqualität? Und geht es um Leben </w:t>
      </w:r>
      <w:r>
        <w:rPr>
          <w:i/>
        </w:rPr>
        <w:t>durch</w:t>
      </w:r>
      <w:r>
        <w:rPr/>
        <w:t xml:space="preserve"> Einhaltung der Gebote, oder </w:t>
      </w:r>
      <w:r>
        <w:rPr>
          <w:i/>
        </w:rPr>
        <w:t>in</w:t>
      </w:r>
      <w:r>
        <w:rPr/>
        <w:t xml:space="preserve"> ihrem Schutz o.ä.? Unter dem Einfluss des Exils wurde er neu aufgegriffen (</w:t>
      </w:r>
      <w:r>
        <w:fldChar w:fldCharType="begin"/>
      </w:r>
      <w:r>
        <w:rPr>
          <w:rStyle w:val="Internetverknpfung"/>
        </w:rPr>
        <w:instrText> HYPERLINK "../../../../../../../../../wiki/Ezechiel_20" \l "s11"</w:instrText>
      </w:r>
      <w:r>
        <w:rPr>
          <w:rStyle w:val="Internetverknpfung"/>
        </w:rPr>
        <w:fldChar w:fldCharType="separate"/>
      </w:r>
      <w:r>
        <w:rPr>
          <w:rStyle w:val="Internetverknpfung"/>
        </w:rPr>
        <w:t>Ez 20,11</w:t>
      </w:r>
      <w:r>
        <w:rPr>
          <w:rStyle w:val="Internetverknpfung"/>
        </w:rPr>
        <w:fldChar w:fldCharType="end"/>
      </w:r>
      <w:r>
        <w:rPr/>
        <w:t xml:space="preserve">, </w:t>
      </w:r>
      <w:hyperlink r:id="rId1">
        <w:r>
          <w:rPr>
            <w:rStyle w:val="Internetverknpfung"/>
          </w:rPr>
          <w:t>Neh 9,29</w:t>
        </w:r>
      </w:hyperlink>
      <w:r>
        <w:rPr/>
        <w:t>) und als Beleg für Israels Versagen gegenüber ihrem Bundesversprechen. Viele Rabbinen benutzten den Vers als Beleg für die grundsätzlich lebensschützende Funktion der Tora, andere hingegen als Hinweis auf ewiges Leben. Besonders kompliziert ist Paulus' Verwendung von Lev 18,5 (</w:t>
      </w:r>
      <w:r>
        <w:fldChar w:fldCharType="begin"/>
      </w:r>
      <w:r>
        <w:rPr>
          <w:rStyle w:val="Internetverknpfung"/>
        </w:rPr>
        <w:instrText> HYPERLINK "../../../../../../../../../wiki/R%C3%B6mer_10" \l "s8"</w:instrText>
      </w:r>
      <w:r>
        <w:rPr>
          <w:rStyle w:val="Internetverknpfung"/>
        </w:rPr>
        <w:fldChar w:fldCharType="separate"/>
      </w:r>
      <w:r>
        <w:rPr>
          <w:rStyle w:val="Internetverknpfung"/>
        </w:rPr>
        <w:t>Röm 10,8</w:t>
      </w:r>
      <w:r>
        <w:rPr>
          <w:rStyle w:val="Internetverknpfung"/>
        </w:rPr>
        <w:fldChar w:fldCharType="end"/>
      </w:r>
      <w:r>
        <w:rPr/>
        <w:t xml:space="preserve">, </w:t>
      </w:r>
      <w:r>
        <w:fldChar w:fldCharType="begin"/>
      </w:r>
      <w:r>
        <w:rPr>
          <w:rStyle w:val="Internetverknpfung"/>
        </w:rPr>
        <w:instrText> HYPERLINK "../../../../../../../../../wiki/Galater_3" \l "s12"</w:instrText>
      </w:r>
      <w:r>
        <w:rPr>
          <w:rStyle w:val="Internetverknpfung"/>
        </w:rPr>
        <w:fldChar w:fldCharType="separate"/>
      </w:r>
      <w:r>
        <w:rPr>
          <w:rStyle w:val="Internetverknpfung"/>
        </w:rPr>
        <w:t>Gal 3,12</w:t>
      </w:r>
      <w:r>
        <w:rPr>
          <w:rStyle w:val="Internetverknpfung"/>
        </w:rPr>
        <w:fldChar w:fldCharType="end"/>
      </w:r>
      <w:r>
        <w:rPr/>
        <w:t xml:space="preserve">). Ab dem späten 20. Jh. spielte er in der Diskussion um die neue Paulusperspektive eine nicht unwichtige Rolle. </w:t>
        <w:br/>
        <w:t xml:space="preserve">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 xml:space="preserve">lokal; für sie geht es um ein gesegnetes Leben </w:t>
      </w:r>
      <w:r>
        <w:rPr>
          <w:i/>
        </w:rPr>
        <w:t>innerhalb</w:t>
      </w:r>
      <w:r>
        <w:rPr/>
        <w:t xml:space="preserve"> des Bundes. Die Mehrheit der Ausleger versteht die Stelle als gehorsamsbedingte Verheißung eines Lebens unter dem Bundessegen im verheißenen Land (Wenham, Sprinkle, Gathercole u.a.). </w:t>
      </w:r>
    </w:p>
  </w:footnote>
  <w:footnote w:id="61">
    <w:p>
      <w:pPr>
        <w:pStyle w:val="Funote"/>
        <w:rPr/>
      </w:pPr>
      <w:r>
        <w:rPr>
          <w:rStyle w:val="Funotenzeichen"/>
        </w:rPr>
        <w:footnoteRef/>
      </w:r>
      <w:r>
        <w:rPr/>
        <w:tab/>
        <w:t xml:space="preserve">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 </w:t>
      </w:r>
    </w:p>
  </w:footnote>
  <w:footnote w:id="62">
    <w:p>
      <w:pPr>
        <w:pStyle w:val="Funote"/>
        <w:rPr/>
      </w:pPr>
      <w:r>
        <w:rPr>
          <w:rStyle w:val="Funotenzeichen"/>
        </w:rPr>
        <w:footnoteRef/>
      </w:r>
      <w:r>
        <w:rPr/>
        <w:tab/>
        <w:t>Prädikatives Partizip.</w:t>
      </w:r>
    </w:p>
  </w:footnote>
  <w:footnote w:id="63">
    <w:p>
      <w:pPr>
        <w:pStyle w:val="Funote"/>
        <w:rPr/>
      </w:pPr>
      <w:r>
        <w:rPr>
          <w:rStyle w:val="Funotenzeichen"/>
        </w:rPr>
        <w:footnoteRef/>
      </w:r>
      <w:r>
        <w:rPr/>
        <w:tab/>
        <w:t xml:space="preserve">Mit einer konsekutiven Satzverknüpfung zeigt V. 25 an, dass die Unreinheit der Bewohner zur Unreinheit des Landes und zu Gottes Bestrafung führte. </w:t>
      </w:r>
    </w:p>
  </w:footnote>
  <w:footnote w:id="64">
    <w:p>
      <w:pPr>
        <w:pStyle w:val="Funote"/>
        <w:rPr/>
      </w:pPr>
      <w:r>
        <w:rPr>
          <w:rStyle w:val="Funotenzeichen"/>
        </w:rPr>
        <w:footnoteRef/>
      </w:r>
      <w:r>
        <w:rPr/>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rStyle w:val="Funotenzeichen"/>
        </w:rPr>
        <w:footnoteRef/>
      </w:r>
      <w:r>
        <w:rPr/>
        <w:tab/>
        <w:t xml:space="preserve">Die Übersetzung „Seelen“ (Klammer) folgt Kiuchi 2007, 332, der sie in Verbindung mit „abschneiden“ für angemessener hält als „Personen“. </w:t>
      </w:r>
    </w:p>
  </w:footnote>
  <w:footnote w:id="66">
    <w:p>
      <w:pPr>
        <w:pStyle w:val="Funote"/>
        <w:rPr/>
      </w:pPr>
      <w:r>
        <w:rPr>
          <w:rStyle w:val="Funotenzeichen"/>
        </w:rPr>
        <w:footnoteRef/>
      </w:r>
      <w:r>
        <w:rPr/>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rStyle w:val="Funotenzeichen"/>
        </w:rPr>
        <w:footnoteRef/>
      </w:r>
      <w:r>
        <w:rPr/>
        <w:tab/>
        <w:t xml:space="preserve">Es ist nicht klar, ob „vor“ hier in räumlicher („vor euren Augen“) oder zeitlicher Hinsicht („vor eurer Ankunft“) gemeint ist. Nach Milgrom ist die räumliche Deutung wahrscheinlicher, weil die zeitliche das Verb „sein“ erforderlich machen würde (Milgrom 2000, 1583). Vgl. auch V. 5 &amp; 27. </w:t>
      </w:r>
    </w:p>
  </w:footnote>
  <w:footnote w:id="68">
    <w:p>
      <w:pPr>
        <w:pStyle w:val="Funote"/>
        <w:rPr/>
      </w:pPr>
      <w:r>
        <w:rPr>
          <w:rStyle w:val="Funotenzeichen"/>
        </w:rPr>
        <w:footnoteRef/>
      </w:r>
      <w:r>
        <w:rPr>
          <w:i/>
        </w:rPr>
        <w:tab/>
        <w:t>an ihnen (wie sie)</w:t>
      </w:r>
      <w:r>
        <w:rPr/>
        <w:t xml:space="preserve"> Hebr. </w:t>
      </w:r>
      <w:r>
        <w:rPr>
          <w:rtl w:val="true"/>
          <w:lang w:bidi="he-IL"/>
        </w:rPr>
        <w:t>בָּהֶם</w:t>
      </w:r>
      <w:r>
        <w:rPr/>
        <w:t xml:space="preserve"> </w:t>
      </w:r>
      <w:r>
        <w:rPr/>
        <w:t xml:space="preserve">bezieht sich hier wie „mit all diesen [Praktiken]“ in V. 24 instrumental auf das Mittel, mit dem die Verunreinigung entstand. Theoretisch möglich wäre jedoch auch die Übersetzung „wie sie“, also als Vergleich mit den Einheimischen. </w:t>
      </w:r>
    </w:p>
  </w:footnote>
  <w:footnote w:id="69">
    <w:p>
      <w:pPr>
        <w:pStyle w:val="Funote"/>
        <w:rPr/>
      </w:pPr>
      <w:r>
        <w:rPr>
          <w:rStyle w:val="Funotenzeichen"/>
        </w:rPr>
        <w:footnoteRef/>
      </w:r>
      <w:r>
        <w:rPr/>
        <w:tab/>
        <w:t>[Status: Zuverlässig]</w:t>
      </w:r>
    </w:p>
  </w:footnote>
  <w:footnote w:id="70">
    <w:p>
      <w:pPr>
        <w:pStyle w:val="Funote"/>
        <w:rPr/>
      </w:pPr>
      <w:r>
        <w:rPr>
          <w:rStyle w:val="Funotenzeichen"/>
        </w:rPr>
        <w:footnoteRef/>
      </w:r>
      <w:r>
        <w:rPr/>
        <w:tab/>
        <w:t xml:space="preserve">Die Bedeutung des Wortes ist nicht ganz sicher, wird aber als wahrscheinlich angegeben. </w:t>
      </w:r>
    </w:p>
  </w:footnote>
  <w:footnote w:id="71">
    <w:p>
      <w:pPr>
        <w:pStyle w:val="Funote"/>
        <w:rPr/>
      </w:pPr>
      <w:r>
        <w:rPr>
          <w:rStyle w:val="Funotenzeichen"/>
        </w:rPr>
        <w:footnoteRef/>
      </w:r>
      <w:r>
        <w:rPr/>
        <w:tab/>
        <w:t xml:space="preserve">Die Partikel „Siehe“ bleibt am besten unübersetzt. Sie drückt hier die Aufregung der Boten aus; der Satz wurde ansatzweise in eine entsprechende Form gebracht, um dies wiederzugeben. </w:t>
      </w:r>
    </w:p>
  </w:footnote>
  <w:footnote w:id="72">
    <w:p>
      <w:pPr>
        <w:pStyle w:val="Funote"/>
        <w:rPr/>
      </w:pPr>
      <w:r>
        <w:rPr>
          <w:rStyle w:val="Funotenzeichen"/>
        </w:rPr>
        <w:footnoteRef/>
      </w:r>
      <w:r>
        <w:rPr/>
        <w:tab/>
        <w:t xml:space="preserve">Möglich auch: „Befehl“, „Nachricht“, „Boten“, „Wachleute“, etc. Die Abgesandten waren aber wohl Polizisten oder Soldaten, wie aus den folgenden Versen klar wird. </w:t>
      </w:r>
    </w:p>
  </w:footnote>
  <w:footnote w:id="73">
    <w:p>
      <w:pPr>
        <w:pStyle w:val="Funote"/>
        <w:rPr/>
      </w:pPr>
      <w:r>
        <w:rPr>
          <w:rStyle w:val="Funotenzeichen"/>
        </w:rPr>
        <w:footnoteRef/>
      </w:r>
      <w:r>
        <w:rPr/>
        <w:tab/>
        <w:t>Im Hebräischen gibt es kein Plusquamperfekt. Der Kontext legt hier jedoch dringend nahe, dass das Geschilderte vorher geschah und entsprechend zu übersetzen ist.</w:t>
      </w:r>
    </w:p>
  </w:footnote>
  <w:footnote w:id="74">
    <w:p>
      <w:pPr>
        <w:pStyle w:val="Funote"/>
        <w:rPr/>
      </w:pPr>
      <w:r>
        <w:rPr>
          <w:rStyle w:val="Funotenzeichen"/>
        </w:rPr>
        <w:footnoteRef/>
      </w:r>
      <w:r>
        <w:rPr/>
        <w:tab/>
        <w:t>S. Erklärung zum Plusquamperfekt V. 4.</w:t>
      </w:r>
    </w:p>
  </w:footnote>
  <w:footnote w:id="75">
    <w:p>
      <w:pPr>
        <w:pStyle w:val="Funote"/>
        <w:rPr/>
      </w:pPr>
      <w:r>
        <w:rPr>
          <w:rStyle w:val="Funotenzeichen"/>
        </w:rPr>
        <w:footnoteRef/>
      </w:r>
      <w:r>
        <w:rPr/>
        <w:tab/>
        <w:t>Wörtlich: „Flachs (pl.) des Holzes“.</w:t>
      </w:r>
    </w:p>
  </w:footnote>
  <w:footnote w:id="76">
    <w:p>
      <w:pPr>
        <w:pStyle w:val="Funote"/>
        <w:rPr/>
      </w:pPr>
      <w:r>
        <w:rPr>
          <w:rStyle w:val="Funotenzeichen"/>
        </w:rPr>
        <w:footnoteRef/>
      </w:r>
      <w:r>
        <w:rPr/>
        <w:tab/>
        <w:t>Gesenius meint, es handele sich um Baumwolle – bitte in entsprechenden Werken nachschlagen</w:t>
      </w:r>
    </w:p>
  </w:footnote>
  <w:footnote w:id="77">
    <w:p>
      <w:pPr>
        <w:pStyle w:val="Funote"/>
        <w:rPr/>
      </w:pPr>
      <w:r>
        <w:rPr>
          <w:rStyle w:val="Funotenzeichen"/>
        </w:rPr>
        <w:footnoteRef/>
      </w:r>
      <w:r>
        <w:rPr/>
        <w:tab/>
        <w:t>Aufgelöstes Ptz.</w:t>
      </w:r>
    </w:p>
  </w:footnote>
  <w:footnote w:id="78">
    <w:p>
      <w:pPr>
        <w:pStyle w:val="Funote"/>
        <w:rPr/>
      </w:pPr>
      <w:r>
        <w:rPr>
          <w:rStyle w:val="Funotenzeichen"/>
        </w:rPr>
        <w:footnoteRef/>
      </w:r>
      <w:r>
        <w:rPr/>
        <w:tab/>
        <w:t xml:space="preserve">Offenbar zum Trocknen. V. 6 müsste vielleicht anhand von historischen Erkenntnissen zur Flachsverarbeitung korrigiert werden. Meine Kenntnisse stammen von </w:t>
      </w:r>
      <w:r>
        <w:fldChar w:fldCharType="begin"/>
      </w:r>
      <w:r>
        <w:rPr>
          <w:rStyle w:val="Internetverknpfung"/>
        </w:rPr>
        <w:instrText> HYPERLINK "http://de.wikipedia.org/wiki/Flachsfaser" \l "Gewinnung_der_Fasern"</w:instrText>
      </w:r>
      <w:r>
        <w:rPr>
          <w:rStyle w:val="Internetverknpfung"/>
        </w:rPr>
        <w:fldChar w:fldCharType="separate"/>
      </w:r>
      <w:r>
        <w:rPr>
          <w:rStyle w:val="Internetverknpfung"/>
        </w:rPr>
        <w:t>Wikipedia</w:t>
      </w:r>
      <w:r>
        <w:rPr>
          <w:rStyle w:val="Internetverknpfung"/>
        </w:rPr>
        <w:fldChar w:fldCharType="end"/>
      </w:r>
      <w:r>
        <w:rPr/>
        <w:t xml:space="preserve">, was weder sehr aussagekräftig noch zitierbar ist. </w:t>
      </w:r>
    </w:p>
  </w:footnote>
  <w:footnote w:id="79">
    <w:p>
      <w:pPr>
        <w:pStyle w:val="Funote"/>
        <w:rPr/>
      </w:pPr>
      <w:r>
        <w:rPr>
          <w:rStyle w:val="Funotenzeichen"/>
        </w:rPr>
        <w:footnoteRef/>
      </w:r>
      <w:r>
        <w:rPr/>
        <w:tab/>
        <w:t xml:space="preserve">Satzfolgeunterbrechender Waw-Satz, der hier einen erklärenden Einschub markiert. </w:t>
      </w:r>
    </w:p>
  </w:footnote>
  <w:footnote w:id="80">
    <w:p>
      <w:pPr>
        <w:pStyle w:val="Funote"/>
        <w:rPr/>
      </w:pPr>
      <w:r>
        <w:rPr>
          <w:rStyle w:val="Funotenzeichen"/>
        </w:rPr>
        <w:footnoteRef/>
      </w:r>
      <w:r>
        <w:rPr/>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rStyle w:val="Funotenzeichen"/>
        </w:rPr>
        <w:footnoteRef/>
      </w:r>
      <w:r>
        <w:rPr/>
        <w:tab/>
        <w:t xml:space="preserve">Aus der Perspektive der Verfolger geschildert (vgl. NET Jos 2:7 Fußnote 16). </w:t>
      </w:r>
    </w:p>
  </w:footnote>
  <w:footnote w:id="82">
    <w:p>
      <w:pPr>
        <w:pStyle w:val="Funote"/>
        <w:rPr/>
      </w:pPr>
      <w:r>
        <w:rPr>
          <w:rStyle w:val="Funotenzeichen"/>
        </w:rPr>
        <w:footnoteRef/>
      </w:r>
      <w:r>
        <w:rPr/>
        <w:tab/>
        <w:t xml:space="preserve">Beigeordnetes Partizip: Sie verließen die Stadt, „um sie zu verfolgen“ oder „bei der Verfolgung“, oder „diejenigen, die sie verfolgten“. </w:t>
      </w:r>
    </w:p>
  </w:footnote>
  <w:footnote w:id="83">
    <w:p>
      <w:pPr>
        <w:pStyle w:val="Funote"/>
        <w:rPr/>
      </w:pPr>
      <w:r>
        <w:rPr>
          <w:rStyle w:val="Funotenzeichen"/>
        </w:rPr>
        <w:footnoteRef/>
      </w:r>
      <w:r>
        <w:rPr/>
        <w:tab/>
        <w:t xml:space="preserve">Satzfolgeunterbrechender Waw-Satz, der hier einen erklärenden Einschub markiert. </w:t>
      </w:r>
    </w:p>
  </w:footnote>
  <w:footnote w:id="84">
    <w:p>
      <w:pPr>
        <w:pStyle w:val="Funote"/>
        <w:rPr/>
      </w:pPr>
      <w:r>
        <w:rPr>
          <w:rStyle w:val="Funotenzeichen"/>
        </w:rPr>
        <w:footnoteRef/>
      </w:r>
      <w:r>
        <w:rPr/>
        <w:tab/>
        <w:t>Wörtlich: „auf uns gefallen ist“</w:t>
      </w:r>
    </w:p>
  </w:footnote>
  <w:footnote w:id="85">
    <w:p>
      <w:pPr>
        <w:pStyle w:val="Funote"/>
        <w:rPr/>
      </w:pPr>
      <w:r>
        <w:rPr>
          <w:rStyle w:val="Funotenzeichen"/>
        </w:rPr>
        <w:footnoteRef/>
      </w:r>
      <w:r>
        <w:rPr/>
        <w:tab/>
        <w:t xml:space="preserve">Das Wort „schmelzen“ könnte auch „(er)zittern“/„beben“ bedeuten und drückt hier panische Angst aus. Es wurde versucht, eine passende deutsche Übersetzung zu finden. Vgl. TWOT, 1156 </w:t>
      </w:r>
      <w:r>
        <w:rPr>
          <w:rtl w:val="true"/>
          <w:lang w:bidi="he-IL"/>
        </w:rPr>
        <w:t>מוּג</w:t>
      </w:r>
      <w:r>
        <w:rPr/>
        <w:t xml:space="preserve">. </w:t>
      </w:r>
    </w:p>
  </w:footnote>
  <w:footnote w:id="86">
    <w:p>
      <w:pPr>
        <w:pStyle w:val="Funote"/>
        <w:rPr/>
      </w:pPr>
      <w:r>
        <w:rPr>
          <w:rStyle w:val="Funotenzeichen"/>
        </w:rPr>
        <w:footnoteRef/>
      </w:r>
      <w:r>
        <w:rPr/>
        <w:tab/>
        <w:t>Platzhalter für eine fachkundige Erklärung des Bannes.</w:t>
      </w:r>
    </w:p>
  </w:footnote>
  <w:footnote w:id="87">
    <w:p>
      <w:pPr>
        <w:pStyle w:val="Funote"/>
        <w:rPr/>
      </w:pPr>
      <w:r>
        <w:rPr>
          <w:rStyle w:val="Funotenzeichen"/>
        </w:rPr>
        <w:footnoteRef/>
      </w:r>
      <w:r>
        <w:rPr/>
        <w:tab/>
        <w:t>Wörtlich: „einem Mann“</w:t>
      </w:r>
    </w:p>
  </w:footnote>
  <w:footnote w:id="88">
    <w:p>
      <w:pPr>
        <w:pStyle w:val="Funote"/>
        <w:rPr/>
      </w:pPr>
      <w:r>
        <w:rPr>
          <w:rStyle w:val="Funotenzeichen"/>
        </w:rPr>
        <w:footnoteRef/>
      </w:r>
      <w:r>
        <w:rPr/>
        <w:tab/>
        <w:t xml:space="preserve">Alternativ „[selbst wenn wir dafür] sterben“ o.ä. Wörtlich „zu sterben“ – dies kann sich entweder auf die Kundschafter, oder auf Rahab beziehen. </w:t>
      </w:r>
    </w:p>
  </w:footnote>
  <w:footnote w:id="89">
    <w:p>
      <w:pPr>
        <w:pStyle w:val="Funote"/>
        <w:rPr/>
      </w:pPr>
      <w:r>
        <w:rPr>
          <w:rStyle w:val="Funotenzeichen"/>
        </w:rPr>
        <w:footnoteRef/>
      </w:r>
      <w:r>
        <w:rPr/>
        <w:tab/>
        <w:t xml:space="preserve">Alternativ lässt sich der „wenn“-Satz mit dem vorhergehenden Gelübde der Kundschafter verbinden: „Unser Leben für euch..., wenn ihr … nicht meldet“. </w:t>
      </w:r>
    </w:p>
  </w:footnote>
  <w:footnote w:id="90">
    <w:p>
      <w:pPr>
        <w:pStyle w:val="Funote"/>
        <w:rPr/>
      </w:pPr>
      <w:r>
        <w:rPr>
          <w:rStyle w:val="Funotenzeichen"/>
        </w:rPr>
        <w:footnoteRef/>
      </w:r>
      <w:r>
        <w:rPr/>
        <w:tab/>
        <w:t xml:space="preserve">Temporal aufzufassen. Deshalb wurde zur Verdeutlichung „sobald“ gewählt. </w:t>
      </w:r>
    </w:p>
  </w:footnote>
  <w:footnote w:id="91">
    <w:p>
      <w:pPr>
        <w:pStyle w:val="Funote"/>
        <w:rPr/>
      </w:pPr>
      <w:r>
        <w:rPr>
          <w:rStyle w:val="Funotenzeichen"/>
        </w:rPr>
        <w:footnoteRef/>
      </w:r>
      <w:r>
        <w:rPr/>
        <w:tab/>
        <w:t>Gedanklich zu ergänzen: „wenn du nicht folgende Bedingung erfüllst:“ (s. V. 18).</w:t>
      </w:r>
    </w:p>
  </w:footnote>
  <w:footnote w:id="92">
    <w:p>
      <w:pPr>
        <w:pStyle w:val="Funote"/>
        <w:rPr/>
      </w:pPr>
      <w:r>
        <w:rPr>
          <w:rStyle w:val="Funotenzeichen"/>
        </w:rPr>
        <w:footnoteRef/>
      </w:r>
      <w:r>
        <w:rPr/>
        <w:tab/>
        <w:t>„</w:t>
      </w:r>
      <w:r>
        <w:rPr/>
        <w:t>Siehe“ + Ptz. + satzfolgeunterbrechender Satz drückt ein als abgeschlossen betrachtetes Geschehen aus. Alle wichtigen Übersetzungen übersetzen hier „wenn“. Menge übersetzt „Siehe“ als „Wisse wohl:“.</w:t>
      </w:r>
    </w:p>
  </w:footnote>
  <w:footnote w:id="93">
    <w:p>
      <w:pPr>
        <w:pStyle w:val="Funote"/>
        <w:rPr/>
      </w:pPr>
      <w:r>
        <w:rPr>
          <w:rStyle w:val="Funotenzeichen"/>
        </w:rPr>
        <w:footnoteRef/>
      </w:r>
      <w:r>
        <w:rPr/>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rStyle w:val="Funotenzeichen"/>
        </w:rPr>
        <w:footnoteRef/>
      </w:r>
      <w:r>
        <w:rPr/>
        <w:tab/>
        <w:t xml:space="preserve">D.h. er wird die Verantwortung dafür tragen. </w:t>
      </w:r>
    </w:p>
  </w:footnote>
  <w:footnote w:id="95">
    <w:p>
      <w:pPr>
        <w:pStyle w:val="Funote"/>
        <w:rPr/>
      </w:pPr>
      <w:r>
        <w:rPr>
          <w:rStyle w:val="Funotenzeichen"/>
        </w:rPr>
        <w:footnoteRef/>
      </w:r>
      <w:r>
        <w:rPr/>
        <w:tab/>
        <w:t>Wörtlich: „...an ihn sein wird“</w:t>
      </w:r>
    </w:p>
  </w:footnote>
  <w:footnote w:id="96">
    <w:p>
      <w:pPr>
        <w:pStyle w:val="Funote"/>
        <w:rPr/>
      </w:pPr>
      <w:r>
        <w:rPr>
          <w:rStyle w:val="Funotenzeichen"/>
        </w:rPr>
        <w:footnoteRef/>
      </w:r>
      <w:r>
        <w:rPr/>
        <w:tab/>
        <w:t>Aufgelöstes bestimmtes Ptz. akt. f. pl.</w:t>
      </w:r>
    </w:p>
  </w:footnote>
  <w:footnote w:id="97">
    <w:p>
      <w:pPr>
        <w:pStyle w:val="Funote"/>
        <w:rPr/>
      </w:pPr>
      <w:r>
        <w:rPr>
          <w:rStyle w:val="Funotenzeichen"/>
        </w:rPr>
        <w:footnoteRef/>
      </w:r>
      <w:r>
        <w:rPr/>
        <w:tab/>
        <w:t xml:space="preserve">S. Erklärung V. 9. </w:t>
      </w:r>
    </w:p>
  </w:footnote>
  <w:footnote w:id="98">
    <w:p>
      <w:pPr>
        <w:pStyle w:val="Funote"/>
        <w:rPr/>
      </w:pPr>
      <w:r>
        <w:rPr>
          <w:rStyle w:val="Funotenzeichen"/>
        </w:rPr>
        <w:footnoteRef/>
      </w:r>
      <w:r>
        <w:rPr/>
        <w:tab/>
        <w:t>[Status: Zuverlässig]</w:t>
      </w:r>
    </w:p>
  </w:footnote>
  <w:footnote w:id="99">
    <w:p>
      <w:pPr>
        <w:pStyle w:val="Funote"/>
        <w:rPr/>
      </w:pPr>
      <w:r>
        <w:rPr>
          <w:rStyle w:val="Funotenzeichen"/>
        </w:rPr>
        <w:footnoteRef/>
      </w:r>
      <w:r>
        <w:rPr/>
        <w:tab/>
        <w:t xml:space="preserve">Eigentlich Singular. </w:t>
      </w:r>
    </w:p>
  </w:footnote>
  <w:footnote w:id="100">
    <w:p>
      <w:pPr>
        <w:pStyle w:val="Funote"/>
        <w:rPr/>
      </w:pPr>
      <w:r>
        <w:rPr>
          <w:rStyle w:val="Funotenzeichen"/>
        </w:rPr>
        <w:footnoteRef/>
      </w:r>
      <w:r>
        <w:rPr/>
        <w:tab/>
        <w:t xml:space="preserve">Durch einen die Satzfolge unterbrechenden Teilsatz markierter, erklärender Einschub – daher die Übersetzung. </w:t>
      </w:r>
    </w:p>
  </w:footnote>
  <w:footnote w:id="101">
    <w:p>
      <w:pPr>
        <w:pStyle w:val="Funote"/>
        <w:rPr/>
      </w:pPr>
      <w:r>
        <w:rPr>
          <w:rStyle w:val="Funotenzeichen"/>
        </w:rPr>
        <w:footnoteRef/>
      </w:r>
      <w:r>
        <w:rPr/>
        <w:tab/>
        <w:t xml:space="preserve">Durch einen die Satzfolge unterbrechenden Teilsatz markierter, erklärender Einschub – daher die Übersetzung. </w:t>
      </w:r>
    </w:p>
  </w:footnote>
  <w:footnote w:id="102">
    <w:p>
      <w:pPr>
        <w:pStyle w:val="Funote"/>
        <w:rPr/>
      </w:pPr>
      <w:r>
        <w:rPr>
          <w:rStyle w:val="Funotenzeichen"/>
        </w:rPr>
        <w:footnoteRef/>
      </w:r>
      <w:r>
        <w:rPr/>
        <w:tab/>
        <w:t>Eigentlich Singular. Alternativ könnte man folgendermaßen übersetzen: „kam Simson mit seinem Vater ...“</w:t>
      </w:r>
    </w:p>
  </w:footnote>
  <w:footnote w:id="103">
    <w:p>
      <w:pPr>
        <w:pStyle w:val="Funote"/>
        <w:rPr/>
      </w:pPr>
      <w:r>
        <w:rPr>
          <w:rStyle w:val="Funotenzeichen"/>
        </w:rPr>
        <w:footnoteRef/>
      </w:r>
      <w:r>
        <w:rPr/>
        <w:tab/>
        <w:t>Wörtlich „Siehe“.</w:t>
      </w:r>
    </w:p>
  </w:footnote>
  <w:footnote w:id="104">
    <w:p>
      <w:pPr>
        <w:pStyle w:val="Funote"/>
        <w:rPr/>
      </w:pPr>
      <w:r>
        <w:rPr>
          <w:rStyle w:val="Funotenzeichen"/>
        </w:rPr>
        <w:footnoteRef/>
      </w:r>
      <w:r>
        <w:rPr/>
        <w:tab/>
        <w:t xml:space="preserve">Offenbar eine typisch hebräische Gattungsbezeichnung. Das erste Wort bezeichnet möglicherweise nicht nur junge Löwen. </w:t>
      </w:r>
    </w:p>
  </w:footnote>
  <w:footnote w:id="105">
    <w:p>
      <w:pPr>
        <w:pStyle w:val="Funote"/>
        <w:rPr/>
      </w:pPr>
      <w:r>
        <w:rPr>
          <w:rStyle w:val="Funotenzeichen"/>
        </w:rPr>
        <w:footnoteRef/>
      </w:r>
      <w:r>
        <w:rPr/>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rStyle w:val="Funotenzeichen"/>
        </w:rPr>
        <w:footnoteRef/>
      </w:r>
      <w:r>
        <w:rPr/>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rStyle w:val="Funotenzeichen"/>
        </w:rPr>
        <w:footnoteRef/>
      </w:r>
      <w:r>
        <w:rPr/>
        <w:tab/>
        <w:t xml:space="preserve">D.h. Simson den Löwen. </w:t>
      </w:r>
    </w:p>
  </w:footnote>
  <w:footnote w:id="108">
    <w:p>
      <w:pPr>
        <w:pStyle w:val="Funote"/>
        <w:rPr/>
      </w:pPr>
      <w:r>
        <w:rPr>
          <w:rStyle w:val="Funotenzeichen"/>
        </w:rPr>
        <w:footnoteRef/>
      </w:r>
      <w:r>
        <w:rPr/>
        <w:tab/>
        <w:t xml:space="preserve">Wörtlich: „wie zu zerreißen ein Böckchen“. Alternativ „wie [beim] Zerreißen eines Böckchens“ (LBBH). </w:t>
      </w:r>
    </w:p>
  </w:footnote>
  <w:footnote w:id="109">
    <w:p>
      <w:pPr>
        <w:pStyle w:val="Funote"/>
        <w:rPr/>
      </w:pPr>
      <w:r>
        <w:rPr>
          <w:rStyle w:val="Funotenzeichen"/>
        </w:rPr>
        <w:footnoteRef/>
      </w:r>
      <w:r>
        <w:rPr/>
        <w:tab/>
        <w:t xml:space="preserve">Durch einen die Satzfolge unterbrechenden Teilsatz markierter, erklärender Einschub – daher die Übersetzung. </w:t>
      </w:r>
    </w:p>
  </w:footnote>
  <w:footnote w:id="110">
    <w:p>
      <w:pPr>
        <w:pStyle w:val="Funote"/>
        <w:rPr/>
      </w:pPr>
      <w:r>
        <w:rPr>
          <w:rStyle w:val="Funotenzeichen"/>
        </w:rPr>
        <w:footnoteRef/>
      </w:r>
      <w:r>
        <w:rPr/>
        <w:tab/>
        <w:t xml:space="preserve">Wörtlich: „Und siehe“. Diese Wendung wird im Hebräischen häufig verwendet, um direkt Gesehenes oder Geschehendes einzuführen. </w:t>
      </w:r>
    </w:p>
  </w:footnote>
  <w:footnote w:id="111">
    <w:p>
      <w:pPr>
        <w:pStyle w:val="Funote"/>
        <w:rPr/>
      </w:pPr>
      <w:r>
        <w:rPr>
          <w:rStyle w:val="Funotenzeichen"/>
        </w:rPr>
        <w:footnoteRef/>
      </w:r>
      <w:r>
        <w:rPr/>
        <w:tab/>
        <w:t>Wörtlich: „Schwarm/Volk/Gruppe Bienen“</w:t>
      </w:r>
    </w:p>
  </w:footnote>
  <w:footnote w:id="112">
    <w:p>
      <w:pPr>
        <w:pStyle w:val="Funote"/>
        <w:rPr/>
      </w:pPr>
      <w:r>
        <w:rPr>
          <w:rStyle w:val="Funotenzeichen"/>
        </w:rPr>
        <w:footnoteRef/>
      </w:r>
      <w:r>
        <w:rPr/>
        <w:tab/>
        <w:t xml:space="preserve">Idiomatische Phrase. Wörtlich: „Er ging, gehen und essen (beide Inf. abs.)“. Dies drückt typischerweise aus, dass beide zur gleichen Zeit geschehen und kann wie die gewählte Übersetzung verstanden werden. </w:t>
      </w:r>
    </w:p>
  </w:footnote>
  <w:footnote w:id="113">
    <w:p>
      <w:pPr>
        <w:pStyle w:val="Funote"/>
        <w:rPr/>
      </w:pPr>
      <w:r>
        <w:rPr>
          <w:rStyle w:val="Funotenzeichen"/>
        </w:rPr>
        <w:footnoteRef/>
      </w:r>
      <w:r>
        <w:rPr/>
        <w:tab/>
        <w:t xml:space="preserve">Das berühren von Totem verletzte Simsons Gelübde als Nasiräer. S. Ri 13,5; Num 6,6; vgl. NET Ri 14,9 Fußnote 20. Offenbar sah die Familie den Honig als gutes Zeichen, vielleicht betrachtete ihn Simson als Aphrodisiakum (vgl. NET Ri 14,9 Fußnote 19). </w:t>
      </w:r>
    </w:p>
  </w:footnote>
  <w:footnote w:id="114">
    <w:p>
      <w:pPr>
        <w:pStyle w:val="Funote"/>
        <w:rPr/>
      </w:pPr>
      <w:r>
        <w:rPr>
          <w:rStyle w:val="Funotenzeichen"/>
        </w:rPr>
        <w:footnoteRef/>
      </w:r>
      <w:r>
        <w:rPr/>
        <w:tab/>
        <w:t xml:space="preserve">Duratives Imperfekt. Alternativ zur Verdeutlichung „zu machen pflegten“/ „immer so machten“, etc. </w:t>
      </w:r>
    </w:p>
  </w:footnote>
  <w:footnote w:id="115">
    <w:p>
      <w:pPr>
        <w:pStyle w:val="Funote"/>
        <w:rPr/>
      </w:pPr>
      <w:r>
        <w:rPr>
          <w:rStyle w:val="Funotenzeichen"/>
        </w:rPr>
        <w:footnoteRef/>
      </w:r>
      <w:r>
        <w:rPr/>
        <w:tab/>
        <w:t xml:space="preserve">Unpersönlicher Gebrauch (LBBH). </w:t>
      </w:r>
    </w:p>
  </w:footnote>
  <w:footnote w:id="116">
    <w:p>
      <w:pPr>
        <w:pStyle w:val="Funote"/>
        <w:rPr/>
      </w:pPr>
      <w:r>
        <w:rPr>
          <w:rStyle w:val="Funotenzeichen"/>
        </w:rPr>
        <w:footnoteRef/>
      </w:r>
      <w:r>
        <w:rPr/>
        <w:tab/>
        <w:t xml:space="preserve">Der Satz bezieht sich wohl auf die Philister. Der letzte Teilsatz kann sich theoretisch auch auf die erste Gruppe beziehen, semantisch sinnvoller ist allerdings die Gruppe der „Gefährten“. </w:t>
      </w:r>
    </w:p>
  </w:footnote>
  <w:footnote w:id="117">
    <w:p>
      <w:pPr>
        <w:pStyle w:val="Funote"/>
        <w:rPr/>
      </w:pPr>
      <w:r>
        <w:rPr>
          <w:rStyle w:val="Funotenzeichen"/>
        </w:rPr>
        <w:footnoteRef/>
      </w:r>
      <w:r>
        <w:rPr/>
        <w:tab/>
        <w:t>Kohortativ.</w:t>
      </w:r>
    </w:p>
  </w:footnote>
  <w:footnote w:id="118">
    <w:p>
      <w:pPr>
        <w:pStyle w:val="Funote"/>
        <w:rPr/>
      </w:pPr>
      <w:r>
        <w:rPr>
          <w:rStyle w:val="Funotenzeichen"/>
        </w:rPr>
        <w:footnoteRef/>
      </w:r>
      <w:r>
        <w:rPr/>
        <w:tab/>
        <w:t>Wörtlich „sie“, womit das Rätsel gemeint ist.</w:t>
      </w:r>
    </w:p>
  </w:footnote>
  <w:footnote w:id="119">
    <w:p>
      <w:pPr>
        <w:pStyle w:val="Funote"/>
        <w:rPr/>
      </w:pPr>
      <w:r>
        <w:rPr>
          <w:rStyle w:val="Funotenzeichen"/>
        </w:rPr>
        <w:footnoteRef/>
      </w:r>
      <w:r>
        <w:rPr/>
        <w:tab/>
        <w:t>Eingefügt, um die idiomatische Konstruktion mit Inf. Abs. + Ipf.</w:t>
      </w:r>
    </w:p>
  </w:footnote>
  <w:footnote w:id="120">
    <w:p>
      <w:pPr>
        <w:pStyle w:val="Funote"/>
        <w:rPr/>
      </w:pPr>
      <w:r>
        <w:rPr>
          <w:rStyle w:val="Funotenzeichen"/>
        </w:rPr>
        <w:footnoteRef/>
      </w:r>
      <w:r>
        <w:rPr/>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1">
    <w:p>
      <w:pPr>
        <w:pStyle w:val="Funote"/>
        <w:rPr/>
      </w:pPr>
      <w:r>
        <w:rPr>
          <w:rStyle w:val="Funotenzeichen"/>
        </w:rPr>
        <w:footnoteRef/>
      </w:r>
      <w:r>
        <w:rPr/>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rStyle w:val="Funotenzeichen"/>
        </w:rPr>
        <w:footnoteRef/>
      </w:r>
      <w:r>
        <w:rPr/>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rStyle w:val="Funotenzeichen"/>
        </w:rPr>
        <w:footnoteRef/>
      </w:r>
      <w:r>
        <w:rPr/>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4">
    <w:p>
      <w:pPr>
        <w:pStyle w:val="Funote"/>
        <w:rPr/>
      </w:pPr>
      <w:r>
        <w:rPr>
          <w:rStyle w:val="Funotenzeichen"/>
        </w:rPr>
        <w:footnoteRef/>
      </w:r>
      <w:r>
        <w:rPr/>
        <w:tab/>
        <w:t>Für Näheres über die Kleider s. V. 12.</w:t>
      </w:r>
    </w:p>
  </w:footnote>
  <w:footnote w:id="125">
    <w:p>
      <w:pPr>
        <w:pStyle w:val="Funote"/>
        <w:rPr/>
      </w:pPr>
      <w:r>
        <w:rPr>
          <w:rStyle w:val="Funotenzeichen"/>
        </w:rPr>
        <w:footnoteRef/>
      </w:r>
      <w:r>
        <w:rPr/>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6">
    <w:p>
      <w:pPr>
        <w:pStyle w:val="Funote"/>
        <w:rPr/>
      </w:pPr>
      <w:r>
        <w:rPr>
          <w:rStyle w:val="Funotenzeichen"/>
        </w:rPr>
        <w:footnoteRef/>
      </w:r>
      <w:r>
        <w:rPr/>
        <w:tab/>
        <w:t>Im MT steht hier „siebten“, in der LXX und anderen Manuskripten „vierten“. Das passt besser zum vorhergehenden Vers und in den Gesamtkontext.</w:t>
      </w:r>
    </w:p>
  </w:footnote>
  <w:footnote w:id="127">
    <w:p>
      <w:pPr>
        <w:pStyle w:val="Funote"/>
        <w:rPr/>
      </w:pPr>
      <w:r>
        <w:rPr>
          <w:rStyle w:val="Funotenzeichen"/>
        </w:rPr>
        <w:footnoteRef/>
      </w:r>
      <w:r>
        <w:rPr/>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8">
    <w:p>
      <w:pPr>
        <w:pStyle w:val="Funote"/>
        <w:rPr/>
      </w:pPr>
      <w:r>
        <w:rPr>
          <w:rStyle w:val="Funotenzeichen"/>
        </w:rPr>
        <w:footnoteRef/>
      </w:r>
      <w:r>
        <w:rPr/>
        <w:tab/>
        <w:t>Ipf.</w:t>
      </w:r>
    </w:p>
  </w:footnote>
  <w:footnote w:id="129">
    <w:p>
      <w:pPr>
        <w:pStyle w:val="Funote"/>
        <w:rPr/>
      </w:pPr>
      <w:r>
        <w:rPr>
          <w:rStyle w:val="Funotenzeichen"/>
        </w:rPr>
        <w:footnoteRef/>
      </w:r>
      <w:r>
        <w:rPr/>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rStyle w:val="Funotenzeichen"/>
        </w:rPr>
        <w:footnoteRef/>
      </w:r>
      <w:r>
        <w:rPr/>
        <w:tab/>
        <w:t xml:space="preserve">Das kann so verstanden werden, dass sie sich auf ihn warf oder an seiner Schulter weinte. </w:t>
      </w:r>
    </w:p>
  </w:footnote>
  <w:footnote w:id="131">
    <w:p>
      <w:pPr>
        <w:pStyle w:val="Funote"/>
        <w:rPr/>
      </w:pPr>
      <w:r>
        <w:rPr>
          <w:rStyle w:val="Funotenzeichen"/>
        </w:rPr>
        <w:footnoteRef/>
      </w:r>
      <w:r>
        <w:rPr/>
        <w:tab/>
        <w:t>Das Wort kann auch weniger krass verstanden werden: »Du bist meiner überdrüssig« (LUT), »Du hast eine Abneigung gegen mich« (EU).</w:t>
      </w:r>
    </w:p>
  </w:footnote>
  <w:footnote w:id="132">
    <w:p>
      <w:pPr>
        <w:pStyle w:val="Funote"/>
        <w:rPr/>
      </w:pPr>
      <w:r>
        <w:rPr>
          <w:rStyle w:val="Funotenzeichen"/>
        </w:rPr>
        <w:footnoteRef/>
      </w:r>
      <w:r>
        <w:rPr/>
        <w:tab/>
        <w:t xml:space="preserve">Durch die etwas abgesetzte Fortsetzung wurde versucht, die (einen Gegensatz ausdrückende) Satzfolgeunterbrechung zu berücksichtigen. </w:t>
      </w:r>
    </w:p>
  </w:footnote>
  <w:footnote w:id="133">
    <w:p>
      <w:pPr>
        <w:pStyle w:val="Funote"/>
        <w:rPr/>
      </w:pPr>
      <w:r>
        <w:rPr>
          <w:rStyle w:val="Funotenzeichen"/>
        </w:rPr>
        <w:footnoteRef/>
      </w:r>
      <w:r>
        <w:rPr/>
        <w:tab/>
        <w:t xml:space="preserve">In Wirklichkeit bezieht sich das Verb direkt zurück auf das Rätsel. </w:t>
      </w:r>
    </w:p>
  </w:footnote>
  <w:footnote w:id="134">
    <w:p>
      <w:pPr>
        <w:pStyle w:val="Funote"/>
        <w:rPr/>
      </w:pPr>
      <w:r>
        <w:rPr>
          <w:rStyle w:val="Funotenzeichen"/>
        </w:rPr>
        <w:footnoteRef/>
      </w:r>
      <w:r>
        <w:rPr/>
        <w:tab/>
        <w:t xml:space="preserve">Idiomatische Wiedergabe von „Siehe“. </w:t>
      </w:r>
    </w:p>
  </w:footnote>
  <w:footnote w:id="135">
    <w:p>
      <w:pPr>
        <w:pStyle w:val="Funote"/>
        <w:rPr/>
      </w:pPr>
      <w:r>
        <w:rPr>
          <w:rStyle w:val="Funotenzeichen"/>
        </w:rPr>
        <w:footnoteRef/>
      </w:r>
      <w:r>
        <w:rPr/>
        <w:tab/>
        <w:t xml:space="preserve">Das kann so verstanden werden, dass sie sich auf ihn warf oder an seiner Schulter weinte. </w:t>
      </w:r>
    </w:p>
  </w:footnote>
  <w:footnote w:id="136">
    <w:p>
      <w:pPr>
        <w:pStyle w:val="Funote"/>
        <w:rPr/>
      </w:pPr>
      <w:r>
        <w:rPr>
          <w:rStyle w:val="Funotenzeichen"/>
        </w:rPr>
        <w:footnoteRef/>
      </w:r>
      <w:r>
        <w:rPr/>
        <w:tab/>
        <w:t xml:space="preserve">Wörtlich „[in] denen“ (bezogen auf die Tage). </w:t>
      </w:r>
    </w:p>
  </w:footnote>
  <w:footnote w:id="137">
    <w:p>
      <w:pPr>
        <w:pStyle w:val="Funote"/>
        <w:rPr/>
      </w:pPr>
      <w:r>
        <w:rPr>
          <w:rStyle w:val="Funotenzeichen"/>
        </w:rPr>
        <w:footnoteRef/>
      </w:r>
      <w:r>
        <w:rPr/>
        <w:tab/>
        <w:t xml:space="preserve">Wörtlich: „das Rätsel“. </w:t>
      </w:r>
    </w:p>
  </w:footnote>
  <w:footnote w:id="138">
    <w:p>
      <w:pPr>
        <w:pStyle w:val="Funote"/>
        <w:rPr/>
      </w:pPr>
      <w:r>
        <w:rPr>
          <w:rStyle w:val="Funotenzeichen"/>
        </w:rPr>
        <w:footnoteRef/>
      </w:r>
      <w:r>
        <w:rPr/>
        <w:tab/>
        <w:t xml:space="preserve">Eigentlich Imperfekt, das aber mit dem vorhergehenden Wort Vergangenheitsbedeutung hat. </w:t>
      </w:r>
    </w:p>
  </w:footnote>
  <w:footnote w:id="139">
    <w:p>
      <w:pPr>
        <w:pStyle w:val="Funote"/>
        <w:rPr/>
      </w:pPr>
      <w:r>
        <w:rPr>
          <w:rStyle w:val="Funotenzeichen"/>
        </w:rPr>
        <w:footnoteRef/>
      </w:r>
      <w:r>
        <w:rPr/>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rStyle w:val="Funotenzeichen"/>
        </w:rPr>
        <w:footnoteRef/>
      </w:r>
      <w:r>
        <w:rPr/>
        <w:tab/>
        <w:t xml:space="preserve">Der Begriff bezeichnet ein weibliches Kalb. </w:t>
      </w:r>
    </w:p>
  </w:footnote>
  <w:footnote w:id="141">
    <w:p>
      <w:pPr>
        <w:pStyle w:val="Funote"/>
        <w:rPr/>
      </w:pPr>
      <w:r>
        <w:rPr>
          <w:rStyle w:val="Funotenzeichen"/>
        </w:rPr>
        <w:footnoteRef/>
      </w:r>
      <w:r>
        <w:rPr/>
        <w:tab/>
        <w:t xml:space="preserve">Wörtlich: „das Rätsel“. </w:t>
      </w:r>
    </w:p>
  </w:footnote>
  <w:footnote w:id="142">
    <w:p>
      <w:pPr>
        <w:pStyle w:val="Funote"/>
        <w:rPr/>
      </w:pPr>
      <w:r>
        <w:rPr>
          <w:rStyle w:val="Funotenzeichen"/>
        </w:rPr>
        <w:footnoteRef/>
      </w:r>
      <w:r>
        <w:rPr/>
        <w:tab/>
        <w:t xml:space="preserve">Die irreale Form des Konditionalsatzes wird durch die Konjunktion vorgegeben (vgl. Davidson, Hebrew Syntax, §130). </w:t>
      </w:r>
    </w:p>
  </w:footnote>
  <w:footnote w:id="143">
    <w:p>
      <w:pPr>
        <w:pStyle w:val="Funote"/>
        <w:rPr/>
      </w:pPr>
      <w:r>
        <w:rPr>
          <w:rStyle w:val="Funotenzeichen"/>
        </w:rPr>
        <w:footnoteRef/>
      </w:r>
      <w:r>
        <w:rPr/>
        <w:tab/>
        <w:t xml:space="preserve">S. V. 6. </w:t>
      </w:r>
    </w:p>
  </w:footnote>
  <w:footnote w:id="144">
    <w:p>
      <w:pPr>
        <w:pStyle w:val="Funote"/>
        <w:rPr/>
      </w:pPr>
      <w:r>
        <w:rPr>
          <w:rStyle w:val="Funotenzeichen"/>
        </w:rPr>
        <w:footnoteRef/>
      </w:r>
      <w:r>
        <w:rPr/>
        <w:tab/>
        <w:t xml:space="preserve">Bezieht sich auf die Stadtbewohner. </w:t>
      </w:r>
    </w:p>
  </w:footnote>
  <w:footnote w:id="145">
    <w:p>
      <w:pPr>
        <w:pStyle w:val="Funote"/>
        <w:rPr/>
      </w:pPr>
      <w:r>
        <w:rPr>
          <w:rStyle w:val="Funotenzeichen"/>
        </w:rPr>
        <w:footnoteRef/>
      </w:r>
      <w:r>
        <w:rPr/>
        <w:tab/>
        <w:t>Hier steht im Hebräischen tatsächlich ein kollektiver Singular.</w:t>
      </w:r>
    </w:p>
  </w:footnote>
  <w:footnote w:id="146">
    <w:p>
      <w:pPr>
        <w:pStyle w:val="Funote"/>
        <w:rPr/>
      </w:pPr>
      <w:r>
        <w:rPr>
          <w:rStyle w:val="Funotenzeichen"/>
        </w:rPr>
        <w:footnoteRef/>
      </w:r>
      <w:r>
        <w:rPr/>
        <w:tab/>
        <w:t xml:space="preserve">Hier im Plural. Gemeint sind die Gegenstände, die ein getöteter Feind bei sich trägt – also etwa seine „Habseligkeiten“(DBL Hebrew, 2723 </w:t>
      </w:r>
      <w:r>
        <w:rPr>
          <w:rtl w:val="true"/>
          <w:lang w:bidi="he-IL"/>
        </w:rPr>
        <w:t>חֲלִיצָה</w:t>
      </w:r>
      <w:r>
        <w:rPr/>
        <w:t xml:space="preserve">). Viele verstehen das in diesem Kontext als die „Kleider“, die Simson den Siegern im Rätselwettbewerb geben schuldete. </w:t>
      </w:r>
    </w:p>
  </w:footnote>
  <w:footnote w:id="147">
    <w:p>
      <w:pPr>
        <w:pStyle w:val="Funote"/>
        <w:rPr/>
      </w:pPr>
      <w:r>
        <w:rPr>
          <w:rStyle w:val="Funotenzeichen"/>
        </w:rPr>
        <w:footnoteRef/>
      </w:r>
      <w:r>
        <w:rPr/>
        <w:tab/>
        <w:t xml:space="preserve">Oder „Kleidungssätze“, wörtlich „Ersatze“. Details s. Fußnote V. 12. </w:t>
      </w:r>
    </w:p>
  </w:footnote>
  <w:footnote w:id="148">
    <w:p>
      <w:pPr>
        <w:pStyle w:val="Funote"/>
        <w:rPr/>
      </w:pPr>
      <w:r>
        <w:rPr>
          <w:rStyle w:val="Funotenzeichen"/>
        </w:rPr>
        <w:footnoteRef/>
      </w:r>
      <w:r>
        <w:rPr/>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49">
    <w:p>
      <w:pPr>
        <w:pStyle w:val="Funote"/>
        <w:rPr/>
      </w:pPr>
      <w:r>
        <w:rPr>
          <w:rStyle w:val="Funotenzeichen"/>
        </w:rPr>
        <w:footnoteRef/>
      </w:r>
      <w:r>
        <w:rPr/>
        <w:tab/>
        <w:t xml:space="preserve">Auflösung eines substantivierten Partizips. </w:t>
      </w:r>
    </w:p>
  </w:footnote>
  <w:footnote w:id="150">
    <w:p>
      <w:pPr>
        <w:pStyle w:val="Funote"/>
        <w:rPr/>
      </w:pPr>
      <w:r>
        <w:rPr>
          <w:rStyle w:val="Funotenzeichen"/>
        </w:rPr>
        <w:footnoteRef/>
      </w:r>
      <w:r>
        <w:rPr/>
        <w:tab/>
        <w:t xml:space="preserve">Idiom für „Er war zornig“. </w:t>
      </w:r>
    </w:p>
  </w:footnote>
  <w:footnote w:id="151">
    <w:p>
      <w:pPr>
        <w:pStyle w:val="Funote"/>
        <w:rPr/>
      </w:pPr>
      <w:r>
        <w:rPr>
          <w:rStyle w:val="Funotenzeichen"/>
        </w:rPr>
        <w:footnoteRef/>
      </w:r>
      <w:r>
        <w:rPr/>
        <w:tab/>
        <w:t>[Status: Zuverlässig]</w:t>
      </w:r>
    </w:p>
  </w:footnote>
  <w:footnote w:id="152">
    <w:p>
      <w:pPr>
        <w:pStyle w:val="Funote"/>
        <w:rPr/>
      </w:pPr>
      <w:r>
        <w:rPr>
          <w:rStyle w:val="Funotenzeichen"/>
        </w:rPr>
        <w:footnoteRef/>
      </w:r>
      <w:r>
        <w:rPr/>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3">
    <w:p>
      <w:pPr>
        <w:pStyle w:val="Funote"/>
        <w:rPr/>
      </w:pPr>
      <w:r>
        <w:rPr>
          <w:rStyle w:val="Funotenzeichen"/>
        </w:rPr>
        <w:footnoteRef/>
      </w:r>
      <w:r>
        <w:rPr/>
        <w:tab/>
        <w:t>im Land - d.h. in Israel. Übersetze daher vielleicht besser: „...herrschte ein Hungersnot in Israel“ (de Waard/Nida 1992, S. 6).</w:t>
      </w:r>
    </w:p>
  </w:footnote>
  <w:footnote w:id="154">
    <w:p>
      <w:pPr>
        <w:pStyle w:val="Funote"/>
        <w:rPr/>
      </w:pPr>
      <w:r>
        <w:rPr>
          <w:rStyle w:val="Funotenzeichen"/>
        </w:rPr>
        <w:footnoteRef/>
      </w:r>
      <w:r>
        <w:rPr/>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55">
    <w:p>
      <w:pPr>
        <w:pStyle w:val="Funote"/>
        <w:rPr/>
      </w:pPr>
      <w:r>
        <w:rPr>
          <w:rStyle w:val="Funotenzeichen"/>
        </w:rPr>
        <w:footnoteRef/>
      </w:r>
      <w:r>
        <w:rPr>
          <w:i/>
        </w:rPr>
        <w:tab/>
        <w:t>verließ ein Mann Betlehem in Juda (machte sich ein aus Betlehem in Juda [stammender] Mann auf)</w:t>
      </w:r>
      <w:r>
        <w:rPr/>
        <w:t xml:space="preserve">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56">
    <w:p>
      <w:pPr>
        <w:pStyle w:val="Funote"/>
        <w:rPr/>
      </w:pPr>
      <w:r>
        <w:rPr>
          <w:rStyle w:val="Funotenzeichen"/>
        </w:rPr>
        <w:footnoteRef/>
      </w:r>
      <w:r>
        <w:rPr/>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57">
    <w:p>
      <w:pPr>
        <w:pStyle w:val="Funote"/>
        <w:rPr/>
      </w:pPr>
      <w:r>
        <w:rPr>
          <w:rStyle w:val="Funotenzeichen"/>
        </w:rPr>
        <w:footnoteRef/>
      </w:r>
      <w:r>
        <w:rPr>
          <w:i/>
        </w:rPr>
        <w:tab/>
        <w:t>Moab</w:t>
      </w:r>
      <w:r>
        <w:rPr/>
        <w:t xml:space="preserve"> - östlicher Nachbarstaat Israels (für näheres s. </w:t>
      </w:r>
      <w:hyperlink r:id="rId2">
        <w:r>
          <w:rPr>
            <w:rStyle w:val="Internetverknpfung"/>
          </w:rPr>
          <w:t>Moab / Moabiter (WiBiLex)</w:t>
        </w:r>
      </w:hyperlink>
      <w:r>
        <w:rPr/>
        <w:t xml:space="preserve">). Wegen verschiedener kriegerischer Konflikte ist Moab im AT meist negativ belegt; auch im Richterbuch (s. </w:t>
      </w:r>
      <w:hyperlink r:id="rId3">
        <w:r>
          <w:rPr>
            <w:rStyle w:val="Internetverknpfung"/>
          </w:rPr>
          <w:t>Ri 3,12-30</w:t>
        </w:r>
      </w:hyperlink>
      <w:r>
        <w:rPr/>
        <w:t xml:space="preserve">).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w:t>
      </w:r>
      <w:r>
        <w:rPr>
          <w:i/>
        </w:rPr>
        <w:t>zehn Jahren</w:t>
      </w:r>
      <w:r>
        <w:rPr/>
        <w:t xml:space="preserve"> verursachen.</w:t>
        <w:br/>
        <w:t>Hinter der der Entscheidung des Erzählers für Moab stehen daher sicher andere Gründe; s. das Ende der Anmerkungen.</w:t>
      </w:r>
    </w:p>
  </w:footnote>
  <w:footnote w:id="158">
    <w:p>
      <w:pPr>
        <w:pStyle w:val="Funote"/>
        <w:rPr/>
      </w:pPr>
      <w:r>
        <w:rPr>
          <w:rStyle w:val="Funotenzeichen"/>
        </w:rPr>
        <w:footnoteRef/>
      </w:r>
      <w:r>
        <w:rPr/>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59">
    <w:p>
      <w:pPr>
        <w:pStyle w:val="Funote"/>
        <w:rPr/>
      </w:pPr>
      <w:r>
        <w:rPr>
          <w:rStyle w:val="Funotenzeichen"/>
        </w:rPr>
        <w:footnoteRef/>
      </w:r>
      <w:r>
        <w:rPr/>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0">
    <w:p>
      <w:pPr>
        <w:pStyle w:val="Funote"/>
        <w:rPr/>
      </w:pPr>
      <w:r>
        <w:rPr>
          <w:rStyle w:val="Funotenzeichen"/>
        </w:rPr>
        <w:footnoteRef/>
      </w:r>
      <w:r>
        <w:rPr/>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1">
    <w:p>
      <w:pPr>
        <w:pStyle w:val="Funote"/>
        <w:rPr/>
      </w:pPr>
      <w:r>
        <w:rPr>
          <w:rStyle w:val="Funotenzeichen"/>
        </w:rPr>
        <w:footnoteRef/>
      </w:r>
      <w:r>
        <w:rPr/>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2">
    <w:p>
      <w:pPr>
        <w:pStyle w:val="Funote"/>
        <w:rPr/>
      </w:pPr>
      <w:r>
        <w:rPr>
          <w:rStyle w:val="Funotenzeichen"/>
        </w:rPr>
        <w:footnoteRef/>
      </w:r>
      <w:r>
        <w:rPr/>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3">
    <w:p>
      <w:pPr>
        <w:pStyle w:val="Funote"/>
        <w:rPr/>
      </w:pPr>
      <w:r>
        <w:rPr>
          <w:rStyle w:val="Funotenzeichen"/>
        </w:rPr>
        <w:footnoteRef/>
      </w:r>
      <w:r>
        <w:rPr/>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4">
    <w:p>
      <w:pPr>
        <w:pStyle w:val="Funote"/>
        <w:rPr/>
      </w:pPr>
      <w:r>
        <w:rPr>
          <w:rStyle w:val="Funotenzeichen"/>
        </w:rPr>
        <w:footnoteRef/>
      </w:r>
      <w:r>
        <w:rPr/>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65">
    <w:p>
      <w:pPr>
        <w:pStyle w:val="Funote"/>
        <w:rPr/>
      </w:pPr>
      <w:r>
        <w:rPr>
          <w:rStyle w:val="Funotenzeichen"/>
        </w:rPr>
        <w:footnoteRef/>
      </w:r>
      <w:r>
        <w:rPr/>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66">
    <w:p>
      <w:pPr>
        <w:pStyle w:val="Funote"/>
        <w:rPr/>
      </w:pPr>
      <w:r>
        <w:rPr>
          <w:rStyle w:val="Funotenzeichen"/>
        </w:rPr>
        <w:footnoteRef/>
      </w:r>
      <w:r>
        <w:rPr/>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67">
    <w:p>
      <w:pPr>
        <w:pStyle w:val="Funote"/>
        <w:rPr/>
      </w:pPr>
      <w:r>
        <w:rPr>
          <w:rStyle w:val="Funotenzeichen"/>
        </w:rPr>
        <w:footnoteRef/>
      </w:r>
      <w:r>
        <w:rPr/>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68">
    <w:p>
      <w:pPr>
        <w:pStyle w:val="Funote"/>
        <w:rPr/>
      </w:pPr>
      <w:r>
        <w:rPr>
          <w:rStyle w:val="Funotenzeichen"/>
        </w:rPr>
        <w:footnoteRef/>
      </w:r>
      <w:r>
        <w:rPr>
          <w:i/>
        </w:rPr>
        <w:tab/>
        <w:t>sie und ihre Schwiegertöchter</w:t>
      </w:r>
      <w:r>
        <w:rPr/>
        <w:t xml:space="preserve"> - die selbe Konstruktion wie in </w:t>
      </w:r>
      <w:r>
        <w:fldChar w:fldCharType="begin"/>
      </w:r>
      <w:r>
        <w:rPr>
          <w:rStyle w:val="Internetverknpfung"/>
        </w:rPr>
        <w:instrText> HYPERLINK "http://www.offene-bibel.de/wiki/index.php5?title=Rut_1" \l "note_h"</w:instrText>
      </w:r>
      <w:r>
        <w:rPr>
          <w:rStyle w:val="Internetverknpfung"/>
        </w:rPr>
        <w:fldChar w:fldCharType="separate"/>
      </w:r>
      <w:r>
        <w:rPr>
          <w:rStyle w:val="Internetverknpfung"/>
        </w:rPr>
        <w:t>FN h</w:t>
      </w:r>
      <w:r>
        <w:rPr>
          <w:rStyle w:val="Internetverknpfung"/>
        </w:rPr>
        <w:fldChar w:fldCharType="end"/>
      </w:r>
      <w:r>
        <w:rPr/>
        <w:t xml:space="preserve">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w:t>
      </w:r>
      <w:r>
        <w:rPr>
          <w:i/>
        </w:rPr>
        <w:t>Noomi</w:t>
      </w:r>
      <w:r>
        <w:rPr/>
        <w:t xml:space="preserve"> + </w:t>
      </w:r>
      <w:r>
        <w:rPr>
          <w:i/>
        </w:rPr>
        <w:t>Rut und Orpa</w:t>
      </w:r>
      <w:r>
        <w:rPr/>
        <w:t>; beinahe wie ein „Neue Runde, neues Glück!“: Ihre ersten drei Begleiter hat Noomi verloren - was wird mit den beiden neuen Begleiterinnen geschehen?</w:t>
      </w:r>
    </w:p>
  </w:footnote>
  <w:footnote w:id="169">
    <w:p>
      <w:pPr>
        <w:pStyle w:val="Funote"/>
        <w:rPr/>
      </w:pPr>
      <w:r>
        <w:rPr>
          <w:rStyle w:val="Funotenzeichen"/>
        </w:rPr>
        <w:footnoteRef/>
      </w:r>
      <w:r>
        <w:rPr/>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0">
    <w:p>
      <w:pPr>
        <w:pStyle w:val="Funote"/>
        <w:rPr/>
      </w:pPr>
      <w:r>
        <w:rPr>
          <w:rStyle w:val="Funotenzeichen"/>
        </w:rPr>
        <w:footnoteRef/>
      </w:r>
      <w:r>
        <w:rPr/>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1">
    <w:p>
      <w:pPr>
        <w:pStyle w:val="Funote"/>
        <w:rPr/>
      </w:pPr>
      <w:r>
        <w:rPr>
          <w:rStyle w:val="Funotenzeichen"/>
        </w:rPr>
        <w:footnoteRef/>
      </w:r>
      <w:r>
        <w:rPr/>
        <w:tab/>
        <w:t>ihm Brot - Klangspiel: lahem lachem. „Brot“ steht im Heb. fast stets pars pro toto für Nahrung im Allgemeinen (vgl. z.B. de Waard/Nida 1992, S. 9; Zakovitch 1999, S. 83); übersetze daher besser „Nahrung“.</w:t>
      </w:r>
    </w:p>
  </w:footnote>
  <w:footnote w:id="172">
    <w:p>
      <w:pPr>
        <w:pStyle w:val="Funote"/>
        <w:rPr/>
      </w:pPr>
      <w:r>
        <w:rPr>
          <w:rStyle w:val="Funotenzeichen"/>
        </w:rPr>
        <w:footnoteRef/>
      </w:r>
      <w:r>
        <w:rPr/>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3">
    <w:p>
      <w:pPr>
        <w:pStyle w:val="Funote"/>
        <w:rPr/>
      </w:pPr>
      <w:r>
        <w:rPr>
          <w:rStyle w:val="Funotenzeichen"/>
        </w:rPr>
        <w:footnoteRef/>
      </w:r>
      <w:r>
        <w:rPr/>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4">
    <w:p>
      <w:pPr>
        <w:pStyle w:val="Funote"/>
        <w:rPr/>
      </w:pPr>
      <w:r>
        <w:rPr>
          <w:rStyle w:val="Funotenzeichen"/>
        </w:rPr>
        <w:footnoteRef/>
      </w:r>
      <w:r>
        <w:rPr/>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75">
    <w:p>
      <w:pPr>
        <w:pStyle w:val="Funote"/>
        <w:rPr/>
      </w:pPr>
      <w:r>
        <w:rPr>
          <w:rStyle w:val="Funotenzeichen"/>
        </w:rPr>
        <w:footnoteRef/>
      </w:r>
      <w:r>
        <w:rPr/>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76">
    <w:p>
      <w:pPr>
        <w:pStyle w:val="Funote"/>
        <w:rPr/>
      </w:pPr>
      <w:r>
        <w:rPr>
          <w:rStyle w:val="Funotenzeichen"/>
        </w:rPr>
        <w:footnoteRef/>
      </w:r>
      <w:r>
        <w:rPr/>
        <w:tab/>
        <w:t>Wahrscheinlich durfte Noomi ihre Schwiegertöchter rechtlich gesehen gar nicht zurückschicken; s. die Anmerkungen.</w:t>
      </w:r>
    </w:p>
  </w:footnote>
  <w:footnote w:id="177">
    <w:p>
      <w:pPr>
        <w:pStyle w:val="Funote"/>
        <w:rPr/>
      </w:pPr>
      <w:r>
        <w:rPr>
          <w:rStyle w:val="Funotenzeichen"/>
        </w:rPr>
        <w:footnoteRef/>
      </w:r>
      <w:r>
        <w:rPr/>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78">
    <w:p>
      <w:pPr>
        <w:pStyle w:val="Funote"/>
        <w:rPr/>
      </w:pPr>
      <w:r>
        <w:rPr>
          <w:rStyle w:val="Funotenzeichen"/>
        </w:rPr>
        <w:footnoteRef/>
      </w:r>
      <w:r>
        <w:rPr>
          <w:i/>
        </w:rPr>
        <w:tab/>
        <w:t>Ruhe</w:t>
      </w:r>
      <w:r>
        <w:rPr/>
        <w:t xml:space="preserve"> - schönes Wort: Heb. </w:t>
      </w:r>
      <w:r>
        <w:rPr>
          <w:i/>
        </w:rPr>
        <w:t>mänuchah</w:t>
      </w:r>
      <w:r>
        <w:rPr/>
        <w:t xml:space="preserve"> ist (1) „Ruhe, Erholung“, (2) der Ort, wo man sich zur Erhohlung niederlassen kann, wo „Wohlsein“ ist, und dann (3) allgemein die „Heimstatt“. Hier drückt es also gleichzeitig etwa das selbe wie das folgende </w:t>
      </w:r>
      <w:r>
        <w:rPr>
          <w:i/>
        </w:rPr>
        <w:t>im Haus ihres Mannes</w:t>
      </w:r>
      <w:r>
        <w:rPr/>
        <w:t xml:space="preserve"> aus („Jede von euch soll eine Heimstatt im Haus ihres Mannes finden“) als auch einen Gegensatz zur aktuellen leidvollen Situation des verwitwet-Seins und wandern-Müssens: Noomi segnet ihre Schwiegertöchter mit dem Wunsch eines angenehmen Ehelebens.</w:t>
      </w:r>
    </w:p>
  </w:footnote>
  <w:footnote w:id="179">
    <w:p>
      <w:pPr>
        <w:pStyle w:val="Funote"/>
        <w:rPr/>
      </w:pPr>
      <w:r>
        <w:rPr>
          <w:rStyle w:val="Funotenzeichen"/>
        </w:rPr>
        <w:footnoteRef/>
      </w:r>
      <w:r>
        <w:rPr/>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0">
    <w:p>
      <w:pPr>
        <w:pStyle w:val="Funote"/>
        <w:rPr/>
      </w:pPr>
      <w:r>
        <w:rPr>
          <w:rStyle w:val="Funotenzeichen"/>
        </w:rPr>
        <w:footnoteRef/>
      </w:r>
      <w:r>
        <w:rPr>
          <w:i/>
        </w:rPr>
        <w:tab/>
        <w:t>Haus ihres Mannes</w:t>
      </w:r>
      <w:r>
        <w:rPr/>
        <w:t xml:space="preserve"> - Klangspiel: </w:t>
      </w:r>
      <w:r>
        <w:rPr>
          <w:i/>
        </w:rPr>
        <w:t>´ischah beth ´ischah</w:t>
      </w:r>
      <w:r>
        <w:rPr/>
        <w:t xml:space="preserve">. Gemeint ist auch hier nicht das Gebäude, sondern die neue Familie, in die die beiden eingegliedert werden sollen (s. </w:t>
      </w:r>
      <w:r>
        <w:fldChar w:fldCharType="begin"/>
      </w:r>
      <w:r>
        <w:rPr>
          <w:rStyle w:val="Internetverknpfung"/>
        </w:rPr>
        <w:instrText> HYPERLINK "http://www.offene-bibel.de/wiki/index.php5?title=Rut_1" \l "note_x"</w:instrText>
      </w:r>
      <w:r>
        <w:rPr>
          <w:rStyle w:val="Internetverknpfung"/>
        </w:rPr>
        <w:fldChar w:fldCharType="separate"/>
      </w:r>
      <w:r>
        <w:rPr>
          <w:rStyle w:val="Internetverknpfung"/>
        </w:rPr>
        <w:t>FN x</w:t>
      </w:r>
      <w:r>
        <w:rPr>
          <w:rStyle w:val="Internetverknpfung"/>
        </w:rPr>
        <w:fldChar w:fldCharType="end"/>
      </w:r>
      <w:r>
        <w:rPr/>
        <w:t>).</w:t>
      </w:r>
    </w:p>
  </w:footnote>
  <w:footnote w:id="181">
    <w:p>
      <w:pPr>
        <w:pStyle w:val="Funote"/>
        <w:rPr/>
      </w:pPr>
      <w:r>
        <w:rPr>
          <w:rStyle w:val="Funotenzeichen"/>
        </w:rPr>
        <w:footnoteRef/>
      </w:r>
      <w:r>
        <w:rPr>
          <w:i/>
        </w:rPr>
        <w:tab/>
        <w:t>Da erhoben sie ihre Stimmen, weinten</w:t>
      </w:r>
      <w:r>
        <w:rPr/>
        <w:t xml:space="preserve"> - =„Da begannen sie zu weinen“.</w:t>
      </w:r>
    </w:p>
  </w:footnote>
  <w:footnote w:id="182">
    <w:p>
      <w:pPr>
        <w:pStyle w:val="Funote"/>
        <w:rPr/>
      </w:pPr>
      <w:r>
        <w:rPr>
          <w:rStyle w:val="Funotenzeichen"/>
        </w:rPr>
        <w:footnoteRef/>
      </w:r>
      <w:r>
        <w:rPr/>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3">
    <w:p>
      <w:pPr>
        <w:pStyle w:val="Funote"/>
        <w:rPr/>
      </w:pPr>
      <w:r>
        <w:rPr>
          <w:rStyle w:val="Funotenzeichen"/>
        </w:rPr>
        <w:footnoteRef/>
      </w:r>
      <w:r>
        <w:rPr>
          <w:i/>
        </w:rPr>
        <w:tab/>
        <w:t>[die Frau] eines Mannes</w:t>
      </w:r>
      <w:r>
        <w:rPr/>
        <w:t xml:space="preserve"> - W. „um einem Mann zu sein“; Idiom für die Ehe.</w:t>
      </w:r>
    </w:p>
  </w:footnote>
  <w:footnote w:id="184">
    <w:p>
      <w:pPr>
        <w:pStyle w:val="Funote"/>
        <w:rPr/>
      </w:pPr>
      <w:r>
        <w:rPr>
          <w:rStyle w:val="Funotenzeichen"/>
        </w:rPr>
        <w:footnoteRef/>
      </w:r>
      <w:r>
        <w:rPr/>
        <w:tab/>
        <w:t>tFN: ja + ja...sogar - potenzierendes gam (vgl. schon Jacob 1912, S. 279; Labuschagne 1966).</w:t>
      </w:r>
    </w:p>
  </w:footnote>
  <w:footnote w:id="185">
    <w:p>
      <w:pPr>
        <w:pStyle w:val="Funote"/>
        <w:rPr/>
      </w:pPr>
      <w:r>
        <w:rPr>
          <w:rStyle w:val="Funotenzeichen"/>
        </w:rPr>
        <w:footnoteRef/>
      </w:r>
      <w:r>
        <w:rPr/>
        <w:tab/>
        <w:t>[selbst, wenn] - Brachylogie aus dem letzten Satz.</w:t>
      </w:r>
    </w:p>
  </w:footnote>
  <w:footnote w:id="186">
    <w:p>
      <w:pPr>
        <w:pStyle w:val="Funote"/>
        <w:rPr/>
      </w:pPr>
      <w:r>
        <w:rPr>
          <w:rStyle w:val="Funotenzeichen"/>
        </w:rPr>
        <w:footnoteRef/>
      </w:r>
      <w:r>
        <w:rPr/>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87">
    <w:p>
      <w:pPr>
        <w:pStyle w:val="Funote"/>
        <w:rPr/>
      </w:pPr>
      <w:r>
        <w:rPr>
          <w:rStyle w:val="Funotenzeichen"/>
        </w:rPr>
        <w:footnoteRef/>
      </w:r>
      <w:r>
        <w:rPr/>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88">
    <w:p>
      <w:pPr>
        <w:pStyle w:val="Funote"/>
        <w:rPr/>
      </w:pPr>
      <w:r>
        <w:rPr>
          <w:rStyle w:val="Funotenzeichen"/>
        </w:rPr>
        <w:footnoteRef/>
      </w:r>
      <w:r>
        <w:rPr/>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89">
    <w:p>
      <w:pPr>
        <w:pStyle w:val="Funote"/>
        <w:rPr/>
      </w:pPr>
      <w:r>
        <w:rPr>
          <w:rStyle w:val="Funotenzeichen"/>
        </w:rPr>
        <w:footnoteRef/>
      </w:r>
      <w:r>
        <w:rPr/>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0">
    <w:p>
      <w:pPr>
        <w:pStyle w:val="Funote"/>
        <w:rPr/>
      </w:pPr>
      <w:r>
        <w:rPr>
          <w:rStyle w:val="Funotenzeichen"/>
        </w:rPr>
        <w:footnoteRef/>
      </w:r>
      <w:r>
        <w:rPr/>
        <w:tab/>
        <w:t>dass die Hand JHWHs gegen mich ging - Zum Ausdruck s. ähnlich Ex 9,3; Dtn 2,15; Ri 2,15; 1Sam 5,6.9; 7,13; 12,15; (Jes 19,16; 25,10); der Sinn ist dann wohl etwa: »dass mich JHWH gestraft hat« (vgl. bes. Huntley 2013, S. 9-11).</w:t>
      </w:r>
    </w:p>
  </w:footnote>
  <w:footnote w:id="191">
    <w:p>
      <w:pPr>
        <w:pStyle w:val="Funote"/>
        <w:rPr/>
      </w:pPr>
      <w:r>
        <w:rPr>
          <w:rStyle w:val="Funotenzeichen"/>
        </w:rPr>
        <w:footnoteRef/>
      </w:r>
      <w:r>
        <w:rPr>
          <w:i/>
        </w:rPr>
        <w:tab/>
        <w:t>Und noch einmal erhoben sie ihre Stimme und weinten</w:t>
      </w:r>
      <w:r>
        <w:rPr/>
        <w:t xml:space="preserve"> - =„Und noch einmal begannen sie, zu weinen“.</w:t>
      </w:r>
    </w:p>
  </w:footnote>
  <w:footnote w:id="192">
    <w:p>
      <w:pPr>
        <w:pStyle w:val="Funote"/>
        <w:rPr/>
      </w:pPr>
      <w:r>
        <w:rPr>
          <w:rStyle w:val="Funotenzeichen"/>
        </w:rPr>
        <w:footnoteRef/>
      </w:r>
      <w:r>
        <w:rPr/>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3">
    <w:p>
      <w:pPr>
        <w:pStyle w:val="Funote"/>
        <w:rPr/>
      </w:pPr>
      <w:r>
        <w:rPr>
          <w:rStyle w:val="Funotenzeichen"/>
        </w:rPr>
        <w:footnoteRef/>
      </w:r>
      <w:r>
        <w:rPr/>
        <w:tab/>
        <w:t>tFN: {Siehe} + [also] - W. »Siehe«, doch das heb. hinneh signalisiert nur, dass die folgende Aussage direkt relevant ist für die aktuelle Situation oder eine folgende Äußerung. Treffender daher eine Übersetzung mit »also« o.Ä.</w:t>
      </w:r>
    </w:p>
  </w:footnote>
  <w:footnote w:id="194">
    <w:p>
      <w:pPr>
        <w:pStyle w:val="Funote"/>
        <w:rPr/>
      </w:pPr>
      <w:r>
        <w:rPr>
          <w:rStyle w:val="Funotenzeichen"/>
        </w:rPr>
        <w:footnoteRef/>
      </w:r>
      <w:r>
        <w:rPr/>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195">
    <w:p>
      <w:pPr>
        <w:pStyle w:val="Funote"/>
        <w:rPr/>
      </w:pPr>
      <w:r>
        <w:rPr>
          <w:rStyle w:val="Funotenzeichen"/>
        </w:rPr>
        <w:footnoteRef/>
      </w:r>
      <w:r>
        <w:rPr>
          <w:i/>
        </w:rPr>
        <w:tab/>
        <w:t>vom mit-dir-[Sein]</w:t>
      </w:r>
      <w:r>
        <w:rPr/>
        <w:t xml:space="preserve"> - die selbe Präposition wie in V. 15. Noomi fordert Rut auf zum „mit-Orpa-Sein“ und zum Zurückkehren zu deren Volk und deren Gott. Rut stellt dem das „mit-Noomi-Sein“ entgegen und entscheidet sich ineins damit auch für </w:t>
      </w:r>
      <w:r>
        <w:rPr>
          <w:i/>
        </w:rPr>
        <w:t>deren</w:t>
      </w:r>
      <w:r>
        <w:rPr/>
        <w:t xml:space="preserve"> Volk und Gott.</w:t>
      </w:r>
    </w:p>
  </w:footnote>
  <w:footnote w:id="196">
    <w:p>
      <w:pPr>
        <w:pStyle w:val="Funote"/>
        <w:rPr/>
      </w:pPr>
      <w:r>
        <w:rPr>
          <w:rStyle w:val="Funotenzeichen"/>
        </w:rPr>
        <w:footnoteRef/>
      </w:r>
      <w:r>
        <w:rPr/>
        <w:tab/>
        <w:t>[einzig] - Fokuspartikel wie »nur«, »selbst« etc. werden im Heb. häufig nicht gesetzt, wo das Dt. sie setzen würde; im Dt. muss man sie sich daher dazudenken (ad loc. vgl. z.B. Ehrlich 1914, S. 22).</w:t>
      </w:r>
    </w:p>
  </w:footnote>
  <w:footnote w:id="197">
    <w:p>
      <w:pPr>
        <w:pStyle w:val="Funote"/>
        <w:rPr/>
      </w:pPr>
      <w:r>
        <w:rPr>
          <w:rStyle w:val="Funotenzeichen"/>
        </w:rPr>
        <w:footnoteRef/>
      </w:r>
      <w:r>
        <w:rPr/>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198">
    <w:p>
      <w:pPr>
        <w:pStyle w:val="Funote"/>
        <w:rPr/>
      </w:pPr>
      <w:r>
        <w:rPr>
          <w:rStyle w:val="Funotenzeichen"/>
        </w:rPr>
        <w:footnoteRef/>
      </w:r>
      <w:r>
        <w:rPr/>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199">
    <w:p>
      <w:pPr>
        <w:pStyle w:val="Funote"/>
        <w:rPr/>
      </w:pPr>
      <w:r>
        <w:rPr>
          <w:rStyle w:val="Funotenzeichen"/>
        </w:rPr>
        <w:footnoteRef/>
      </w:r>
      <w:r>
        <w:rPr>
          <w:i/>
        </w:rPr>
        <w:tab/>
        <w:t>die beiden [gemeinsam]</w:t>
      </w:r>
      <w:r>
        <w:rPr/>
        <w:t xml:space="preserve"> - Das Dual-pronomen ist auch hier wieder bewusst gewählt (s. Anmerkungen). Im Dt. sollte man das besser durch die Einfügung eines „gemeinsam“ o.Ä. ausdrücklich machen.</w:t>
      </w:r>
    </w:p>
  </w:footnote>
  <w:footnote w:id="200">
    <w:p>
      <w:pPr>
        <w:pStyle w:val="Funote"/>
        <w:rPr/>
      </w:pPr>
      <w:r>
        <w:rPr>
          <w:rStyle w:val="Funotenzeichen"/>
        </w:rPr>
        <w:footnoteRef/>
      </w:r>
      <w:r>
        <w:rPr>
          <w:i/>
        </w:rPr>
        <w:tab/>
        <w:t>sie</w:t>
      </w:r>
      <w:r>
        <w:rPr/>
        <w:t xml:space="preserve"> - ungewöhnlicherweise Femininum; nur die Frauen Betlehems scheinen hier gemeint zu sein.</w:t>
      </w:r>
    </w:p>
  </w:footnote>
  <w:footnote w:id="201">
    <w:p>
      <w:pPr>
        <w:pStyle w:val="Funote"/>
        <w:rPr/>
      </w:pPr>
      <w:r>
        <w:rPr>
          <w:rStyle w:val="Funotenzeichen"/>
        </w:rPr>
        <w:footnoteRef/>
      </w:r>
      <w:r>
        <w:rPr/>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2">
    <w:p>
      <w:pPr>
        <w:pStyle w:val="Funote"/>
        <w:rPr/>
      </w:pPr>
      <w:r>
        <w:rPr>
          <w:rStyle w:val="Funotenzeichen"/>
        </w:rPr>
        <w:footnoteRef/>
      </w:r>
      <w:r>
        <w:rPr/>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3">
    <w:p>
      <w:pPr>
        <w:pStyle w:val="Funote"/>
        <w:rPr/>
      </w:pPr>
      <w:r>
        <w:rPr>
          <w:rStyle w:val="Funotenzeichen"/>
        </w:rPr>
        <w:footnoteRef/>
      </w:r>
      <w:r>
        <w:rPr/>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4">
    <w:p>
      <w:pPr>
        <w:pStyle w:val="Funote"/>
        <w:rPr/>
      </w:pPr>
      <w:r>
        <w:rPr>
          <w:rStyle w:val="Funotenzeichen"/>
        </w:rPr>
        <w:footnoteRef/>
      </w:r>
      <w:r>
        <w:rPr/>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05">
    <w:p>
      <w:pPr>
        <w:pStyle w:val="Funote"/>
        <w:rPr/>
      </w:pPr>
      <w:r>
        <w:rPr>
          <w:rStyle w:val="Funotenzeichen"/>
        </w:rPr>
        <w:footnoteRef/>
      </w:r>
      <w:r>
        <w:rPr/>
        <w:tab/>
        <w:t>tFN: So also - W. »Und sie kehrte zurück«; einer der seltenen Fälle, in denen die Verbform Wayyiqtol als zusammenfassender Abschluss einer Erzählung verwendet wird (»summierendes Wayyiqtol«; vgl. JM §117i).</w:t>
      </w:r>
    </w:p>
  </w:footnote>
  <w:footnote w:id="206">
    <w:p>
      <w:pPr>
        <w:pStyle w:val="Funote"/>
        <w:rPr/>
      </w:pPr>
      <w:r>
        <w:rPr>
          <w:rStyle w:val="Funotenzeichen"/>
        </w:rPr>
        <w:footnoteRef/>
      </w:r>
      <w:r>
        <w:rPr/>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07">
    <w:p>
      <w:pPr>
        <w:pStyle w:val="Funote"/>
        <w:rPr/>
      </w:pPr>
      <w:r>
        <w:rPr>
          <w:rStyle w:val="Funotenzeichen"/>
        </w:rPr>
        <w:footnoteRef/>
      </w:r>
      <w:r>
        <w:rPr/>
        <w:tab/>
        <w:t>[„Mischna“: eine alte Sammlung jüdischer Rechtstexte]</w:t>
      </w:r>
    </w:p>
  </w:footnote>
  <w:footnote w:id="208">
    <w:p>
      <w:pPr>
        <w:pStyle w:val="Funote"/>
        <w:rPr/>
      </w:pPr>
      <w:r>
        <w:rPr>
          <w:rStyle w:val="Funotenzeichen"/>
        </w:rPr>
        <w:footnoteRef/>
      </w:r>
      <w:r>
        <w:rPr/>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09">
    <w:p>
      <w:pPr>
        <w:pStyle w:val="Funote"/>
        <w:rPr/>
      </w:pPr>
      <w:r>
        <w:rPr>
          <w:rStyle w:val="Funotenzeichen"/>
        </w:rPr>
        <w:footnoteRef/>
      </w:r>
      <w:r>
        <w:rPr/>
        <w:tab/>
        <w:t>[Status: Zuverlässig]</w:t>
      </w:r>
    </w:p>
  </w:footnote>
  <w:footnote w:id="210">
    <w:p>
      <w:pPr>
        <w:pStyle w:val="Funote"/>
        <w:rPr/>
      </w:pPr>
      <w:r>
        <w:rPr>
          <w:rStyle w:val="Funotenzeichen"/>
        </w:rPr>
        <w:footnoteRef/>
      </w:r>
      <w:r>
        <w:rPr/>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1">
    <w:p>
      <w:pPr>
        <w:pStyle w:val="Funote"/>
        <w:rPr/>
      </w:pPr>
      <w:r>
        <w:rPr>
          <w:rStyle w:val="Funotenzeichen"/>
        </w:rPr>
        <w:footnoteRef/>
      </w:r>
      <w:r>
        <w:rPr/>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2">
    <w:p>
      <w:pPr>
        <w:pStyle w:val="Funote"/>
        <w:rPr/>
      </w:pPr>
      <w:r>
        <w:rPr>
          <w:rStyle w:val="Funotenzeichen"/>
        </w:rPr>
        <w:footnoteRef/>
      </w:r>
      <w:r>
        <w:rPr/>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3">
    <w:p>
      <w:pPr>
        <w:pStyle w:val="Funote"/>
        <w:rPr/>
      </w:pPr>
      <w:r>
        <w:rPr>
          <w:rStyle w:val="Funotenzeichen"/>
        </w:rPr>
        <w:footnoteRef/>
      </w:r>
      <w:r>
        <w:rPr/>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4">
    <w:p>
      <w:pPr>
        <w:pStyle w:val="Funote"/>
        <w:rPr/>
      </w:pPr>
      <w:r>
        <w:rPr>
          <w:rStyle w:val="Funotenzeichen"/>
        </w:rPr>
        <w:footnoteRef/>
      </w:r>
      <w:r>
        <w:rPr/>
        <w:tab/>
        <w:t>Feld (V. 2), Feldstück (V. 3) - »Feld«: Das gesamte Ackerland um Betlehem herum, im Unterschied zum »Feldstück«, das nur den Anteil des Boas an diesem gesamten Ackerland bezeichnet (vgl. z.B. Köhlmoos 2010, S. 31).</w:t>
      </w:r>
    </w:p>
  </w:footnote>
  <w:footnote w:id="215">
    <w:p>
      <w:pPr>
        <w:pStyle w:val="Funote"/>
        <w:rPr/>
      </w:pPr>
      <w:r>
        <w:rPr>
          <w:rStyle w:val="Funotenzeichen"/>
        </w:rPr>
        <w:footnoteRef/>
      </w:r>
      <w:r>
        <w:rPr/>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16">
    <w:p>
      <w:pPr>
        <w:pStyle w:val="Funote"/>
        <w:rPr/>
      </w:pPr>
      <w:r>
        <w:rPr>
          <w:rStyle w:val="Funotenzeichen"/>
        </w:rPr>
        <w:footnoteRef/>
      </w:r>
      <w:r>
        <w:rPr/>
        <w:tab/>
        <w:t>tFN: an den Ähren mitlesen: Nicht »in den Ähren lesen«; die Präposition b- hat hier die Funktion eines »Beth comitatus«: an den Ähren mit-lesen (so z.B. Gerleman 1965, S. 23; Joüon 1913, S. 200; Zenger 1986, S. 55). Zum Ährenlesen s. näher die Anmerkungen.</w:t>
      </w:r>
    </w:p>
  </w:footnote>
  <w:footnote w:id="217">
    <w:p>
      <w:pPr>
        <w:pStyle w:val="Funote"/>
        <w:rPr/>
      </w:pPr>
      <w:r>
        <w:rPr>
          <w:rStyle w:val="Funotenzeichen"/>
        </w:rPr>
        <w:footnoteRef/>
      </w:r>
      <w:r>
        <w:rPr/>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18">
    <w:p>
      <w:pPr>
        <w:pStyle w:val="Funote"/>
        <w:rPr/>
      </w:pPr>
      <w:r>
        <w:rPr>
          <w:rStyle w:val="Funotenzeichen"/>
        </w:rPr>
        <w:footnoteRef/>
      </w:r>
      <w:r>
        <w:rPr/>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19">
    <w:p>
      <w:pPr>
        <w:pStyle w:val="Funote"/>
        <w:rPr/>
      </w:pPr>
      <w:r>
        <w:rPr>
          <w:rStyle w:val="Funotenzeichen"/>
        </w:rPr>
        <w:footnoteRef/>
      </w:r>
      <w:r>
        <w:rPr/>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0">
    <w:p>
      <w:pPr>
        <w:pStyle w:val="Funote"/>
        <w:rPr/>
      </w:pPr>
      <w:r>
        <w:rPr>
          <w:rStyle w:val="Funotenzeichen"/>
        </w:rPr>
        <w:footnoteRef/>
      </w:r>
      <w:r>
        <w:rPr/>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1">
    <w:p>
      <w:pPr>
        <w:pStyle w:val="Funote"/>
        <w:rPr/>
      </w:pPr>
      <w:r>
        <w:rPr>
          <w:rStyle w:val="Funotenzeichen"/>
        </w:rPr>
        <w:footnoteRef/>
      </w:r>
      <w:r>
        <w:rPr>
          <w:i/>
        </w:rPr>
        <w:tab/>
        <w:t>Zufällig geriet sie</w:t>
      </w:r>
      <w:r>
        <w:rPr/>
        <w:t xml:space="preserv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2">
    <w:p>
      <w:pPr>
        <w:pStyle w:val="Funote"/>
        <w:rPr/>
      </w:pPr>
      <w:r>
        <w:rPr>
          <w:rStyle w:val="Funotenzeichen"/>
        </w:rPr>
        <w:footnoteRef/>
      </w:r>
      <w:r>
        <w:rPr/>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3">
    <w:p>
      <w:pPr>
        <w:pStyle w:val="Funote"/>
        <w:rPr/>
      </w:pPr>
      <w:r>
        <w:rPr>
          <w:rStyle w:val="Funotenzeichen"/>
        </w:rPr>
        <w:footnoteRef/>
      </w:r>
      <w:r>
        <w:rPr/>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4">
    <w:p>
      <w:pPr>
        <w:pStyle w:val="Funote"/>
        <w:rPr/>
      </w:pPr>
      <w:r>
        <w:rPr>
          <w:rStyle w:val="Funotenzeichen"/>
        </w:rPr>
        <w:footnoteRef/>
      </w:r>
      <w:r>
        <w:rPr>
          <w:i/>
        </w:rPr>
        <w:tab/>
        <w:t>Junge (Angestelltem)</w:t>
      </w:r>
      <w:r>
        <w:rPr/>
        <w:t xml:space="preserve"> - W. „Junge“, doch bezeichnet das Wort hier wie oft recht sicher das Dienstverhältnis (für angestellte Feldarbeiter auch in </w:t>
      </w:r>
      <w:r>
        <w:fldChar w:fldCharType="begin"/>
      </w:r>
      <w:r>
        <w:rPr>
          <w:rStyle w:val="Internetverknpfung"/>
        </w:rPr>
        <w:instrText> HYPERLINK "../../../../../../../../../wiki/Ijob_1" \l "s5"</w:instrText>
      </w:r>
      <w:r>
        <w:rPr>
          <w:rStyle w:val="Internetverknpfung"/>
        </w:rPr>
        <w:fldChar w:fldCharType="separate"/>
      </w:r>
      <w:r>
        <w:rPr>
          <w:rStyle w:val="Internetverknpfung"/>
        </w:rPr>
        <w:t>Ijob 1,5</w:t>
      </w:r>
      <w:r>
        <w:rPr>
          <w:rStyle w:val="Internetverknpfung"/>
        </w:rPr>
        <w:fldChar w:fldCharType="end"/>
      </w:r>
      <w:r>
        <w:rPr/>
        <w:t xml:space="preserve">).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w:t>
      </w:r>
      <w:hyperlink r:id="rId4">
        <w:r>
          <w:rPr>
            <w:rStyle w:val="Internetverknpfung"/>
          </w:rPr>
          <w:t>Mt 20,8</w:t>
        </w:r>
      </w:hyperlink>
      <w:r>
        <w:rPr/>
        <w:t xml:space="preserve">; </w:t>
      </w:r>
      <w:hyperlink r:id="rId5">
        <w:r>
          <w:rPr>
            <w:rStyle w:val="Internetverknpfung"/>
          </w:rPr>
          <w:t>Lk 12,42</w:t>
        </w:r>
      </w:hyperlink>
      <w:r>
        <w:rPr/>
        <w:t xml:space="preserve"> handelt und dass dieser in Abwesenheit seines Herrn weitere „Jungen“ und „Mädchen“ - nämlich Lohnarbeiter - einstellen konnte, die Boas daher auch nicht kennen musste.</w:t>
      </w:r>
    </w:p>
  </w:footnote>
  <w:footnote w:id="225">
    <w:p>
      <w:pPr>
        <w:pStyle w:val="Funote"/>
        <w:rPr/>
      </w:pPr>
      <w:r>
        <w:rPr>
          <w:rStyle w:val="Funotenzeichen"/>
        </w:rPr>
        <w:footnoteRef/>
      </w:r>
      <w:r>
        <w:rPr/>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26">
    <w:p>
      <w:pPr>
        <w:pStyle w:val="Funote"/>
        <w:rPr/>
      </w:pPr>
      <w:r>
        <w:rPr>
          <w:rStyle w:val="Funotenzeichen"/>
        </w:rPr>
        <w:footnoteRef/>
      </w:r>
      <w:r>
        <w:rPr/>
        <w:tab/>
        <w:t xml:space="preserve">Zu </w:t>
      </w:r>
      <w:r>
        <w:rPr>
          <w:i/>
        </w:rPr>
        <w:t>aus {</w:t>
      </w:r>
      <w:r>
        <w:rPr>
          <w:i/>
          <w:strike/>
        </w:rPr>
        <w:t>dem Gebiet</w:t>
      </w:r>
      <w:r>
        <w:rPr>
          <w:i/>
        </w:rPr>
        <w:t>} (von den Feldern von) Moab</w:t>
      </w:r>
      <w:r>
        <w:rPr/>
        <w:t xml:space="preserve"> s. </w:t>
      </w:r>
      <w:r>
        <w:fldChar w:fldCharType="begin"/>
      </w:r>
      <w:r>
        <w:rPr>
          <w:rStyle w:val="Internetverknpfung"/>
        </w:rPr>
        <w:instrText> HYPERLINK "http://www.offene-bibel.de/wiki/index.php5?title=Rut_1" \l "note_e"</w:instrText>
      </w:r>
      <w:r>
        <w:rPr>
          <w:rStyle w:val="Internetverknpfung"/>
        </w:rPr>
        <w:fldChar w:fldCharType="separate"/>
      </w:r>
      <w:r>
        <w:rPr>
          <w:rStyle w:val="Internetverknpfung"/>
        </w:rPr>
        <w:t>FN e</w:t>
      </w:r>
      <w:r>
        <w:rPr>
          <w:rStyle w:val="Internetverknpfung"/>
        </w:rPr>
        <w:fldChar w:fldCharType="end"/>
      </w:r>
      <w:r>
        <w:rPr/>
        <w:t xml:space="preserve"> zu </w:t>
      </w:r>
      <w:r>
        <w:fldChar w:fldCharType="begin"/>
      </w:r>
      <w:r>
        <w:rPr>
          <w:rStyle w:val="Internetverknpfung"/>
        </w:rPr>
        <w:instrText> HYPERLINK "../../../../../../../../../wiki/Rut_1" \l "s1"</w:instrText>
      </w:r>
      <w:r>
        <w:rPr>
          <w:rStyle w:val="Internetverknpfung"/>
        </w:rPr>
        <w:fldChar w:fldCharType="separate"/>
      </w:r>
      <w:r>
        <w:rPr>
          <w:rStyle w:val="Internetverknpfung"/>
        </w:rPr>
        <w:t>Rut 1,1.6.22</w:t>
      </w:r>
      <w:r>
        <w:rPr>
          <w:rStyle w:val="Internetverknpfung"/>
        </w:rPr>
        <w:fldChar w:fldCharType="end"/>
      </w:r>
      <w:r>
        <w:rPr/>
        <w:t>.</w:t>
      </w:r>
    </w:p>
  </w:footnote>
  <w:footnote w:id="227">
    <w:p>
      <w:pPr>
        <w:pStyle w:val="Funote"/>
        <w:rPr/>
      </w:pPr>
      <w:r>
        <w:rPr>
          <w:rStyle w:val="Funotenzeichen"/>
        </w:rPr>
        <w:footnoteRef/>
      </w:r>
      <w:r>
        <w:rPr/>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28">
    <w:p>
      <w:pPr>
        <w:pStyle w:val="Funote"/>
        <w:rPr/>
      </w:pPr>
      <w:r>
        <w:rPr>
          <w:rStyle w:val="Funotenzeichen"/>
        </w:rPr>
        <w:footnoteRef/>
      </w:r>
      <w:r>
        <w:rPr/>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29">
    <w:p>
      <w:pPr>
        <w:pStyle w:val="Funote"/>
        <w:rPr/>
      </w:pPr>
      <w:r>
        <w:rPr>
          <w:rStyle w:val="Funotenzeichen"/>
        </w:rPr>
        <w:footnoteRef/>
      </w:r>
      <w:r>
        <w:rPr/>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0">
    <w:p>
      <w:pPr>
        <w:pStyle w:val="Funote"/>
        <w:rPr/>
      </w:pPr>
      <w:r>
        <w:rPr>
          <w:rStyle w:val="Funotenzeichen"/>
        </w:rPr>
        <w:footnoteRef/>
      </w:r>
      <w:r>
        <w:rPr/>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1">
    <w:p>
      <w:pPr>
        <w:pStyle w:val="Funote"/>
        <w:rPr/>
      </w:pPr>
      <w:r>
        <w:rPr>
          <w:rStyle w:val="Funotenzeichen"/>
        </w:rPr>
        <w:footnoteRef/>
      </w:r>
      <w:r>
        <w:rPr/>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2">
    <w:p>
      <w:pPr>
        <w:pStyle w:val="Funote"/>
        <w:rPr/>
      </w:pPr>
      <w:r>
        <w:rPr>
          <w:rStyle w:val="Funotenzeichen"/>
        </w:rPr>
        <w:footnoteRef/>
      </w:r>
      <w:r>
        <w:rPr>
          <w:i/>
        </w:rPr>
        <w:tab/>
        <w:t>das sie abernten</w:t>
      </w:r>
      <w:r>
        <w:rPr/>
        <w:t xml:space="preserve"> - „sie“: maskulin, also die männlichen Erntearbeiter.</w:t>
      </w:r>
    </w:p>
  </w:footnote>
  <w:footnote w:id="233">
    <w:p>
      <w:pPr>
        <w:pStyle w:val="Funote"/>
        <w:rPr/>
      </w:pPr>
      <w:r>
        <w:rPr>
          <w:rStyle w:val="Funotenzeichen"/>
        </w:rPr>
        <w:footnoteRef/>
      </w:r>
      <w:r>
        <w:rPr>
          <w:i/>
        </w:rPr>
        <w:tab/>
        <w:t>ihnen</w:t>
      </w:r>
      <w:r>
        <w:rPr/>
        <w:t xml:space="preserve">: feminin. Entweder also die weiblichen Garbenbinderinnen, dann „folge ihnen“, oder die anderen Frauen, die Nachlese halten; dann „gehe an ihrer Seite“ (zu </w:t>
      </w:r>
      <w:r>
        <w:rPr>
          <w:i/>
        </w:rPr>
        <w:t>´achar</w:t>
      </w:r>
      <w:r>
        <w:rPr/>
        <w:t xml:space="preserve"> als „(zusammen) mit“ s. </w:t>
      </w:r>
      <w:r>
        <w:fldChar w:fldCharType="begin"/>
      </w:r>
      <w:r>
        <w:rPr>
          <w:rStyle w:val="Internetverknpfung"/>
        </w:rPr>
        <w:instrText> HYPERLINK "http://www.offene-bibel.de/wiki/?title=Special%3ABibelstelle_aufschlagen&amp;abk=Rut+1" \l "note_aq"</w:instrText>
      </w:r>
      <w:r>
        <w:rPr>
          <w:rStyle w:val="Internetverknpfung"/>
        </w:rPr>
        <w:fldChar w:fldCharType="separate"/>
      </w:r>
      <w:r>
        <w:rPr>
          <w:rStyle w:val="Internetverknpfung"/>
        </w:rPr>
        <w:t>FN aq</w:t>
      </w:r>
      <w:r>
        <w:rPr>
          <w:rStyle w:val="Internetverknpfung"/>
        </w:rPr>
        <w:fldChar w:fldCharType="end"/>
      </w:r>
      <w:r>
        <w:rPr/>
        <w:t xml:space="preserve"> zu </w:t>
      </w:r>
      <w:r>
        <w:fldChar w:fldCharType="begin"/>
      </w:r>
      <w:r>
        <w:rPr>
          <w:rStyle w:val="Internetverknpfung"/>
        </w:rPr>
        <w:instrText> HYPERLINK "../../../../../../../../../wiki/Rut_1" \l "s15"</w:instrText>
      </w:r>
      <w:r>
        <w:rPr>
          <w:rStyle w:val="Internetverknpfung"/>
        </w:rPr>
        <w:fldChar w:fldCharType="separate"/>
      </w:r>
      <w:r>
        <w:rPr>
          <w:rStyle w:val="Internetverknpfung"/>
        </w:rPr>
        <w:t>Rut 1,15</w:t>
      </w:r>
      <w:r>
        <w:rPr>
          <w:rStyle w:val="Internetverknpfung"/>
        </w:rPr>
        <w:fldChar w:fldCharType="end"/>
      </w:r>
      <w:r>
        <w:rPr/>
        <w:t>). Aber der letzte weibliche Referent sind „meine Mädchen“, daher ist die erste Option doch sehr viel wahrscheinlicher.</w:t>
      </w:r>
    </w:p>
  </w:footnote>
  <w:footnote w:id="234">
    <w:p>
      <w:pPr>
        <w:pStyle w:val="Funote"/>
        <w:rPr/>
      </w:pPr>
      <w:r>
        <w:rPr>
          <w:rStyle w:val="Funotenzeichen"/>
        </w:rPr>
        <w:footnoteRef/>
      </w:r>
      <w:r>
        <w:rPr/>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35">
    <w:p>
      <w:pPr>
        <w:pStyle w:val="Funote"/>
        <w:rPr/>
      </w:pPr>
      <w:r>
        <w:rPr>
          <w:rStyle w:val="Funotenzeichen"/>
        </w:rPr>
        <w:footnoteRef/>
      </w:r>
      <w:r>
        <w:rPr>
          <w:i/>
        </w:rPr>
        <w:tab/>
        <w:t>Gefallen in deinen Augen gefunden</w:t>
      </w:r>
      <w:r>
        <w:rPr/>
        <w:t xml:space="preserve">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w:t>
      </w:r>
      <w:r>
        <w:rPr>
          <w:i/>
        </w:rPr>
        <w:t>lähakireni</w:t>
      </w:r>
      <w:r>
        <w:rPr/>
        <w:t xml:space="preserve">, von </w:t>
      </w:r>
      <w:r>
        <w:rPr>
          <w:i/>
        </w:rPr>
        <w:t>nakar</w:t>
      </w:r>
      <w:r>
        <w:rPr/>
        <w:t xml:space="preserve"> „beachten“), obwohl ich doch Ausländerin (</w:t>
      </w:r>
      <w:r>
        <w:rPr>
          <w:i/>
        </w:rPr>
        <w:t>nokrijah</w:t>
      </w:r>
      <w:r>
        <w:rPr/>
        <w:t>) bin?“</w:t>
      </w:r>
    </w:p>
  </w:footnote>
  <w:footnote w:id="236">
    <w:p>
      <w:pPr>
        <w:pStyle w:val="Funote"/>
        <w:rPr/>
      </w:pPr>
      <w:r>
        <w:rPr>
          <w:rStyle w:val="Funotenzeichen"/>
        </w:rPr>
        <w:footnoteRef/>
      </w:r>
      <w:r>
        <w:rPr>
          <w:i/>
        </w:rPr>
        <w:tab/>
        <w:t>{</w:t>
      </w:r>
      <w:r>
        <w:rPr>
          <w:i/>
          <w:strike/>
        </w:rPr>
        <w:t>und sagte zu</w:t>
      </w:r>
      <w:r>
        <w:rPr>
          <w:i/>
        </w:rPr>
        <w:t>}</w:t>
      </w:r>
      <w:r>
        <w:rPr/>
        <w:t xml:space="preserve"> (V. 11) + </w:t>
      </w:r>
      <w:r>
        <w:rPr>
          <w:i/>
        </w:rPr>
        <w:t>{</w:t>
      </w:r>
      <w:r>
        <w:rPr>
          <w:i/>
          <w:strike/>
        </w:rPr>
        <w:t>indem er sagte</w:t>
      </w:r>
      <w:r>
        <w:rPr>
          <w:i/>
        </w:rPr>
        <w:t>}</w:t>
      </w:r>
      <w:r>
        <w:rPr/>
        <w:t xml:space="preserve"> (V. 15) - Doppelte Redeeinleitung finden sich sehr häufig im Hebräischen und sind dort ganz gewöhnlich. Im Deutschen können sie ohne Bedeutungsverlust gestrichen werden.</w:t>
      </w:r>
    </w:p>
  </w:footnote>
  <w:footnote w:id="237">
    <w:p>
      <w:pPr>
        <w:pStyle w:val="Funote"/>
        <w:rPr/>
      </w:pPr>
      <w:r>
        <w:rPr>
          <w:rStyle w:val="Funotenzeichen"/>
        </w:rPr>
        <w:footnoteRef/>
      </w:r>
      <w:r>
        <w:rPr/>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38">
    <w:p>
      <w:pPr>
        <w:pStyle w:val="Funote"/>
        <w:rPr/>
      </w:pPr>
      <w:r>
        <w:rPr>
          <w:rStyle w:val="Funotenzeichen"/>
        </w:rPr>
        <w:footnoteRef/>
      </w:r>
      <w:r>
        <w:rPr>
          <w:i/>
        </w:rPr>
        <w:tab/>
        <w:t>was du für deine Schwiegermutter nach dem Tod deines Mannes getan hast</w:t>
      </w:r>
      <w:r>
        <w:rPr/>
        <w:t xml:space="preserve"> - Ein „Segens-Update“: Noomi wünscht ihren Töchtern den Segen Gottes für alles, </w:t>
      </w:r>
      <w:r>
        <w:rPr>
          <w:i/>
        </w:rPr>
        <w:t>was sie ihr und ihren Ehemännern</w:t>
      </w:r>
      <w:r>
        <w:rPr/>
        <w:t xml:space="preserve"> getan haben (</w:t>
      </w:r>
      <w:r>
        <w:fldChar w:fldCharType="begin"/>
      </w:r>
      <w:r>
        <w:rPr>
          <w:rStyle w:val="Internetverknpfung"/>
        </w:rPr>
        <w:instrText> HYPERLINK "../../../../../../../../../wiki/Rut_1" \l "s8"</w:instrText>
      </w:r>
      <w:r>
        <w:rPr>
          <w:rStyle w:val="Internetverknpfung"/>
        </w:rPr>
        <w:fldChar w:fldCharType="separate"/>
      </w:r>
      <w:r>
        <w:rPr>
          <w:rStyle w:val="Internetverknpfung"/>
        </w:rPr>
        <w:t>Rut 1,8</w:t>
      </w:r>
      <w:r>
        <w:rPr>
          <w:rStyle w:val="Internetverknpfung"/>
        </w:rPr>
        <w:fldChar w:fldCharType="end"/>
      </w:r>
      <w:r>
        <w:rPr/>
        <w:t xml:space="preserve">); Boas nun wünscht Rut Gottes Segen für alles, was sie in der Zwischenzeit, nämlich </w:t>
      </w:r>
      <w:r>
        <w:rPr>
          <w:i/>
        </w:rPr>
        <w:t>nach dem Tod ihres Mannes für ihre Schwiegermutter</w:t>
      </w:r>
      <w:r>
        <w:rPr/>
        <w:t xml:space="preserve"> getan hat.</w:t>
      </w:r>
    </w:p>
  </w:footnote>
  <w:footnote w:id="239">
    <w:p>
      <w:pPr>
        <w:pStyle w:val="Funote"/>
        <w:rPr/>
      </w:pPr>
      <w:r>
        <w:rPr>
          <w:rStyle w:val="Funotenzeichen"/>
        </w:rPr>
        <w:footnoteRef/>
      </w:r>
      <w:r>
        <w:rPr>
          <w:i/>
        </w:rPr>
        <w:tab/>
        <w:t>vorher (gestern vorgestern)</w:t>
      </w:r>
      <w:r>
        <w:rPr/>
        <w:t xml:space="preserve"> - W. „gestern vorgestern“; ein Idiom für „vorher, früher“.</w:t>
      </w:r>
    </w:p>
  </w:footnote>
  <w:footnote w:id="240">
    <w:p>
      <w:pPr>
        <w:pStyle w:val="Funote"/>
        <w:rPr/>
      </w:pPr>
      <w:r>
        <w:rPr>
          <w:rStyle w:val="Funotenzeichen"/>
        </w:rPr>
        <w:footnoteRef/>
      </w:r>
      <w:r>
        <w:rPr/>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1">
    <w:p>
      <w:pPr>
        <w:pStyle w:val="Funote"/>
        <w:rPr/>
      </w:pPr>
      <w:r>
        <w:rPr>
          <w:rStyle w:val="Funotenzeichen"/>
        </w:rPr>
        <w:footnoteRef/>
      </w:r>
      <w:r>
        <w:rPr/>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2">
    <w:p>
      <w:pPr>
        <w:pStyle w:val="Funote"/>
        <w:rPr/>
      </w:pPr>
      <w:r>
        <w:rPr>
          <w:rStyle w:val="Funotenzeichen"/>
        </w:rPr>
        <w:footnoteRef/>
      </w:r>
      <w:r>
        <w:rPr/>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3">
    <w:p>
      <w:pPr>
        <w:pStyle w:val="Funote"/>
        <w:rPr/>
      </w:pPr>
      <w:r>
        <w:rPr>
          <w:rStyle w:val="Funotenzeichen"/>
        </w:rPr>
        <w:footnoteRef/>
      </w:r>
      <w:r>
        <w:rPr/>
        <w:tab/>
        <w:t>zum Herzen deiner Magd gesprochen hast - Idiom sowohl für »trösten« (s. noch Gen 50,21; Jes 40,2) als auch für »Mut zusprechen« (s. noch 2 Sam 19,8; 2 Chr 30,22; 32,6). Wahrscheinlich ist hier beides im Blick (so auch Campbell 1975, S. 100).</w:t>
      </w:r>
    </w:p>
  </w:footnote>
  <w:footnote w:id="244">
    <w:p>
      <w:pPr>
        <w:pStyle w:val="Funote"/>
        <w:rPr/>
      </w:pPr>
      <w:r>
        <w:rPr>
          <w:rStyle w:val="Funotenzeichen"/>
        </w:rPr>
        <w:footnoteRef/>
      </w:r>
      <w:r>
        <w:rPr/>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45">
    <w:p>
      <w:pPr>
        <w:pStyle w:val="Funote"/>
        <w:rPr/>
      </w:pPr>
      <w:r>
        <w:rPr>
          <w:rStyle w:val="Funotenzeichen"/>
        </w:rPr>
        <w:footnoteRef/>
      </w:r>
      <w:r>
        <w:rPr/>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46">
    <w:p>
      <w:pPr>
        <w:pStyle w:val="Funote"/>
        <w:rPr/>
      </w:pPr>
      <w:r>
        <w:rPr>
          <w:rStyle w:val="Funotenzeichen"/>
        </w:rPr>
        <w:footnoteRef/>
      </w:r>
      <w:r>
        <w:rPr/>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47">
    <w:p>
      <w:pPr>
        <w:pStyle w:val="Funote"/>
        <w:rPr/>
      </w:pPr>
      <w:r>
        <w:rPr>
          <w:rStyle w:val="Funotenzeichen"/>
        </w:rPr>
        <w:footnoteRef/>
      </w:r>
      <w:r>
        <w:rPr/>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48">
    <w:p>
      <w:pPr>
        <w:pStyle w:val="Funote"/>
        <w:rPr/>
      </w:pPr>
      <w:r>
        <w:rPr>
          <w:rStyle w:val="Funotenzeichen"/>
        </w:rPr>
        <w:footnoteRef/>
      </w:r>
      <w:r>
        <w:rPr>
          <w:i/>
        </w:rPr>
        <w:tab/>
        <w:t>Röstkorn</w:t>
      </w:r>
      <w:r>
        <w:rPr/>
        <w:t xml:space="preserve"> - Über dem Feuer geröstete Getreidekörner; ein im Alten Orient (und noch heute) verbreiteter Snack.</w:t>
      </w:r>
    </w:p>
  </w:footnote>
  <w:footnote w:id="249">
    <w:p>
      <w:pPr>
        <w:pStyle w:val="Funote"/>
        <w:rPr/>
      </w:pPr>
      <w:r>
        <w:rPr>
          <w:rStyle w:val="Funotenzeichen"/>
        </w:rPr>
        <w:footnoteRef/>
      </w:r>
      <w:r>
        <w:rPr/>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0">
    <w:p>
      <w:pPr>
        <w:pStyle w:val="Funote"/>
        <w:rPr/>
      </w:pPr>
      <w:r>
        <w:rPr>
          <w:rStyle w:val="Funotenzeichen"/>
        </w:rPr>
        <w:footnoteRef/>
      </w:r>
      <w:r>
        <w:rPr/>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1">
    <w:p>
      <w:pPr>
        <w:pStyle w:val="Funote"/>
        <w:rPr/>
      </w:pPr>
      <w:r>
        <w:rPr>
          <w:rStyle w:val="Funotenzeichen"/>
        </w:rPr>
        <w:footnoteRef/>
      </w:r>
      <w:r>
        <w:rPr/>
        <w:tab/>
        <w:t>Handbündel - Die beim Ernten in der linken Hand gehaltenen Ährenbündel; s. die Anmerkungen und vgl. z.B. Dalman 1933, S. 42; Humbert 1950, S. 206f.; Vogelstein 1894, S. 62.</w:t>
      </w:r>
    </w:p>
  </w:footnote>
  <w:footnote w:id="252">
    <w:p>
      <w:pPr>
        <w:pStyle w:val="Funote"/>
        <w:rPr/>
      </w:pPr>
      <w:r>
        <w:rPr>
          <w:rStyle w:val="Funotenzeichen"/>
        </w:rPr>
        <w:footnoteRef/>
      </w:r>
      <w:r>
        <w:rPr>
          <w:i/>
        </w:rPr>
        <w:tab/>
        <w:t>klopfte aus</w:t>
      </w:r>
      <w:r>
        <w:rPr/>
        <w:t xml:space="preserve"> - dazu s. die Anmerkungen</w:t>
      </w:r>
    </w:p>
  </w:footnote>
  <w:footnote w:id="253">
    <w:p>
      <w:pPr>
        <w:pStyle w:val="Funote"/>
        <w:rPr/>
      </w:pPr>
      <w:r>
        <w:rPr>
          <w:rStyle w:val="Funotenzeichen"/>
        </w:rPr>
        <w:footnoteRef/>
      </w:r>
      <w:r>
        <w:rPr/>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4">
    <w:p>
      <w:pPr>
        <w:pStyle w:val="Funote"/>
        <w:rPr/>
      </w:pPr>
      <w:r>
        <w:rPr>
          <w:rStyle w:val="Funotenzeichen"/>
        </w:rPr>
        <w:footnoteRef/>
      </w:r>
      <w:r>
        <w:rPr>
          <w:i/>
        </w:rPr>
        <w:tab/>
        <w:t>hob es auf (wuchtete es hoch)</w:t>
      </w:r>
      <w:r>
        <w:rPr/>
        <w:t xml:space="preserve"> - W. „hob es auf“; vermutlich expliziert, um das Gewicht ihres Ertrags zu betonen; daher besser „wuchtete es hoch“ o.Ä.</w:t>
      </w:r>
    </w:p>
  </w:footnote>
  <w:footnote w:id="255">
    <w:p>
      <w:pPr>
        <w:pStyle w:val="Funote"/>
        <w:rPr/>
      </w:pPr>
      <w:r>
        <w:rPr>
          <w:rStyle w:val="Funotenzeichen"/>
        </w:rPr>
        <w:footnoteRef/>
      </w:r>
      <w:r>
        <w:rPr/>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56">
    <w:p>
      <w:pPr>
        <w:pStyle w:val="Funote"/>
        <w:rPr/>
      </w:pPr>
      <w:r>
        <w:rPr>
          <w:rStyle w:val="Funotenzeichen"/>
        </w:rPr>
        <w:footnoteRef/>
      </w:r>
      <w:r>
        <w:rPr/>
        <w:tab/>
        <w:t>Wo - Das Heb. verwendet in dieser Frage zwei verschiedene Wörter für »wo« - vermutlich deshalb, weil das erste (´ephoh) ähnlich klingt wie »Efa« (´epha; so gut Zakovitch 1999, S. 126) - Ruts großer Ertrag ist es, der Noomis Frage provoziert.</w:t>
      </w:r>
    </w:p>
  </w:footnote>
  <w:footnote w:id="257">
    <w:p>
      <w:pPr>
        <w:pStyle w:val="Funote"/>
        <w:rPr/>
      </w:pPr>
      <w:r>
        <w:rPr>
          <w:rStyle w:val="Funotenzeichen"/>
        </w:rPr>
        <w:footnoteRef/>
      </w:r>
      <w:r>
        <w:rPr>
          <w:i/>
        </w:rPr>
        <w:tab/>
        <w:t>der dich [wohlwollend] angesehen [hat]</w:t>
      </w:r>
      <w:r>
        <w:rPr/>
        <w:t xml:space="preserve"> - d.h., „dein Wohltäter“. Das selbe Verb wie in </w:t>
      </w:r>
      <w:r>
        <w:fldChar w:fldCharType="begin"/>
      </w:r>
      <w:r>
        <w:rPr>
          <w:rStyle w:val="Internetverknpfung"/>
        </w:rPr>
        <w:instrText> HYPERLINK "../../../../../../../../../wiki/Rut_2" \l "s10"</w:instrText>
      </w:r>
      <w:r>
        <w:rPr>
          <w:rStyle w:val="Internetverknpfung"/>
        </w:rPr>
        <w:fldChar w:fldCharType="separate"/>
      </w:r>
      <w:r>
        <w:rPr>
          <w:rStyle w:val="Internetverknpfung"/>
        </w:rPr>
        <w:t>V. 10</w:t>
      </w:r>
      <w:r>
        <w:rPr>
          <w:rStyle w:val="Internetverknpfung"/>
        </w:rPr>
        <w:fldChar w:fldCharType="end"/>
      </w:r>
      <w:r>
        <w:rPr/>
        <w:t>.</w:t>
      </w:r>
    </w:p>
  </w:footnote>
  <w:footnote w:id="258">
    <w:p>
      <w:pPr>
        <w:pStyle w:val="Funote"/>
        <w:rPr/>
      </w:pPr>
      <w:r>
        <w:rPr>
          <w:rStyle w:val="Funotenzeichen"/>
        </w:rPr>
        <w:footnoteRef/>
      </w:r>
      <w:r>
        <w:rPr/>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59">
    <w:p>
      <w:pPr>
        <w:pStyle w:val="Funote"/>
        <w:rPr/>
      </w:pPr>
      <w:r>
        <w:rPr>
          <w:rStyle w:val="Funotenzeichen"/>
        </w:rPr>
        <w:footnoteRef/>
      </w:r>
      <w:r>
        <w:rPr/>
        <w:tab/>
        <w:t>der nicht von seiner Treue zu den Lebenden und den Toten abgelassen hat könnte sich sowohl auf jenen, d.h. Boas, oder auf JHWH beziehen. Wohl bewusst; s. die Anmerkungen zu Kapitel 3.</w:t>
      </w:r>
    </w:p>
  </w:footnote>
  <w:footnote w:id="260">
    <w:p>
      <w:pPr>
        <w:pStyle w:val="Funote"/>
        <w:rPr/>
      </w:pPr>
      <w:r>
        <w:rPr>
          <w:rStyle w:val="Funotenzeichen"/>
        </w:rPr>
        <w:footnoteRef/>
      </w:r>
      <w:r>
        <w:rPr/>
        <w:tab/>
        <w:t>Und dann sagte - W. „Und sie sagte“, die redundante Redeeinleitung soll hier den Höhepunkt des Dialogs von Noomi und Rut markieren (vgl. Runge 2007, S. 169, FN 226).</w:t>
      </w:r>
    </w:p>
  </w:footnote>
  <w:footnote w:id="261">
    <w:p>
      <w:pPr>
        <w:pStyle w:val="Funote"/>
        <w:rPr/>
      </w:pPr>
      <w:r>
        <w:rPr>
          <w:rStyle w:val="Funotenzeichen"/>
        </w:rPr>
        <w:footnoteRef/>
      </w:r>
      <w:r>
        <w:rPr/>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2">
    <w:p>
      <w:pPr>
        <w:pStyle w:val="Funote"/>
        <w:rPr/>
      </w:pPr>
      <w:r>
        <w:rPr>
          <w:rStyle w:val="Funotenzeichen"/>
        </w:rPr>
        <w:footnoteRef/>
      </w:r>
      <w:r>
        <w:rPr/>
        <w:tab/>
        <w:t>Dazu [kommt], dass - W. »Zusätzlich [ist (=gilt), dass]«. Gut Bertholet 1898, S. 62: »[... Dies] gibt die lebhafte Rede wieder: auch das noch muss ich beifügen, dass....«</w:t>
      </w:r>
    </w:p>
  </w:footnote>
  <w:footnote w:id="263">
    <w:p>
      <w:pPr>
        <w:pStyle w:val="Funote"/>
        <w:rPr/>
      </w:pPr>
      <w:r>
        <w:rPr>
          <w:rStyle w:val="Funotenzeichen"/>
        </w:rPr>
        <w:footnoteRef/>
      </w:r>
      <w:r>
        <w:rPr/>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4">
    <w:p>
      <w:pPr>
        <w:pStyle w:val="Funote"/>
        <w:rPr/>
      </w:pPr>
      <w:r>
        <w:rPr>
          <w:rStyle w:val="Funotenzeichen"/>
        </w:rPr>
        <w:footnoteRef/>
      </w:r>
      <w:r>
        <w:rPr/>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65">
    <w:p>
      <w:pPr>
        <w:pStyle w:val="Funote"/>
        <w:rPr/>
      </w:pPr>
      <w:r>
        <w:rPr>
          <w:rStyle w:val="Funotenzeichen"/>
        </w:rPr>
        <w:footnoteRef/>
      </w:r>
      <w:r>
        <w:rPr/>
        <w:tab/>
        <w:t>JHWH</w:t>
      </w:r>
    </w:p>
  </w:footnote>
  <w:footnote w:id="266">
    <w:p>
      <w:pPr>
        <w:pStyle w:val="Funote"/>
        <w:rPr/>
      </w:pPr>
      <w:r>
        <w:rPr>
          <w:rStyle w:val="Funotenzeichen"/>
        </w:rPr>
        <w:footnoteRef/>
      </w:r>
      <w:r>
        <w:rPr/>
        <w:tab/>
        <w:t>[Zu dieser vgl. v.a. Novick 2011.]</w:t>
      </w:r>
    </w:p>
  </w:footnote>
  <w:footnote w:id="267">
    <w:p>
      <w:pPr>
        <w:pStyle w:val="Funote"/>
        <w:rPr/>
      </w:pPr>
      <w:r>
        <w:rPr>
          <w:rStyle w:val="Funotenzeichen"/>
        </w:rPr>
        <w:footnoteRef/>
      </w:r>
      <w:r>
        <w:rPr/>
        <w:tab/>
        <w:t>JHWH</w:t>
      </w:r>
    </w:p>
  </w:footnote>
  <w:footnote w:id="268">
    <w:p>
      <w:pPr>
        <w:pStyle w:val="Funote"/>
        <w:rPr/>
      </w:pPr>
      <w:r>
        <w:rPr>
          <w:rStyle w:val="Funotenzeichen"/>
        </w:rPr>
        <w:footnoteRef/>
      </w:r>
      <w:r>
        <w:rPr/>
        <w:tab/>
        <w:t>JHWH</w:t>
      </w:r>
    </w:p>
  </w:footnote>
  <w:footnote w:id="269">
    <w:p>
      <w:pPr>
        <w:pStyle w:val="Funote"/>
        <w:rPr/>
      </w:pPr>
      <w:r>
        <w:rPr>
          <w:rStyle w:val="Funotenzeichen"/>
        </w:rPr>
        <w:footnoteRef/>
      </w:r>
      <w:r>
        <w:rPr/>
        <w:tab/>
        <w:t>[Vgl. Frevel 1992, S. 79]</w:t>
      </w:r>
    </w:p>
  </w:footnote>
  <w:footnote w:id="270">
    <w:p>
      <w:pPr>
        <w:pStyle w:val="Funote"/>
        <w:rPr/>
      </w:pPr>
      <w:r>
        <w:rPr>
          <w:rStyle w:val="Funotenzeichen"/>
        </w:rPr>
        <w:footnoteRef/>
      </w:r>
      <w:r>
        <w:rPr/>
        <w:tab/>
        <w:t>JHWH</w:t>
      </w:r>
    </w:p>
  </w:footnote>
  <w:footnote w:id="271">
    <w:p>
      <w:pPr>
        <w:pStyle w:val="Funote"/>
        <w:rPr/>
      </w:pPr>
      <w:r>
        <w:rPr>
          <w:rStyle w:val="Funotenzeichen"/>
        </w:rPr>
        <w:footnoteRef/>
      </w:r>
      <w:r>
        <w:rPr/>
        <w:tab/>
        <w:t>[Vgl. Collins 1993, S. 100; Halton 2012, S. 37; Thompson 1993, S. 210]</w:t>
      </w:r>
    </w:p>
  </w:footnote>
  <w:footnote w:id="272">
    <w:p>
      <w:pPr>
        <w:pStyle w:val="Funote"/>
        <w:rPr/>
      </w:pPr>
      <w:r>
        <w:rPr>
          <w:rStyle w:val="Funotenzeichen"/>
        </w:rPr>
        <w:footnoteRef/>
      </w:r>
      <w:r>
        <w:rPr/>
        <w:tab/>
        <w:t>JHWH</w:t>
      </w:r>
    </w:p>
  </w:footnote>
  <w:footnote w:id="273">
    <w:p>
      <w:pPr>
        <w:pStyle w:val="Funote"/>
        <w:rPr/>
      </w:pPr>
      <w:r>
        <w:rPr>
          <w:rStyle w:val="Funotenzeichen"/>
        </w:rPr>
        <w:footnoteRef/>
      </w:r>
      <w:r>
        <w:rPr/>
        <w:tab/>
        <w:t>[Vgl. Gordis 1974, S. 241]</w:t>
      </w:r>
    </w:p>
  </w:footnote>
  <w:footnote w:id="274">
    <w:p>
      <w:pPr>
        <w:pStyle w:val="Funote"/>
        <w:rPr/>
      </w:pPr>
      <w:r>
        <w:rPr>
          <w:rStyle w:val="Funotenzeichen"/>
        </w:rPr>
        <w:footnoteRef/>
      </w:r>
      <w:r>
        <w:rPr/>
        <w:tab/>
        <w:t>JHWH</w:t>
      </w:r>
    </w:p>
  </w:footnote>
  <w:footnote w:id="275">
    <w:p>
      <w:pPr>
        <w:pStyle w:val="Funote"/>
        <w:rPr/>
      </w:pPr>
      <w:r>
        <w:rPr>
          <w:rStyle w:val="Funotenzeichen"/>
        </w:rPr>
        <w:footnoteRef/>
      </w:r>
      <w:r>
        <w:rPr/>
        <w:tab/>
        <w:t>[Vgl. z.B. Landy 1994, S. 297]</w:t>
      </w:r>
    </w:p>
  </w:footnote>
  <w:footnote w:id="276">
    <w:p>
      <w:pPr>
        <w:pStyle w:val="Funote"/>
        <w:rPr/>
      </w:pPr>
      <w:r>
        <w:rPr>
          <w:rStyle w:val="Funotenzeichen"/>
        </w:rPr>
        <w:footnoteRef/>
      </w:r>
      <w:r>
        <w:rPr/>
        <w:tab/>
        <w:t>JHWH</w:t>
      </w:r>
    </w:p>
  </w:footnote>
  <w:footnote w:id="277">
    <w:p>
      <w:pPr>
        <w:pStyle w:val="Funote"/>
        <w:rPr/>
      </w:pPr>
      <w:r>
        <w:rPr>
          <w:rStyle w:val="Funotenzeichen"/>
        </w:rPr>
        <w:footnoteRef/>
      </w:r>
      <w:r>
        <w:rPr/>
        <w:tab/>
        <w:t>[Vgl. Köhlmoos 2010, S. 63]</w:t>
      </w:r>
    </w:p>
  </w:footnote>
  <w:footnote w:id="278">
    <w:p>
      <w:pPr>
        <w:pStyle w:val="Funote"/>
        <w:rPr/>
      </w:pPr>
      <w:r>
        <w:rPr>
          <w:rStyle w:val="Funotenzeichen"/>
        </w:rPr>
        <w:footnoteRef/>
      </w:r>
      <w:r>
        <w:rPr/>
        <w:tab/>
        <w:t>JHWH</w:t>
      </w:r>
    </w:p>
  </w:footnote>
  <w:footnote w:id="279">
    <w:p>
      <w:pPr>
        <w:pStyle w:val="Funote"/>
        <w:rPr/>
      </w:pPr>
      <w:r>
        <w:rPr>
          <w:rStyle w:val="Funotenzeichen"/>
        </w:rPr>
        <w:footnoteRef/>
      </w:r>
      <w:r>
        <w:rPr/>
        <w:tab/>
        <w:t>JHWH</w:t>
      </w:r>
    </w:p>
  </w:footnote>
  <w:footnote w:id="280">
    <w:p>
      <w:pPr>
        <w:pStyle w:val="Funote"/>
        <w:rPr/>
      </w:pPr>
      <w:r>
        <w:rPr>
          <w:rStyle w:val="Funotenzeichen"/>
        </w:rPr>
        <w:footnoteRef/>
      </w:r>
      <w:r>
        <w:rPr/>
        <w:tab/>
        <w:t>JHWH</w:t>
      </w:r>
    </w:p>
  </w:footnote>
  <w:footnote w:id="281">
    <w:p>
      <w:pPr>
        <w:pStyle w:val="Funote"/>
        <w:rPr/>
      </w:pPr>
      <w:r>
        <w:rPr>
          <w:rStyle w:val="Funotenzeichen"/>
        </w:rPr>
        <w:footnoteRef/>
      </w:r>
      <w:r>
        <w:rPr/>
        <w:tab/>
        <w:t>JHWH</w:t>
      </w:r>
    </w:p>
  </w:footnote>
  <w:footnote w:id="282">
    <w:p>
      <w:pPr>
        <w:pStyle w:val="Funote"/>
        <w:rPr/>
      </w:pPr>
      <w:r>
        <w:rPr>
          <w:rStyle w:val="Funotenzeichen"/>
        </w:rPr>
        <w:footnoteRef/>
      </w:r>
      <w:r>
        <w:rPr/>
        <w:tab/>
        <w:t>JHWH</w:t>
      </w:r>
    </w:p>
  </w:footnote>
  <w:footnote w:id="283">
    <w:p>
      <w:pPr>
        <w:pStyle w:val="Funote"/>
        <w:rPr/>
      </w:pPr>
      <w:r>
        <w:rPr>
          <w:rStyle w:val="Funotenzeichen"/>
        </w:rPr>
        <w:footnoteRef/>
      </w:r>
      <w:r>
        <w:rPr/>
        <w:tab/>
        <w:t>JHWH</w:t>
      </w:r>
    </w:p>
  </w:footnote>
  <w:footnote w:id="284">
    <w:p>
      <w:pPr>
        <w:pStyle w:val="Funote"/>
        <w:rPr/>
      </w:pPr>
      <w:r>
        <w:rPr>
          <w:rStyle w:val="Funotenzeichen"/>
        </w:rPr>
        <w:footnoteRef/>
      </w:r>
      <w:r>
        <w:rPr/>
        <w:tab/>
        <w:t>JHWH</w:t>
      </w:r>
    </w:p>
  </w:footnote>
  <w:footnote w:id="285">
    <w:p>
      <w:pPr>
        <w:pStyle w:val="Funote"/>
        <w:rPr/>
      </w:pPr>
      <w:r>
        <w:rPr>
          <w:rStyle w:val="Funotenzeichen"/>
        </w:rPr>
        <w:footnoteRef/>
      </w:r>
      <w:r>
        <w:rPr/>
        <w:tab/>
        <w:t>[Status: Zuverlässig]</w:t>
      </w:r>
    </w:p>
  </w:footnote>
  <w:footnote w:id="286">
    <w:p>
      <w:pPr>
        <w:pStyle w:val="Funote"/>
        <w:rPr/>
      </w:pPr>
      <w:r>
        <w:rPr>
          <w:rStyle w:val="Funotenzeichen"/>
        </w:rPr>
        <w:footnoteRef/>
      </w:r>
      <w:r>
        <w:rPr/>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87">
    <w:p>
      <w:pPr>
        <w:pStyle w:val="Funote"/>
        <w:rPr/>
      </w:pPr>
      <w:r>
        <w:rPr>
          <w:rStyle w:val="Funotenzeichen"/>
        </w:rPr>
        <w:footnoteRef/>
      </w:r>
      <w:r>
        <w:rPr>
          <w:i/>
        </w:rPr>
        <w:tab/>
        <w:t>Ruhe (eine Heimstatt)</w:t>
      </w:r>
      <w:r>
        <w:rPr/>
        <w:t xml:space="preserve"> - Heb. </w:t>
      </w:r>
      <w:r>
        <w:rPr>
          <w:i/>
        </w:rPr>
        <w:t>manoach</w:t>
      </w:r>
      <w:r>
        <w:rPr/>
        <w:t xml:space="preserve">, ein Synonym von </w:t>
      </w:r>
      <w:r>
        <w:rPr>
          <w:i/>
        </w:rPr>
        <w:t>menuchah</w:t>
      </w:r>
      <w:r>
        <w:rPr/>
        <w:t xml:space="preserve"> in </w:t>
      </w:r>
      <w:r>
        <w:fldChar w:fldCharType="begin"/>
      </w:r>
      <w:r>
        <w:rPr>
          <w:rStyle w:val="Internetverknpfung"/>
        </w:rPr>
        <w:instrText> HYPERLINK "../../../../../../../../../wiki/Rut_1" \l "s9"</w:instrText>
      </w:r>
      <w:r>
        <w:rPr>
          <w:rStyle w:val="Internetverknpfung"/>
        </w:rPr>
        <w:fldChar w:fldCharType="separate"/>
      </w:r>
      <w:r>
        <w:rPr>
          <w:rStyle w:val="Internetverknpfung"/>
        </w:rPr>
        <w:t>Rut 1,9</w:t>
      </w:r>
      <w:r>
        <w:rPr>
          <w:rStyle w:val="Internetverknpfung"/>
        </w:rPr>
        <w:fldChar w:fldCharType="end"/>
      </w:r>
      <w:r>
        <w:rPr/>
        <w:t xml:space="preserve"> (s. dazu </w:t>
      </w:r>
      <w:r>
        <w:fldChar w:fldCharType="begin"/>
      </w:r>
      <w:r>
        <w:rPr>
          <w:rStyle w:val="Internetverknpfung"/>
        </w:rPr>
        <w:instrText> HYPERLINK "http://www.offene-bibel.de/wiki/?title=Special%3ABibelstelle_aufschlagen&amp;abk=Rut+1" \l "note_aa"</w:instrText>
      </w:r>
      <w:r>
        <w:rPr>
          <w:rStyle w:val="Internetverknpfung"/>
        </w:rPr>
        <w:fldChar w:fldCharType="separate"/>
      </w:r>
      <w:r>
        <w:rPr>
          <w:rStyle w:val="Internetverknpfung"/>
        </w:rPr>
        <w:t>FN aa</w:t>
      </w:r>
      <w:r>
        <w:rPr>
          <w:rStyle w:val="Internetverknpfung"/>
        </w:rPr>
        <w:fldChar w:fldCharType="end"/>
      </w:r>
      <w:r>
        <w:rPr/>
        <w:t>): Noomi will Rut ein Heim verschaffen; d.h. hier: sie will sie „unter die Haube bringen“.</w:t>
      </w:r>
    </w:p>
  </w:footnote>
  <w:footnote w:id="288">
    <w:p>
      <w:pPr>
        <w:pStyle w:val="Funote"/>
        <w:rPr/>
      </w:pPr>
      <w:r>
        <w:rPr>
          <w:rStyle w:val="Funotenzeichen"/>
        </w:rPr>
        <w:footnoteRef/>
      </w:r>
      <w:r>
        <w:rPr>
          <w:i/>
        </w:rPr>
        <w:tab/>
        <w:t>damit es dir gut geht</w:t>
      </w:r>
      <w:r>
        <w:rPr/>
        <w:t xml:space="preserve"> - häufige Formulierung in der Bibel, die bes. häufig mit dem Halten von JHWHs Geboten zusammenhängt: Hält man sie, „geht es einem gut“ (s. z.B. </w:t>
      </w:r>
      <w:hyperlink r:id="rId6">
        <w:r>
          <w:rPr>
            <w:rStyle w:val="Internetverknpfung"/>
          </w:rPr>
          <w:t>Dtn 4,40</w:t>
        </w:r>
      </w:hyperlink>
      <w:r>
        <w:rPr/>
        <w:t xml:space="preserve">; </w:t>
      </w:r>
      <w:r>
        <w:fldChar w:fldCharType="begin"/>
      </w:r>
      <w:r>
        <w:rPr>
          <w:rStyle w:val="Internetverknpfung"/>
        </w:rPr>
        <w:instrText> HYPERLINK "../../../../../../../../../wiki/Deuteronomium_12" \l "s28"</w:instrText>
      </w:r>
      <w:r>
        <w:rPr>
          <w:rStyle w:val="Internetverknpfung"/>
        </w:rPr>
        <w:fldChar w:fldCharType="separate"/>
      </w:r>
      <w:r>
        <w:rPr>
          <w:rStyle w:val="Internetverknpfung"/>
        </w:rPr>
        <w:t>Dtn 12,28</w:t>
      </w:r>
      <w:r>
        <w:rPr>
          <w:rStyle w:val="Internetverknpfung"/>
        </w:rPr>
        <w:fldChar w:fldCharType="end"/>
      </w:r>
      <w:r>
        <w:rPr/>
        <w:t xml:space="preserve">; </w:t>
      </w:r>
      <w:r>
        <w:fldChar w:fldCharType="begin"/>
      </w:r>
      <w:r>
        <w:rPr>
          <w:rStyle w:val="Internetverknpfung"/>
        </w:rPr>
        <w:instrText> HYPERLINK "../../../../../../../../../wiki/Jeremia_7" \l "s23"</w:instrText>
      </w:r>
      <w:r>
        <w:rPr>
          <w:rStyle w:val="Internetverknpfung"/>
        </w:rPr>
        <w:fldChar w:fldCharType="separate"/>
      </w:r>
      <w:r>
        <w:rPr>
          <w:rStyle w:val="Internetverknpfung"/>
        </w:rPr>
        <w:t>Jer 7,23</w:t>
      </w:r>
      <w:r>
        <w:rPr>
          <w:rStyle w:val="Internetverknpfung"/>
        </w:rPr>
        <w:fldChar w:fldCharType="end"/>
      </w:r>
      <w:r>
        <w:rPr/>
        <w:t xml:space="preserve">; </w:t>
      </w:r>
      <w:hyperlink r:id="rId7">
        <w:r>
          <w:rPr>
            <w:rStyle w:val="Internetverknpfung"/>
          </w:rPr>
          <w:t>Jer 38,20</w:t>
        </w:r>
      </w:hyperlink>
      <w:r>
        <w:rPr/>
        <w:t xml:space="preserve">; </w:t>
      </w:r>
      <w:hyperlink r:id="rId8">
        <w:r>
          <w:rPr>
            <w:rStyle w:val="Internetverknpfung"/>
          </w:rPr>
          <w:t>Jer 42,6</w:t>
        </w:r>
      </w:hyperlink>
      <w:r>
        <w:rPr/>
        <w:t xml:space="preserve"> u.ö.). Für sich genommen wäre das nicht besonders auffällig, aber vgl. noch </w:t>
      </w:r>
      <w:r>
        <w:fldChar w:fldCharType="begin"/>
      </w:r>
      <w:r>
        <w:rPr>
          <w:rStyle w:val="Internetverknpfung"/>
        </w:rPr>
        <w:instrText> HYPERLINK "http://www.offene-bibel.de/wiki/index.php5?title=Rut_3" \l "note_o"</w:instrText>
      </w:r>
      <w:r>
        <w:rPr>
          <w:rStyle w:val="Internetverknpfung"/>
        </w:rPr>
        <w:fldChar w:fldCharType="separate"/>
      </w:r>
      <w:r>
        <w:rPr>
          <w:rStyle w:val="Internetverknpfung"/>
        </w:rPr>
        <w:t>FN o</w:t>
      </w:r>
      <w:r>
        <w:rPr>
          <w:rStyle w:val="Internetverknpfung"/>
        </w:rPr>
        <w:fldChar w:fldCharType="end"/>
      </w:r>
      <w:r>
        <w:rPr/>
        <w:t xml:space="preserve"> zu Vers 6: Noomi erlässt hier </w:t>
      </w:r>
      <w:r>
        <w:rPr>
          <w:i/>
        </w:rPr>
        <w:t>Gebote</w:t>
      </w:r>
      <w:r>
        <w:rPr/>
        <w:t xml:space="preserve"> (s. die Anmerkungen)</w:t>
      </w:r>
    </w:p>
  </w:footnote>
  <w:footnote w:id="289">
    <w:p>
      <w:pPr>
        <w:pStyle w:val="Funote"/>
        <w:rPr/>
      </w:pPr>
      <w:r>
        <w:rPr>
          <w:rStyle w:val="Funotenzeichen"/>
        </w:rPr>
        <w:footnoteRef/>
      </w:r>
      <w:r>
        <w:rPr/>
        <w:tab/>
        <w:t>Und weiter - W.: »und nun«; doch wä`attah dient hier wohl nur zur »Markierung eines neuen Gedankens« (Ges18, S. 1030); treffender ist daher obiger Übersetzungsvorschlag.</w:t>
      </w:r>
    </w:p>
  </w:footnote>
  <w:footnote w:id="290">
    <w:p>
      <w:pPr>
        <w:pStyle w:val="Funote"/>
        <w:rPr/>
      </w:pPr>
      <w:r>
        <w:rPr>
          <w:rStyle w:val="Funotenzeichen"/>
        </w:rPr>
        <w:footnoteRef/>
      </w:r>
      <w:r>
        <w:rPr/>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1">
    <w:p>
      <w:pPr>
        <w:pStyle w:val="Funote"/>
        <w:rPr/>
      </w:pPr>
      <w:r>
        <w:rPr>
          <w:rStyle w:val="Funotenzeichen"/>
        </w:rPr>
        <w:footnoteRef/>
      </w:r>
      <w:r>
        <w:rPr/>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2">
    <w:p>
      <w:pPr>
        <w:pStyle w:val="Funote"/>
        <w:rPr/>
      </w:pPr>
      <w:r>
        <w:rPr>
          <w:rStyle w:val="Funotenzeichen"/>
        </w:rPr>
        <w:footnoteRef/>
      </w:r>
      <w:r>
        <w:rPr>
          <w:i/>
        </w:rPr>
        <w:tab/>
        <w:t>[Daher]</w:t>
      </w:r>
      <w:r>
        <w:rPr/>
        <w:t xml:space="preserve"> - Dass die Aufforderung in Vv. 3f aus Vv. 1f </w:t>
      </w:r>
      <w:r>
        <w:rPr>
          <w:i/>
        </w:rPr>
        <w:t>abgeleitet</w:t>
      </w:r>
      <w:r>
        <w:rPr/>
        <w:t xml:space="preserve"> wird, wird im Heb. nur durch die Wortform (Weqatal) markiert (eben daher auch Einsatz durch Weqatal statt Yiqtol).</w:t>
      </w:r>
    </w:p>
  </w:footnote>
  <w:footnote w:id="293">
    <w:p>
      <w:pPr>
        <w:pStyle w:val="Funote"/>
        <w:rPr/>
      </w:pPr>
      <w:r>
        <w:rPr>
          <w:rStyle w:val="Funotenzeichen"/>
        </w:rPr>
        <w:footnoteRef/>
      </w:r>
      <w:r>
        <w:rPr/>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4">
    <w:p>
      <w:pPr>
        <w:pStyle w:val="Funote"/>
        <w:rPr/>
      </w:pPr>
      <w:r>
        <w:rPr>
          <w:rStyle w:val="Funotenzeichen"/>
        </w:rPr>
        <w:footnoteRef/>
      </w:r>
      <w:r>
        <w:rPr/>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295">
    <w:p>
      <w:pPr>
        <w:pStyle w:val="Funote"/>
        <w:rPr/>
      </w:pPr>
      <w:r>
        <w:rPr>
          <w:rStyle w:val="Funotenzeichen"/>
        </w:rPr>
        <w:footnoteRef/>
      </w:r>
      <w:r>
        <w:rPr/>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296">
    <w:p>
      <w:pPr>
        <w:pStyle w:val="Funote"/>
        <w:rPr/>
      </w:pPr>
      <w:r>
        <w:rPr>
          <w:rStyle w:val="Funotenzeichen"/>
        </w:rPr>
        <w:footnoteRef/>
      </w:r>
      <w:r>
        <w:rPr/>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297">
    <w:p>
      <w:pPr>
        <w:pStyle w:val="Funote"/>
        <w:rPr/>
      </w:pPr>
      <w:r>
        <w:rPr>
          <w:rStyle w:val="Funotenzeichen"/>
        </w:rPr>
        <w:footnoteRef/>
      </w:r>
      <w:r>
        <w:rPr/>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298">
    <w:p>
      <w:pPr>
        <w:pStyle w:val="Funote"/>
        <w:rPr/>
      </w:pPr>
      <w:r>
        <w:rPr>
          <w:rStyle w:val="Funotenzeichen"/>
        </w:rPr>
        <w:footnoteRef/>
      </w:r>
      <w:r>
        <w:rPr/>
        <w:tab/>
        <w:t>Textkritik: ([mir]) - Die Überlieferung des heb. Textes bietet beide Versionen; Ketiv und viele LXX- und VUL-Mss haben ohne »mir«; Qere, einige LXX- und VUL-Mss, Tg und Syr mit. Eine Entscheidung ist hier nicht möglich.</w:t>
      </w:r>
    </w:p>
  </w:footnote>
  <w:footnote w:id="299">
    <w:p>
      <w:pPr>
        <w:pStyle w:val="Funote"/>
        <w:rPr/>
      </w:pPr>
      <w:r>
        <w:rPr>
          <w:rStyle w:val="Funotenzeichen"/>
        </w:rPr>
        <w:footnoteRef/>
      </w:r>
      <w:r>
        <w:rPr>
          <w:i/>
        </w:rPr>
        <w:tab/>
        <w:t>sagst (je sagen wirst)</w:t>
      </w:r>
      <w:r>
        <w:rPr/>
        <w:t xml:space="preserve"> - das Verb steht im Yiqtol; d.h.: Rut bezieht sich damit nicht (nur) auf Noomis Aufforderungen in Vv. 3f, sondern auf alles, was diese ihr je sagen wird.</w:t>
      </w:r>
    </w:p>
  </w:footnote>
  <w:footnote w:id="300">
    <w:p>
      <w:pPr>
        <w:pStyle w:val="Funote"/>
        <w:rPr/>
      </w:pPr>
      <w:r>
        <w:rPr>
          <w:rStyle w:val="Funotenzeichen"/>
        </w:rPr>
        <w:footnoteRef/>
      </w:r>
      <w:r>
        <w:rPr/>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1">
    <w:p>
      <w:pPr>
        <w:pStyle w:val="Funote"/>
        <w:rPr/>
      </w:pPr>
      <w:r>
        <w:rPr>
          <w:rStyle w:val="Funotenzeichen"/>
        </w:rPr>
        <w:footnoteRef/>
      </w:r>
      <w:r>
        <w:rPr>
          <w:i/>
        </w:rPr>
        <w:tab/>
        <w:t>sein Herz wurde fröhlich</w:t>
      </w:r>
      <w:r>
        <w:rPr/>
        <w:t xml:space="preserve"> - heb. Idiom, dass sowohl bedeuten kann, dass Boas (vom Weingenuß) „betrunken wurde“ (s. z.B. </w:t>
      </w:r>
      <w:hyperlink r:id="rId9">
        <w:r>
          <w:rPr>
            <w:rStyle w:val="Internetverknpfung"/>
          </w:rPr>
          <w:t>1 Sam 25,36</w:t>
        </w:r>
      </w:hyperlink>
      <w:r>
        <w:rPr/>
        <w:t xml:space="preserve">) als auch nur, dass er „gut gelaunt“ war (s. z.B. </w:t>
      </w:r>
      <w:hyperlink r:id="rId10">
        <w:r>
          <w:rPr>
            <w:rStyle w:val="Internetverknpfung"/>
          </w:rPr>
          <w:t>1 Kön 8,66</w:t>
        </w:r>
      </w:hyperlink>
      <w:r>
        <w:rPr/>
        <w:t xml:space="preserve">). Da es hier als direkte Folge des Essens </w:t>
      </w:r>
      <w:r>
        <w:rPr>
          <w:i/>
        </w:rPr>
        <w:t>und Trinkens</w:t>
      </w:r>
      <w:r>
        <w:rPr/>
        <w:t xml:space="preserve"> genannt wird und wegen der Bezüge des Kapitels zu </w:t>
      </w:r>
      <w:r>
        <w:fldChar w:fldCharType="begin"/>
      </w:r>
      <w:r>
        <w:rPr>
          <w:rStyle w:val="Internetverknpfung"/>
        </w:rPr>
        <w:instrText> HYPERLINK "../../../../../../../../../wiki/Genesis_19" \l "s30"</w:instrText>
      </w:r>
      <w:r>
        <w:rPr>
          <w:rStyle w:val="Internetverknpfung"/>
        </w:rPr>
        <w:fldChar w:fldCharType="separate"/>
      </w:r>
      <w:r>
        <w:rPr>
          <w:rStyle w:val="Internetverknpfung"/>
        </w:rPr>
        <w:t>Gen 19,30-38</w:t>
      </w:r>
      <w:r>
        <w:rPr>
          <w:rStyle w:val="Internetverknpfung"/>
        </w:rPr>
        <w:fldChar w:fldCharType="end"/>
      </w:r>
      <w:r>
        <w:rPr/>
        <w:t xml:space="preserve">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2">
    <w:p>
      <w:pPr>
        <w:pStyle w:val="Funote"/>
        <w:rPr/>
      </w:pPr>
      <w:r>
        <w:rPr>
          <w:rStyle w:val="Funotenzeichen"/>
        </w:rPr>
        <w:footnoteRef/>
      </w:r>
      <w:r>
        <w:rPr/>
        <w:tab/>
        <w:t xml:space="preserve">zu </w:t>
      </w:r>
      <w:r>
        <w:rPr>
          <w:i/>
        </w:rPr>
        <w:t>entblößte seine Beine</w:t>
      </w:r>
      <w:r>
        <w:rPr/>
        <w:t xml:space="preserve"> s. </w:t>
      </w:r>
      <w:r>
        <w:fldChar w:fldCharType="begin"/>
      </w:r>
      <w:r>
        <w:rPr>
          <w:rStyle w:val="Internetverknpfung"/>
        </w:rPr>
        <w:instrText> HYPERLINK "http://www.offene-bibel.de/wiki/index.php5?title=Rut_3" \l "note_l"</w:instrText>
      </w:r>
      <w:r>
        <w:rPr>
          <w:rStyle w:val="Internetverknpfung"/>
        </w:rPr>
        <w:fldChar w:fldCharType="separate"/>
      </w:r>
      <w:r>
        <w:rPr>
          <w:rStyle w:val="Internetverknpfung"/>
        </w:rPr>
        <w:t>FN l</w:t>
      </w:r>
      <w:r>
        <w:rPr>
          <w:rStyle w:val="Internetverknpfung"/>
        </w:rPr>
        <w:fldChar w:fldCharType="end"/>
      </w:r>
      <w:r>
        <w:rPr/>
        <w:t xml:space="preserve"> zu V. 4.</w:t>
      </w:r>
    </w:p>
  </w:footnote>
  <w:footnote w:id="303">
    <w:p>
      <w:pPr>
        <w:pStyle w:val="Funote"/>
        <w:rPr/>
      </w:pPr>
      <w:r>
        <w:rPr>
          <w:rStyle w:val="Funotenzeichen"/>
        </w:rPr>
        <w:footnoteRef/>
      </w:r>
      <w:r>
        <w:rPr/>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4">
    <w:p>
      <w:pPr>
        <w:pStyle w:val="Funote"/>
        <w:rPr/>
      </w:pPr>
      <w:r>
        <w:rPr>
          <w:rStyle w:val="Funotenzeichen"/>
        </w:rPr>
        <w:footnoteRef/>
      </w:r>
      <w:r>
        <w:rPr/>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05">
    <w:p>
      <w:pPr>
        <w:pStyle w:val="Funote"/>
        <w:rPr/>
      </w:pPr>
      <w:r>
        <w:rPr>
          <w:rStyle w:val="Funotenzeichen"/>
        </w:rPr>
        <w:footnoteRef/>
      </w:r>
      <w:r>
        <w:rPr/>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06">
    <w:p>
      <w:pPr>
        <w:pStyle w:val="Funote"/>
        <w:rPr/>
      </w:pPr>
      <w:r>
        <w:rPr>
          <w:rStyle w:val="Funotenzeichen"/>
        </w:rPr>
        <w:footnoteRef/>
      </w:r>
      <w:r>
        <w:rPr/>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07">
    <w:p>
      <w:pPr>
        <w:pStyle w:val="Funote"/>
        <w:rPr/>
      </w:pPr>
      <w:r>
        <w:rPr>
          <w:rStyle w:val="Funotenzeichen"/>
        </w:rPr>
        <w:footnoteRef/>
      </w:r>
      <w:r>
        <w:rPr/>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08">
    <w:p>
      <w:pPr>
        <w:pStyle w:val="Funote"/>
        <w:rPr/>
      </w:pPr>
      <w:r>
        <w:rPr>
          <w:rStyle w:val="Funotenzeichen"/>
        </w:rPr>
        <w:footnoteRef/>
      </w:r>
      <w:r>
        <w:rPr/>
        <w:tab/>
        <w:t>Zu gesegnet [seist] du von JHWH vgl. FN aw zu Rut 2,20.</w:t>
      </w:r>
    </w:p>
  </w:footnote>
  <w:footnote w:id="309">
    <w:p>
      <w:pPr>
        <w:pStyle w:val="Funote"/>
        <w:rPr/>
      </w:pPr>
      <w:r>
        <w:rPr>
          <w:rStyle w:val="Funotenzeichen"/>
        </w:rPr>
        <w:footnoteRef/>
      </w:r>
      <w:r>
        <w:rPr/>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0">
    <w:p>
      <w:pPr>
        <w:pStyle w:val="Funote"/>
        <w:rPr/>
      </w:pPr>
      <w:r>
        <w:rPr>
          <w:rStyle w:val="Funotenzeichen"/>
        </w:rPr>
        <w:footnoteRef/>
      </w:r>
      <w:r>
        <w:rPr/>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1">
    <w:p>
      <w:pPr>
        <w:pStyle w:val="Funote"/>
        <w:rPr/>
      </w:pPr>
      <w:r>
        <w:rPr>
          <w:rStyle w:val="Funotenzeichen"/>
        </w:rPr>
        <w:footnoteRef/>
      </w:r>
      <w:r>
        <w:rPr/>
        <w:tab/>
        <w:t>Zum Tor als Ausdruck für »Volk«, »öffentliche Ansicht« vgl. bes. Speiser 1956, S. 21). So auch die LXX, VL, Syr (»mein Stamm«); VUL (»das ganze Volk...«). Viele Üss. daher gut: »Jeder in der Stadt«.</w:t>
      </w:r>
    </w:p>
  </w:footnote>
  <w:footnote w:id="312">
    <w:p>
      <w:pPr>
        <w:pStyle w:val="Funote"/>
        <w:rPr/>
      </w:pPr>
      <w:r>
        <w:rPr>
          <w:rStyle w:val="Funotenzeichen"/>
        </w:rPr>
        <w:footnoteRef/>
      </w:r>
      <w:r>
        <w:rPr/>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3">
    <w:p>
      <w:pPr>
        <w:pStyle w:val="Funote"/>
        <w:rPr/>
      </w:pPr>
      <w:r>
        <w:rPr>
          <w:rStyle w:val="Funotenzeichen"/>
        </w:rPr>
        <w:footnoteRef/>
      </w:r>
      <w:r>
        <w:rPr/>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4">
    <w:p>
      <w:pPr>
        <w:pStyle w:val="Funote"/>
        <w:rPr/>
      </w:pPr>
      <w:r>
        <w:rPr>
          <w:rStyle w:val="Funotenzeichen"/>
        </w:rPr>
        <w:footnoteRef/>
      </w:r>
      <w:r>
        <w:rPr/>
        <w:tab/>
        <w:t xml:space="preserve">Zu den Gründen gegen </w:t>
      </w:r>
      <w:r>
        <w:rPr>
          <w:i/>
        </w:rPr>
        <w:t>es gibt einen näheren Löser als mich</w:t>
      </w:r>
      <w:r>
        <w:rPr/>
        <w:t xml:space="preserve"> s. die vorige FN.</w:t>
      </w:r>
    </w:p>
  </w:footnote>
  <w:footnote w:id="315">
    <w:p>
      <w:pPr>
        <w:pStyle w:val="Funote"/>
        <w:rPr/>
      </w:pPr>
      <w:r>
        <w:rPr>
          <w:rStyle w:val="Funotenzeichen"/>
        </w:rPr>
        <w:footnoteRef/>
      </w:r>
      <w:r>
        <w:rPr>
          <w:i/>
        </w:rPr>
        <w:tab/>
        <w:t>wenn er dich am Morgen lösen wird</w:t>
      </w:r>
      <w:r>
        <w:rPr/>
        <w:t xml:space="preserve"> - W.: „Und es wird sein am Morgen: Wenn er dich lösen wird...“: </w:t>
      </w:r>
      <w:r>
        <w:rPr>
          <w:i/>
        </w:rPr>
        <w:t>wähajah</w:t>
      </w:r>
      <w:r>
        <w:rPr/>
        <w:t xml:space="preserve"> („und es wird sein“) hier wie oft nur zur Markierung einer Zeitangabe.</w:t>
      </w:r>
    </w:p>
  </w:footnote>
  <w:footnote w:id="316">
    <w:p>
      <w:pPr>
        <w:pStyle w:val="Funote"/>
        <w:rPr/>
      </w:pPr>
      <w:r>
        <w:rPr>
          <w:rStyle w:val="Funotenzeichen"/>
        </w:rPr>
        <w:footnoteRef/>
      </w:r>
      <w:r>
        <w:rPr/>
        <w:tab/>
        <w:t>[so wahr] JHWH lebt - Häufige Schwurformel. Entspr. im Dt. eher »das schwöre ich bei Gott«.</w:t>
      </w:r>
    </w:p>
  </w:footnote>
  <w:footnote w:id="317">
    <w:p>
      <w:pPr>
        <w:pStyle w:val="Funote"/>
        <w:rPr/>
      </w:pPr>
      <w:r>
        <w:rPr>
          <w:rStyle w:val="Funotenzeichen"/>
        </w:rPr>
        <w:footnoteRef/>
      </w:r>
      <w:r>
        <w:rPr/>
        <w:tab/>
        <w:t>Textkritik: [an] seinem Bein - so Ketiv, doch das macht keinen Sinn und ist sicher ein Schreibfehler.</w:t>
      </w:r>
    </w:p>
  </w:footnote>
  <w:footnote w:id="318">
    <w:p>
      <w:pPr>
        <w:pStyle w:val="Funote"/>
        <w:rPr/>
      </w:pPr>
      <w:r>
        <w:rPr>
          <w:rStyle w:val="Funotenzeichen"/>
        </w:rPr>
        <w:footnoteRef/>
      </w:r>
      <w:r>
        <w:rPr/>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19">
    <w:p>
      <w:pPr>
        <w:pStyle w:val="Funote"/>
        <w:rPr/>
      </w:pPr>
      <w:r>
        <w:rPr>
          <w:rStyle w:val="Funotenzeichen"/>
        </w:rPr>
        <w:footnoteRef/>
      </w:r>
      <w:r>
        <w:rPr/>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0">
    <w:p>
      <w:pPr>
        <w:pStyle w:val="Funote"/>
        <w:rPr/>
      </w:pPr>
      <w:r>
        <w:rPr>
          <w:rStyle w:val="Funotenzeichen"/>
        </w:rPr>
        <w:footnoteRef/>
      </w:r>
      <w:r>
        <w:rPr/>
        <w:tab/>
        <w:t>halte ihn [gut fest] + sie hielt ihn [fest] + er lud ihn ihr auf soll wohl v.a. ausdrücklich machen, wie schwer der Mantel nach seiner Befüllung mit Gerste ist. Sehr gut daher Campbell 1975, S. 116: »Get a good hold on it!« + »She held it firmly.«</w:t>
      </w:r>
    </w:p>
  </w:footnote>
  <w:footnote w:id="321">
    <w:p>
      <w:pPr>
        <w:pStyle w:val="Funote"/>
        <w:rPr/>
      </w:pPr>
      <w:r>
        <w:rPr>
          <w:rStyle w:val="Funotenzeichen"/>
        </w:rPr>
        <w:footnoteRef/>
      </w:r>
      <w:r>
        <w:rPr/>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2">
    <w:p>
      <w:pPr>
        <w:pStyle w:val="Funote"/>
        <w:rPr/>
      </w:pPr>
      <w:r>
        <w:rPr>
          <w:rStyle w:val="Funotenzeichen"/>
        </w:rPr>
        <w:footnoteRef/>
      </w:r>
      <w:r>
        <w:rPr/>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3">
    <w:p>
      <w:pPr>
        <w:pStyle w:val="Funote"/>
        <w:rPr/>
      </w:pPr>
      <w:r>
        <w:rPr>
          <w:rStyle w:val="Funotenzeichen"/>
        </w:rPr>
        <w:footnoteRef/>
      </w:r>
      <w:r>
        <w:rPr/>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4">
    <w:p>
      <w:pPr>
        <w:pStyle w:val="Funote"/>
        <w:rPr/>
      </w:pPr>
      <w:r>
        <w:rPr>
          <w:rStyle w:val="Funotenzeichen"/>
        </w:rPr>
        <w:footnoteRef/>
      </w:r>
      <w:r>
        <w:rPr/>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25">
    <w:p>
      <w:pPr>
        <w:pStyle w:val="Funote"/>
        <w:rPr/>
      </w:pPr>
      <w:r>
        <w:rPr>
          <w:rStyle w:val="Funotenzeichen"/>
        </w:rPr>
        <w:footnoteRef/>
      </w:r>
      <w:r>
        <w:rPr/>
        <w:tab/>
        <w:t>[Wie etwa im hethitischen Recht, wo die die Abfolge der Schwagerehen-berechtigten ist: Bruder =&gt; Vater =&gt; Onkel (s. Hethitisches Gesetz §193).]</w:t>
      </w:r>
    </w:p>
  </w:footnote>
  <w:footnote w:id="326">
    <w:p>
      <w:pPr>
        <w:pStyle w:val="Funote"/>
        <w:rPr/>
      </w:pPr>
      <w:r>
        <w:rPr>
          <w:rStyle w:val="Funotenzeichen"/>
        </w:rPr>
        <w:footnoteRef/>
      </w:r>
      <w:r>
        <w:rPr/>
        <w:tab/>
        <w:t>[Status: Zuverlässig]</w:t>
      </w:r>
    </w:p>
  </w:footnote>
  <w:footnote w:id="327">
    <w:p>
      <w:pPr>
        <w:pStyle w:val="Funote"/>
        <w:rPr/>
      </w:pPr>
      <w:r>
        <w:rPr>
          <w:rStyle w:val="Funotenzeichen"/>
        </w:rPr>
        <w:footnoteRef/>
      </w:r>
      <w:r>
        <w:rPr>
          <w:i/>
        </w:rPr>
        <w:tab/>
        <w:t>ins Tor</w:t>
      </w:r>
      <w:r>
        <w:rPr/>
        <w:t xml:space="preserve">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w:t>
      </w:r>
      <w:hyperlink r:id="rId11">
        <w:r>
          <w:rPr>
            <w:rStyle w:val="Internetverknpfung"/>
          </w:rPr>
          <w:t>Dtn 25,7</w:t>
        </w:r>
      </w:hyperlink>
      <w:r>
        <w:rPr/>
        <w:t>.</w:t>
      </w:r>
    </w:p>
  </w:footnote>
  <w:footnote w:id="328">
    <w:p>
      <w:pPr>
        <w:pStyle w:val="Funote"/>
        <w:rPr/>
      </w:pPr>
      <w:r>
        <w:rPr>
          <w:rStyle w:val="Funotenzeichen"/>
        </w:rPr>
        <w:footnoteRef/>
      </w:r>
      <w:r>
        <w:rPr/>
        <w:tab/>
        <w:t>siehe da! - Wie in Rut 2,4 (s. FN m) drückt auch hier das „siehe da!“ aus, dass überraschenderweise genau das richtige passiert. Gut daher OEB: „Just then the [Löser] came along“; „Und zufällig kam just in diesem Moment auch der Löser vorbei...“</w:t>
      </w:r>
    </w:p>
  </w:footnote>
  <w:footnote w:id="329">
    <w:p>
      <w:pPr>
        <w:pStyle w:val="Funote"/>
        <w:rPr/>
      </w:pPr>
      <w:r>
        <w:rPr>
          <w:rStyle w:val="Funotenzeichen"/>
        </w:rPr>
        <w:footnoteRef/>
      </w:r>
      <w:r>
        <w:rPr>
          <w:i/>
        </w:rPr>
        <w:tab/>
        <w:t>Löser</w:t>
      </w:r>
      <w:r>
        <w:rPr/>
        <w:t xml:space="preserve"> - Zum „Löser“ s. die Anmerkungen.</w:t>
      </w:r>
    </w:p>
  </w:footnote>
  <w:footnote w:id="330">
    <w:p>
      <w:pPr>
        <w:pStyle w:val="Funote"/>
        <w:rPr/>
      </w:pPr>
      <w:r>
        <w:rPr>
          <w:rStyle w:val="Funotenzeichen"/>
        </w:rPr>
        <w:footnoteRef/>
      </w:r>
      <w:r>
        <w:rPr/>
        <w:tab/>
        <w:t>Bieg ab - nämlich auf die Seite zu den auf dem Torplatz stehenden Bänken. Die meisten Üss. übersetzen sinnvoll: »Komm her!«; am besten EÜ, HfA, NL: »Komm herüber!«</w:t>
      </w:r>
    </w:p>
  </w:footnote>
  <w:footnote w:id="331">
    <w:p>
      <w:pPr>
        <w:pStyle w:val="Funote"/>
        <w:rPr/>
      </w:pPr>
      <w:r>
        <w:rPr>
          <w:rStyle w:val="Funotenzeichen"/>
        </w:rPr>
        <w:footnoteRef/>
      </w:r>
      <w:r>
        <w:rPr/>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2">
    <w:p>
      <w:pPr>
        <w:pStyle w:val="Funote"/>
        <w:rPr/>
      </w:pPr>
      <w:r>
        <w:rPr>
          <w:rStyle w:val="Funotenzeichen"/>
        </w:rPr>
        <w:footnoteRef/>
      </w:r>
      <w:r>
        <w:rPr/>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3">
    <w:p>
      <w:pPr>
        <w:pStyle w:val="Funote"/>
        <w:rPr/>
      </w:pPr>
      <w:r>
        <w:rPr>
          <w:rStyle w:val="Funotenzeichen"/>
        </w:rPr>
        <w:footnoteRef/>
      </w:r>
      <w:r>
        <w:rPr>
          <w:i/>
        </w:rPr>
        <w:tab/>
        <w:t>Feldstück</w:t>
      </w:r>
      <w:r>
        <w:rPr/>
        <w:t xml:space="preserve"> - s. zum Begriff </w:t>
      </w:r>
      <w:r>
        <w:fldChar w:fldCharType="begin"/>
      </w:r>
      <w:r>
        <w:rPr>
          <w:rStyle w:val="Internetverknpfung"/>
        </w:rPr>
        <w:instrText> HYPERLINK "http://offene-bibel.de/mediawiki/index.php?title=Rut_2" \l "note_e"</w:instrText>
      </w:r>
      <w:r>
        <w:rPr>
          <w:rStyle w:val="Internetverknpfung"/>
        </w:rPr>
        <w:fldChar w:fldCharType="separate"/>
      </w:r>
      <w:r>
        <w:rPr>
          <w:rStyle w:val="Internetverknpfung"/>
        </w:rPr>
        <w:t>FN e</w:t>
      </w:r>
      <w:r>
        <w:rPr>
          <w:rStyle w:val="Internetverknpfung"/>
        </w:rPr>
        <w:fldChar w:fldCharType="end"/>
      </w:r>
      <w:r>
        <w:rPr/>
        <w:t xml:space="preserve"> zu </w:t>
      </w:r>
      <w:r>
        <w:fldChar w:fldCharType="begin"/>
      </w:r>
      <w:r>
        <w:rPr>
          <w:rStyle w:val="Internetverknpfung"/>
        </w:rPr>
        <w:instrText> HYPERLINK "../../../../../../../../../wiki/Rut_2" \l "s2"</w:instrText>
      </w:r>
      <w:r>
        <w:rPr>
          <w:rStyle w:val="Internetverknpfung"/>
        </w:rPr>
        <w:fldChar w:fldCharType="separate"/>
      </w:r>
      <w:r>
        <w:rPr>
          <w:rStyle w:val="Internetverknpfung"/>
        </w:rPr>
        <w:t>Rut 2,2</w:t>
      </w:r>
      <w:r>
        <w:rPr>
          <w:rStyle w:val="Internetverknpfung"/>
        </w:rPr>
        <w:fldChar w:fldCharType="end"/>
      </w:r>
      <w:r>
        <w:rPr/>
        <w:t>.</w:t>
      </w:r>
    </w:p>
  </w:footnote>
  <w:footnote w:id="334">
    <w:p>
      <w:pPr>
        <w:pStyle w:val="Funote"/>
        <w:rPr/>
      </w:pPr>
      <w:r>
        <w:rPr>
          <w:rStyle w:val="Funotenzeichen"/>
        </w:rPr>
        <w:footnoteRef/>
      </w:r>
      <w:r>
        <w:rPr/>
        <w:tab/>
        <w:t>Bruder - Hier im Sinne von »Verwandter«; dass gerade »Bruder« verwendet wird, ist wahrscheinlich eine Anspielung auf Dtn 25,5 (vgl. z.B. Fischer 2001, S. 158; Zakovitch 1999 S. 154).</w:t>
      </w:r>
    </w:p>
  </w:footnote>
  <w:footnote w:id="335">
    <w:p>
      <w:pPr>
        <w:pStyle w:val="Funote"/>
        <w:rPr/>
      </w:pPr>
      <w:r>
        <w:rPr>
          <w:rStyle w:val="Funotenzeichen"/>
        </w:rPr>
        <w:footnoteRef/>
      </w:r>
      <w:r>
        <w:rPr/>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36">
    <w:p>
      <w:pPr>
        <w:pStyle w:val="Funote"/>
        <w:rPr/>
      </w:pPr>
      <w:r>
        <w:rPr>
          <w:rStyle w:val="Funotenzeichen"/>
        </w:rPr>
        <w:footnoteRef/>
      </w:r>
      <w:r>
        <w:rPr>
          <w:i/>
        </w:rPr>
        <w:tab/>
        <w:t>{</w:t>
      </w:r>
      <w:r>
        <w:rPr>
          <w:i/>
          <w:strike/>
        </w:rPr>
        <w:t>dem Gebiet von</w:t>
      </w:r>
      <w:r>
        <w:rPr>
          <w:i/>
        </w:rPr>
        <w:t>} (dem Feld von)</w:t>
      </w:r>
      <w:r>
        <w:rPr/>
        <w:t xml:space="preserve"> - Zum Ausdruck s. </w:t>
      </w:r>
      <w:r>
        <w:fldChar w:fldCharType="begin"/>
      </w:r>
      <w:r>
        <w:rPr>
          <w:rStyle w:val="Internetverknpfung"/>
        </w:rPr>
        <w:instrText> HYPERLINK "http://offene-bibel.de/wiki/Rut_1" \l "note_e"</w:instrText>
      </w:r>
      <w:r>
        <w:rPr>
          <w:rStyle w:val="Internetverknpfung"/>
        </w:rPr>
        <w:fldChar w:fldCharType="separate"/>
      </w:r>
      <w:r>
        <w:rPr>
          <w:rStyle w:val="Internetverknpfung"/>
        </w:rPr>
        <w:t>FN e</w:t>
      </w:r>
      <w:r>
        <w:rPr>
          <w:rStyle w:val="Internetverknpfung"/>
        </w:rPr>
        <w:fldChar w:fldCharType="end"/>
      </w:r>
      <w:r>
        <w:rPr/>
        <w:t xml:space="preserve"> zu </w:t>
      </w:r>
      <w:r>
        <w:fldChar w:fldCharType="begin"/>
      </w:r>
      <w:r>
        <w:rPr>
          <w:rStyle w:val="Internetverknpfung"/>
        </w:rPr>
        <w:instrText> HYPERLINK "../../../../../../../../../wiki/Rut_1" \l "s1"</w:instrText>
      </w:r>
      <w:r>
        <w:rPr>
          <w:rStyle w:val="Internetverknpfung"/>
        </w:rPr>
        <w:fldChar w:fldCharType="separate"/>
      </w:r>
      <w:r>
        <w:rPr>
          <w:rStyle w:val="Internetverknpfung"/>
        </w:rPr>
        <w:t>Rut 1,1</w:t>
      </w:r>
      <w:r>
        <w:rPr>
          <w:rStyle w:val="Internetverknpfung"/>
        </w:rPr>
        <w:fldChar w:fldCharType="end"/>
      </w:r>
      <w:r>
        <w:rPr/>
        <w:t>.</w:t>
      </w:r>
    </w:p>
  </w:footnote>
  <w:footnote w:id="337">
    <w:p>
      <w:pPr>
        <w:pStyle w:val="Funote"/>
        <w:rPr/>
      </w:pPr>
      <w:r>
        <w:rPr>
          <w:rStyle w:val="Funotenzeichen"/>
        </w:rPr>
        <w:footnoteRef/>
      </w:r>
      <w:r>
        <w:rPr>
          <w:i/>
        </w:rPr>
        <w:tab/>
        <w:t>gesagt ([mir] gedacht)</w:t>
      </w:r>
      <w:r>
        <w:rPr/>
        <w:t xml:space="preserve">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38">
    <w:p>
      <w:pPr>
        <w:pStyle w:val="Funote"/>
        <w:rPr/>
      </w:pPr>
      <w:r>
        <w:rPr>
          <w:rStyle w:val="Funotenzeichen"/>
        </w:rPr>
        <w:footnoteRef/>
      </w:r>
      <w:r>
        <w:rPr>
          <w:i/>
        </w:rPr>
        <w:tab/>
        <w:t>zu Gehör bringen</w:t>
      </w:r>
      <w:r>
        <w:rPr/>
        <w:t xml:space="preserve"> - Heb. Idiom, s. z.B. </w:t>
      </w:r>
      <w:hyperlink r:id="rId12">
        <w:r>
          <w:rPr>
            <w:rStyle w:val="Internetverknpfung"/>
          </w:rPr>
          <w:t>1 Sam 20,2</w:t>
        </w:r>
      </w:hyperlink>
      <w:r>
        <w:rPr/>
        <w:t>.</w:t>
      </w:r>
      <w:hyperlink r:id="rId13">
        <w:r>
          <w:rPr>
            <w:rStyle w:val="Internetverknpfung"/>
          </w:rPr>
          <w:t>12f</w:t>
        </w:r>
      </w:hyperlink>
      <w:r>
        <w:rPr/>
        <w:t xml:space="preserve">. Außer in </w:t>
      </w:r>
      <w:hyperlink r:id="rId14">
        <w:r>
          <w:rPr>
            <w:rStyle w:val="Internetverknpfung"/>
          </w:rPr>
          <w:t>Ijob 36,10</w:t>
        </w:r>
      </w:hyperlink>
      <w:r>
        <w:rPr/>
        <w:t>.</w:t>
      </w:r>
      <w:hyperlink r:id="rId15">
        <w:r>
          <w:rPr>
            <w:rStyle w:val="Internetverknpfung"/>
          </w:rPr>
          <w:t>15</w:t>
        </w:r>
      </w:hyperlink>
      <w:r>
        <w:rPr/>
        <w:t xml:space="preserve"> steht es stets für </w:t>
      </w:r>
      <w:r>
        <w:rPr>
          <w:i/>
        </w:rPr>
        <w:t>Privat</w:t>
      </w:r>
      <w:r>
        <w:rPr/>
        <w:t>mitteilungen: Was Boas hier verkünden will, ist speziell für die Ohren des Löser bestimmt, da eben dieser und kein anderer der Löser ist (s. Anmerkungen).</w:t>
      </w:r>
    </w:p>
  </w:footnote>
  <w:footnote w:id="339">
    <w:p>
      <w:pPr>
        <w:pStyle w:val="Funote"/>
        <w:rPr/>
      </w:pPr>
      <w:r>
        <w:rPr>
          <w:rStyle w:val="Funotenzeichen"/>
        </w:rPr>
        <w:footnoteRef/>
      </w:r>
      <w:r>
        <w:rPr/>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0">
    <w:p>
      <w:pPr>
        <w:pStyle w:val="Funote"/>
        <w:rPr/>
      </w:pPr>
      <w:r>
        <w:rPr>
          <w:rStyle w:val="Funotenzeichen"/>
        </w:rPr>
        <w:footnoteRef/>
      </w:r>
      <w:r>
        <w:rPr/>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1">
    <w:p>
      <w:pPr>
        <w:pStyle w:val="Funote"/>
        <w:rPr/>
      </w:pPr>
      <w:r>
        <w:rPr>
          <w:rStyle w:val="Funotenzeichen"/>
        </w:rPr>
        <w:footnoteRef/>
      </w:r>
      <w:r>
        <w:rPr/>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2">
    <w:p>
      <w:pPr>
        <w:pStyle w:val="Funote"/>
        <w:rPr/>
      </w:pPr>
      <w:r>
        <w:rPr>
          <w:rStyle w:val="Funotenzeichen"/>
        </w:rPr>
        <w:footnoteRef/>
      </w:r>
      <w:r>
        <w:rPr/>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3">
    <w:p>
      <w:pPr>
        <w:pStyle w:val="Funote"/>
        <w:rPr/>
      </w:pPr>
      <w:r>
        <w:rPr>
          <w:rStyle w:val="Funotenzeichen"/>
        </w:rPr>
        <w:footnoteRef/>
      </w:r>
      <w:r>
        <w:rPr/>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4">
    <w:p>
      <w:pPr>
        <w:pStyle w:val="Funote"/>
        <w:rPr/>
      </w:pPr>
      <w:r>
        <w:rPr>
          <w:rStyle w:val="Funotenzeichen"/>
        </w:rPr>
        <w:footnoteRef/>
      </w:r>
      <w:r>
        <w:rPr/>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45">
    <w:p>
      <w:pPr>
        <w:pStyle w:val="Funote"/>
        <w:rPr/>
      </w:pPr>
      <w:r>
        <w:rPr>
          <w:rStyle w:val="Funotenzeichen"/>
        </w:rPr>
        <w:footnoteRef/>
      </w:r>
      <w:r>
        <w:rPr/>
        <w:tab/>
        <w:t>tFN: {für mich} + {für dich} - Sog. Dativi ethici; in einer dt. Üs. zu ignorieren.</w:t>
      </w:r>
    </w:p>
  </w:footnote>
  <w:footnote w:id="346">
    <w:p>
      <w:pPr>
        <w:pStyle w:val="Funote"/>
        <w:rPr/>
      </w:pPr>
      <w:r>
        <w:rPr>
          <w:rStyle w:val="Funotenzeichen"/>
        </w:rPr>
        <w:footnoteRef/>
      </w:r>
      <w:r>
        <w:rPr/>
        <w:tab/>
        <w:t>Lösung und Tauschgeschäft - Oder zu verstehen als Hendiadyoin: „bezüglich des Tauschs von Löserechten“ (so Berlin 2010, S. 11; Brichto 1973, S. 18; Bush 1996, S. 234).</w:t>
      </w:r>
    </w:p>
  </w:footnote>
  <w:footnote w:id="347">
    <w:p>
      <w:pPr>
        <w:pStyle w:val="Funote"/>
        <w:rPr/>
      </w:pPr>
      <w:r>
        <w:rPr>
          <w:rStyle w:val="Funotenzeichen"/>
        </w:rPr>
        <w:footnoteRef/>
      </w:r>
      <w:r>
        <w:rPr>
          <w:i/>
        </w:rPr>
        <w:tab/>
        <w:t>irgendetwas</w:t>
      </w:r>
      <w:r>
        <w:rPr/>
        <w:t xml:space="preserve"> - W. „jede Sache“.</w:t>
      </w:r>
    </w:p>
  </w:footnote>
  <w:footnote w:id="348">
    <w:p>
      <w:pPr>
        <w:pStyle w:val="Funote"/>
        <w:rPr/>
      </w:pPr>
      <w:r>
        <w:rPr>
          <w:rStyle w:val="Funotenzeichen"/>
        </w:rPr>
        <w:footnoteRef/>
      </w:r>
      <w:r>
        <w:rPr/>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49">
    <w:p>
      <w:pPr>
        <w:pStyle w:val="Funote"/>
        <w:rPr/>
      </w:pPr>
      <w:r>
        <w:rPr>
          <w:rStyle w:val="Funotenzeichen"/>
        </w:rPr>
        <w:footnoteRef/>
      </w:r>
      <w:r>
        <w:rPr/>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0">
    <w:p>
      <w:pPr>
        <w:pStyle w:val="Funote"/>
        <w:rPr/>
      </w:pPr>
      <w:r>
        <w:rPr>
          <w:rStyle w:val="Funotenzeichen"/>
        </w:rPr>
        <w:footnoteRef/>
      </w:r>
      <w:r>
        <w:rPr>
          <w:i/>
        </w:rPr>
        <w:tab/>
        <w:t>gekauft</w:t>
      </w:r>
      <w:r>
        <w:rPr/>
        <w:t xml:space="preserve"> - Zu „kaufen“ s. </w:t>
      </w:r>
      <w:r>
        <w:fldChar w:fldCharType="begin"/>
      </w:r>
      <w:r>
        <w:rPr>
          <w:rStyle w:val="Internetverknpfung"/>
        </w:rPr>
        <w:instrText> HYPERLINK "http://offene-bibel.de/mediawiki/index.php?title=Rut_4" \l "note_o"</w:instrText>
      </w:r>
      <w:r>
        <w:rPr>
          <w:rStyle w:val="Internetverknpfung"/>
        </w:rPr>
        <w:fldChar w:fldCharType="separate"/>
      </w:r>
      <w:r>
        <w:rPr>
          <w:rStyle w:val="Internetverknpfung"/>
        </w:rPr>
        <w:t>FN o</w:t>
      </w:r>
      <w:r>
        <w:rPr>
          <w:rStyle w:val="Internetverknpfung"/>
        </w:rPr>
        <w:fldChar w:fldCharType="end"/>
      </w:r>
      <w:r>
        <w:rPr/>
        <w:t>.</w:t>
      </w:r>
    </w:p>
  </w:footnote>
  <w:footnote w:id="351">
    <w:p>
      <w:pPr>
        <w:pStyle w:val="Funote"/>
        <w:rPr/>
      </w:pPr>
      <w:r>
        <w:rPr>
          <w:rStyle w:val="Funotenzeichen"/>
        </w:rPr>
        <w:footnoteRef/>
      </w:r>
      <w:r>
        <w:rPr/>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2">
    <w:p>
      <w:pPr>
        <w:pStyle w:val="Funote"/>
        <w:rPr/>
      </w:pPr>
      <w:r>
        <w:rPr>
          <w:rStyle w:val="Funotenzeichen"/>
        </w:rPr>
        <w:footnoteRef/>
      </w:r>
      <w:r>
        <w:rPr/>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3">
    <w:p>
      <w:pPr>
        <w:pStyle w:val="Funote"/>
        <w:rPr/>
      </w:pPr>
      <w:r>
        <w:rPr>
          <w:rStyle w:val="Funotenzeichen"/>
        </w:rPr>
        <w:footnoteRef/>
      </w:r>
      <w:r>
        <w:rPr>
          <w:i/>
        </w:rPr>
        <w:tab/>
        <w:t>das ganze Volk, das im Tor [war], antwortete, und die Ältesten</w:t>
      </w:r>
      <w:r>
        <w:rPr/>
        <w:t xml:space="preserve"> - eine sog. „gespaltene Koordination“; sinngemäß wäre die Üs. „Das ganze Volk, das im Tor war, und die Ältesten antworteten:...“ Der Erzähler greift deshalb hier zu dieser Konstruktion, um zu betonen, dass tatsächlich das </w:t>
      </w:r>
      <w:r>
        <w:rPr>
          <w:i/>
        </w:rPr>
        <w:t>ganze</w:t>
      </w:r>
      <w:r>
        <w:rPr/>
        <w:t xml:space="preserve"> Volk, das sich dort aufhielt, die vorigen Vorgänge für rechtmäßig erklärten.</w:t>
      </w:r>
    </w:p>
  </w:footnote>
  <w:footnote w:id="354">
    <w:p>
      <w:pPr>
        <w:pStyle w:val="Funote"/>
        <w:rPr/>
      </w:pPr>
      <w:r>
        <w:rPr>
          <w:rStyle w:val="Funotenzeichen"/>
        </w:rPr>
        <w:footnoteRef/>
      </w:r>
      <w:r>
        <w:rPr>
          <w:i/>
        </w:rPr>
        <w:tab/>
        <w:t>Rahel</w:t>
      </w:r>
      <w:r>
        <w:rPr/>
        <w:t xml:space="preserve">, </w:t>
      </w:r>
      <w:r>
        <w:rPr>
          <w:i/>
        </w:rPr>
        <w:t>Lea</w:t>
      </w:r>
      <w:r>
        <w:rPr/>
        <w:t xml:space="preserve"> und </w:t>
      </w:r>
      <w:r>
        <w:rPr>
          <w:i/>
        </w:rPr>
        <w:t>Tamar</w:t>
      </w:r>
      <w:r>
        <w:rPr/>
        <w:t xml:space="preserve">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55">
    <w:p>
      <w:pPr>
        <w:pStyle w:val="Funote"/>
        <w:rPr/>
      </w:pPr>
      <w:r>
        <w:rPr>
          <w:rStyle w:val="Funotenzeichen"/>
        </w:rPr>
        <w:footnoteRef/>
      </w:r>
      <w:r>
        <w:rPr/>
        <w:tab/>
        <w:t>tFN: beide - Eine seltene Dualform, wie sie sich häufiger auch im 1. Kapitel fand (s. dort FN w).</w:t>
      </w:r>
    </w:p>
  </w:footnote>
  <w:footnote w:id="356">
    <w:p>
      <w:pPr>
        <w:pStyle w:val="Funote"/>
        <w:rPr/>
      </w:pPr>
      <w:r>
        <w:rPr>
          <w:rStyle w:val="Funotenzeichen"/>
        </w:rPr>
        <w:footnoteRef/>
      </w:r>
      <w:r>
        <w:rPr/>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57">
    <w:p>
      <w:pPr>
        <w:pStyle w:val="Funote"/>
        <w:rPr/>
      </w:pPr>
      <w:r>
        <w:rPr>
          <w:rStyle w:val="Funotenzeichen"/>
        </w:rPr>
        <w:footnoteRef/>
      </w:r>
      <w:r>
        <w:rPr/>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58">
    <w:p>
      <w:pPr>
        <w:pStyle w:val="Funote"/>
        <w:rPr/>
      </w:pPr>
      <w:r>
        <w:rPr>
          <w:rStyle w:val="Funotenzeichen"/>
        </w:rPr>
        <w:footnoteRef/>
      </w:r>
      <w:r>
        <w:rPr/>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59">
    <w:p>
      <w:pPr>
        <w:pStyle w:val="Funote"/>
        <w:rPr/>
      </w:pPr>
      <w:r>
        <w:rPr>
          <w:rStyle w:val="Funotenzeichen"/>
        </w:rPr>
        <w:footnoteRef/>
      </w:r>
      <w:r>
        <w:rPr/>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0">
    <w:p>
      <w:pPr>
        <w:pStyle w:val="Funote"/>
        <w:rPr/>
      </w:pPr>
      <w:r>
        <w:rPr>
          <w:rStyle w:val="Funotenzeichen"/>
        </w:rPr>
        <w:footnoteRef/>
      </w:r>
      <w:r>
        <w:rPr/>
        <w:tab/>
        <w:t>Den JHWH dir gebe - Eine sog. »Inclusio«; der Segensspruch wird eröffnet und geschlossen durch die selbe Formulierung: »JHWH gebe« - ein schöner Kontrapunkt zu Rut 1,21, wo Noomi JHWH beschuldigt hatte, dass er sie ihrer Kinder beraubt habe.</w:t>
      </w:r>
    </w:p>
  </w:footnote>
  <w:footnote w:id="361">
    <w:p>
      <w:pPr>
        <w:pStyle w:val="Funote"/>
        <w:rPr/>
      </w:pPr>
      <w:r>
        <w:rPr>
          <w:rStyle w:val="Funotenzeichen"/>
        </w:rPr>
        <w:footnoteRef/>
      </w:r>
      <w:r>
        <w:rPr>
          <w:i/>
        </w:rPr>
        <w:tab/>
        <w:t>Boas nahm Rut</w:t>
      </w:r>
      <w:r>
        <w:rPr/>
        <w:t xml:space="preserve"> - d.h., er heiratete sie.</w:t>
      </w:r>
    </w:p>
  </w:footnote>
  <w:footnote w:id="362">
    <w:p>
      <w:pPr>
        <w:pStyle w:val="Funote"/>
        <w:rPr/>
      </w:pPr>
      <w:r>
        <w:rPr>
          <w:rStyle w:val="Funotenzeichen"/>
        </w:rPr>
        <w:footnoteRef/>
      </w:r>
      <w:r>
        <w:rPr/>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3">
    <w:p>
      <w:pPr>
        <w:pStyle w:val="Funote"/>
        <w:rPr/>
      </w:pPr>
      <w:r>
        <w:rPr>
          <w:rStyle w:val="Funotenzeichen"/>
        </w:rPr>
        <w:footnoteRef/>
      </w:r>
      <w:r>
        <w:rPr/>
        <w:tab/>
        <w:t>ging zu ihr - heb. Idiom für Geschlechtsverkehr, vgl. z.B. Schorch 2000, S. 96.</w:t>
      </w:r>
    </w:p>
  </w:footnote>
  <w:footnote w:id="364">
    <w:p>
      <w:pPr>
        <w:pStyle w:val="Funote"/>
        <w:rPr/>
      </w:pPr>
      <w:r>
        <w:rPr>
          <w:rStyle w:val="Funotenzeichen"/>
        </w:rPr>
        <w:footnoteRef/>
      </w:r>
      <w:r>
        <w:rPr/>
        <w:tab/>
        <w:t>Gepriesen sei JHWH, der ist eine Formel für »Gott sei dafür gedankt, dass...« (vgl. Lande 1949, S. 106f.).</w:t>
      </w:r>
    </w:p>
  </w:footnote>
  <w:footnote w:id="365">
    <w:p>
      <w:pPr>
        <w:pStyle w:val="Funote"/>
        <w:rPr/>
      </w:pPr>
      <w:r>
        <w:rPr>
          <w:rStyle w:val="Funotenzeichen"/>
        </w:rPr>
        <w:footnoteRef/>
      </w:r>
      <w:r>
        <w:rPr>
          <w:i/>
        </w:rPr>
        <w:tab/>
        <w:t>Sein Name werde gerufen</w:t>
      </w:r>
      <w:r>
        <w:rPr/>
        <w:t xml:space="preserve"> - D.h. „er werde verehrt“: „Name“ ist hier wie oft (bes. wenn von Gott „im Menschenmund“ die Rede ist) Wechselbegriff für den Namensträger selbst.</w:t>
      </w:r>
    </w:p>
  </w:footnote>
  <w:footnote w:id="366">
    <w:p>
      <w:pPr>
        <w:pStyle w:val="Funote"/>
        <w:rPr/>
      </w:pPr>
      <w:r>
        <w:rPr>
          <w:rStyle w:val="Funotenzeichen"/>
        </w:rPr>
        <w:footnoteRef/>
      </w:r>
      <w:r>
        <w:rPr/>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67">
    <w:p>
      <w:pPr>
        <w:pStyle w:val="Funote"/>
        <w:rPr/>
      </w:pPr>
      <w:r>
        <w:rPr>
          <w:rStyle w:val="Funotenzeichen"/>
        </w:rPr>
        <w:footnoteRef/>
      </w:r>
      <w:r>
        <w:rPr/>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68">
    <w:p>
      <w:pPr>
        <w:pStyle w:val="Funote"/>
        <w:rPr/>
      </w:pPr>
      <w:r>
        <w:rPr>
          <w:rStyle w:val="Funotenzeichen"/>
        </w:rPr>
        <w:footnoteRef/>
      </w:r>
      <w:r>
        <w:rPr/>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69">
    <w:p>
      <w:pPr>
        <w:pStyle w:val="Funote"/>
        <w:rPr/>
      </w:pPr>
      <w:r>
        <w:rPr>
          <w:rStyle w:val="Funotenzeichen"/>
        </w:rPr>
        <w:footnoteRef/>
      </w:r>
      <w:r>
        <w:rPr/>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0">
    <w:p>
      <w:pPr>
        <w:pStyle w:val="Funote"/>
        <w:rPr/>
      </w:pPr>
      <w:r>
        <w:rPr>
          <w:rStyle w:val="Funotenzeichen"/>
        </w:rPr>
        <w:footnoteRef/>
      </w:r>
      <w:r>
        <w:rPr/>
        <w:tab/>
        <w:t>dies sind die Zeugungen von Perez - Übliche Einleitung für einen Stammbaum; gut z.B. GN, T4T: „Dies ist die Liste der Nachkommen von Perez“.</w:t>
      </w:r>
    </w:p>
  </w:footnote>
  <w:footnote w:id="371">
    <w:p>
      <w:pPr>
        <w:pStyle w:val="Funote"/>
        <w:rPr/>
      </w:pPr>
      <w:r>
        <w:rPr>
          <w:rStyle w:val="Funotenzeichen"/>
        </w:rPr>
        <w:footnoteRef/>
      </w:r>
      <w:r>
        <w:rPr/>
        <w:tab/>
        <w:t>De Waard/Nida 1992, S. 78 haben einen sehr guten Vorschlag für eine zeitgemäße Übersetzung gemacht: „Dies [also] ist die Abstammungslinie von Perez bis zu David: Perez, Hezron, Ram, Amminadab, Nachschon, Salmon, Boaz, Obed, Jesse, David.“</w:t>
      </w:r>
    </w:p>
  </w:footnote>
  <w:footnote w:id="372">
    <w:p>
      <w:pPr>
        <w:pStyle w:val="Funote"/>
        <w:rPr/>
      </w:pPr>
      <w:r>
        <w:rPr>
          <w:rStyle w:val="Funotenzeichen"/>
        </w:rPr>
        <w:footnoteRef/>
      </w:r>
      <w:r>
        <w:rPr/>
        <w:tab/>
        <w:t>[Status: Zuverlässig]</w:t>
      </w:r>
    </w:p>
  </w:footnote>
  <w:footnote w:id="373">
    <w:p>
      <w:pPr>
        <w:pStyle w:val="Funote"/>
        <w:rPr/>
      </w:pPr>
      <w:r>
        <w:rPr>
          <w:rStyle w:val="Funotenzeichen"/>
        </w:rPr>
        <w:footnoteRef/>
      </w:r>
      <w:r>
        <w:rPr/>
        <w:tab/>
        <w:t>Textkritik: Der Text von 2 Sam 22 findet sich in etwas anderer Form noch mal in Psalm 18. Die Textkritik beider Texte ist daher sehr komplex und wurde daher ausgelagert auf die Seite 2 Sam 22, Ps 18 und die Textkritik des Alten Testaments.</w:t>
      </w:r>
    </w:p>
  </w:footnote>
  <w:footnote w:id="374">
    <w:p>
      <w:pPr>
        <w:pStyle w:val="Funote"/>
        <w:rPr/>
      </w:pPr>
      <w:r>
        <w:rPr>
          <w:rStyle w:val="Funotenzeichen"/>
        </w:rPr>
        <w:footnoteRef/>
      </w:r>
      <w:r>
        <w:rPr/>
        <w:tab/>
        <w:t>werden mich erschrecken - d.h. „erschreckten mich“, ein bedeutungsloser T-Shift.</w:t>
      </w:r>
    </w:p>
  </w:footnote>
  <w:footnote w:id="375">
    <w:p>
      <w:pPr>
        <w:pStyle w:val="Funote"/>
        <w:rPr/>
      </w:pPr>
      <w:r>
        <w:rPr>
          <w:rStyle w:val="Funotenzeichen"/>
        </w:rPr>
        <w:footnoteRef/>
      </w:r>
      <w:r>
        <w:rPr>
          <w:i/>
        </w:rPr>
        <w:tab/>
        <w:t>Scheol</w:t>
      </w:r>
      <w:r>
        <w:rPr/>
        <w:t xml:space="preserve"> - Heb. Bezeichnung der Unterwelt; nicht identisch mit der christlichen „Hölle“. Die Metapher, dass der Scheol fast personal vorzustellen ist und jemanden gefangen nimmt, findet sich häufiger in der Bibel (z.B. </w:t>
      </w:r>
      <w:r>
        <w:fldChar w:fldCharType="begin"/>
      </w:r>
      <w:r>
        <w:rPr>
          <w:rStyle w:val="Internetverknpfung"/>
        </w:rPr>
        <w:instrText> HYPERLINK "../../../../../../../../../wiki/Numeri_16" \l "s33"</w:instrText>
      </w:r>
      <w:r>
        <w:rPr>
          <w:rStyle w:val="Internetverknpfung"/>
        </w:rPr>
        <w:fldChar w:fldCharType="separate"/>
      </w:r>
      <w:r>
        <w:rPr>
          <w:rStyle w:val="Internetverknpfung"/>
        </w:rPr>
        <w:t>Num 16,33f.</w:t>
      </w:r>
      <w:r>
        <w:rPr>
          <w:rStyle w:val="Internetverknpfung"/>
        </w:rPr>
        <w:fldChar w:fldCharType="end"/>
      </w:r>
      <w:r>
        <w:rPr/>
        <w:t xml:space="preserve">; </w:t>
      </w:r>
      <w:hyperlink r:id="rId16">
        <w:r>
          <w:rPr>
            <w:rStyle w:val="Internetverknpfung"/>
          </w:rPr>
          <w:t>Ps 69,16</w:t>
        </w:r>
      </w:hyperlink>
      <w:r>
        <w:rPr/>
        <w:t>).</w:t>
      </w:r>
    </w:p>
  </w:footnote>
  <w:footnote w:id="376">
    <w:p>
      <w:pPr>
        <w:pStyle w:val="Funote"/>
        <w:rPr/>
      </w:pPr>
      <w:r>
        <w:rPr>
          <w:rStyle w:val="Funotenzeichen"/>
        </w:rPr>
        <w:footnoteRef/>
      </w:r>
      <w:r>
        <w:rPr>
          <w:i/>
        </w:rPr>
        <w:tab/>
        <w:t>Pfeiler des Himmels</w:t>
      </w:r>
      <w:r>
        <w:rPr/>
        <w:t xml:space="preserve"> - d.h. die Berge, auf denen nach altorientalischer Vorstellung der Himmel ruhte.</w:t>
      </w:r>
    </w:p>
  </w:footnote>
  <w:footnote w:id="377">
    <w:p>
      <w:pPr>
        <w:pStyle w:val="Funote"/>
        <w:rPr/>
      </w:pPr>
      <w:r>
        <w:rPr>
          <w:rStyle w:val="Funotenzeichen"/>
        </w:rPr>
        <w:footnoteRef/>
      </w:r>
      <w:r>
        <w:rPr>
          <w:i/>
        </w:rPr>
        <w:tab/>
        <w:t>öffnete den Himmel</w:t>
      </w:r>
      <w:r>
        <w:rPr/>
        <w:t xml:space="preserve"> - Der Himmel wird hier wie noch öfter vorgestellt als festes Gebilde, das sich öffnen lässt (z.B., um durch die Öffnung die Sintflut auf die Erde zu schicken, </w:t>
      </w:r>
      <w:r>
        <w:fldChar w:fldCharType="begin"/>
      </w:r>
      <w:r>
        <w:rPr>
          <w:rStyle w:val="Internetverknpfung"/>
        </w:rPr>
        <w:instrText> HYPERLINK "../../../../../../../../../wiki/Genesis_7" \l "s11"</w:instrText>
      </w:r>
      <w:r>
        <w:rPr>
          <w:rStyle w:val="Internetverknpfung"/>
        </w:rPr>
        <w:fldChar w:fldCharType="separate"/>
      </w:r>
      <w:r>
        <w:rPr>
          <w:rStyle w:val="Internetverknpfung"/>
        </w:rPr>
        <w:t>Gen 7,11</w:t>
      </w:r>
      <w:r>
        <w:rPr>
          <w:rStyle w:val="Internetverknpfung"/>
        </w:rPr>
        <w:fldChar w:fldCharType="end"/>
      </w:r>
      <w:r>
        <w:rPr/>
        <w:t>).</w:t>
      </w:r>
    </w:p>
  </w:footnote>
  <w:footnote w:id="378">
    <w:p>
      <w:pPr>
        <w:pStyle w:val="Funote"/>
        <w:rPr/>
      </w:pPr>
      <w:r>
        <w:rPr>
          <w:rStyle w:val="Funotenzeichen"/>
        </w:rPr>
        <w:footnoteRef/>
      </w:r>
      <w:r>
        <w:rPr>
          <w:i/>
        </w:rPr>
        <w:tab/>
        <w:t>Kerub</w:t>
      </w:r>
      <w:r>
        <w:rPr/>
        <w:t xml:space="preserve"> - altorientalisches Fabelwesen; meist dargestellt als geflügelter Löwe. S. näher </w:t>
      </w:r>
      <w:hyperlink r:id="rId17">
        <w:r>
          <w:rPr>
            <w:rStyle w:val="Internetverknpfung"/>
          </w:rPr>
          <w:t>Keruben / Kerubenthroner (WiBiLex)</w:t>
        </w:r>
      </w:hyperlink>
      <w:r>
        <w:rPr/>
        <w:t xml:space="preserve">. Im Alten Orient wurden die vier Winde (die den vier Himmelsrichtungen entsprechen) häufiger identifiziert mit oder personifiziert als geflügelte Wesen (s. zu </w:t>
      </w:r>
      <w:r>
        <w:fldChar w:fldCharType="begin"/>
      </w:r>
      <w:r>
        <w:rPr>
          <w:rStyle w:val="Internetverknpfung"/>
        </w:rPr>
        <w:instrText> HYPERLINK "../../../../../../../../../wiki/Markus_13" \l "s27"</w:instrText>
      </w:r>
      <w:r>
        <w:rPr>
          <w:rStyle w:val="Internetverknpfung"/>
        </w:rPr>
        <w:fldChar w:fldCharType="separate"/>
      </w:r>
      <w:r>
        <w:rPr>
          <w:rStyle w:val="Internetverknpfung"/>
        </w:rPr>
        <w:t>Mk 13,27</w:t>
      </w:r>
      <w:r>
        <w:rPr>
          <w:rStyle w:val="Internetverknpfung"/>
        </w:rPr>
        <w:fldChar w:fldCharType="end"/>
      </w:r>
      <w:r>
        <w:rPr/>
        <w:t>). Das scheint auch hier der Fall zu sein; s. die folgende Zeile.</w:t>
      </w:r>
    </w:p>
  </w:footnote>
  <w:footnote w:id="379">
    <w:p>
      <w:pPr>
        <w:pStyle w:val="Funote"/>
        <w:rPr/>
      </w:pPr>
      <w:r>
        <w:rPr>
          <w:rStyle w:val="Funotenzeichen"/>
        </w:rPr>
        <w:footnoteRef/>
      </w:r>
      <w:r>
        <w:rPr/>
        <w:tab/>
        <w:t>tFN: wird geben - d.h. „gab“, ein bedeutungsloser T-Shift</w:t>
      </w:r>
    </w:p>
  </w:footnote>
  <w:footnote w:id="380">
    <w:p>
      <w:pPr>
        <w:pStyle w:val="Funote"/>
        <w:rPr/>
      </w:pPr>
      <w:r>
        <w:rPr>
          <w:rStyle w:val="Funotenzeichen"/>
        </w:rPr>
        <w:footnoteRef/>
      </w:r>
      <w:r>
        <w:rPr>
          <w:i/>
        </w:rPr>
        <w:tab/>
        <w:t>Einen Blitz verwirrte er</w:t>
      </w:r>
      <w:r>
        <w:rPr/>
        <w:t xml:space="preserve"> - d.h. wahrscheinlich: Er gab ihm das wilde Zickzack, das für Blitze so charakteristisch ist.</w:t>
      </w:r>
    </w:p>
  </w:footnote>
  <w:footnote w:id="381">
    <w:p>
      <w:pPr>
        <w:pStyle w:val="Funote"/>
        <w:rPr/>
      </w:pPr>
      <w:r>
        <w:rPr>
          <w:rStyle w:val="Funotenzeichen"/>
        </w:rPr>
        <w:footnoteRef/>
      </w:r>
      <w:r>
        <w:rPr/>
        <w:tab/>
        <w:t>tFN: werden bloßgelegt werden - d.h. „es wurden bloßgelegt“, ein bedeutungsloser T-Shift.</w:t>
      </w:r>
    </w:p>
  </w:footnote>
  <w:footnote w:id="382">
    <w:p>
      <w:pPr>
        <w:pStyle w:val="Funote"/>
        <w:rPr/>
      </w:pPr>
      <w:r>
        <w:rPr>
          <w:rStyle w:val="Funotenzeichen"/>
        </w:rPr>
        <w:footnoteRef/>
      </w:r>
      <w:r>
        <w:rPr>
          <w:i/>
        </w:rPr>
        <w:tab/>
        <w:t>Fundamente der Erde</w:t>
      </w:r>
      <w:r>
        <w:rPr/>
        <w:t xml:space="preserve"> - die Pfeiler, auf denen nach dem altorientalischen Weltbild die Erde über dem Mehr ruhte.</w:t>
      </w:r>
    </w:p>
  </w:footnote>
  <w:footnote w:id="383">
    <w:p>
      <w:pPr>
        <w:pStyle w:val="Funote"/>
        <w:rPr/>
      </w:pPr>
      <w:r>
        <w:rPr>
          <w:rStyle w:val="Funotenzeichen"/>
        </w:rPr>
        <w:footnoteRef/>
      </w:r>
      <w:r>
        <w:rPr>
          <w:i/>
        </w:rPr>
        <w:tab/>
        <w:t>Er möge senden aus der Höhe</w:t>
      </w:r>
      <w:r>
        <w:rPr/>
        <w:t xml:space="preserve"> - nämlich seine Hand, die er helfend herunterreichen möge. Das Objekt wird hier wie in </w:t>
      </w:r>
      <w:hyperlink r:id="rId18">
        <w:r>
          <w:rPr>
            <w:rStyle w:val="Internetverknpfung"/>
          </w:rPr>
          <w:t>2 Sam 6,6</w:t>
        </w:r>
      </w:hyperlink>
      <w:r>
        <w:rPr/>
        <w:t xml:space="preserve"> ausgespart.</w:t>
      </w:r>
    </w:p>
  </w:footnote>
  <w:footnote w:id="384">
    <w:p>
      <w:pPr>
        <w:pStyle w:val="Funote"/>
        <w:rPr/>
      </w:pPr>
      <w:r>
        <w:rPr>
          <w:rStyle w:val="Funotenzeichen"/>
        </w:rPr>
        <w:footnoteRef/>
      </w:r>
      <w:r>
        <w:rPr>
          <w:i/>
        </w:rPr>
        <w:tab/>
        <w:t>Wassern</w:t>
      </w:r>
      <w:r>
        <w:rPr/>
        <w:t xml:space="preserve"> - Wie häufig wird hier die Not metaphorisch dargestellt als Wasserflut, in der der Beter zu ertrinken droht.</w:t>
      </w:r>
    </w:p>
  </w:footnote>
  <w:footnote w:id="385">
    <w:p>
      <w:pPr>
        <w:pStyle w:val="Funote"/>
        <w:rPr/>
      </w:pPr>
      <w:r>
        <w:rPr>
          <w:rStyle w:val="Funotenzeichen"/>
        </w:rPr>
        <w:footnoteRef/>
      </w:r>
      <w:r>
        <w:rPr/>
        <w:tab/>
        <w:t>böse handeln von - das »von« ist im Heb. ebenso merkwürdig wie im Dt. Offenbar heißt das Verb hier ausnahmsweise nicht »böse handeln«, sondern speziell »durch böse Handlungen abfallen«, daher z.B. MÜN: »Ich bin nicht frevelhaft von meinem Gott gewichen«.</w:t>
      </w:r>
    </w:p>
  </w:footnote>
  <w:footnote w:id="386">
    <w:p>
      <w:pPr>
        <w:pStyle w:val="Funote"/>
        <w:rPr/>
      </w:pPr>
      <w:r>
        <w:rPr>
          <w:rStyle w:val="Funotenzeichen"/>
        </w:rPr>
        <w:footnoteRef/>
      </w:r>
      <w:r>
        <w:rPr>
          <w:i/>
        </w:rPr>
        <w:tab/>
        <w:t>waren vor mir</w:t>
      </w:r>
      <w:r>
        <w:rPr/>
        <w:t xml:space="preserve"> - d.h., ich hielt sie mir beständig vor Augen und wich daher nicht von ihnen ab.</w:t>
      </w:r>
    </w:p>
  </w:footnote>
  <w:footnote w:id="387">
    <w:p>
      <w:pPr>
        <w:pStyle w:val="Funote"/>
        <w:rPr/>
      </w:pPr>
      <w:r>
        <w:rPr>
          <w:rStyle w:val="Funotenzeichen"/>
        </w:rPr>
        <w:footnoteRef/>
      </w:r>
      <w:r>
        <w:rPr/>
        <w:tab/>
        <w:t>tFN: stärken - wenichat wurde hier nach Good 1985; Görg 1986 in Orientierung am äg. nḫt („stark sein, jmdn stärken“, vgl. Erman/Grapow II 314f.) und einem evtl. ug. Kognat nḥt („stark sein, jmdn stärken“, vgl. del Olmo Lete/Sanmartín 628) abgeleitet von nachat II („stark sein, jmdn stärken“; vgl. DCH V 671; Ges18 808). So übersetzen bereits Tg und Syr; vgl. auch beide Vrs. zu Jes 30,30. Zur in diesem V. schwierigen Textkritik s. 2 Sam 22, Ps 18 und die Textkritik des Alten Testaments.</w:t>
      </w:r>
    </w:p>
  </w:footnote>
  <w:footnote w:id="388">
    <w:p>
      <w:pPr>
        <w:pStyle w:val="Funote"/>
        <w:rPr/>
      </w:pPr>
      <w:r>
        <w:rPr>
          <w:rStyle w:val="Funotenzeichen"/>
        </w:rPr>
        <w:footnoteRef/>
      </w:r>
      <w:r>
        <w:rPr>
          <w:i/>
        </w:rPr>
        <w:tab/>
        <w:t>du gabst mir ihren Rücken</w:t>
      </w:r>
      <w:r>
        <w:rPr/>
        <w:t xml:space="preserve"> - d.h., du machtest, dass sie vor mir flohen.</w:t>
      </w:r>
    </w:p>
  </w:footnote>
  <w:footnote w:id="389">
    <w:p>
      <w:pPr>
        <w:pStyle w:val="Funote"/>
        <w:rPr/>
      </w:pPr>
      <w:r>
        <w:rPr>
          <w:rStyle w:val="Funotenzeichen"/>
        </w:rPr>
        <w:footnoteRef/>
      </w:r>
      <w:r>
        <w:rPr/>
        <w:tab/>
        <w:t>Sie werden schreien ... / Zu JHWH - Zwei Stilmittel in einer Doppelzeile: Hyperbaton (Umstellung der gewöhnlichen Wortfolge) + Break up (Aufteilung eines häufigen Ausdrucks wie „Sie werden zu JHWH schreien“) auf zwei Zeilen. Hier auch noch gepaart mit dem T-Shift beim folgenden Verb; schon in der Formulierung des Verses kommt das Chaos zum Ausdruck, in das die Macht des Sprechers und die Hilfeverweigerung JHWHs die Feinde stürzt.</w:t>
      </w:r>
    </w:p>
  </w:footnote>
  <w:footnote w:id="390">
    <w:p>
      <w:pPr>
        <w:pStyle w:val="Funote"/>
        <w:rPr/>
      </w:pPr>
      <w:r>
        <w:rPr>
          <w:rStyle w:val="Funotenzeichen"/>
        </w:rPr>
        <w:footnoteRef/>
      </w:r>
      <w:r>
        <w:rPr/>
        <w:tab/>
        <w:t>tFN: er antwortete ihnen nicht - d.h. „er wird ihnen nicht antworten“, ein bedeutungsloser T-Shift.</w:t>
      </w:r>
    </w:p>
  </w:footnote>
  <w:footnote w:id="391">
    <w:p>
      <w:pPr>
        <w:pStyle w:val="Funote"/>
        <w:rPr/>
      </w:pPr>
      <w:r>
        <w:rPr>
          <w:rStyle w:val="Funotenzeichen"/>
        </w:rPr>
        <w:footnoteRef/>
      </w:r>
      <w:r>
        <w:rPr/>
        <w:tab/>
        <w:t>Textkritik: Die beiden Zeilen von V. 45 stehen in 2 Sam eigentlich in umgekehrter Reihenfolge; die hierige Zeilenfolge, die der von Ps 18 entspricht, wird aber gestützt von LXXL und 4QSama. S. näher dazu 2 Sam 22, Ps 18 und die Textkritik des Alten Testaments.</w:t>
      </w:r>
    </w:p>
  </w:footnote>
  <w:footnote w:id="392">
    <w:p>
      <w:pPr>
        <w:pStyle w:val="Funote"/>
        <w:rPr/>
      </w:pPr>
      <w:r>
        <w:rPr>
          <w:rStyle w:val="Funotenzeichen"/>
        </w:rPr>
        <w:footnoteRef/>
      </w:r>
      <w:r>
        <w:rPr>
          <w:i/>
        </w:rPr>
        <w:tab/>
        <w:t>herausholt</w:t>
      </w:r>
      <w:r>
        <w:rPr/>
        <w:t xml:space="preserve"> - d.h. „rettet“; über das Verb werden die Feinde metaphorisch dargestellt wie eine Grube, in die der Beter gefallen ist.</w:t>
      </w:r>
    </w:p>
  </w:footnote>
  <w:footnote w:id="393">
    <w:p>
      <w:pPr>
        <w:pStyle w:val="Funote"/>
        <w:rPr/>
      </w:pPr>
      <w:r>
        <w:rPr>
          <w:rStyle w:val="Funotenzeichen"/>
        </w:rPr>
        <w:footnoteRef/>
      </w:r>
      <w:r>
        <w:rPr/>
        <w:tab/>
        <w:t>Textkritik: Der Text ist in 2 Sam gleichzeitig in zwei unterschiedlichen Varianten überliefert, die sich nur in den Vokalen unterscheiden: Als magdil („der groß macht“) in den Konsonanten, als migdol („der ein Turm [ist]“) in den jüngeren Vokalen. Ursprünglich angezielt war sicher magdil wie in Ps 18. Im Judentum haben diese beiden Vokalisierungstraditionen aber eine faszinierende Nachwirkung gehabt: V. 51 gehört zum Danksagungsgebet nach dem Essen, und um beiden Traditionen gerecht zu werden, betet man an Wochentagen magdil, am Sabbat und zu anderen Festzeiten aber migdol.</w:t>
      </w:r>
    </w:p>
  </w:footnote>
  <w:footnote w:id="394">
    <w:p>
      <w:pPr>
        <w:pStyle w:val="Funote"/>
        <w:rPr/>
      </w:pPr>
      <w:r>
        <w:rPr>
          <w:rStyle w:val="Funotenzeichen"/>
        </w:rPr>
        <w:footnoteRef/>
      </w:r>
      <w:r>
        <w:rPr/>
        <w:tab/>
        <w:t>[Status: Sehr gut]</w:t>
      </w:r>
    </w:p>
  </w:footnote>
  <w:footnote w:id="395">
    <w:p>
      <w:pPr>
        <w:pStyle w:val="Funote"/>
        <w:rPr/>
      </w:pPr>
      <w:r>
        <w:rPr>
          <w:rStyle w:val="Funotenzeichen"/>
        </w:rPr>
        <w:footnoteRef/>
      </w:r>
      <w:r>
        <w:rPr/>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t>
      </w:r>
      <w:r>
        <w:fldChar w:fldCharType="begin"/>
      </w:r>
      <w:r>
        <w:rPr>
          <w:rStyle w:val="Internetverknpfung"/>
        </w:rPr>
        <w:instrText> HYPERLINK "http://books.google.de/books?id=nJbZ3d5BF0UC&amp;lpg=PP1&amp;pg=PA133" \l "v=onepage&amp;q&amp;f=false"</w:instrText>
      </w:r>
      <w:r>
        <w:rPr>
          <w:rStyle w:val="Internetverknpfung"/>
        </w:rPr>
        <w:fldChar w:fldCharType="separate"/>
      </w:r>
      <w:r>
        <w:rPr>
          <w:rStyle w:val="Internetverknpfung"/>
        </w:rPr>
        <w:t>Waltke 2010, 133</w:t>
      </w:r>
      <w:r>
        <w:rPr>
          <w:rStyle w:val="Internetverknpfung"/>
        </w:rPr>
        <w:fldChar w:fldCharType="end"/>
      </w:r>
      <w:r>
        <w:rPr/>
        <w:t>). Ähnlich auch die Seligpreisungen (</w:t>
      </w:r>
      <w:r>
        <w:fldChar w:fldCharType="begin"/>
      </w:r>
      <w:r>
        <w:rPr>
          <w:rStyle w:val="Internetverknpfung"/>
        </w:rPr>
        <w:instrText> HYPERLINK "../../../../../../../../../wiki/Matth%C3%A4us_5" \l "s1"</w:instrText>
      </w:r>
      <w:r>
        <w:rPr>
          <w:rStyle w:val="Internetverknpfung"/>
        </w:rPr>
        <w:fldChar w:fldCharType="separate"/>
      </w:r>
      <w:r>
        <w:rPr>
          <w:rStyle w:val="Internetverknpfung"/>
        </w:rPr>
        <w:t>Mt 5,1-12</w:t>
      </w:r>
      <w:r>
        <w:rPr>
          <w:rStyle w:val="Internetverknpfung"/>
        </w:rPr>
        <w:fldChar w:fldCharType="end"/>
      </w:r>
      <w:r>
        <w:rPr/>
        <w:t xml:space="preserve">). Psalm 1 kann als Definition dafür gelten, welche Art von Mensch sich auf diese Weise glücklich nennen darf (vgl. Kraus </w:t>
      </w:r>
      <w:r>
        <w:rPr>
          <w:position w:val="7"/>
          <w:sz w:val="16"/>
        </w:rPr>
        <w:t>4</w:t>
      </w:r>
      <w:r>
        <w:rPr/>
        <w:t>1972, 3): der „Gerechte“ (</w:t>
      </w:r>
      <w:r>
        <w:rPr>
          <w:rtl w:val="true"/>
          <w:lang w:bidi="he-IL"/>
        </w:rPr>
        <w:t>צַדִּיק</w:t>
      </w:r>
      <w:r>
        <w:rPr/>
        <w:t>), der falsche Wege meidet (1) und sich stattdessen der Torah, der Weisung Gottes zuwendet (</w:t>
      </w:r>
      <w:r>
        <w:fldChar w:fldCharType="begin"/>
      </w:r>
      <w:r>
        <w:rPr>
          <w:rStyle w:val="Internetverknpfung"/>
        </w:rPr>
        <w:instrText> HYPERLINK "../../../../../../../../../wiki/Psalm_1" \l "s2"</w:instrText>
      </w:r>
      <w:r>
        <w:rPr>
          <w:rStyle w:val="Internetverknpfung"/>
        </w:rPr>
        <w:fldChar w:fldCharType="separate"/>
      </w:r>
      <w:r>
        <w:rPr>
          <w:rStyle w:val="Internetverknpfung"/>
        </w:rPr>
        <w:t>2</w:t>
      </w:r>
      <w:r>
        <w:rPr>
          <w:rStyle w:val="Internetverknpfung"/>
        </w:rPr>
        <w:fldChar w:fldCharType="end"/>
      </w:r>
      <w:r>
        <w:rPr/>
        <w:t xml:space="preserve">)(Kraus </w:t>
      </w:r>
      <w:r>
        <w:rPr>
          <w:position w:val="7"/>
          <w:sz w:val="16"/>
        </w:rPr>
        <w:t>4</w:t>
      </w:r>
      <w:r>
        <w:rPr/>
        <w:t xml:space="preserve">1972, 9). </w:t>
      </w:r>
    </w:p>
  </w:footnote>
  <w:footnote w:id="396">
    <w:p>
      <w:pPr>
        <w:pStyle w:val="Funote"/>
        <w:rPr/>
      </w:pPr>
      <w:r>
        <w:rPr>
          <w:rStyle w:val="Funotenzeichen"/>
        </w:rPr>
        <w:footnoteRef/>
      </w:r>
      <w:r>
        <w:rPr/>
        <w:tab/>
        <w:t>Die männliche Form steht hier stellvertretend für jeden Menschen, auf den das Beschriebene zutrifft (</w:t>
      </w:r>
      <w:hyperlink r:id="rId19">
        <w:r>
          <w:rPr>
            <w:rStyle w:val="Internetverknpfung"/>
          </w:rPr>
          <w:t>Generisches Maskulinum</w:t>
        </w:r>
      </w:hyperlink>
      <w:r>
        <w:rPr/>
        <w:t xml:space="preserve">; vgl. </w:t>
      </w:r>
      <w:r>
        <w:fldChar w:fldCharType="begin"/>
      </w:r>
      <w:r>
        <w:rPr>
          <w:rStyle w:val="Internetverknpfung"/>
        </w:rPr>
        <w:instrText> HYPERLINK "http://books.google.de/books?id=nJbZ3d5BF0UC&amp;lpg=PP1&amp;pg=PA128" \l "v=onepage&amp;q&amp;f=false"</w:instrText>
      </w:r>
      <w:r>
        <w:rPr>
          <w:rStyle w:val="Internetverknpfung"/>
        </w:rPr>
        <w:fldChar w:fldCharType="separate"/>
      </w:r>
      <w:r>
        <w:rPr>
          <w:rStyle w:val="Internetverknpfung"/>
        </w:rPr>
        <w:t>Waltke 2010, 128</w:t>
      </w:r>
      <w:r>
        <w:rPr>
          <w:rStyle w:val="Internetverknpfung"/>
        </w:rPr>
        <w:fldChar w:fldCharType="end"/>
      </w:r>
      <w:r>
        <w:rPr/>
        <w:t xml:space="preserve">). </w:t>
      </w:r>
    </w:p>
  </w:footnote>
  <w:footnote w:id="397">
    <w:p>
      <w:pPr>
        <w:pStyle w:val="Funote"/>
        <w:rPr/>
      </w:pPr>
      <w:r>
        <w:rPr>
          <w:rStyle w:val="Funotenzeichen"/>
        </w:rPr>
        <w:footnoteRef/>
      </w:r>
      <w:r>
        <w:rPr/>
        <w:tab/>
        <w:t xml:space="preserve">Das Wort kann sich auch auf die Pläne und Ziele einer Person beziehen, umfasst also mehr als einen einmaligen Ratschlag. </w:t>
      </w:r>
    </w:p>
  </w:footnote>
  <w:footnote w:id="398">
    <w:p>
      <w:pPr>
        <w:pStyle w:val="Funote"/>
        <w:rPr/>
      </w:pPr>
      <w:r>
        <w:rPr>
          <w:rStyle w:val="Funotenzeichen"/>
        </w:rPr>
        <w:footnoteRef/>
      </w:r>
      <w:r>
        <w:rPr/>
        <w:tab/>
        <w:t>„</w:t>
      </w:r>
      <w:r>
        <w:rPr/>
        <w:t>Gottlose“ (</w:t>
      </w:r>
      <w:r>
        <w:rPr>
          <w:rtl w:val="true"/>
          <w:lang w:bidi="he-IL"/>
        </w:rPr>
        <w:t>רְשָׁעִים</w:t>
      </w:r>
      <w:r>
        <w:rPr/>
        <w:t xml:space="preserve">) sind solche, die vor dem Gesetz Gottes schuldig sind und sich Gott bewusst widersetzen (Kraus </w:t>
      </w:r>
      <w:r>
        <w:rPr>
          <w:position w:val="7"/>
          <w:sz w:val="16"/>
        </w:rPr>
        <w:t>4</w:t>
      </w:r>
      <w:r>
        <w:rPr/>
        <w:t>1972, 4). Der Gottlose ist das genaue Gegenstück zum Gerechten (</w:t>
      </w:r>
      <w:r>
        <w:fldChar w:fldCharType="begin"/>
      </w:r>
      <w:r>
        <w:rPr>
          <w:rStyle w:val="Internetverknpfung"/>
        </w:rPr>
        <w:instrText> HYPERLINK "http://books.google.de/books?id=nJbZ3d5BF0UC&amp;lpg=PP1&amp;pg=PA133" \l "v=onepage&amp;q&amp;f=false"</w:instrText>
      </w:r>
      <w:r>
        <w:rPr>
          <w:rStyle w:val="Internetverknpfung"/>
        </w:rPr>
        <w:fldChar w:fldCharType="separate"/>
      </w:r>
      <w:r>
        <w:rPr>
          <w:rStyle w:val="Internetverknpfung"/>
        </w:rPr>
        <w:t>Waltke 2010, 133</w:t>
      </w:r>
      <w:r>
        <w:rPr>
          <w:rStyle w:val="Internetverknpfung"/>
        </w:rPr>
        <w:fldChar w:fldCharType="end"/>
      </w:r>
      <w:r>
        <w:rPr/>
        <w:t xml:space="preserve">). </w:t>
      </w:r>
    </w:p>
  </w:footnote>
  <w:footnote w:id="399">
    <w:p>
      <w:pPr>
        <w:pStyle w:val="Funote"/>
        <w:rPr/>
      </w:pPr>
      <w:r>
        <w:rPr>
          <w:rStyle w:val="Funotenzeichen"/>
        </w:rPr>
        <w:footnoteRef/>
      </w:r>
      <w:r>
        <w:rPr/>
        <w:tab/>
        <w:t>Wörtlich: „im Rat der Gottlosen geht/gegangen ist“; Übs. vgl. NGÜ, REB, NET.</w:t>
      </w:r>
    </w:p>
  </w:footnote>
  <w:footnote w:id="400">
    <w:p>
      <w:pPr>
        <w:pStyle w:val="Funote"/>
        <w:rPr/>
      </w:pPr>
      <w:r>
        <w:rPr>
          <w:rStyle w:val="Funotenzeichen"/>
        </w:rPr>
        <w:footnoteRef/>
      </w:r>
      <w:r>
        <w:rPr/>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401">
    <w:p>
      <w:pPr>
        <w:pStyle w:val="Funote"/>
        <w:rPr/>
      </w:pPr>
      <w:r>
        <w:rPr>
          <w:rStyle w:val="Funotenzeichen"/>
        </w:rPr>
        <w:footnoteRef/>
      </w:r>
      <w:r>
        <w:rPr/>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402">
    <w:p>
      <w:pPr>
        <w:pStyle w:val="Funote"/>
        <w:rPr/>
      </w:pPr>
      <w:r>
        <w:rPr>
          <w:rStyle w:val="Funotenzeichen"/>
        </w:rPr>
        <w:footnoteRef/>
      </w:r>
      <w:r>
        <w:rPr/>
        <w:tab/>
        <w:t xml:space="preserve">Freude und Andacht gegenüber dem Gesetz sind Metonymien der Ursache für ein Leben, das sich an der Schrift orientiert. Da Psalm 1 den gesamten </w:t>
      </w:r>
      <w:hyperlink r:id="rId20">
        <w:r>
          <w:rPr>
            <w:rStyle w:val="Internetverknpfung"/>
          </w:rPr>
          <w:t>Psalter</w:t>
        </w:r>
      </w:hyperlink>
      <w:r>
        <w:rPr/>
        <w:t xml:space="preserve"> einleitet, nennt er mit dieser Aussage eine Schlüsselqualifikation für das richtige Verständnis der Psalmen (</w:t>
      </w:r>
      <w:r>
        <w:fldChar w:fldCharType="begin"/>
      </w:r>
      <w:r>
        <w:rPr>
          <w:rStyle w:val="Internetverknpfung"/>
        </w:rPr>
        <w:instrText> HYPERLINK "http://books.google.de/books?id=nJbZ3d5BF0UC&amp;lpg=PP1&amp;pg=PA139" \l "v=onepage&amp;q&amp;f=false"</w:instrText>
      </w:r>
      <w:r>
        <w:rPr>
          <w:rStyle w:val="Internetverknpfung"/>
        </w:rPr>
        <w:fldChar w:fldCharType="separate"/>
      </w:r>
      <w:r>
        <w:rPr>
          <w:rStyle w:val="Internetverknpfung"/>
        </w:rPr>
        <w:t>Waltke 2010, 139</w:t>
      </w:r>
      <w:r>
        <w:rPr>
          <w:rStyle w:val="Internetverknpfung"/>
        </w:rPr>
        <w:fldChar w:fldCharType="end"/>
      </w:r>
      <w:r>
        <w:rPr/>
        <w:t xml:space="preserve">). </w:t>
      </w:r>
    </w:p>
  </w:footnote>
  <w:footnote w:id="403">
    <w:p>
      <w:pPr>
        <w:pStyle w:val="Funote"/>
        <w:rPr/>
      </w:pPr>
      <w:r>
        <w:rPr>
          <w:rStyle w:val="Funotenzeichen"/>
        </w:rPr>
        <w:footnoteRef/>
      </w:r>
      <w:r>
        <w:rPr/>
        <w:tab/>
        <w:t>Gemeint sind künstliche Bewässerungskanäle.</w:t>
      </w:r>
    </w:p>
  </w:footnote>
  <w:footnote w:id="404">
    <w:p>
      <w:pPr>
        <w:pStyle w:val="Funote"/>
        <w:rPr/>
      </w:pPr>
      <w:r>
        <w:rPr>
          <w:rStyle w:val="Funotenzeichen"/>
        </w:rPr>
        <w:footnoteRef/>
      </w:r>
      <w:r>
        <w:rPr/>
        <w:tab/>
        <w:t xml:space="preserve">Also: regelmäßig, wegen der steten Wasserversorgung, die ohne solche Bewässerungskanäle nicht möglich wäre (Kraus </w:t>
      </w:r>
      <w:r>
        <w:rPr>
          <w:position w:val="7"/>
          <w:sz w:val="16"/>
        </w:rPr>
        <w:t>4</w:t>
      </w:r>
      <w:r>
        <w:rPr/>
        <w:t>1972, 6). Dieser Vergleich beschreibt zusammen mit dem Aspekt der nicht verwelkenden Blätter das ewige Leben, das der Gottesfürchtige als „Frucht“ bekommen wird (</w:t>
      </w:r>
      <w:r>
        <w:fldChar w:fldCharType="begin"/>
      </w:r>
      <w:r>
        <w:rPr>
          <w:rStyle w:val="Internetverknpfung"/>
        </w:rPr>
        <w:instrText> HYPERLINK "http://books.google.de/books?id=nJbZ3d5BF0UC&amp;lpg=PP1&amp;pg=PA140" \l "v=onepage&amp;q&amp;f=false"</w:instrText>
      </w:r>
      <w:r>
        <w:rPr>
          <w:rStyle w:val="Internetverknpfung"/>
        </w:rPr>
        <w:fldChar w:fldCharType="separate"/>
      </w:r>
      <w:r>
        <w:rPr>
          <w:rStyle w:val="Internetverknpfung"/>
        </w:rPr>
        <w:t>Waltke 2010, 140</w:t>
      </w:r>
      <w:r>
        <w:rPr>
          <w:rStyle w:val="Internetverknpfung"/>
        </w:rPr>
        <w:fldChar w:fldCharType="end"/>
      </w:r>
      <w:r>
        <w:rPr/>
        <w:t xml:space="preserve">). </w:t>
      </w:r>
    </w:p>
  </w:footnote>
  <w:footnote w:id="405">
    <w:p>
      <w:pPr>
        <w:pStyle w:val="Funote"/>
        <w:rPr/>
      </w:pPr>
      <w:r>
        <w:rPr>
          <w:rStyle w:val="Funotenzeichen"/>
        </w:rPr>
        <w:footnoteRef/>
      </w:r>
      <w:r>
        <w:rPr/>
        <w:tab/>
        <w:t xml:space="preserve">Auch möglich: „Und er bringt alles, was er tut, zum Gedeihen“ („two-place“ Hiphil nach </w:t>
      </w:r>
      <w:r>
        <w:fldChar w:fldCharType="begin"/>
      </w:r>
      <w:r>
        <w:rPr>
          <w:rStyle w:val="Internetverknpfung"/>
        </w:rPr>
        <w:instrText> HYPERLINK "http://books.google.de/books?id=nJbZ3d5BF0UC&amp;lpg=PP1&amp;pg=PA128" \l "v=onepage&amp;q&amp;f=false"</w:instrText>
      </w:r>
      <w:r>
        <w:rPr>
          <w:rStyle w:val="Internetverknpfung"/>
        </w:rPr>
        <w:fldChar w:fldCharType="separate"/>
      </w:r>
      <w:r>
        <w:rPr>
          <w:rStyle w:val="Internetverknpfung"/>
        </w:rPr>
        <w:t>Waltke 2010, 128</w:t>
      </w:r>
      <w:r>
        <w:rPr>
          <w:rStyle w:val="Internetverknpfung"/>
        </w:rPr>
        <w:fldChar w:fldCharType="end"/>
      </w:r>
      <w:r>
        <w:rPr/>
        <w:t>).</w:t>
      </w:r>
    </w:p>
  </w:footnote>
  <w:footnote w:id="406">
    <w:p>
      <w:pPr>
        <w:pStyle w:val="Funote"/>
        <w:rPr/>
      </w:pPr>
      <w:r>
        <w:rPr>
          <w:rStyle w:val="Funotenzeichen"/>
        </w:rPr>
        <w:footnoteRef/>
      </w:r>
      <w:r>
        <w:rPr/>
        <w:tab/>
        <w:t xml:space="preserve">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w:t>
      </w:r>
      <w:r>
        <w:rPr>
          <w:i/>
        </w:rPr>
        <w:t>zu seiner Zeit</w:t>
      </w:r>
      <w:r>
        <w:rPr/>
        <w:t xml:space="preserve"> Frucht bringen. </w:t>
      </w:r>
    </w:p>
  </w:footnote>
  <w:footnote w:id="407">
    <w:p>
      <w:pPr>
        <w:pStyle w:val="Funote"/>
        <w:rPr/>
      </w:pPr>
      <w:r>
        <w:rPr>
          <w:rStyle w:val="Funotenzeichen"/>
        </w:rPr>
        <w:footnoteRef/>
      </w:r>
      <w:r>
        <w:rPr/>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w:t>
      </w:r>
      <w:r>
        <w:fldChar w:fldCharType="begin"/>
      </w:r>
      <w:r>
        <w:rPr>
          <w:rStyle w:val="Internetverknpfung"/>
        </w:rPr>
        <w:instrText> HYPERLINK "../../../../../../../../../wiki/Psalm_1" \l "s3"</w:instrText>
      </w:r>
      <w:r>
        <w:rPr>
          <w:rStyle w:val="Internetverknpfung"/>
        </w:rPr>
        <w:fldChar w:fldCharType="separate"/>
      </w:r>
      <w:r>
        <w:rPr>
          <w:rStyle w:val="Internetverknpfung"/>
        </w:rPr>
        <w:t>3</w:t>
      </w:r>
      <w:r>
        <w:rPr>
          <w:rStyle w:val="Internetverknpfung"/>
        </w:rPr>
        <w:fldChar w:fldCharType="end"/>
      </w:r>
      <w:r>
        <w:rPr/>
        <w:t>) (</w:t>
      </w:r>
      <w:r>
        <w:fldChar w:fldCharType="begin"/>
      </w:r>
      <w:r>
        <w:rPr>
          <w:rStyle w:val="Internetverknpfung"/>
        </w:rPr>
        <w:instrText> HYPERLINK "http://books.google.de/books?id=nJbZ3d5BF0UC&amp;lpg=PP1&amp;pg=PA141" \l "v=onepage&amp;q&amp;f=false"</w:instrText>
      </w:r>
      <w:r>
        <w:rPr>
          <w:rStyle w:val="Internetverknpfung"/>
        </w:rPr>
        <w:fldChar w:fldCharType="separate"/>
      </w:r>
      <w:r>
        <w:rPr>
          <w:rStyle w:val="Internetverknpfung"/>
        </w:rPr>
        <w:t>Waltke 2010, 141</w:t>
      </w:r>
      <w:r>
        <w:rPr>
          <w:rStyle w:val="Internetverknpfung"/>
        </w:rPr>
        <w:fldChar w:fldCharType="end"/>
      </w:r>
      <w:r>
        <w:rPr/>
        <w:t xml:space="preserve">). Gottlose und Spreu teilen für den Psalmisten dasselbe Schicksal: Sie sind wertlos und bestehen nicht, sie werden im entscheidenden Moment vergehen (vgl. den Beginn von V. 5: „deshalb“ </w:t>
      </w:r>
    </w:p>
  </w:footnote>
  <w:footnote w:id="408">
    <w:p>
      <w:pPr>
        <w:pStyle w:val="Funote"/>
        <w:rPr/>
      </w:pPr>
      <w:r>
        <w:rPr>
          <w:rStyle w:val="Funotenzeichen"/>
        </w:rPr>
        <w:footnoteRef/>
      </w:r>
      <w:r>
        <w:rPr/>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409">
    <w:p>
      <w:pPr>
        <w:pStyle w:val="Funote"/>
        <w:rPr/>
      </w:pPr>
      <w:r>
        <w:rPr>
          <w:rStyle w:val="Funotenzeichen"/>
        </w:rPr>
        <w:footnoteRef/>
      </w:r>
      <w:r>
        <w:rPr/>
        <w:tab/>
        <w:t xml:space="preserve">Zum Gebrauch des Begriffs „Gerechter“ s. die Fußnote in </w:t>
      </w:r>
      <w:r>
        <w:fldChar w:fldCharType="begin"/>
      </w:r>
      <w:r>
        <w:rPr>
          <w:rStyle w:val="Internetverknpfung"/>
        </w:rPr>
        <w:instrText> HYPERLINK "../../../../../../../../../wiki/Psalm_1" \l "note_a"</w:instrText>
      </w:r>
      <w:r>
        <w:rPr>
          <w:rStyle w:val="Internetverknpfung"/>
        </w:rPr>
        <w:fldChar w:fldCharType="separate"/>
      </w:r>
      <w:r>
        <w:rPr>
          <w:rStyle w:val="Internetverknpfung"/>
        </w:rPr>
        <w:t>V. 1</w:t>
      </w:r>
      <w:r>
        <w:rPr>
          <w:rStyle w:val="Internetverknpfung"/>
        </w:rPr>
        <w:fldChar w:fldCharType="end"/>
      </w:r>
      <w:r>
        <w:rPr/>
        <w:t xml:space="preserve">. </w:t>
      </w:r>
    </w:p>
  </w:footnote>
  <w:footnote w:id="410">
    <w:p>
      <w:pPr>
        <w:pStyle w:val="Funote"/>
        <w:rPr/>
      </w:pPr>
      <w:r>
        <w:rPr>
          <w:rStyle w:val="Funotenzeichen"/>
        </w:rPr>
        <w:footnoteRef/>
      </w:r>
      <w:r>
        <w:rPr/>
        <w:tab/>
        <w:t xml:space="preserve">führt ins Verderben (vgl. SLT, NGÜ, NLB) übersetzt das Verb </w:t>
      </w:r>
      <w:r>
        <w:rPr>
          <w:rtl w:val="true"/>
          <w:lang w:bidi="he-IL"/>
        </w:rPr>
        <w:t>אָבַד</w:t>
      </w:r>
      <w:r>
        <w:rPr/>
        <w:t>, das häufig etwas altertümlich als „zugrunde gehen, umkommen“ übersetzt wird.</w:t>
      </w:r>
    </w:p>
  </w:footnote>
  <w:footnote w:id="411">
    <w:p>
      <w:pPr>
        <w:pStyle w:val="Funote"/>
        <w:rPr/>
      </w:pPr>
      <w:r>
        <w:rPr>
          <w:rStyle w:val="Funotenzeichen"/>
        </w:rPr>
        <w:footnoteRef/>
      </w:r>
      <w:r>
        <w:rPr/>
        <w:tab/>
        <w:t>[Status: Sehr gut]</w:t>
      </w:r>
    </w:p>
  </w:footnote>
  <w:footnote w:id="412">
    <w:p>
      <w:pPr>
        <w:pStyle w:val="Funote"/>
        <w:rPr/>
      </w:pPr>
      <w:r>
        <w:rPr>
          <w:rStyle w:val="Funotenzeichen"/>
        </w:rPr>
        <w:footnoteRef/>
      </w:r>
      <w:r>
        <w:rPr/>
        <w:tab/>
        <w:t xml:space="preserve">Dieses Verb ist ein nur selten erkannter Aramaismus (in </w:t>
      </w:r>
      <w:r>
        <w:fldChar w:fldCharType="begin"/>
      </w:r>
      <w:r>
        <w:rPr>
          <w:rStyle w:val="Internetverknpfung"/>
        </w:rPr>
        <w:instrText> HYPERLINK "../../../../../../../../../wiki/Psalm_2" \l "s9"</w:instrText>
      </w:r>
      <w:r>
        <w:rPr>
          <w:rStyle w:val="Internetverknpfung"/>
        </w:rPr>
        <w:fldChar w:fldCharType="separate"/>
      </w:r>
      <w:r>
        <w:rPr>
          <w:rStyle w:val="Internetverknpfung"/>
        </w:rPr>
        <w:t>9</w:t>
      </w:r>
      <w:r>
        <w:rPr>
          <w:rStyle w:val="Internetverknpfung"/>
        </w:rPr>
        <w:fldChar w:fldCharType="end"/>
      </w:r>
      <w:r>
        <w:rPr/>
        <w:t>.</w:t>
      </w:r>
      <w:r>
        <w:fldChar w:fldCharType="begin"/>
      </w:r>
      <w:r>
        <w:rPr>
          <w:rStyle w:val="Internetverknpfung"/>
        </w:rPr>
        <w:instrText> HYPERLINK "../../../../../../../../../wiki/Psalm_2" \l "s12"</w:instrText>
      </w:r>
      <w:r>
        <w:rPr>
          <w:rStyle w:val="Internetverknpfung"/>
        </w:rPr>
        <w:fldChar w:fldCharType="separate"/>
      </w:r>
      <w:r>
        <w:rPr>
          <w:rStyle w:val="Internetverknpfung"/>
        </w:rPr>
        <w:t>12</w:t>
      </w:r>
      <w:r>
        <w:rPr>
          <w:rStyle w:val="Internetverknpfung"/>
        </w:rPr>
        <w:fldChar w:fldCharType="end"/>
      </w:r>
      <w:r>
        <w:rPr/>
        <w:t xml:space="preserve"> sind weitere). In </w:t>
      </w:r>
      <w:hyperlink r:id="rId21">
        <w:r>
          <w:rPr>
            <w:rStyle w:val="Internetverknpfung"/>
          </w:rPr>
          <w:t>Dan 6,7.12.16</w:t>
        </w:r>
      </w:hyperlink>
      <w:r>
        <w:rPr/>
        <w:t xml:space="preserve"> hat das aramäische Verb jeweils die Bedeutung „gemeinsam/als Gruppe [an einen Ort] gehen“, wobei immer eine heimliche/intrigante Absprache Teil der Konnotation ist (DBL Aramaic). Die konkrete Übersetzung „verschwören“ ergibt sich aus dem Kontext (vgl. </w:t>
      </w:r>
      <w:r>
        <w:fldChar w:fldCharType="begin"/>
      </w:r>
      <w:r>
        <w:rPr>
          <w:rStyle w:val="Internetverknpfung"/>
        </w:rPr>
        <w:instrText> HYPERLINK "http://books.google.de/books?id=nJbZ3d5BF0UC&amp;lpg=PP1&amp;pg=PA157" \l "v=onepage&amp;q&amp;f=false"</w:instrText>
      </w:r>
      <w:r>
        <w:rPr>
          <w:rStyle w:val="Internetverknpfung"/>
        </w:rPr>
        <w:fldChar w:fldCharType="separate"/>
      </w:r>
      <w:r>
        <w:rPr>
          <w:rStyle w:val="Internetverknpfung"/>
        </w:rPr>
        <w:t>Waltke 2010, S. 157</w:t>
      </w:r>
      <w:r>
        <w:rPr>
          <w:rStyle w:val="Internetverknpfung"/>
        </w:rPr>
        <w:fldChar w:fldCharType="end"/>
      </w:r>
      <w:r>
        <w:rPr/>
        <w:t xml:space="preserve">): Das parallele Verb aus der zweiten Vershälfte bedeutet etwa, „Pläne zu schmieden“ (vgl. Fußnote dort); ein ähnliches Bedeutungsfeld ergeben die Verben in </w:t>
      </w:r>
      <w:r>
        <w:fldChar w:fldCharType="begin"/>
      </w:r>
      <w:r>
        <w:rPr>
          <w:rStyle w:val="Internetverknpfung"/>
        </w:rPr>
        <w:instrText> HYPERLINK "../../../../../../../../../wiki/Psalm_2" \l "s2"</w:instrText>
      </w:r>
      <w:r>
        <w:rPr>
          <w:rStyle w:val="Internetverknpfung"/>
        </w:rPr>
        <w:fldChar w:fldCharType="separate"/>
      </w:r>
      <w:r>
        <w:rPr>
          <w:rStyle w:val="Internetverknpfung"/>
        </w:rPr>
        <w:t>2</w:t>
      </w:r>
      <w:r>
        <w:rPr>
          <w:rStyle w:val="Internetverknpfung"/>
        </w:rPr>
        <w:fldChar w:fldCharType="end"/>
      </w:r>
      <w:r>
        <w:rPr/>
        <w:t xml:space="preserve">, der mit </w:t>
      </w:r>
      <w:r>
        <w:fldChar w:fldCharType="begin"/>
      </w:r>
      <w:r>
        <w:rPr>
          <w:rStyle w:val="Internetverknpfung"/>
        </w:rPr>
        <w:instrText> HYPERLINK "../../../../../../../../../wiki/Psalm_2" \l "s1"</w:instrText>
      </w:r>
      <w:r>
        <w:rPr>
          <w:rStyle w:val="Internetverknpfung"/>
        </w:rPr>
        <w:fldChar w:fldCharType="separate"/>
      </w:r>
      <w:r>
        <w:rPr>
          <w:rStyle w:val="Internetverknpfung"/>
        </w:rPr>
        <w:t>1</w:t>
      </w:r>
      <w:r>
        <w:rPr>
          <w:rStyle w:val="Internetverknpfung"/>
        </w:rPr>
        <w:fldChar w:fldCharType="end"/>
      </w:r>
      <w:r>
        <w:rPr/>
        <w:t xml:space="preserve"> (und </w:t>
      </w:r>
      <w:r>
        <w:fldChar w:fldCharType="begin"/>
      </w:r>
      <w:r>
        <w:rPr>
          <w:rStyle w:val="Internetverknpfung"/>
        </w:rPr>
        <w:instrText> HYPERLINK "../../../../../../../../../wiki/Psalm_2" \l "s3"</w:instrText>
      </w:r>
      <w:r>
        <w:rPr>
          <w:rStyle w:val="Internetverknpfung"/>
        </w:rPr>
        <w:fldChar w:fldCharType="separate"/>
      </w:r>
      <w:r>
        <w:rPr>
          <w:rStyle w:val="Internetverknpfung"/>
        </w:rPr>
        <w:t>3</w:t>
      </w:r>
      <w:r>
        <w:rPr>
          <w:rStyle w:val="Internetverknpfung"/>
        </w:rPr>
        <w:fldChar w:fldCharType="end"/>
      </w:r>
      <w:r>
        <w:rPr/>
        <w:t xml:space="preserve">) eine klimaktische Sinneinheit bildet. Dennoch findet sich in deutschen Übersetzungen i.d.R. eine Übersetzung nach dem Sinn von „sich in Unruhe befinden“ (vgl. aber NET, </w:t>
      </w:r>
      <w:r>
        <w:fldChar w:fldCharType="begin"/>
      </w:r>
      <w:r>
        <w:rPr>
          <w:rStyle w:val="Internetverknpfung"/>
        </w:rPr>
        <w:instrText> HYPERLINK "http://books.google.de/books?id=nJbZ3d5BF0UC&amp;lpg=PP1&amp;dq=Waltke&amp;hl=de&amp;pg=PA157" \l "v=onepage&amp;q&amp;f=false"</w:instrText>
      </w:r>
      <w:r>
        <w:rPr>
          <w:rStyle w:val="Internetverknpfung"/>
        </w:rPr>
        <w:fldChar w:fldCharType="separate"/>
      </w:r>
      <w:r>
        <w:rPr>
          <w:rStyle w:val="Internetverknpfung"/>
        </w:rPr>
        <w:t>Waltke 2010</w:t>
      </w:r>
      <w:r>
        <w:rPr>
          <w:rStyle w:val="Internetverknpfung"/>
        </w:rPr>
        <w:fldChar w:fldCharType="end"/>
      </w:r>
      <w:r>
        <w:rPr/>
        <w:t xml:space="preserve">, </w:t>
      </w:r>
      <w:r>
        <w:fldChar w:fldCharType="begin"/>
      </w:r>
      <w:r>
        <w:rPr>
          <w:rStyle w:val="Internetverknpfung"/>
        </w:rPr>
        <w:instrText> HYPERLINK "http://books.google.de/books?id=PpvY6V8xakUC&amp;lpg=PP1&amp;hl=de&amp;pg=PA50" \l "v=onepage&amp;q&amp;f=false"</w:instrText>
      </w:r>
      <w:r>
        <w:rPr>
          <w:rStyle w:val="Internetverknpfung"/>
        </w:rPr>
        <w:fldChar w:fldCharType="separate"/>
      </w:r>
      <w:r>
        <w:rPr>
          <w:rStyle w:val="Internetverknpfung"/>
        </w:rPr>
        <w:t>Hunter 1999</w:t>
      </w:r>
      <w:r>
        <w:rPr>
          <w:rStyle w:val="Internetverknpfung"/>
        </w:rPr>
        <w:fldChar w:fldCharType="end"/>
      </w:r>
      <w:r>
        <w:rPr/>
        <w:t xml:space="preserve">). </w:t>
      </w:r>
    </w:p>
  </w:footnote>
  <w:footnote w:id="413">
    <w:p>
      <w:pPr>
        <w:pStyle w:val="Funote"/>
        <w:rPr/>
      </w:pPr>
      <w:r>
        <w:rPr>
          <w:rStyle w:val="Funotenzeichen"/>
        </w:rPr>
        <w:footnoteRef/>
      </w:r>
      <w:r>
        <w:rPr/>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414">
    <w:p>
      <w:pPr>
        <w:pStyle w:val="Funote"/>
        <w:rPr/>
      </w:pPr>
      <w:r>
        <w:rPr>
          <w:rStyle w:val="Funotenzeichen"/>
        </w:rPr>
        <w:footnoteRef/>
      </w:r>
      <w:r>
        <w:rPr/>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415">
    <w:p>
      <w:pPr>
        <w:pStyle w:val="Funote"/>
        <w:rPr/>
      </w:pPr>
      <w:r>
        <w:rPr>
          <w:rStyle w:val="Funotenzeichen"/>
        </w:rPr>
        <w:footnoteRef/>
      </w:r>
      <w:r>
        <w:rPr/>
        <w:tab/>
        <w:t>Wahrscheinlich double duty-Präposition aus V. 1a; so z.B. Niccacci 2006, S. 8; auch schon Carrier 1900, S. 58.</w:t>
      </w:r>
    </w:p>
  </w:footnote>
  <w:footnote w:id="416">
    <w:p>
      <w:pPr>
        <w:pStyle w:val="Funote"/>
        <w:rPr/>
      </w:pPr>
      <w:r>
        <w:rPr>
          <w:rStyle w:val="Funotenzeichen"/>
        </w:rPr>
        <w:footnoteRef/>
      </w:r>
      <w:r>
        <w:rPr/>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17">
    <w:p>
      <w:pPr>
        <w:pStyle w:val="Funote"/>
        <w:rPr/>
      </w:pPr>
      <w:r>
        <w:rPr>
          <w:rStyle w:val="Funotenzeichen"/>
        </w:rPr>
        <w:footnoteRef/>
      </w:r>
      <w:r>
        <w:rPr/>
        <w:tab/>
        <w:t>Vgl. Kraus 1960, S. 11.</w:t>
      </w:r>
    </w:p>
  </w:footnote>
  <w:footnote w:id="418">
    <w:p>
      <w:pPr>
        <w:pStyle w:val="Funote"/>
        <w:rPr/>
      </w:pPr>
      <w:r>
        <w:rPr>
          <w:rStyle w:val="Funotenzeichen"/>
        </w:rPr>
        <w:footnoteRef/>
      </w:r>
      <w:r>
        <w:rPr/>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19">
    <w:p>
      <w:pPr>
        <w:pStyle w:val="Funote"/>
        <w:rPr/>
      </w:pPr>
      <w:r>
        <w:rPr>
          <w:rStyle w:val="Funotenzeichen"/>
        </w:rPr>
        <w:footnoteRef/>
      </w:r>
      <w:r>
        <w:rPr/>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20">
    <w:p>
      <w:pPr>
        <w:pStyle w:val="Funote"/>
        <w:rPr/>
      </w:pPr>
      <w:r>
        <w:rPr>
          <w:rStyle w:val="Funotenzeichen"/>
        </w:rPr>
        <w:footnoteRef/>
      </w:r>
      <w:r>
        <w:rPr/>
        <w:tab/>
        <w:t>Hier sprechen die erwähnten Könige (</w:t>
      </w:r>
      <w:r>
        <w:fldChar w:fldCharType="begin"/>
      </w:r>
      <w:r>
        <w:rPr>
          <w:rStyle w:val="Internetverknpfung"/>
        </w:rPr>
        <w:instrText> HYPERLINK "../../../../../../../../../wiki/Psalm_2" \l "s2"</w:instrText>
      </w:r>
      <w:r>
        <w:rPr>
          <w:rStyle w:val="Internetverknpfung"/>
        </w:rPr>
        <w:fldChar w:fldCharType="separate"/>
      </w:r>
      <w:r>
        <w:rPr>
          <w:rStyle w:val="Internetverknpfung"/>
        </w:rPr>
        <w:t>V. 2</w:t>
      </w:r>
      <w:r>
        <w:rPr>
          <w:rStyle w:val="Internetverknpfung"/>
        </w:rPr>
        <w:fldChar w:fldCharType="end"/>
      </w:r>
      <w:r>
        <w:rPr/>
        <w:t>).</w:t>
      </w:r>
    </w:p>
  </w:footnote>
  <w:footnote w:id="421">
    <w:p>
      <w:pPr>
        <w:pStyle w:val="Funote"/>
        <w:rPr/>
      </w:pPr>
      <w:r>
        <w:rPr>
          <w:rStyle w:val="Funotenzeichen"/>
        </w:rPr>
        <w:footnoteRef/>
      </w:r>
      <w:r>
        <w:rPr/>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22">
    <w:p>
      <w:pPr>
        <w:pStyle w:val="Funote"/>
        <w:rPr/>
      </w:pPr>
      <w:r>
        <w:rPr>
          <w:rStyle w:val="Funotenzeichen"/>
        </w:rPr>
        <w:footnoteRef/>
      </w:r>
      <w:r>
        <w:rPr/>
        <w:tab/>
        <w:t>Das Objekt am Satzende bezieht sich auf beide Verben (vgl. Luther).</w:t>
      </w:r>
    </w:p>
  </w:footnote>
  <w:footnote w:id="423">
    <w:p>
      <w:pPr>
        <w:pStyle w:val="Funote"/>
        <w:rPr/>
      </w:pPr>
      <w:r>
        <w:rPr>
          <w:rStyle w:val="Funotenzeichen"/>
        </w:rPr>
        <w:footnoteRef/>
      </w:r>
      <w:r>
        <w:rPr/>
        <w:tab/>
        <w:t>Von einer allgemeinen, zu jeder Zeit vorstellbaren Beschreibung wechselt der Psalmist nun zu einer konkreten Beschreibung von JHWHs Handeln („dann“). Die Handlung entfaltet sich vor den Augen des Erzählers (</w:t>
      </w:r>
      <w:r>
        <w:fldChar w:fldCharType="begin"/>
      </w:r>
      <w:r>
        <w:rPr>
          <w:rStyle w:val="Internetverknpfung"/>
        </w:rPr>
        <w:instrText> HYPERLINK "http://books.google.de/books?id=nJbZ3d5BF0UC&amp;lpg=PP1&amp;pg=PA158" \l "v=onepage&amp;q&amp;f=false"</w:instrText>
      </w:r>
      <w:r>
        <w:rPr>
          <w:rStyle w:val="Internetverknpfung"/>
        </w:rPr>
        <w:fldChar w:fldCharType="separate"/>
      </w:r>
      <w:r>
        <w:rPr>
          <w:rStyle w:val="Internetverknpfung"/>
        </w:rPr>
        <w:t>Waltke 2010, S. 158</w:t>
      </w:r>
      <w:r>
        <w:rPr>
          <w:rStyle w:val="Internetverknpfung"/>
        </w:rPr>
        <w:fldChar w:fldCharType="end"/>
      </w:r>
      <w:r>
        <w:rPr/>
        <w:t xml:space="preserve">; NET Ps 2,4, Fußnote 15). Im Gegensatz dazu interpretiert Kraus 1960 das Folgende als zukünftige Rede (S. 12; Übers. „Einst redet er sie an...“), die folgenden Verse sind dann dem nachgeschobene Erklärung. </w:t>
      </w:r>
    </w:p>
  </w:footnote>
  <w:footnote w:id="424">
    <w:p>
      <w:pPr>
        <w:pStyle w:val="Funote"/>
        <w:rPr/>
      </w:pPr>
      <w:r>
        <w:rPr>
          <w:rStyle w:val="Funotenzeichen"/>
        </w:rPr>
        <w:footnoteRef/>
      </w:r>
      <w:r>
        <w:rPr/>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t>
      </w:r>
      <w:r>
        <w:fldChar w:fldCharType="begin"/>
      </w:r>
      <w:r>
        <w:rPr>
          <w:rStyle w:val="Internetverknpfung"/>
        </w:rPr>
        <w:instrText> HYPERLINK "http://books.google.de/books?id=nJbZ3d5BF0UC&amp;lpg=PP1&amp;pg=PA158" \l "v=onepage&amp;q&amp;f=false"</w:instrText>
      </w:r>
      <w:r>
        <w:rPr>
          <w:rStyle w:val="Internetverknpfung"/>
        </w:rPr>
        <w:fldChar w:fldCharType="separate"/>
      </w:r>
      <w:r>
        <w:rPr>
          <w:rStyle w:val="Internetverknpfung"/>
        </w:rPr>
        <w:t>Waltke 2010, S. 158</w:t>
      </w:r>
      <w:r>
        <w:rPr>
          <w:rStyle w:val="Internetverknpfung"/>
        </w:rPr>
        <w:fldChar w:fldCharType="end"/>
      </w:r>
      <w:r>
        <w:rPr/>
        <w:t>). Die beiden Begriffe sind hier referenzidentisch.</w:t>
      </w:r>
    </w:p>
  </w:footnote>
  <w:footnote w:id="425">
    <w:p>
      <w:pPr>
        <w:pStyle w:val="Funote"/>
        <w:rPr/>
      </w:pPr>
      <w:r>
        <w:rPr>
          <w:rStyle w:val="Funotenzeichen"/>
        </w:rPr>
        <w:footnoteRef/>
      </w:r>
      <w:r>
        <w:rPr/>
        <w:tab/>
        <w:t xml:space="preserve">Das Waw markiert hier die lose Anknüpfung der direkten Rede an vorher (nicht) Gesagtes und bleibt unübersetzt (Gesenius-Kautzsch §154b) - so ähnlich, wie man auch im Deutschen in Erregung einen Satz mit „und“ beginnt. Alternativ ist es adversativ zu verstehen; dann „aber“ (Davidson, </w:t>
      </w:r>
      <w:r>
        <w:rPr>
          <w:i/>
        </w:rPr>
        <w:t>Hebrew Syntax</w:t>
      </w:r>
      <w:r>
        <w:rPr/>
        <w:t xml:space="preserve">, §155); es ist aber kein wirklicher Gegensatz vorhanden. </w:t>
      </w:r>
    </w:p>
  </w:footnote>
  <w:footnote w:id="426">
    <w:p>
      <w:pPr>
        <w:pStyle w:val="Funote"/>
        <w:rPr/>
      </w:pPr>
      <w:r>
        <w:rPr>
          <w:rStyle w:val="Funotenzeichen"/>
        </w:rPr>
        <w:footnoteRef/>
      </w:r>
      <w:r>
        <w:rPr/>
        <w:tab/>
        <w:t xml:space="preserve">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w:t>
      </w:r>
      <w:r>
        <w:rPr>
          <w:i/>
        </w:rPr>
        <w:t>Hebrew Syntax</w:t>
      </w:r>
      <w:r>
        <w:rPr/>
        <w:t>, §24.2).</w:t>
      </w:r>
    </w:p>
  </w:footnote>
  <w:footnote w:id="427">
    <w:p>
      <w:pPr>
        <w:pStyle w:val="Funote"/>
        <w:rPr/>
      </w:pPr>
      <w:r>
        <w:rPr>
          <w:rStyle w:val="Funotenzeichen"/>
        </w:rPr>
        <w:footnoteRef/>
      </w:r>
      <w:r>
        <w:rPr/>
        <w:tab/>
        <w:t>LXX: »ich wurde von ihm ... eingesetzt«, das begradigt den unmarkierten Wechsel der sprechenden Person in 6-7. Waltke (2010, S. 158) interpretiert als Vollzugsperfekt: »Hiermit setze ich ein«</w:t>
      </w:r>
    </w:p>
  </w:footnote>
  <w:footnote w:id="428">
    <w:p>
      <w:pPr>
        <w:pStyle w:val="Funote"/>
        <w:rPr/>
      </w:pPr>
      <w:r>
        <w:rPr>
          <w:rStyle w:val="Funotenzeichen"/>
        </w:rPr>
        <w:footnoteRef/>
      </w:r>
      <w:r>
        <w:rPr/>
        <w:tab/>
        <w:t>Jetzt (7-9) spricht der Gesalbte JHWHs (</w:t>
      </w:r>
      <w:r>
        <w:fldChar w:fldCharType="begin"/>
      </w:r>
      <w:r>
        <w:rPr>
          <w:rStyle w:val="Internetverknpfung"/>
        </w:rPr>
        <w:instrText> HYPERLINK "../../../../../../../../../wiki/Psalm_2" \l "s2"</w:instrText>
      </w:r>
      <w:r>
        <w:rPr>
          <w:rStyle w:val="Internetverknpfung"/>
        </w:rPr>
        <w:fldChar w:fldCharType="separate"/>
      </w:r>
      <w:r>
        <w:rPr>
          <w:rStyle w:val="Internetverknpfung"/>
        </w:rPr>
        <w:t>V. 2</w:t>
      </w:r>
      <w:r>
        <w:rPr>
          <w:rStyle w:val="Internetverknpfung"/>
        </w:rPr>
        <w:fldChar w:fldCharType="end"/>
      </w:r>
      <w:r>
        <w:rPr/>
        <w:t>).</w:t>
      </w:r>
    </w:p>
  </w:footnote>
  <w:footnote w:id="429">
    <w:p>
      <w:pPr>
        <w:pStyle w:val="Funote"/>
        <w:rPr/>
      </w:pPr>
      <w:r>
        <w:rPr>
          <w:rStyle w:val="Funotenzeichen"/>
        </w:rPr>
        <w:footnoteRef/>
      </w:r>
      <w:r>
        <w:rPr/>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30">
    <w:p>
      <w:pPr>
        <w:pStyle w:val="Funote"/>
        <w:rPr/>
      </w:pPr>
      <w:r>
        <w:rPr>
          <w:rStyle w:val="Funotenzeichen"/>
        </w:rPr>
        <w:footnoteRef/>
      </w:r>
      <w:r>
        <w:rPr/>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31">
    <w:p>
      <w:pPr>
        <w:pStyle w:val="Funote"/>
        <w:rPr/>
      </w:pPr>
      <w:r>
        <w:rPr>
          <w:rStyle w:val="Funotenzeichen"/>
        </w:rPr>
        <w:footnoteRef/>
      </w:r>
      <w:r>
        <w:rPr/>
        <w:tab/>
        <w:t>Nach den masoretischen Kantillationszeichen, die keine Constructus-Verbindung zwischen „Anordnung“ und „JHWH“ sehen: „...Anordnung berichten. JHWH hat...“ (vgl. Waltke 2010, S. 159; NET Ps 2,7, Fußnote 23)</w:t>
      </w:r>
    </w:p>
  </w:footnote>
  <w:footnote w:id="432">
    <w:p>
      <w:pPr>
        <w:pStyle w:val="Funote"/>
        <w:rPr/>
      </w:pPr>
      <w:r>
        <w:rPr>
          <w:rStyle w:val="Funotenzeichen"/>
        </w:rPr>
        <w:footnoteRef/>
      </w:r>
      <w:r>
        <w:rPr/>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33">
    <w:p>
      <w:pPr>
        <w:pStyle w:val="Funote"/>
        <w:rPr/>
      </w:pPr>
      <w:r>
        <w:rPr>
          <w:rStyle w:val="Funotenzeichen"/>
        </w:rPr>
        <w:footnoteRef/>
      </w:r>
      <w:r>
        <w:rPr/>
        <w:tab/>
        <w:t xml:space="preserve">Eine Bitte passt besser in das dargestellte vertrauensvolle Verhältnis als eine Forderung. </w:t>
      </w:r>
    </w:p>
  </w:footnote>
  <w:footnote w:id="434">
    <w:p>
      <w:pPr>
        <w:pStyle w:val="Funote"/>
        <w:rPr/>
      </w:pPr>
      <w:r>
        <w:rPr>
          <w:rStyle w:val="Funotenzeichen"/>
        </w:rPr>
        <w:footnoteRef/>
      </w:r>
      <w:r>
        <w:rPr/>
        <w:tab/>
        <w:t xml:space="preserve">D.h. Permanenter, erblicher Besitz (TWOT 1342a </w:t>
      </w:r>
      <w:r>
        <w:rPr>
          <w:rtl w:val="true"/>
          <w:lang w:bidi="he-IL"/>
        </w:rPr>
        <w:t>נַחֲלָה</w:t>
      </w:r>
      <w:r>
        <w:rPr/>
        <w:t xml:space="preserve">). </w:t>
      </w:r>
    </w:p>
  </w:footnote>
  <w:footnote w:id="435">
    <w:p>
      <w:pPr>
        <w:pStyle w:val="Funote"/>
        <w:rPr/>
      </w:pPr>
      <w:r>
        <w:rPr>
          <w:rStyle w:val="Funotenzeichen"/>
        </w:rPr>
        <w:footnoteRef/>
      </w:r>
      <w:r>
        <w:rPr/>
        <w:tab/>
        <w:t>Es bleibt hier unklar, ob es sich um eine Prophezeiung oder um die Vollmacht zur Kriegführung handelt (Vgl. Wallace 2009, S. 18).</w:t>
      </w:r>
    </w:p>
  </w:footnote>
  <w:footnote w:id="436">
    <w:p>
      <w:pPr>
        <w:pStyle w:val="Funote"/>
        <w:rPr/>
      </w:pPr>
      <w:r>
        <w:rPr>
          <w:rStyle w:val="Funotenzeichen"/>
        </w:rPr>
        <w:footnoteRef/>
      </w:r>
      <w:r>
        <w:rPr/>
        <w:tab/>
        <w:t xml:space="preserve">Kann auch einen Hirtenstab bezeichnen. Der Genitiv beschreibt eine Eigenschaft; wörtlich „Stab des Eisens“. Vgl. Fußnote V. 6. </w:t>
      </w:r>
    </w:p>
  </w:footnote>
  <w:footnote w:id="437">
    <w:p>
      <w:pPr>
        <w:pStyle w:val="Funote"/>
        <w:rPr/>
      </w:pPr>
      <w:r>
        <w:rPr>
          <w:rStyle w:val="Funotenzeichen"/>
        </w:rPr>
        <w:footnoteRef/>
      </w:r>
      <w:r>
        <w:rPr/>
        <w:tab/>
        <w:t>So die LXX (vgl. NIV84), die durchaus die ursprüngliche Lesart bezeugen könnte (Vgl. Wilhelmi, Der Hirt mit dem eisernen Szepter, VT 27.2, 1977). Gründe für den Vorzug des MT bei Waltke 2010, S. 173.</w:t>
      </w:r>
    </w:p>
  </w:footnote>
  <w:footnote w:id="438">
    <w:p>
      <w:pPr>
        <w:pStyle w:val="Funote"/>
        <w:rPr/>
      </w:pPr>
      <w:r>
        <w:rPr>
          <w:rStyle w:val="Funotenzeichen"/>
        </w:rPr>
        <w:footnoteRef/>
      </w:r>
      <w:r>
        <w:rPr/>
        <w:tab/>
        <w:t>Wörtlich: „Gefäß(e) eines Töpfers“</w:t>
      </w:r>
    </w:p>
  </w:footnote>
  <w:footnote w:id="439">
    <w:p>
      <w:pPr>
        <w:pStyle w:val="Funote"/>
        <w:rPr/>
      </w:pPr>
      <w:r>
        <w:rPr>
          <w:rStyle w:val="Funotenzeichen"/>
        </w:rPr>
        <w:footnoteRef/>
      </w:r>
      <w:r>
        <w:rPr/>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40">
    <w:p>
      <w:pPr>
        <w:pStyle w:val="Funote"/>
        <w:rPr/>
      </w:pPr>
      <w:r>
        <w:rPr>
          <w:rStyle w:val="Funotenzeichen"/>
        </w:rPr>
        <w:footnoteRef/>
      </w:r>
      <w:r>
        <w:rPr/>
        <w:tab/>
        <w:t>Gemeint ist keine Straße, sondern der im übertragenen Sinn eingeschlagene Weg, JHWH zu gehorchen – oder auch nicht (vgl. NET Ps 2,12, Fußnote 36; Anm. zu Ps 67,3).</w:t>
      </w:r>
    </w:p>
  </w:footnote>
  <w:footnote w:id="441">
    <w:p>
      <w:pPr>
        <w:pStyle w:val="Funote"/>
        <w:rPr/>
      </w:pPr>
      <w:r>
        <w:rPr>
          <w:rStyle w:val="Funotenzeichen"/>
        </w:rPr>
        <w:footnoteRef/>
      </w:r>
      <w:r>
        <w:rPr/>
        <w:tab/>
        <w:t>[Status: Zuverlässig]</w:t>
      </w:r>
    </w:p>
  </w:footnote>
  <w:footnote w:id="442">
    <w:p>
      <w:pPr>
        <w:pStyle w:val="Funote"/>
        <w:rPr/>
      </w:pPr>
      <w:r>
        <w:rPr>
          <w:rStyle w:val="Funotenzeichen"/>
        </w:rPr>
        <w:footnoteRef/>
      </w:r>
      <w:r>
        <w:rPr>
          <w:i/>
        </w:rPr>
        <w:tab/>
        <w:t>Während er floh vor Absalom, seinem Sohn</w:t>
      </w:r>
      <w:r>
        <w:rPr/>
        <w:t xml:space="preserve"> - Die Begebenheit, auf die hier angespielt wird, wird berichtet in </w:t>
      </w:r>
      <w:hyperlink r:id="rId22">
        <w:r>
          <w:rPr>
            <w:rStyle w:val="Internetverknpfung"/>
          </w:rPr>
          <w:t>2 Sam 16</w:t>
        </w:r>
      </w:hyperlink>
      <w:r>
        <w:rPr/>
        <w:t>.</w:t>
      </w:r>
    </w:p>
  </w:footnote>
  <w:footnote w:id="443">
    <w:p>
      <w:pPr>
        <w:pStyle w:val="Funote"/>
        <w:rPr/>
      </w:pPr>
      <w:r>
        <w:rPr>
          <w:rStyle w:val="Funotenzeichen"/>
        </w:rPr>
        <w:footnoteRef/>
      </w:r>
      <w:r>
        <w:rPr/>
        <w:tab/>
        <w:t>tFN: [Wie] - Brachylogie aus V. 2a (so z.B. Craigie 1983; Dahood 1965, S. 15; Ehrlich 1905, S. 5; Kissane 1953, S. 10; Kselman 1987, S. 574; auch GRAIL; MÜN).</w:t>
      </w:r>
    </w:p>
  </w:footnote>
  <w:footnote w:id="444">
    <w:p>
      <w:pPr>
        <w:pStyle w:val="Funote"/>
        <w:rPr/>
      </w:pPr>
      <w:r>
        <w:rPr>
          <w:rStyle w:val="Funotenzeichen"/>
        </w:rPr>
        <w:footnoteRef/>
      </w:r>
      <w:r>
        <w:rPr/>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45">
    <w:p>
      <w:pPr>
        <w:pStyle w:val="Funote"/>
        <w:rPr/>
      </w:pPr>
      <w:r>
        <w:rPr>
          <w:rStyle w:val="Funotenzeichen"/>
        </w:rPr>
        <w:footnoteRef/>
      </w:r>
      <w:r>
        <w:rPr>
          <w:i/>
        </w:rPr>
        <w:tab/>
        <w:t>über meine Seele (über mich)</w:t>
      </w:r>
      <w:r>
        <w:rPr/>
        <w:t xml:space="preserve"> - Heb. </w:t>
      </w:r>
      <w:r>
        <w:rPr>
          <w:i/>
        </w:rPr>
        <w:t>nephesch</w:t>
      </w:r>
      <w:r>
        <w:rPr/>
        <w:t xml:space="preserve">. Die häufige Übersetzung „Seele“ ist fast nie zu empfehlen, weil es im heb. Menschenbild einen Gegensatz von Körper und Seele so nicht gab; </w:t>
      </w:r>
      <w:r>
        <w:rPr>
          <w:i/>
        </w:rPr>
        <w:t>nephesch</w:t>
      </w:r>
      <w:r>
        <w:rPr/>
        <w:t xml:space="preserve"> meint hier wie meist den </w:t>
      </w:r>
      <w:r>
        <w:rPr>
          <w:i/>
        </w:rPr>
        <w:t>ganzen</w:t>
      </w:r>
      <w:r>
        <w:rPr/>
        <w:t xml:space="preserve"> Menschen und wird daher hier wie häufig als Wechselbegriff für „Ich“ verwendet.</w:t>
      </w:r>
    </w:p>
  </w:footnote>
  <w:footnote w:id="446">
    <w:p>
      <w:pPr>
        <w:pStyle w:val="Funote"/>
        <w:rPr/>
      </w:pPr>
      <w:r>
        <w:rPr>
          <w:rStyle w:val="Funotenzeichen"/>
        </w:rPr>
        <w:footnoteRef/>
      </w:r>
      <w:r>
        <w:rPr/>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47">
    <w:p>
      <w:pPr>
        <w:pStyle w:val="Funote"/>
        <w:rPr/>
      </w:pPr>
      <w:r>
        <w:rPr>
          <w:rStyle w:val="Funotenzeichen"/>
        </w:rPr>
        <w:footnoteRef/>
      </w:r>
      <w:r>
        <w:rPr/>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48">
    <w:p>
      <w:pPr>
        <w:pStyle w:val="Funote"/>
        <w:rPr/>
      </w:pPr>
      <w:r>
        <w:rPr>
          <w:rStyle w:val="Funotenzeichen"/>
        </w:rPr>
        <w:footnoteRef/>
      </w:r>
      <w:r>
        <w:rPr>
          <w:i/>
        </w:rPr>
        <w:tab/>
        <w:t>{</w:t>
      </w:r>
      <w:r>
        <w:rPr>
          <w:i/>
          <w:strike/>
        </w:rPr>
        <w:t>Sela</w:t>
      </w:r>
      <w:r>
        <w:rPr>
          <w:i/>
        </w:rPr>
        <w:t>}</w:t>
      </w:r>
      <w:r>
        <w:rPr/>
        <w:t xml:space="preserve"> - Die Bedeutung von „Sela“ ist unklar; vgl. Lexikon/Lemma </w:t>
      </w:r>
      <w:hyperlink r:id="rId23">
        <w:r>
          <w:rPr>
            <w:rStyle w:val="Internetverknpfung"/>
            <w:rtl w:val="true"/>
            <w:lang w:bidi="he-IL"/>
          </w:rPr>
          <w:t>סֶלַה</w:t>
        </w:r>
      </w:hyperlink>
      <w:r>
        <w:rPr/>
        <w:t>. In der Lesefassung sollte es daher besser gestrichen werden, da es sonst nur ein unverständlicher Fremdkörper im dt. Text wäre.</w:t>
      </w:r>
    </w:p>
  </w:footnote>
  <w:footnote w:id="449">
    <w:p>
      <w:pPr>
        <w:pStyle w:val="Funote"/>
        <w:rPr/>
      </w:pPr>
      <w:r>
        <w:rPr>
          <w:rStyle w:val="Funotenzeichen"/>
        </w:rPr>
        <w:footnoteRef/>
      </w:r>
      <w:r>
        <w:rPr/>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50">
    <w:p>
      <w:pPr>
        <w:pStyle w:val="Funote"/>
        <w:rPr/>
      </w:pPr>
      <w:r>
        <w:rPr>
          <w:rStyle w:val="Funotenzeichen"/>
        </w:rPr>
        <w:footnoteRef/>
      </w:r>
      <w:r>
        <w:rPr/>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51">
    <w:p>
      <w:pPr>
        <w:pStyle w:val="Funote"/>
        <w:rPr/>
      </w:pPr>
      <w:r>
        <w:rPr>
          <w:rStyle w:val="Funotenzeichen"/>
        </w:rPr>
        <w:footnoteRef/>
      </w:r>
      <w:r>
        <w:rPr/>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52">
    <w:p>
      <w:pPr>
        <w:pStyle w:val="Funote"/>
        <w:rPr/>
      </w:pPr>
      <w:r>
        <w:rPr>
          <w:rStyle w:val="Funotenzeichen"/>
        </w:rPr>
        <w:footnoteRef/>
      </w:r>
      <w:r>
        <w:rPr/>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53">
    <w:p>
      <w:pPr>
        <w:pStyle w:val="Funote"/>
        <w:rPr/>
      </w:pPr>
      <w:r>
        <w:rPr>
          <w:rStyle w:val="Funotenzeichen"/>
        </w:rPr>
        <w:footnoteRef/>
      </w:r>
      <w:r>
        <w:rPr>
          <w:i/>
        </w:rPr>
        <w:tab/>
        <w:t>antwortet</w:t>
      </w:r>
      <w:r>
        <w:rPr/>
        <w:t xml:space="preserve"> - Das auf einen Flehruf folgende „Antworten“ Gottes steht in der Bibel fast ausnahmslos für eine Gebets</w:t>
      </w:r>
      <w:r>
        <w:rPr>
          <w:i/>
        </w:rPr>
        <w:t>erhörung</w:t>
      </w:r>
      <w:r>
        <w:rPr/>
        <w:t>; so auch hier.</w:t>
      </w:r>
    </w:p>
  </w:footnote>
  <w:footnote w:id="454">
    <w:p>
      <w:pPr>
        <w:pStyle w:val="Funote"/>
        <w:rPr/>
      </w:pPr>
      <w:r>
        <w:rPr>
          <w:rStyle w:val="Funotenzeichen"/>
        </w:rPr>
        <w:footnoteRef/>
      </w:r>
      <w:r>
        <w:rPr/>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55">
    <w:p>
      <w:pPr>
        <w:pStyle w:val="Funote"/>
        <w:rPr/>
      </w:pPr>
      <w:r>
        <w:rPr>
          <w:rStyle w:val="Funotenzeichen"/>
        </w:rPr>
        <w:footnoteRef/>
      </w:r>
      <w:r>
        <w:rPr/>
        <w:tab/>
        <w:t xml:space="preserve">Mit dem </w:t>
      </w:r>
      <w:r>
        <w:rPr>
          <w:i/>
        </w:rPr>
        <w:t>heiligen Berg (dem Berg seiner Heiligkeit)</w:t>
      </w:r>
      <w:r>
        <w:rPr/>
        <w:t xml:space="preserve"> ist der Jerusalemer Berg Zion gemeint, auf dem der Tempel Gottes erbaut war. Nach altheb. Vorstellung wohnte Gott (zumindest „teilweise“) in seinem Tempel auf dem Zion (s. näher z.B. </w:t>
      </w:r>
      <w:hyperlink r:id="rId24">
        <w:r>
          <w:rPr>
            <w:rStyle w:val="Internetverknpfung"/>
          </w:rPr>
          <w:t>Zion / Zionstheologie (WiBiLex)</w:t>
        </w:r>
      </w:hyperlink>
      <w:r>
        <w:rPr/>
        <w:t xml:space="preserve">); ein Gebet musste daher zuerst zum Tempel in Zion dringen (s. z.B. </w:t>
      </w:r>
      <w:r>
        <w:fldChar w:fldCharType="begin"/>
      </w:r>
      <w:r>
        <w:rPr>
          <w:rStyle w:val="Internetverknpfung"/>
        </w:rPr>
        <w:instrText> HYPERLINK "../../../../../../../../../wiki/Jona_2" \l "s8"</w:instrText>
      </w:r>
      <w:r>
        <w:rPr>
          <w:rStyle w:val="Internetverknpfung"/>
        </w:rPr>
        <w:fldChar w:fldCharType="separate"/>
      </w:r>
      <w:r>
        <w:rPr>
          <w:rStyle w:val="Internetverknpfung"/>
        </w:rPr>
        <w:t>Jon 2,8</w:t>
      </w:r>
      <w:r>
        <w:rPr>
          <w:rStyle w:val="Internetverknpfung"/>
        </w:rPr>
        <w:fldChar w:fldCharType="end"/>
      </w:r>
      <w:r>
        <w:rPr/>
        <w:t>), um dann vom Tempel in Zion aus erhört werden zu können.</w:t>
      </w:r>
    </w:p>
  </w:footnote>
  <w:footnote w:id="456">
    <w:p>
      <w:pPr>
        <w:pStyle w:val="Funote"/>
        <w:rPr/>
      </w:pPr>
      <w:r>
        <w:rPr>
          <w:rStyle w:val="Funotenzeichen"/>
        </w:rPr>
        <w:footnoteRef/>
      </w:r>
      <w:r>
        <w:rPr/>
        <w:tab/>
        <w:t>tFN: [den] - Auch ohne Artikel determiniert durch Relativsatz.</w:t>
      </w:r>
    </w:p>
  </w:footnote>
  <w:footnote w:id="457">
    <w:p>
      <w:pPr>
        <w:pStyle w:val="Funote"/>
        <w:rPr/>
      </w:pPr>
      <w:r>
        <w:rPr>
          <w:rStyle w:val="Funotenzeichen"/>
        </w:rPr>
        <w:footnoteRef/>
      </w:r>
      <w:r>
        <w:rPr/>
        <w:tab/>
        <w:t xml:space="preserve">tFN: {Ja!,} - Emphatisches </w:t>
      </w:r>
      <w:r>
        <w:rPr>
          <w:rtl w:val="true"/>
          <w:lang w:bidi="he-IL"/>
        </w:rPr>
        <w:t>כִּי</w:t>
      </w:r>
      <w:r>
        <w:rPr/>
        <w:t>; in der LF besser auszusparen.</w:t>
      </w:r>
    </w:p>
  </w:footnote>
  <w:footnote w:id="458">
    <w:p>
      <w:pPr>
        <w:pStyle w:val="Funote"/>
        <w:rPr/>
      </w:pPr>
      <w:r>
        <w:rPr>
          <w:rStyle w:val="Funotenzeichen"/>
        </w:rPr>
        <w:footnoteRef/>
      </w:r>
      <w:r>
        <w:rPr/>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59">
    <w:p>
      <w:pPr>
        <w:pStyle w:val="Funote"/>
        <w:rPr/>
      </w:pPr>
      <w:r>
        <w:rPr>
          <w:rStyle w:val="Funotenzeichen"/>
        </w:rPr>
        <w:footnoteRef/>
      </w:r>
      <w:r>
        <w:rPr/>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60">
    <w:p>
      <w:pPr>
        <w:pStyle w:val="Funote"/>
        <w:rPr/>
      </w:pPr>
      <w:r>
        <w:rPr>
          <w:rStyle w:val="Funotenzeichen"/>
        </w:rPr>
        <w:footnoteRef/>
      </w:r>
      <w:r>
        <w:rPr/>
        <w:tab/>
        <w:t>Bei JHWH ist Rettung - d.h.: „JHWH ist es, der rettet“ (ein sog. „Lamed der Zuständigkeit“: „Für die Rettung ist JHWH zuständig“).</w:t>
      </w:r>
    </w:p>
  </w:footnote>
  <w:footnote w:id="461">
    <w:p>
      <w:pPr>
        <w:pStyle w:val="Funote"/>
        <w:rPr/>
      </w:pPr>
      <w:r>
        <w:rPr>
          <w:rStyle w:val="Funotenzeichen"/>
        </w:rPr>
        <w:footnoteRef/>
      </w:r>
      <w:r>
        <w:rPr/>
        <w:tab/>
        <w:t>[Status: Zuverlässig]</w:t>
      </w:r>
    </w:p>
  </w:footnote>
  <w:footnote w:id="462">
    <w:p>
      <w:pPr>
        <w:pStyle w:val="Funote"/>
        <w:rPr/>
      </w:pPr>
      <w:r>
        <w:rPr>
          <w:rStyle w:val="Funotenzeichen"/>
        </w:rPr>
        <w:footnoteRef/>
      </w:r>
      <w:r>
        <w:rPr>
          <w:i/>
        </w:rPr>
        <w:tab/>
        <w:t>Für den Chorleiter (Dirigenten, Singenden, Musizierenden)</w:t>
      </w:r>
      <w:r>
        <w:rPr/>
        <w:t xml:space="preserve"> + </w:t>
      </w:r>
      <w:r>
        <w:rPr>
          <w:i/>
        </w:rPr>
        <w:t>Saitenspiel (Flötenspiel)</w:t>
      </w:r>
      <w:r>
        <w:rPr/>
        <w:t xml:space="preserve"> - Wie bei den meisten Psalmen sind auch hier die Bedeutungen der Begriffe im Titel unklar; die Primärübersetzungen sind die, die sich am häufigsten in den dt. Üss. finden.</w:t>
      </w:r>
    </w:p>
  </w:footnote>
  <w:footnote w:id="463">
    <w:p>
      <w:pPr>
        <w:pStyle w:val="Funote"/>
        <w:rPr/>
      </w:pPr>
      <w:r>
        <w:rPr>
          <w:rStyle w:val="Funotenzeichen"/>
        </w:rPr>
        <w:footnoteRef/>
      </w:r>
      <w:r>
        <w:rPr>
          <w:i/>
        </w:rPr>
        <w:tab/>
        <w:t>antworte mir (erhöre mich)</w:t>
      </w:r>
      <w:r>
        <w:rPr/>
        <w:t xml:space="preserve"> - Die Rede vom „Antworten“ Gottes meint in den Psalmen häufig dessen Gebetserhörungen; so auch hier.</w:t>
      </w:r>
    </w:p>
  </w:footnote>
  <w:footnote w:id="464">
    <w:p>
      <w:pPr>
        <w:pStyle w:val="Funote"/>
        <w:rPr/>
      </w:pPr>
      <w:r>
        <w:rPr>
          <w:rStyle w:val="Funotenzeichen"/>
        </w:rPr>
        <w:footnoteRef/>
      </w:r>
      <w:r>
        <w:rPr>
          <w:i/>
        </w:rPr>
        <w:tab/>
        <w:t>mein wahrer Gott (gerechter Gott, Gott meines Heils, Gott meiner Gerechtigkeit</w:t>
      </w:r>
      <w:r>
        <w:rPr/>
        <w:t xml:space="preserve">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65">
    <w:p>
      <w:pPr>
        <w:pStyle w:val="Funote"/>
        <w:rPr/>
      </w:pPr>
      <w:r>
        <w:rPr>
          <w:rStyle w:val="Funotenzeichen"/>
        </w:rPr>
        <w:footnoteRef/>
      </w:r>
      <w:r>
        <w:rPr/>
        <w:tab/>
        <w:t>tFN: schaff mir (hast geschaffen) - prekatives Qatal; so z.B. auch Gerstenberger 1988; Goldingay 2006b; Houston/Waltke 2010; IBHS §30.5.4d.</w:t>
      </w:r>
    </w:p>
  </w:footnote>
  <w:footnote w:id="466">
    <w:p>
      <w:pPr>
        <w:pStyle w:val="Funote"/>
        <w:rPr/>
      </w:pPr>
      <w:r>
        <w:rPr>
          <w:rStyle w:val="Funotenzeichen"/>
        </w:rPr>
        <w:footnoteRef/>
      </w:r>
      <w:r>
        <w:rPr/>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viele Üss.</w:t>
      </w:r>
    </w:p>
  </w:footnote>
  <w:footnote w:id="467">
    <w:p>
      <w:pPr>
        <w:pStyle w:val="Funote"/>
        <w:rPr/>
      </w:pPr>
      <w:r>
        <w:rPr>
          <w:rStyle w:val="Funotenzeichen"/>
        </w:rPr>
        <w:footnoteRef/>
      </w:r>
      <w:r>
        <w:rPr/>
        <w:tab/>
        <w:t>höre (erhöre) - Das „Hören“ Gottes meint in den Psalmen oft ebenso wie sein „Antworten“ Gebetserhörungen; zumal in Kombination mit dem Begriff tefillah („Flehen, Bitten, Gebet“) wie in V. 2; vgl. z.B. Schökel 1980, S. 41.</w:t>
      </w:r>
    </w:p>
  </w:footnote>
  <w:footnote w:id="468">
    <w:p>
      <w:pPr>
        <w:pStyle w:val="Funote"/>
        <w:rPr/>
      </w:pPr>
      <w:r>
        <w:rPr>
          <w:rStyle w:val="Funotenzeichen"/>
        </w:rPr>
        <w:footnoteRef/>
      </w:r>
      <w:r>
        <w:rPr/>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69">
    <w:p>
      <w:pPr>
        <w:pStyle w:val="Funote"/>
        <w:rPr/>
      </w:pPr>
      <w:r>
        <w:rPr>
          <w:rStyle w:val="Funotenzeichen"/>
        </w:rPr>
        <w:footnoteRef/>
      </w:r>
      <w:r>
        <w:rPr/>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70">
    <w:p>
      <w:pPr>
        <w:pStyle w:val="Funote"/>
        <w:rPr/>
      </w:pPr>
      <w:r>
        <w:rPr>
          <w:rStyle w:val="Funotenzeichen"/>
        </w:rPr>
        <w:footnoteRef/>
      </w:r>
      <w:r>
        <w:rPr/>
        <w:tab/>
        <w:t>geschmäht (zum Schimpf) - W. „zum Schimpf“, Lamed des Zustands; vgl. z.B. KBL3, S. 484. Die Bedeutung ist schlicht „Wie lange soll das noch so gehen, dass ihr meinen Gott schmäht?“.</w:t>
      </w:r>
    </w:p>
  </w:footnote>
  <w:footnote w:id="471">
    <w:p>
      <w:pPr>
        <w:pStyle w:val="Funote"/>
        <w:rPr/>
      </w:pPr>
      <w:r>
        <w:rPr>
          <w:rStyle w:val="Funotenzeichen"/>
        </w:rPr>
        <w:footnoteRef/>
      </w:r>
      <w:r>
        <w:rPr/>
        <w:tab/>
        <w:t>Nichtiges, Leeres und andere ähnliche Substantive werden in der Bibel häufiger dysphemistisch für Götzen verwendet; so auch hier; vgl. ad loc. Dahood 1965, S. 23f.; Terrien 2003, S. 97.</w:t>
      </w:r>
    </w:p>
  </w:footnote>
  <w:footnote w:id="472">
    <w:p>
      <w:pPr>
        <w:pStyle w:val="Funote"/>
        <w:rPr/>
      </w:pPr>
      <w:r>
        <w:rPr>
          <w:rStyle w:val="Funotenzeichen"/>
        </w:rPr>
        <w:footnoteRef/>
      </w:r>
      <w:r>
        <w:rPr>
          <w:i/>
        </w:rPr>
        <w:tab/>
        <w:t>{</w:t>
      </w:r>
      <w:r>
        <w:rPr>
          <w:i/>
          <w:strike/>
        </w:rPr>
        <w:t>Sela</w:t>
      </w:r>
      <w:r>
        <w:rPr>
          <w:i/>
        </w:rPr>
        <w:t>}</w:t>
      </w:r>
      <w:r>
        <w:rPr/>
        <w:t xml:space="preserve"> - Die Bedeutung von </w:t>
      </w:r>
      <w:r>
        <w:rPr>
          <w:i/>
        </w:rPr>
        <w:t>sela</w:t>
      </w:r>
      <w:r>
        <w:rPr/>
        <w:t xml:space="preserve"> ist unklar; vgl. Lexikon/Lemma </w:t>
      </w:r>
      <w:hyperlink r:id="rId25">
        <w:r>
          <w:rPr>
            <w:rStyle w:val="Internetverknpfung"/>
            <w:rtl w:val="true"/>
            <w:lang w:bidi="he-IL"/>
          </w:rPr>
          <w:t>סֶלַה</w:t>
        </w:r>
      </w:hyperlink>
      <w:r>
        <w:rPr/>
        <w:t>. In der Lesefassung sollte es daher besser gestrichen werden, da es sonst nur ein unverständlicher Fremdkörper im deutschen Text wäre.</w:t>
      </w:r>
    </w:p>
  </w:footnote>
  <w:footnote w:id="473">
    <w:p>
      <w:pPr>
        <w:pStyle w:val="Funote"/>
        <w:rPr/>
      </w:pPr>
      <w:r>
        <w:rPr>
          <w:rStyle w:val="Funotenzeichen"/>
        </w:rPr>
        <w:footnoteRef/>
      </w:r>
      <w:r>
        <w:rPr/>
        <w:tab/>
        <w:t>Textkritik: Der Vers gibt, wie er steht, im Kontext des Psalms nicht sonderlich viel Sinn: „JHWH hat sich einen Frommen ge-/unterschieden“. Viele Handschriften haben statt hiplah („er hat geschieden“) hipla´ („er hat Wunder vollbracht/wundervoll gehandelt“), was auch LXX und Hier voraussetzen. Diese Lesart ist sicher vorzuziehen; so daher z.B. auch BB, EÜ, GN, GRAIL, HER05, LUT 84. Dahood 1965, S. 23 denkt sogar, dass es sich bloß um eine alternative Schreibung handelt.</w:t>
      </w:r>
    </w:p>
  </w:footnote>
  <w:footnote w:id="474">
    <w:p>
      <w:pPr>
        <w:pStyle w:val="Funote"/>
        <w:rPr/>
      </w:pPr>
      <w:r>
        <w:rPr>
          <w:rStyle w:val="Funotenzeichen"/>
        </w:rPr>
        <w:footnoteRef/>
      </w:r>
      <w:r>
        <w:rPr>
          <w:i/>
        </w:rPr>
        <w:tab/>
        <w:t>den ihm Frommen (seinem Frommen)</w:t>
      </w:r>
      <w:r>
        <w:rPr/>
        <w:t xml:space="preserve"> - Heb. </w:t>
      </w:r>
      <w:r>
        <w:rPr>
          <w:i/>
        </w:rPr>
        <w:t>lo</w:t>
      </w:r>
      <w:r>
        <w:rPr/>
        <w:t xml:space="preserve"> („sein“/„den ihm“) lässt sich sowohl possessiv deuten („</w:t>
      </w:r>
      <w:r>
        <w:rPr>
          <w:i/>
        </w:rPr>
        <w:t>sein</w:t>
      </w:r>
      <w:r>
        <w:rPr/>
        <w:t xml:space="preserve"> Frommer“) als auch „direktional“ als Angabe, wem die Frömmigkeit des Frommen gilt („der </w:t>
      </w:r>
      <w:r>
        <w:rPr>
          <w:i/>
        </w:rPr>
        <w:t>ihm</w:t>
      </w:r>
      <w:r>
        <w:rPr/>
        <w:t xml:space="preserve"> Fromme“). Wg. dem Kontrast mit Götzenanbetern ist Letzteres vorzuziehen.</w:t>
      </w:r>
    </w:p>
  </w:footnote>
  <w:footnote w:id="475">
    <w:p>
      <w:pPr>
        <w:pStyle w:val="Funote"/>
        <w:rPr/>
      </w:pPr>
      <w:r>
        <w:rPr>
          <w:rStyle w:val="Funotenzeichen"/>
        </w:rPr>
        <w:footnoteRef/>
      </w:r>
      <w:r>
        <w:rPr/>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Als Pseudo-Imperative deuten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76">
    <w:p>
      <w:pPr>
        <w:pStyle w:val="Funote"/>
        <w:rPr/>
      </w:pPr>
      <w:r>
        <w:rPr>
          <w:rStyle w:val="Funotenzeichen"/>
        </w:rPr>
        <w:footnoteRef/>
      </w:r>
      <w:r>
        <w:rPr/>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in der folgenden Zeile. Daher wohl am Besten „seid unruhig!“. Vgl. auch die letzte Fußnote.</w:t>
      </w:r>
    </w:p>
  </w:footnote>
  <w:footnote w:id="477">
    <w:p>
      <w:pPr>
        <w:pStyle w:val="Funote"/>
        <w:rPr/>
      </w:pPr>
      <w:r>
        <w:rPr>
          <w:rStyle w:val="Funotenzeichen"/>
        </w:rPr>
        <w:footnoteRef/>
      </w:r>
      <w:r>
        <w:rPr/>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77,7; 119,55.62; Jes 26,9 u.ö. (vgl. auch Booij 2008, S. 107).</w:t>
      </w:r>
    </w:p>
  </w:footnote>
  <w:footnote w:id="478">
    <w:p>
      <w:pPr>
        <w:pStyle w:val="Funote"/>
        <w:rPr/>
      </w:pPr>
      <w:r>
        <w:rPr>
          <w:rStyle w:val="Funotenzeichen"/>
        </w:rPr>
        <w:footnoteRef/>
      </w:r>
      <w:r>
        <w:rPr/>
        <w:tab/>
        <w:t>Opfer dem wahren [Gott] (Opfer der Gerechtigkeit, richtige Opfer) - Meist übersetzt als „Opfer der Gerechtigkeit“ oder „rechte Opfer“. Darüber, was das eigentlich sein soll, besteht keine Einigkeit in der Exegese. Besser daher: tsedeq ist zu verstehen als Appellativ für JHWH, wie er ja schon in V. 2 als der tsedeq Gott bezeichnet wurde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79">
    <w:p>
      <w:pPr>
        <w:pStyle w:val="Funote"/>
        <w:rPr/>
      </w:pPr>
      <w:r>
        <w:rPr>
          <w:rStyle w:val="Funotenzeichen"/>
        </w:rPr>
        <w:footnoteRef/>
      </w:r>
      <w:r>
        <w:rPr>
          <w:i/>
        </w:rPr>
        <w:tab/>
        <w:t>[Während]</w:t>
      </w:r>
      <w:r>
        <w:rPr/>
        <w:t xml:space="preserve">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80">
    <w:p>
      <w:pPr>
        <w:pStyle w:val="Funote"/>
        <w:rPr/>
      </w:pPr>
      <w:r>
        <w:rPr>
          <w:rStyle w:val="Funotenzeichen"/>
        </w:rPr>
        <w:footnoteRef/>
      </w:r>
      <w:r>
        <w:rPr/>
        <w:tab/>
        <w:t>Lass uns Gutes erfahren! - Theoretisch möglich: Deutung der rhetorischen Frage als Wunschsatz; so z.B. Goldingay 2006b, S. 167; Warren-Rothlin 2007, S. 66; Dav §135; HKL III §354g</w:t>
      </w:r>
    </w:p>
  </w:footnote>
  <w:footnote w:id="481">
    <w:p>
      <w:pPr>
        <w:pStyle w:val="Funote"/>
        <w:rPr/>
      </w:pPr>
      <w:r>
        <w:rPr>
          <w:rStyle w:val="Funotenzeichen"/>
        </w:rPr>
        <w:footnoteRef/>
      </w:r>
      <w:r>
        <w:rPr>
          <w:i/>
        </w:rPr>
        <w:tab/>
        <w:t>[wo doch]</w:t>
      </w:r>
      <w:r>
        <w:rPr/>
        <w:t xml:space="preserve"> - V. 7b soll offenbar das Motiv hinter dem mangelnden Vertrauen der „Vielen“ in Gott in 7a nennen; übersetze daher „da...“, „wo doch...“ o.Ä.</w:t>
      </w:r>
    </w:p>
  </w:footnote>
  <w:footnote w:id="482">
    <w:p>
      <w:pPr>
        <w:pStyle w:val="Funote"/>
        <w:rPr/>
      </w:pPr>
      <w:r>
        <w:rPr>
          <w:rStyle w:val="Funotenzeichen"/>
        </w:rPr>
        <w:footnoteRef/>
      </w:r>
      <w:r>
        <w:rPr/>
        <w:tab/>
        <w:t xml:space="preserve">Textkritik: </w:t>
      </w:r>
      <w:r>
        <w:rPr>
          <w:rtl w:val="true"/>
          <w:lang w:bidi="he-IL"/>
        </w:rPr>
        <w:t>נְסָה</w:t>
      </w:r>
      <w:r>
        <w:rPr/>
        <w:t xml:space="preserve"> </w:t>
      </w:r>
      <w:r>
        <w:rPr/>
        <w:t xml:space="preserve">muss emendiert werden. Meist wird es emendiert zu </w:t>
      </w:r>
      <w:r>
        <w:rPr>
          <w:rtl w:val="true"/>
          <w:lang w:bidi="he-IL"/>
        </w:rPr>
        <w:t>נְשָה</w:t>
      </w:r>
      <w:r>
        <w:rPr/>
        <w:t xml:space="preserve"> </w:t>
      </w:r>
      <w:r>
        <w:rPr/>
        <w:t xml:space="preserve">(»erhebe!«, so z.B. Craigie, Houston/Waltke, einige Üss.); vorzuziehen ist aber </w:t>
      </w:r>
      <w:r>
        <w:rPr>
          <w:rtl w:val="true"/>
          <w:lang w:bidi="he-IL"/>
        </w:rPr>
        <w:t>נָסָה</w:t>
      </w:r>
      <w:r>
        <w:rPr/>
        <w:t xml:space="preserve"> </w:t>
      </w:r>
      <w:r>
        <w:rPr/>
        <w:t>(»geflohen ist«, so Dahood 1965, S. 26; Driver 1951, S. 247; Schökel 1980, S. 38)</w:t>
      </w:r>
    </w:p>
  </w:footnote>
  <w:footnote w:id="483">
    <w:p>
      <w:pPr>
        <w:pStyle w:val="Funote"/>
        <w:rPr/>
      </w:pPr>
      <w:r>
        <w:rPr>
          <w:rStyle w:val="Funotenzeichen"/>
        </w:rPr>
        <w:footnoteRef/>
      </w:r>
      <w:r>
        <w:rPr/>
        <w:tab/>
        <w:t>tFN: von über - Zu dieser Bed. von `al vgl. z.B. Driver 1951, S. 247.</w:t>
      </w:r>
    </w:p>
  </w:footnote>
  <w:footnote w:id="484">
    <w:p>
      <w:pPr>
        <w:pStyle w:val="Funote"/>
        <w:rPr/>
      </w:pPr>
      <w:r>
        <w:rPr>
          <w:rStyle w:val="Funotenzeichen"/>
        </w:rPr>
        <w:footnoteRef/>
      </w:r>
      <w:r>
        <w:rPr/>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85">
    <w:p>
      <w:pPr>
        <w:pStyle w:val="Funote"/>
        <w:rPr/>
      </w:pPr>
      <w:r>
        <w:rPr>
          <w:rStyle w:val="Funotenzeichen"/>
        </w:rPr>
        <w:footnoteRef/>
      </w:r>
      <w:r>
        <w:rPr/>
        <w:tab/>
        <w:t>tFN: {ihr} - Vermeintliche Personalpronomen verstanden als enklitische Mems (vgl. z.B. IBHS §9.8).</w:t>
      </w:r>
    </w:p>
  </w:footnote>
  <w:footnote w:id="486">
    <w:p>
      <w:pPr>
        <w:pStyle w:val="Funote"/>
        <w:rPr/>
      </w:pPr>
      <w:r>
        <w:rPr>
          <w:rStyle w:val="Funotenzeichen"/>
        </w:rPr>
        <w:footnoteRef/>
      </w:r>
      <w:r>
        <w:rPr/>
        <w:tab/>
        <w:t xml:space="preserve">sofort - Vgl. CDCH, S. 151: </w:t>
      </w:r>
      <w:r>
        <w:rPr>
          <w:rtl w:val="true"/>
          <w:lang w:bidi="he-IL"/>
        </w:rPr>
        <w:t>יַחְדָּו</w:t>
      </w:r>
      <w:r>
        <w:rPr/>
        <w:t>: „(almost) contemporaneous activity, modifying two verbs [...] I both lie down and sleep Ps 4,9.“</w:t>
      </w:r>
    </w:p>
  </w:footnote>
  <w:footnote w:id="487">
    <w:p>
      <w:pPr>
        <w:pStyle w:val="Funote"/>
        <w:rPr/>
      </w:pPr>
      <w:r>
        <w:rPr>
          <w:rStyle w:val="Funotenzeichen"/>
        </w:rPr>
        <w:footnoteRef/>
      </w:r>
      <w:r>
        <w:rPr/>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88">
    <w:p>
      <w:pPr>
        <w:pStyle w:val="Funote"/>
        <w:rPr/>
      </w:pPr>
      <w:r>
        <w:rPr>
          <w:rStyle w:val="Funotenzeichen"/>
        </w:rPr>
        <w:footnoteRef/>
      </w:r>
      <w:r>
        <w:rPr/>
        <w:tab/>
        <w:t>JHWH</w:t>
      </w:r>
    </w:p>
  </w:footnote>
  <w:footnote w:id="489">
    <w:p>
      <w:pPr>
        <w:pStyle w:val="Funote"/>
        <w:rPr/>
      </w:pPr>
      <w:r>
        <w:rPr>
          <w:rStyle w:val="Funotenzeichen"/>
        </w:rPr>
        <w:footnoteRef/>
      </w:r>
      <w:r>
        <w:rPr/>
        <w:tab/>
        <w:t>[Status: Zuverlässig]</w:t>
      </w:r>
    </w:p>
  </w:footnote>
  <w:footnote w:id="490">
    <w:p>
      <w:pPr>
        <w:pStyle w:val="Funote"/>
        <w:rPr/>
      </w:pPr>
      <w:r>
        <w:rPr>
          <w:rStyle w:val="Funotenzeichen"/>
        </w:rPr>
        <w:footnoteRef/>
      </w:r>
      <w:r>
        <w:rPr>
          <w:i/>
        </w:rPr>
        <w:tab/>
        <w:t>Für den Chorleiter</w:t>
      </w:r>
      <w:r>
        <w:rPr/>
        <w:t xml:space="preserve"> + </w:t>
      </w:r>
      <w:r>
        <w:rPr>
          <w:i/>
        </w:rPr>
        <w:t>Zu Flötenspiel (nach „das Erbe“)</w:t>
      </w:r>
      <w:r>
        <w:rPr/>
        <w:t xml:space="preserve"> - Wie bei den meisten Psalmen sind auch hier die Bedeutungen der Begriffe im Titel unklar; die Primärübersetzungen sind die, die sich am häufigsten in den dt. Üss. finden.</w:t>
      </w:r>
    </w:p>
  </w:footnote>
  <w:footnote w:id="491">
    <w:p>
      <w:pPr>
        <w:pStyle w:val="Funote"/>
        <w:rPr/>
      </w:pPr>
      <w:r>
        <w:rPr>
          <w:rStyle w:val="Funotenzeichen"/>
        </w:rPr>
        <w:footnoteRef/>
      </w:r>
      <w:r>
        <w:rPr>
          <w:i/>
        </w:rPr>
        <w:tab/>
        <w:t>höre (erhöre mich)</w:t>
      </w:r>
      <w:r>
        <w:rPr/>
        <w:t xml:space="preserve"> + </w:t>
      </w:r>
      <w:r>
        <w:rPr>
          <w:i/>
        </w:rPr>
        <w:t>achte auf (erhöre)</w:t>
      </w:r>
      <w:r>
        <w:rPr/>
        <w:t xml:space="preserve"> + </w:t>
      </w:r>
      <w:r>
        <w:rPr>
          <w:i/>
        </w:rPr>
        <w:t>lausche auf (erhöre)</w:t>
      </w:r>
      <w:r>
        <w:rPr/>
        <w:t xml:space="preserve"> - Drei Verben, die zunächst schlicht für das „Hören“ stehen, hier wie oft aber als Bitten um Gebetserhörungen verwendet werden.</w:t>
        <w:br/>
        <w:t>Trikolon mit Klimax; mit den Begriffen wird um ein immer aufmerksames Hören gebetet: „höre“ =&gt; V. 2b „achte auf“ =&gt; V. 3a „lausche (aufmerksam)“.</w:t>
      </w:r>
    </w:p>
  </w:footnote>
  <w:footnote w:id="492">
    <w:p>
      <w:pPr>
        <w:pStyle w:val="Funote"/>
        <w:rPr/>
      </w:pPr>
      <w:r>
        <w:rPr>
          <w:rStyle w:val="Funotenzeichen"/>
        </w:rPr>
        <w:footnoteRef/>
      </w:r>
      <w:r>
        <w:rPr>
          <w:i/>
        </w:rPr>
        <w:tab/>
        <w:t>Flehen (Grübeln, Murmeln)</w:t>
      </w:r>
      <w:r>
        <w:rPr/>
        <w:t xml:space="preserve"> - Heb. </w:t>
      </w:r>
      <w:r>
        <w:rPr>
          <w:i/>
        </w:rPr>
        <w:t>hagigi</w:t>
      </w:r>
      <w:r>
        <w:rPr/>
        <w:t xml:space="preserve">; Bed. unklar. Der Kontext macht aber offensichtlich, dass es sich hier um einen Ausdruck für ein flehendes Gebet handelt. Und da sich in Vv. 2ab.3a bei den Verben eine Steigerung findet (s. vorige FN) und auch bei den Substantiven „Geschrei“ in V. 3a stärker ist als „Stimme“ in V. 2a, macht es Sinn, anzunehmen, dass auch „Stimme“ =&gt; </w:t>
      </w:r>
      <w:r>
        <w:rPr>
          <w:i/>
        </w:rPr>
        <w:t>hagigi</w:t>
      </w:r>
      <w:r>
        <w:rPr/>
        <w:t xml:space="preserve"> =&gt; „Geschrei“ eine Steigerung verdichten sollen und also </w:t>
      </w:r>
      <w:r>
        <w:rPr>
          <w:i/>
        </w:rPr>
        <w:t>hagigi</w:t>
      </w:r>
      <w:r>
        <w:rPr/>
        <w:t xml:space="preserve"> irgendwo zwischen „Stimme“ und „Geschrei“ liegt, also etwa „Flehen“.</w:t>
      </w:r>
    </w:p>
  </w:footnote>
  <w:footnote w:id="493">
    <w:p>
      <w:pPr>
        <w:pStyle w:val="Funote"/>
        <w:rPr/>
      </w:pPr>
      <w:r>
        <w:rPr>
          <w:rStyle w:val="Funotenzeichen"/>
        </w:rPr>
        <w:footnoteRef/>
      </w:r>
      <w:r>
        <w:rPr/>
        <w:tab/>
        <w:t>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 12, LUT 84, van Ess) # Das Objekt ist „ausgespart“ (Warum?) und muss ergänzt werden: „Ich will [X] bereiten“ (so die meisten Üss.)</w:t>
      </w:r>
    </w:p>
  </w:footnote>
  <w:footnote w:id="494">
    <w:p>
      <w:pPr>
        <w:pStyle w:val="Funote"/>
        <w:rPr/>
      </w:pPr>
      <w:r>
        <w:rPr>
          <w:rStyle w:val="Funotenzeichen"/>
        </w:rPr>
        <w:footnoteRef/>
      </w:r>
      <w:r>
        <w:rPr/>
        <w:tab/>
        <w:t>tFN: [auf dich] - Brachylogie aus dem vorigen Ausdruck („zu dir beten“).</w:t>
      </w:r>
    </w:p>
  </w:footnote>
  <w:footnote w:id="495">
    <w:p>
      <w:pPr>
        <w:pStyle w:val="Funote"/>
        <w:rPr/>
      </w:pPr>
      <w:r>
        <w:rPr>
          <w:rStyle w:val="Funotenzeichen"/>
        </w:rPr>
        <w:footnoteRef/>
      </w:r>
      <w:r>
        <w:rPr/>
        <w:tab/>
        <w:t>tFN: {Oh!} - Emphatisches ki; im Deutschen nicht zu übersetzen. Diese Verwendung von ki ist recht häufig gerade am Beginn einer Strophe; vgl. z.B. Muilenburg 1961, S. 148f.</w:t>
      </w:r>
    </w:p>
  </w:footnote>
  <w:footnote w:id="496">
    <w:p>
      <w:pPr>
        <w:pStyle w:val="Funote"/>
        <w:rPr/>
      </w:pPr>
      <w:r>
        <w:rPr>
          <w:rStyle w:val="Funotenzeichen"/>
        </w:rPr>
        <w:footnoteRef/>
      </w:r>
      <w:r>
        <w:rPr>
          <w:i/>
        </w:rPr>
        <w:tab/>
        <w:t>Böse (Böses)</w:t>
      </w:r>
      <w:r>
        <w:rPr/>
        <w:t xml:space="preserve"> + </w:t>
      </w:r>
      <w:r>
        <w:rPr>
          <w:i/>
        </w:rPr>
        <w:t>Schlechte (Schlechtes)</w:t>
      </w:r>
      <w:r>
        <w:rPr/>
        <w:t xml:space="preserve"> - Rein sprachlich sind beide Üss. möglich; spätestens V. 6 wird aber klar, dass hier von </w:t>
      </w:r>
      <w:r>
        <w:rPr>
          <w:i/>
        </w:rPr>
        <w:t>Menschen</w:t>
      </w:r>
      <w:r>
        <w:rPr/>
        <w:t xml:space="preserve"> die Rede ist; daher ist durchaus der Primärübersetzung der Vorzug zu geben.</w:t>
      </w:r>
    </w:p>
  </w:footnote>
  <w:footnote w:id="497">
    <w:p>
      <w:pPr>
        <w:pStyle w:val="Funote"/>
        <w:rPr/>
      </w:pPr>
      <w:r>
        <w:rPr>
          <w:rStyle w:val="Funotenzeichen"/>
        </w:rPr>
        <w:footnoteRef/>
      </w:r>
      <w:r>
        <w:rPr/>
        <w:tab/>
        <w:t>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H-R: „Der Böse“; HER05: „Die Unrecht verüben“; NVul: „Ungerechte“; van Ess: „Frevler“.</w:t>
      </w:r>
    </w:p>
  </w:footnote>
  <w:footnote w:id="498">
    <w:p>
      <w:pPr>
        <w:pStyle w:val="Funote"/>
        <w:rPr/>
      </w:pPr>
      <w:r>
        <w:rPr>
          <w:rStyle w:val="Funotenzeichen"/>
        </w:rPr>
        <w:footnoteRef/>
      </w:r>
      <w:r>
        <w:rPr/>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99">
    <w:p>
      <w:pPr>
        <w:pStyle w:val="Funote"/>
        <w:rPr/>
      </w:pPr>
      <w:r>
        <w:rPr>
          <w:rStyle w:val="Funotenzeichen"/>
        </w:rPr>
        <w:footnoteRef/>
      </w:r>
      <w:r>
        <w:rPr/>
        <w:tab/>
        <w:t>Tuer von Unheil (Unholde) - Häufiger Ausdruck für die Feinde eines Psalmisten. Das konkrete Unheil, das diese „Unholde“ tun, sind meist Wort-Sünden (vgl. ThWAT I, S. 155), was diesen Sticho gut zusammenstimmen lässt mit dem folgenden V. 7.</w:t>
      </w:r>
    </w:p>
  </w:footnote>
  <w:footnote w:id="500">
    <w:p>
      <w:pPr>
        <w:pStyle w:val="Funote"/>
        <w:rPr/>
      </w:pPr>
      <w:r>
        <w:rPr>
          <w:rStyle w:val="Funotenzeichen"/>
        </w:rPr>
        <w:footnoteRef/>
      </w:r>
      <w:r>
        <w:rPr/>
        <w:tab/>
        <w:t>verabscheut (verabscheust du,) JHWH - P-Shift; unübersetzbares heb. Stilmittel: In der heb. Lyrik kann aus stilistischen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w:t>
      </w:r>
    </w:p>
  </w:footnote>
  <w:footnote w:id="501">
    <w:p>
      <w:pPr>
        <w:pStyle w:val="Funote"/>
        <w:rPr/>
      </w:pPr>
      <w:r>
        <w:rPr>
          <w:rStyle w:val="Funotenzeichen"/>
        </w:rPr>
        <w:footnoteRef/>
      </w:r>
      <w:r>
        <w:rPr>
          <w:i/>
        </w:rPr>
        <w:tab/>
        <w:t>in deiner</w:t>
      </w:r>
      <w:r>
        <w:rPr/>
        <w:t xml:space="preserve"> - V. 8ab.9a haben je eine mit </w:t>
      </w:r>
      <w:r>
        <w:rPr>
          <w:i/>
        </w:rPr>
        <w:t>b</w:t>
      </w:r>
      <w:r>
        <w:rPr>
          <w:i/>
          <w:position w:val="7"/>
          <w:sz w:val="16"/>
        </w:rPr>
        <w:t>e</w:t>
      </w:r>
      <w:r>
        <w:rPr>
          <w:i/>
        </w:rPr>
        <w:t>-</w:t>
      </w:r>
      <w:r>
        <w:rPr/>
        <w:t xml:space="preserve"> („in“) präfigierte und mit </w:t>
      </w:r>
      <w:r>
        <w:rPr>
          <w:i/>
        </w:rPr>
        <w:t>-ka</w:t>
      </w:r>
      <w:r>
        <w:rPr/>
        <w:t xml:space="preserve"> („deine“) suffigierte Angabe: 8a: „In deiner großen Gnade“, 8b: „In deiner Furcht“, 9a: „In deiner Gerechtigkeit“. Das parallelisiert die drei Stichen (=&gt; grammatischer Parallelismus), in keiner der Zeilen ist aber eine wörtl. Übertragung gut möglich: </w:t>
      </w:r>
    </w:p>
    <w:p>
      <w:pPr>
        <w:pStyle w:val="Textkrper"/>
        <w:numPr>
          <w:ilvl w:val="0"/>
          <w:numId w:val="1"/>
        </w:numPr>
        <w:tabs>
          <w:tab w:val="left" w:pos="0" w:leader="none"/>
        </w:tabs>
        <w:spacing w:before="0" w:after="0"/>
        <w:ind w:left="720" w:hanging="283"/>
        <w:rPr/>
      </w:pPr>
      <w:r>
        <w:rPr/>
        <w:tab/>
        <w:t xml:space="preserve">Das </w:t>
      </w:r>
      <w:r>
        <w:rPr>
          <w:i/>
        </w:rPr>
        <w:t>b</w:t>
      </w:r>
      <w:r>
        <w:rPr>
          <w:i/>
          <w:position w:val="8"/>
          <w:sz w:val="19"/>
        </w:rPr>
        <w:t>e</w:t>
      </w:r>
      <w:r>
        <w:rPr/>
        <w:t xml:space="preserve"> in „</w:t>
      </w:r>
      <w:r>
        <w:rPr>
          <w:i/>
        </w:rPr>
        <w:t>in</w:t>
      </w:r>
      <w:r>
        <w:rPr/>
        <w:t xml:space="preserve"> der Menge deiner Gnade“ ist ein sog. „Beth rationis impellentis“, mit dem angegeben wird, dass etwas </w:t>
      </w:r>
      <w:r>
        <w:rPr>
          <w:i/>
        </w:rPr>
        <w:t>dank</w:t>
      </w:r>
      <w:r>
        <w:rPr/>
        <w:t xml:space="preserve"> etwas geschieht; hier also, dass Gottes Güte ihn zu besagter „Erlaubnis“ veranlasst; sinngemäßer also „</w:t>
      </w:r>
      <w:r>
        <w:rPr>
          <w:i/>
        </w:rPr>
        <w:t>dank</w:t>
      </w:r>
      <w:r>
        <w:rPr/>
        <w:t xml:space="preserve"> der Menge deiner Gnade“ </w:t>
      </w:r>
    </w:p>
    <w:p>
      <w:pPr>
        <w:pStyle w:val="Textkrper"/>
        <w:numPr>
          <w:ilvl w:val="0"/>
          <w:numId w:val="2"/>
        </w:numPr>
        <w:tabs>
          <w:tab w:val="left" w:pos="0" w:leader="none"/>
        </w:tabs>
        <w:spacing w:before="0" w:after="0"/>
        <w:ind w:left="720" w:hanging="283"/>
        <w:rPr/>
      </w:pPr>
      <w:r>
        <w:rPr/>
        <w:tab/>
        <w:t>„</w:t>
      </w:r>
      <w:r>
        <w:rPr/>
        <w:t xml:space="preserve">In deiner Furcht“ meint „in Ehrfurcht vor dir“ </w:t>
      </w:r>
    </w:p>
    <w:p>
      <w:pPr>
        <w:pStyle w:val="Textkrper"/>
        <w:numPr>
          <w:ilvl w:val="0"/>
          <w:numId w:val="3"/>
        </w:numPr>
        <w:tabs>
          <w:tab w:val="left" w:pos="0" w:leader="none"/>
        </w:tabs>
        <w:spacing w:before="0" w:after="283"/>
        <w:ind w:left="720" w:hanging="283"/>
        <w:rPr/>
      </w:pPr>
      <w:r>
        <w:rPr/>
        <w:tab/>
        <w:t>„</w:t>
      </w:r>
      <w:r>
        <w:rPr/>
        <w:t>In deiner Gerechtigkeit“ fungiert als Appell: „du gerechter Gott“.</w:t>
      </w:r>
    </w:p>
  </w:footnote>
  <w:footnote w:id="502">
    <w:p>
      <w:pPr>
        <w:pStyle w:val="Funote"/>
        <w:rPr/>
      </w:pPr>
      <w:r>
        <w:rPr>
          <w:rStyle w:val="Funotenzeichen"/>
        </w:rPr>
        <w:footnoteRef/>
      </w:r>
      <w:r>
        <w:rPr/>
        <w:tab/>
        <w:t>tFN: in (zu) - ´él (meist: „zu, nach“)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503">
    <w:p>
      <w:pPr>
        <w:pStyle w:val="Funote"/>
        <w:rPr/>
      </w:pPr>
      <w:r>
        <w:rPr>
          <w:rStyle w:val="Funotenzeichen"/>
        </w:rPr>
        <w:footnoteRef/>
      </w:r>
      <w:r>
        <w:rPr>
          <w:i/>
        </w:rPr>
        <w:tab/>
        <w:t>um meiner Feinde willen (wegen meiner Feinde)</w:t>
      </w:r>
      <w:r>
        <w:rPr/>
        <w:t xml:space="preserve"> - s. hierzu die nächste FN.</w:t>
      </w:r>
    </w:p>
  </w:footnote>
  <w:footnote w:id="504">
    <w:p>
      <w:pPr>
        <w:pStyle w:val="Funote"/>
        <w:rPr/>
      </w:pPr>
      <w:r>
        <w:rPr>
          <w:rStyle w:val="Funotenzeichen"/>
        </w:rPr>
        <w:footnoteRef/>
      </w:r>
      <w:r>
        <w:rPr/>
        <w:tab/>
        <w:t>V. 9 - Schwierige Stelle. Der „Weg“ ist im AT eine sehr häufige Metapher für die Lebensführung „dein Weg“ wäre dann das gottgemäße Leben, ein Leben, wie es Gott gefällt (vgl. ähnlich z.B. Ps 143,10: „Führe mich auf rechter Bahn“ = „Lehre mich handeln, wie dir das gefällt“). So wird auch dieser Vers i.d.R. verstanden, doch dann ist (wie auch bei den sehr ähnlichen Formulierungen in 27,11 und 69,9) unklar, was hier die Rede von den „Feinden“ soll. Versuchsweise sei daher die alternative Deutung vorgeschlagen, dass hier nicht um Hilfe bei der Führung eines gottgemäßen Lebens gebeten wird, sondern darum, dass Gott den Beter auf einem tatsächlichen Weg behüten möge (nämlich eben dem zu Gottes Tempel, V. 8), was nötig ist, weil ihm Feinde auflauern könnten (ein häufiges Motiv in den Psalmen, zu lauernden und fallenstellenden Feinden s. z.B. Ps 10,8; 17,11f.; 35,7f. u.ö., zur Bewahrung auf dem Weg z.B. 23,4f.; 37,23; 91,11; Spr 3,23 u.ö.; zu Ps 27,11 s. gleich).Genauer: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und in Ps 27,11; 69,19 nicht, um wessentwillen etwas geschieht, sondern das, was Motivation für Gottes Handeln sein soll (vgl. Ges18, S. 713) – also eher „wegen meiner Feinde“, d.h. „da mir auf meinem Weg Feinde auflauern“ (hier und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505">
    <w:p>
      <w:pPr>
        <w:pStyle w:val="Funote"/>
        <w:rPr/>
      </w:pPr>
      <w:r>
        <w:rPr>
          <w:rStyle w:val="Funotenzeichen"/>
        </w:rPr>
        <w:footnoteRef/>
      </w:r>
      <w:r>
        <w:rPr/>
        <w:tab/>
        <w:t>seinem (ihrem) - N-Shift; unübersetzbares heb. Stilmittel: In der heb. Lyrik kann aus stilistischen Gründen unvermittelt von einer Zeile auf die andere von einem Numerus zum anderen gewechselt werden, ohne dass dies einen Bedeutungsunterschied machen würde – hier etwa vom Plural („meine Feinde)“ zum Singular („in seinem Mund“).</w:t>
      </w:r>
    </w:p>
  </w:footnote>
  <w:footnote w:id="506">
    <w:p>
      <w:pPr>
        <w:pStyle w:val="Funote"/>
        <w:rPr/>
      </w:pPr>
      <w:r>
        <w:rPr>
          <w:rStyle w:val="Funotenzeichen"/>
        </w:rPr>
        <w:footnoteRef/>
      </w:r>
      <w:r>
        <w:rPr/>
        <w:tab/>
        <w:t>sie sind böse - „Inneres, Eingeweide, Herz“ ist im Heb. häufiger ein Wechselbegriff für die Person selbst. Und Nomina wie „Verderben“ können im Hebräischen auch als prädikative Adjektive verwendet werden; so auch hier. Zur Bed. „böse“ vgl. CDCH, S. 87; Kön, S. 77. Das wörtliche „Ihr Inneres [ist] Verderben“ kann also sinngemäß meinen: „Sie sind (durch und durch) böse“.</w:t>
      </w:r>
    </w:p>
  </w:footnote>
  <w:footnote w:id="507">
    <w:p>
      <w:pPr>
        <w:pStyle w:val="Funote"/>
        <w:rPr/>
      </w:pPr>
      <w:r>
        <w:rPr>
          <w:rStyle w:val="Funotenzeichen"/>
        </w:rPr>
        <w:footnoteRef/>
      </w:r>
      <w:r>
        <w:rPr/>
        <w:tab/>
        <w:t>Grab - Lautspiel: qereb „Inneres“ (10b) - qeber „Grab“. Das „Grab“ ist im Hebräischen eine häufige Metapher für den Tod; vgl. z.B. Ryken 1998, S. 350.</w:t>
      </w:r>
    </w:p>
  </w:footnote>
  <w:footnote w:id="508">
    <w:p>
      <w:pPr>
        <w:pStyle w:val="Funote"/>
        <w:rPr/>
      </w:pPr>
      <w:r>
        <w:rPr>
          <w:rStyle w:val="Funotenzeichen"/>
        </w:rPr>
        <w:footnoteRef/>
      </w:r>
      <w:r>
        <w:rPr>
          <w:i/>
        </w:rPr>
        <w:tab/>
        <w:t>sie glätten ihre Zunge glätten</w:t>
      </w:r>
      <w:r>
        <w:rPr/>
        <w:t xml:space="preserve"> - Stehender Ausdruck für „sie sind Heuchler“; vgl. noch </w:t>
      </w:r>
      <w:r>
        <w:fldChar w:fldCharType="begin"/>
      </w:r>
      <w:r>
        <w:rPr>
          <w:rStyle w:val="Internetverknpfung"/>
        </w:rPr>
        <w:instrText> HYPERLINK "../../../../../../../../../wiki/Psalm_12" \l "s3"</w:instrText>
      </w:r>
      <w:r>
        <w:rPr>
          <w:rStyle w:val="Internetverknpfung"/>
        </w:rPr>
        <w:fldChar w:fldCharType="separate"/>
      </w:r>
      <w:r>
        <w:rPr>
          <w:rStyle w:val="Internetverknpfung"/>
        </w:rPr>
        <w:t>Ps 12,3</w:t>
      </w:r>
      <w:r>
        <w:rPr>
          <w:rStyle w:val="Internetverknpfung"/>
        </w:rPr>
        <w:fldChar w:fldCharType="end"/>
      </w:r>
      <w:r>
        <w:rPr/>
        <w:t xml:space="preserve">; </w:t>
      </w:r>
      <w:hyperlink r:id="rId26">
        <w:r>
          <w:rPr>
            <w:rStyle w:val="Internetverknpfung"/>
          </w:rPr>
          <w:t>55,22</w:t>
        </w:r>
      </w:hyperlink>
      <w:r>
        <w:rPr/>
        <w:t xml:space="preserve">; auch </w:t>
      </w:r>
      <w:r>
        <w:fldChar w:fldCharType="begin"/>
      </w:r>
      <w:r>
        <w:rPr>
          <w:rStyle w:val="Internetverknpfung"/>
        </w:rPr>
        <w:instrText> HYPERLINK "../../../../../../../../../wiki/R%C3%B6mer_3" \l "s13"</w:instrText>
      </w:r>
      <w:r>
        <w:rPr>
          <w:rStyle w:val="Internetverknpfung"/>
        </w:rPr>
        <w:fldChar w:fldCharType="separate"/>
      </w:r>
      <w:r>
        <w:rPr>
          <w:rStyle w:val="Internetverknpfung"/>
        </w:rPr>
        <w:t>Röm 3,13</w:t>
      </w:r>
      <w:r>
        <w:rPr>
          <w:rStyle w:val="Internetverknpfung"/>
        </w:rPr>
        <w:fldChar w:fldCharType="end"/>
      </w:r>
    </w:p>
  </w:footnote>
  <w:footnote w:id="509">
    <w:p>
      <w:pPr>
        <w:pStyle w:val="Funote"/>
        <w:rPr/>
      </w:pPr>
      <w:r>
        <w:rPr>
          <w:rStyle w:val="Funotenzeichen"/>
        </w:rPr>
        <w:footnoteRef/>
      </w:r>
      <w:r>
        <w:rPr/>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10">
    <w:p>
      <w:pPr>
        <w:pStyle w:val="Funote"/>
        <w:rPr/>
      </w:pPr>
      <w:r>
        <w:rPr>
          <w:rStyle w:val="Funotenzeichen"/>
        </w:rPr>
        <w:footnoteRef/>
      </w:r>
      <w:r>
        <w:rPr/>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11">
    <w:p>
      <w:pPr>
        <w:pStyle w:val="Funote"/>
        <w:rPr/>
      </w:pPr>
      <w:r>
        <w:rPr>
          <w:rStyle w:val="Funotenzeichen"/>
        </w:rPr>
        <w:footnoteRef/>
      </w:r>
      <w:r>
        <w:rPr/>
        <w:tab/>
        <w:t>tFN: du wirst segnen (bist es, der segnen wird) - Hier steht ein scheinbar „überflüssiges“ Personalpronomen („Denn du, du segnest“). Möglich wären die Deutungen, (1) dass das Pronomen die Exklusivität der Segner-Rolle JHWHs markieren soll (vgl. BHRG §36.1.1.3i; gut dannB-R: „Denn du bists, der segnet den Bewährten“; Terrien 2003, S. 103: „For it is thou, Lord, who blessest...“), oder (2), dass das Pronomen lediglich der Unterstreichung des Fokuswechsels (vgl. JM §146.a.1+2) dient: Im vorherigen Vers ging es um die bei JHWH Zuflucht Suchenden; nun dagegen geht es um JHWH selbst. In diesem Falle sollte es in der Übersetzung einfach ausgespart werden. Die beiden folgenden Zeilen führen den Satz fort.</w:t>
      </w:r>
    </w:p>
  </w:footnote>
  <w:footnote w:id="512">
    <w:p>
      <w:pPr>
        <w:pStyle w:val="Funote"/>
        <w:rPr/>
      </w:pPr>
      <w:r>
        <w:rPr>
          <w:rStyle w:val="Funotenzeichen"/>
        </w:rPr>
        <w:footnoteRef/>
      </w:r>
      <w:r>
        <w:rPr>
          <w:i/>
        </w:rPr>
        <w:tab/>
        <w:t>den Gerechten (die Gerechten)</w:t>
      </w:r>
      <w:r>
        <w:rPr/>
        <w:t xml:space="preserve"> - Ein sog. „generalisierender Singular“, der Pl.-Bed. hat, weshalb es dann auch heißen kann, dass Gott </w:t>
      </w:r>
      <w:r>
        <w:rPr>
          <w:i/>
        </w:rPr>
        <w:t>sie</w:t>
      </w:r>
      <w:r>
        <w:rPr/>
        <w:t xml:space="preserve"> schützen werde.</w:t>
      </w:r>
    </w:p>
  </w:footnote>
  <w:footnote w:id="513">
    <w:p>
      <w:pPr>
        <w:pStyle w:val="Funote"/>
        <w:rPr/>
      </w:pPr>
      <w:r>
        <w:rPr>
          <w:rStyle w:val="Funotenzeichen"/>
        </w:rPr>
        <w:footnoteRef/>
      </w:r>
      <w:r>
        <w:rPr/>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14">
    <w:p>
      <w:pPr>
        <w:pStyle w:val="Funote"/>
        <w:rPr/>
      </w:pPr>
      <w:r>
        <w:rPr>
          <w:rStyle w:val="Funotenzeichen"/>
        </w:rPr>
        <w:footnoteRef/>
      </w:r>
      <w:r>
        <w:rPr/>
        <w:tab/>
        <w:t>[Status: Zuverlässig]</w:t>
      </w:r>
    </w:p>
  </w:footnote>
  <w:footnote w:id="515">
    <w:p>
      <w:pPr>
        <w:pStyle w:val="Funote"/>
        <w:rPr/>
      </w:pPr>
      <w:r>
        <w:rPr>
          <w:rStyle w:val="Funotenzeichen"/>
        </w:rPr>
        <w:footnoteRef/>
      </w:r>
      <w:r>
        <w:rPr/>
        <w:tab/>
        <w:t>Für den Chorleiter + Zum Seitenspiel + Bassstimmen - Wie bei den meisten Psalmen sind auch hier die Bedeutungen der Begriffe im Titel unklar; die Primärübersetzungen sind die, die sich am häufigsten in den dt. Üss. finden.Die heb. Entsprechung der Üs. „von Bassstimmen“ findet sich auch im Titel von Ps 12,1.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w:t>
      </w:r>
    </w:p>
  </w:footnote>
  <w:footnote w:id="516">
    <w:p>
      <w:pPr>
        <w:pStyle w:val="Funote"/>
        <w:rPr/>
      </w:pPr>
      <w:r>
        <w:rPr>
          <w:rStyle w:val="Funotenzeichen"/>
        </w:rPr>
        <w:footnoteRef/>
      </w:r>
      <w:r>
        <w:rPr/>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17">
    <w:p>
      <w:pPr>
        <w:pStyle w:val="Funote"/>
        <w:rPr/>
      </w:pPr>
      <w:r>
        <w:rPr>
          <w:rStyle w:val="Funotenzeichen"/>
        </w:rPr>
        <w:footnoteRef/>
      </w:r>
      <w:r>
        <w:rPr>
          <w:i/>
        </w:rPr>
        <w:tab/>
        <w:t>schwach</w:t>
      </w:r>
      <w:r>
        <w:rPr/>
        <w:t xml:space="preserve"> - Viele Üss. und Lexika: „welk“, aber das wäre überwörtlich (wenn denn „welken“ überhaupt wirklich die Primärbedeutung von </w:t>
      </w:r>
      <w:r>
        <w:rPr>
          <w:i/>
        </w:rPr>
        <w:t>amal</w:t>
      </w:r>
      <w:r>
        <w:rPr/>
        <w:t xml:space="preserve"> ist). Besser trifft die Bedeutung sinngemäß wohl ein wörtlich verstandenes „todtraurig“, „so traurig, dass ich dem Tode nahe bin“; s. z.B. </w:t>
      </w:r>
      <w:hyperlink r:id="rId27">
        <w:r>
          <w:rPr>
            <w:rStyle w:val="Internetverknpfung"/>
          </w:rPr>
          <w:t>Jes 24,4.7</w:t>
        </w:r>
      </w:hyperlink>
      <w:r>
        <w:rPr/>
        <w:t>: „</w:t>
      </w:r>
      <w:r>
        <w:rPr>
          <w:i/>
        </w:rPr>
        <w:t xml:space="preserve">Es trauert und verdorrt die Erde; es </w:t>
      </w:r>
      <w:r>
        <w:rPr/>
        <w:t xml:space="preserve">amal </w:t>
      </w:r>
      <w:r>
        <w:rPr>
          <w:i/>
        </w:rPr>
        <w:t xml:space="preserve">und verdorrt die Welt; es </w:t>
      </w:r>
      <w:r>
        <w:rPr/>
        <w:t xml:space="preserve">amal </w:t>
      </w:r>
      <w:r>
        <w:rPr>
          <w:i/>
        </w:rPr>
        <w:t xml:space="preserve">die Höhen der Erde. ... Es trauert die Rebe, es </w:t>
      </w:r>
      <w:r>
        <w:rPr/>
        <w:t xml:space="preserve">amal </w:t>
      </w:r>
      <w:r>
        <w:rPr>
          <w:i/>
        </w:rPr>
        <w:t>der Wein; es seufzen alle, die fröhlichen Herzens [waren].</w:t>
      </w:r>
      <w:r>
        <w:rPr/>
        <w:t xml:space="preserve">“; </w:t>
      </w:r>
      <w:hyperlink r:id="rId28">
        <w:r>
          <w:rPr>
            <w:rStyle w:val="Internetverknpfung"/>
          </w:rPr>
          <w:t>Hos 4,3</w:t>
        </w:r>
      </w:hyperlink>
      <w:r>
        <w:rPr/>
        <w:t>: „</w:t>
      </w:r>
      <w:r>
        <w:rPr>
          <w:i/>
        </w:rPr>
        <w:t xml:space="preserve">Deshalb wird trauern das Land und es </w:t>
      </w:r>
      <w:r>
        <w:rPr/>
        <w:t xml:space="preserve">amal </w:t>
      </w:r>
      <w:r>
        <w:rPr>
          <w:i/>
        </w:rPr>
        <w:t>alle, die darin wohnen. Die Tiere des Feldes, die Vögel des Himmels und die Fische des Meeres werden dahingerafft.</w:t>
      </w:r>
      <w:r>
        <w:rPr/>
        <w:t>“ u.ö.</w:t>
      </w:r>
    </w:p>
  </w:footnote>
  <w:footnote w:id="518">
    <w:p>
      <w:pPr>
        <w:pStyle w:val="Funote"/>
        <w:rPr/>
      </w:pPr>
      <w:r>
        <w:rPr>
          <w:rStyle w:val="Funotenzeichen"/>
        </w:rPr>
        <w:footnoteRef/>
      </w:r>
      <w:r>
        <w:rPr/>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w:t>
      </w:r>
    </w:p>
  </w:footnote>
  <w:footnote w:id="519">
    <w:p>
      <w:pPr>
        <w:pStyle w:val="Funote"/>
        <w:rPr/>
      </w:pPr>
      <w:r>
        <w:rPr>
          <w:rStyle w:val="Funotenzeichen"/>
        </w:rPr>
        <w:footnoteRef/>
      </w:r>
      <w:r>
        <w:rPr/>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20">
    <w:p>
      <w:pPr>
        <w:pStyle w:val="Funote"/>
        <w:rPr/>
      </w:pPr>
      <w:r>
        <w:rPr>
          <w:rStyle w:val="Funotenzeichen"/>
        </w:rPr>
        <w:footnoteRef/>
      </w:r>
      <w:r>
        <w:rPr/>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21">
    <w:p>
      <w:pPr>
        <w:pStyle w:val="Funote"/>
        <w:rPr/>
      </w:pPr>
      <w:r>
        <w:rPr>
          <w:rStyle w:val="Funotenzeichen"/>
        </w:rPr>
        <w:footnoteRef/>
      </w:r>
      <w:r>
        <w:rPr/>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22">
    <w:p>
      <w:pPr>
        <w:pStyle w:val="Funote"/>
        <w:rPr/>
      </w:pPr>
      <w:r>
        <w:rPr>
          <w:rStyle w:val="Funotenzeichen"/>
        </w:rPr>
        <w:footnoteRef/>
      </w:r>
      <w:r>
        <w:rPr>
          <w:i/>
        </w:rPr>
        <w:tab/>
        <w:t>meine Seele (mich)</w:t>
      </w:r>
      <w:r>
        <w:rPr/>
        <w:t xml:space="preserve"> - „Seele“ im Heb. fast stets Wechselbegriff für „Ich“; übersetze: „Rette </w:t>
      </w:r>
      <w:r>
        <w:rPr>
          <w:i/>
        </w:rPr>
        <w:t>mich</w:t>
      </w:r>
      <w:r>
        <w:rPr/>
        <w:t>!“</w:t>
      </w:r>
    </w:p>
  </w:footnote>
  <w:footnote w:id="523">
    <w:p>
      <w:pPr>
        <w:pStyle w:val="Funote"/>
        <w:rPr/>
      </w:pPr>
      <w:r>
        <w:rPr>
          <w:rStyle w:val="Funotenzeichen"/>
        </w:rPr>
        <w:footnoteRef/>
      </w:r>
      <w:r>
        <w:rPr/>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24">
    <w:p>
      <w:pPr>
        <w:pStyle w:val="Funote"/>
        <w:rPr/>
      </w:pPr>
      <w:r>
        <w:rPr>
          <w:rStyle w:val="Funotenzeichen"/>
        </w:rPr>
        <w:footnoteRef/>
      </w:r>
      <w:r>
        <w:rPr>
          <w:i/>
        </w:rPr>
        <w:tab/>
        <w:t>Totenreich</w:t>
      </w:r>
      <w:r>
        <w:rPr/>
        <w:t xml:space="preserve"> + </w:t>
      </w:r>
      <w:r>
        <w:rPr>
          <w:i/>
        </w:rPr>
        <w:t>Scheol</w:t>
      </w:r>
      <w:r>
        <w:rPr/>
        <w:t>: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w:t>
      </w:r>
    </w:p>
  </w:footnote>
  <w:footnote w:id="525">
    <w:p>
      <w:pPr>
        <w:pStyle w:val="Funote"/>
        <w:rPr/>
      </w:pPr>
      <w:r>
        <w:rPr>
          <w:rStyle w:val="Funotenzeichen"/>
        </w:rPr>
        <w:footnoteRef/>
      </w:r>
      <w:r>
        <w:rPr/>
        <w:tab/>
        <w:t>Zum Argument in V. 6, JHWH möge doch den Psalmisten retten, weil er mit dessen Tod ja einen Anbeter verlöre, s. z.B. Ps 30,10; 88,11-13; Jes 38,17f) und das Argument wird in Jes 48,9-11 sogar ähnlich von JHWH selbst angewandt.</w:t>
      </w:r>
    </w:p>
  </w:footnote>
  <w:footnote w:id="526">
    <w:p>
      <w:pPr>
        <w:pStyle w:val="Funote"/>
        <w:rPr/>
      </w:pPr>
      <w:r>
        <w:rPr>
          <w:rStyle w:val="Funotenzeichen"/>
        </w:rPr>
        <w:footnoteRef/>
      </w:r>
      <w:r>
        <w:rPr/>
        <w:tab/>
        <w:t>tFN: Schluchzen trifft es besser als das häufig gefundene „Seufzen“. Sowohl beim Verb als auch beim Nomen passt diese Bedeutung an sämtlichen Stellen wesentlich besser. So z. St. Dahood 1965; Houston/Moore/Waltke 2014; BBE, EVD, NCV, NLT.</w:t>
      </w:r>
    </w:p>
  </w:footnote>
  <w:footnote w:id="527">
    <w:p>
      <w:pPr>
        <w:pStyle w:val="Funote"/>
        <w:rPr/>
      </w:pPr>
      <w:r>
        <w:rPr>
          <w:rStyle w:val="Funotenzeichen"/>
        </w:rPr>
        <w:footnoteRef/>
      </w:r>
      <w:r>
        <w:rPr/>
        <w:tab/>
        <w:t>tFN: überflute (lasse schwimmen) + weiche auf - zur Deutung der Bedeutung des ersten Verbs als „überfluten“ statt „schwimmen lassen“ vgl. Bosworth 2013, S. 39; von Soden 1991, S. 165f; zur Deutung des zweiten Verbs als „aufweichen“ von Soden 1991, S. 166.</w:t>
      </w:r>
    </w:p>
  </w:footnote>
  <w:footnote w:id="528">
    <w:p>
      <w:pPr>
        <w:pStyle w:val="Funote"/>
        <w:rPr/>
      </w:pPr>
      <w:r>
        <w:rPr>
          <w:rStyle w:val="Funotenzeichen"/>
        </w:rPr>
        <w:footnoteRef/>
      </w:r>
      <w:r>
        <w:rPr/>
        <w:tab/>
        <w:t>tFN: jede Nacht statt „die ganze Nacht“; diese iterative Deutung fordert die Verbform (Yiqtol).</w:t>
      </w:r>
    </w:p>
  </w:footnote>
  <w:footnote w:id="529">
    <w:p>
      <w:pPr>
        <w:pStyle w:val="Funote"/>
        <w:rPr/>
      </w:pPr>
      <w:r>
        <w:rPr>
          <w:rStyle w:val="Funotenzeichen"/>
        </w:rPr>
        <w:footnoteRef/>
      </w:r>
      <w:r>
        <w:rPr/>
        <w:tab/>
        <w:t>tFN: [mit meinen Tränen] - Brachylogie aus Zeile 3; vgl. auch Goldingay 2006, S. 138.</w:t>
      </w:r>
    </w:p>
  </w:footnote>
  <w:footnote w:id="530">
    <w:p>
      <w:pPr>
        <w:pStyle w:val="Funote"/>
        <w:rPr/>
      </w:pPr>
      <w:r>
        <w:rPr>
          <w:rStyle w:val="Funotenzeichen"/>
        </w:rPr>
        <w:footnoteRef/>
      </w:r>
      <w:r>
        <w:rPr/>
        <w:tab/>
        <w:t>tFN: [jede Nacht] - Brachylogie aus Zeile 2; vgl. auch Goldingay 2006, S. 138.</w:t>
      </w:r>
    </w:p>
  </w:footnote>
  <w:footnote w:id="531">
    <w:p>
      <w:pPr>
        <w:pStyle w:val="Funote"/>
        <w:rPr/>
      </w:pPr>
      <w:r>
        <w:rPr>
          <w:rStyle w:val="Funotenzeichen"/>
        </w:rPr>
        <w:footnoteRef/>
      </w:r>
      <w:r>
        <w:rPr/>
        <w:tab/>
        <w:t>Schwach geworden (dunkel geworden, geeitert, angeschwollen, hochmütig?) - Bed. unsicher (-&gt; Tris legomenon); sonst nur noch in Ps 31,10f. Für eine Übersicht über ältere Deutungen vgl. Zolli 1951; am sinnvollsten abzuleiten von arab. ghatha („dünn/schwach werden; eitern“; vgl. z.B. Klein 1987, S. 489); daher: „Mein Auge ist schwach geworden (ZLH 635) / geeitert (Lambert 1899, S. 1899, S. 393)“. Zum Sinn vgl. FN j zu Ps 13,5.</w:t>
      </w:r>
    </w:p>
  </w:footnote>
  <w:footnote w:id="532">
    <w:p>
      <w:pPr>
        <w:pStyle w:val="Funote"/>
        <w:rPr/>
      </w:pPr>
      <w:r>
        <w:rPr>
          <w:rStyle w:val="Funotenzeichen"/>
        </w:rPr>
        <w:footnoteRef/>
      </w:r>
      <w:r>
        <w:rPr/>
        <w:tab/>
        <w:t>tFN: meine Augen - W. „mein Auge“; kollektiver Singular, vgl. z.B. Houston/Moore/Waltke 2014, S. 51.</w:t>
      </w:r>
    </w:p>
  </w:footnote>
  <w:footnote w:id="533">
    <w:p>
      <w:pPr>
        <w:pStyle w:val="Funote"/>
        <w:rPr/>
      </w:pPr>
      <w:r>
        <w:rPr>
          <w:rStyle w:val="Funotenzeichen"/>
        </w:rPr>
        <w:footnoteRef/>
      </w:r>
      <w:r>
        <w:rPr/>
        <w:tab/>
        <w:t>Textkritik: ich bin gealtert wegen (sie sind gealtert wegen) - Heb. „sie sind gealtert“; die Rede von den „gealterten Augen“ aber ist recht schwierig. Viele übersetzen daher freier als „sind schwach/matt geworden“ (vgl. auch hier zum Sinn FN j zu Ps 13,5), was aber wohl nicht in der Wortbedeutung liegen kann. LXX, Syr, Aq, Sym, Hier hatten offenbar einheitlich stattdessen den Text „ich bin gealtert“ vorliegen; diese Lesart ist sicher vorzuziehen.</w:t>
      </w:r>
    </w:p>
  </w:footnote>
  <w:footnote w:id="534">
    <w:p>
      <w:pPr>
        <w:pStyle w:val="Funote"/>
        <w:rPr/>
      </w:pPr>
      <w:r>
        <w:rPr>
          <w:rStyle w:val="Funotenzeichen"/>
        </w:rPr>
        <w:footnoteRef/>
      </w:r>
      <w:r>
        <w:rPr>
          <w:i/>
        </w:rPr>
        <w:tab/>
        <w:t>Frevler</w:t>
      </w:r>
      <w:r>
        <w:rPr/>
        <w:t xml:space="preserve"> - stehende Wendung im Hebräischen; W.: „alle Tuenden von Frevel“.</w:t>
        <w:br/>
        <w:t>Erst in diesem Vers wird offenbar, was eigentlich genau das Leid ist, das der Beter die vorigen acht Verse hindurch beklagt hat: Er wird von frevlerischen Feinden bedrängt.</w:t>
      </w:r>
    </w:p>
  </w:footnote>
  <w:footnote w:id="535">
    <w:p>
      <w:pPr>
        <w:pStyle w:val="Funote"/>
        <w:rPr/>
      </w:pPr>
      <w:r>
        <w:rPr>
          <w:rStyle w:val="Funotenzeichen"/>
        </w:rPr>
        <w:footnoteRef/>
      </w:r>
      <w:r>
        <w:rPr/>
        <w:tab/>
        <w:t>tFN: {Ja!,} (denn) - emphatisches ki, im Dt. nicht zu übersetzen.</w:t>
      </w:r>
    </w:p>
  </w:footnote>
  <w:footnote w:id="536">
    <w:p>
      <w:pPr>
        <w:pStyle w:val="Funote"/>
        <w:rPr/>
      </w:pPr>
      <w:r>
        <w:rPr>
          <w:rStyle w:val="Funotenzeichen"/>
        </w:rPr>
        <w:footnoteRef/>
      </w:r>
      <w:r>
        <w:rPr>
          <w:i/>
        </w:rPr>
        <w:tab/>
        <w:t>Klang meines Weinens</w:t>
      </w:r>
      <w:r>
        <w:rPr/>
        <w:t xml:space="preserve"> + </w:t>
      </w:r>
      <w:r>
        <w:rPr>
          <w:i/>
        </w:rPr>
        <w:t>Bitten</w:t>
      </w:r>
      <w:r>
        <w:rPr/>
        <w:t xml:space="preserve"> + </w:t>
      </w:r>
      <w:r>
        <w:rPr>
          <w:i/>
        </w:rPr>
        <w:t>Gebet (Bittgebet)</w:t>
      </w:r>
      <w:r>
        <w:rPr/>
        <w:t xml:space="preserve"> - Die Aufeinanderfolge dieser drei Begriffe verdichtet eine Progression von unartikuliert nach artikuliert: </w:t>
      </w:r>
      <w:r>
        <w:rPr>
          <w:i/>
        </w:rPr>
        <w:t>qol</w:t>
      </w:r>
      <w:r>
        <w:rPr/>
        <w:t xml:space="preserve"> („Klang“) bezeichnet primär das rein Akustische (das „Geräusch“) – der „Klang des Weinens“ sind also die unartikulierten Klagelaute –; </w:t>
      </w:r>
      <w:r>
        <w:rPr>
          <w:i/>
        </w:rPr>
        <w:t>tehinna</w:t>
      </w:r>
      <w:r>
        <w:rPr/>
        <w:t xml:space="preserve"> („Bitten“) meint den Akt der flehenden Hinwendung im Gebet und </w:t>
      </w:r>
      <w:r>
        <w:rPr>
          <w:i/>
        </w:rPr>
        <w:t>täfilla</w:t>
      </w:r>
      <w:r>
        <w:rPr/>
        <w:t xml:space="preserve"> ist eine Psalm</w:t>
      </w:r>
      <w:r>
        <w:rPr>
          <w:i/>
        </w:rPr>
        <w:t>gattung</w:t>
      </w:r>
      <w:r>
        <w:rPr/>
        <w:t xml:space="preserve"> – das „Bitt-/Klagegebet“.</w:t>
      </w:r>
    </w:p>
  </w:footnote>
  <w:footnote w:id="537">
    <w:p>
      <w:pPr>
        <w:pStyle w:val="Funote"/>
        <w:rPr/>
      </w:pPr>
      <w:r>
        <w:rPr>
          <w:rStyle w:val="Funotenzeichen"/>
        </w:rPr>
        <w:footnoteRef/>
      </w:r>
      <w:r>
        <w:rPr/>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38">
    <w:p>
      <w:pPr>
        <w:pStyle w:val="Funote"/>
        <w:rPr/>
      </w:pPr>
      <w:r>
        <w:rPr>
          <w:rStyle w:val="Funotenzeichen"/>
        </w:rPr>
        <w:footnoteRef/>
      </w:r>
      <w:r>
        <w:rPr/>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9">
    <w:p>
      <w:pPr>
        <w:pStyle w:val="Funote"/>
        <w:rPr/>
      </w:pPr>
      <w:r>
        <w:rPr>
          <w:rStyle w:val="Funotenzeichen"/>
        </w:rPr>
        <w:footnoteRef/>
      </w:r>
      <w:r>
        <w:rPr/>
        <w:tab/>
        <w:t>[Status: Zuverlässig]</w:t>
      </w:r>
    </w:p>
  </w:footnote>
  <w:footnote w:id="540">
    <w:p>
      <w:pPr>
        <w:pStyle w:val="Funote"/>
        <w:rPr/>
      </w:pPr>
      <w:r>
        <w:rPr>
          <w:rStyle w:val="Funotenzeichen"/>
        </w:rPr>
        <w:footnoteRef/>
      </w:r>
      <w:r>
        <w:rPr>
          <w:i/>
        </w:rPr>
        <w:tab/>
        <w:t>Shiggajon</w:t>
      </w:r>
      <w:r>
        <w:rPr/>
        <w:t xml:space="preserve"> - Bedeutung unbekannt. Das Wort findet sich sonst nur noch in </w:t>
      </w:r>
      <w:hyperlink r:id="rId29">
        <w:r>
          <w:rPr>
            <w:rStyle w:val="Internetverknpfung"/>
          </w:rPr>
          <w:t>Hab 3,1</w:t>
        </w:r>
      </w:hyperlink>
      <w:r>
        <w:rPr/>
        <w:t xml:space="preserve">. Viele leiten die Bedeutung vom akkadischen </w:t>
      </w:r>
      <w:r>
        <w:rPr>
          <w:i/>
        </w:rPr>
        <w:t>schigû</w:t>
      </w:r>
      <w:r>
        <w:rPr/>
        <w:t xml:space="preserve"> („Klageruf“) ab und übersetzen mit „Klagelied“, doch in Hab 3,1 passt diese Bedeutung nicht.</w:t>
      </w:r>
    </w:p>
  </w:footnote>
  <w:footnote w:id="541">
    <w:p>
      <w:pPr>
        <w:pStyle w:val="Funote"/>
        <w:rPr/>
      </w:pPr>
      <w:r>
        <w:rPr>
          <w:rStyle w:val="Funotenzeichen"/>
        </w:rPr>
        <w:footnoteRef/>
      </w:r>
      <w:r>
        <w:rPr>
          <w:i/>
        </w:rPr>
        <w:tab/>
        <w:t>Kuschs, des Benjaminiten</w:t>
      </w:r>
      <w:r>
        <w:rPr/>
        <w:t xml:space="preserve"> - Ein Benjaminiter mit Namen Kusch ist in der Bibel unbekannt. Die Überschrift bezieht sich wohl auf eine nicht mehr erhaltene Davidslegende.</w:t>
      </w:r>
    </w:p>
  </w:footnote>
  <w:footnote w:id="542">
    <w:p>
      <w:pPr>
        <w:pStyle w:val="Funote"/>
        <w:rPr/>
      </w:pPr>
      <w:r>
        <w:rPr>
          <w:rStyle w:val="Funotenzeichen"/>
        </w:rPr>
        <w:footnoteRef/>
      </w:r>
      <w:r>
        <w:rPr/>
        <w:tab/>
        <w:t>er - gemeint sind die Verfolger. Das Heb. kann v.a. in Poesie unvermittelt von einem Numerus zum anderen wechseln („N-Shift“), ohne dass dies einen Bedeutungsunterschied machen würde. Im Dt. muss mit Plural übertragen werden.</w:t>
      </w:r>
    </w:p>
  </w:footnote>
  <w:footnote w:id="543">
    <w:p>
      <w:pPr>
        <w:pStyle w:val="Funote"/>
        <w:rPr/>
      </w:pPr>
      <w:r>
        <w:rPr>
          <w:rStyle w:val="Funotenzeichen"/>
        </w:rPr>
        <w:footnoteRef/>
      </w:r>
      <w:r>
        <w:rPr>
          <w:i/>
        </w:rPr>
        <w:tab/>
        <w:t>meine Seele (mich)</w:t>
      </w:r>
      <w:r>
        <w:rPr/>
        <w:t xml:space="preserve"> - „meine Seele“ ist im Heb. fast stets ein Wechselbegriff für „ich“; so auch hier.</w:t>
      </w:r>
    </w:p>
  </w:footnote>
  <w:footnote w:id="544">
    <w:p>
      <w:pPr>
        <w:pStyle w:val="Funote"/>
        <w:rPr/>
      </w:pPr>
      <w:r>
        <w:rPr>
          <w:rStyle w:val="Funotenzeichen"/>
        </w:rPr>
        <w:footnoteRef/>
      </w:r>
      <w:r>
        <w:rPr/>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45">
    <w:p>
      <w:pPr>
        <w:pStyle w:val="Funote"/>
        <w:rPr/>
      </w:pPr>
      <w:r>
        <w:rPr>
          <w:rStyle w:val="Funotenzeichen"/>
        </w:rPr>
        <w:footnoteRef/>
      </w:r>
      <w:r>
        <w:rPr/>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46">
    <w:p>
      <w:pPr>
        <w:pStyle w:val="Funote"/>
        <w:rPr/>
      </w:pPr>
      <w:r>
        <w:rPr>
          <w:rStyle w:val="Funotenzeichen"/>
        </w:rPr>
        <w:footnoteRef/>
      </w:r>
      <w:r>
        <w:rPr/>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47">
    <w:p>
      <w:pPr>
        <w:pStyle w:val="Funote"/>
        <w:rPr/>
      </w:pPr>
      <w:r>
        <w:rPr>
          <w:rStyle w:val="Funotenzeichen"/>
        </w:rPr>
        <w:footnoteRef/>
      </w:r>
      <w:r>
        <w:rPr>
          <w:i/>
        </w:rPr>
        <w:tab/>
        <w:t>dem, der</w:t>
      </w:r>
      <w:r>
        <w:rPr/>
        <w:t xml:space="preserve"> - gemeint sind mit dem Sg. wieder die vielen Verfolger, s. die nächste Zeile und vgl. </w:t>
      </w:r>
      <w:r>
        <w:fldChar w:fldCharType="begin"/>
      </w:r>
      <w:r>
        <w:rPr>
          <w:rStyle w:val="Internetverknpfung"/>
        </w:rPr>
        <w:instrText> HYPERLINK "http://offene-bibel.de/mediawiki/index.php?title=Psalm_7" \l "note_c"</w:instrText>
      </w:r>
      <w:r>
        <w:rPr>
          <w:rStyle w:val="Internetverknpfung"/>
        </w:rPr>
        <w:fldChar w:fldCharType="separate"/>
      </w:r>
      <w:r>
        <w:rPr>
          <w:rStyle w:val="Internetverknpfung"/>
        </w:rPr>
        <w:t>FN c</w:t>
      </w:r>
      <w:r>
        <w:rPr>
          <w:rStyle w:val="Internetverknpfung"/>
        </w:rPr>
        <w:fldChar w:fldCharType="end"/>
      </w:r>
    </w:p>
  </w:footnote>
  <w:footnote w:id="548">
    <w:p>
      <w:pPr>
        <w:pStyle w:val="Funote"/>
        <w:rPr/>
      </w:pPr>
      <w:r>
        <w:rPr>
          <w:rStyle w:val="Funotenzeichen"/>
        </w:rPr>
        <w:footnoteRef/>
      </w:r>
      <w:r>
        <w:rPr/>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9">
    <w:p>
      <w:pPr>
        <w:pStyle w:val="Funote"/>
        <w:rPr/>
      </w:pPr>
      <w:r>
        <w:rPr>
          <w:rStyle w:val="Funotenzeichen"/>
        </w:rPr>
        <w:footnoteRef/>
      </w:r>
      <w:r>
        <w:rPr>
          <w:i/>
        </w:rPr>
        <w:tab/>
        <w:t>mich</w:t>
      </w:r>
      <w:r>
        <w:rPr/>
        <w:t xml:space="preserve"> - „Seele“ und „Ehre“ sind in den Psalmen häufig nur Wechselbegriffe für „ich“; so auch hier.</w:t>
      </w:r>
    </w:p>
  </w:footnote>
  <w:footnote w:id="550">
    <w:p>
      <w:pPr>
        <w:pStyle w:val="Funote"/>
        <w:rPr/>
      </w:pPr>
      <w:r>
        <w:rPr>
          <w:rStyle w:val="Funotenzeichen"/>
        </w:rPr>
        <w:footnoteRef/>
      </w:r>
      <w:r>
        <w:rPr/>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51">
    <w:p>
      <w:pPr>
        <w:pStyle w:val="Funote"/>
        <w:rPr/>
      </w:pPr>
      <w:r>
        <w:rPr>
          <w:rStyle w:val="Funotenzeichen"/>
        </w:rPr>
        <w:footnoteRef/>
      </w:r>
      <w:r>
        <w:rPr/>
        <w:tab/>
        <w:t xml:space="preserve">Die Bedeutung von </w:t>
      </w:r>
      <w:r>
        <w:rPr>
          <w:i/>
        </w:rPr>
        <w:t>Selah</w:t>
      </w:r>
      <w:r>
        <w:rPr/>
        <w:t xml:space="preserve"> ist unklar, s. Lexikon / Lemma </w:t>
      </w:r>
      <w:hyperlink r:id="rId30">
        <w:r>
          <w:rPr>
            <w:rStyle w:val="Internetverknpfung"/>
            <w:rtl w:val="true"/>
            <w:lang w:bidi="he-IL"/>
          </w:rPr>
          <w:t>סֶלַה</w:t>
        </w:r>
      </w:hyperlink>
      <w:r>
        <w:rPr/>
        <w:t>. In der LF sollte es daher besser ausgespart werden.</w:t>
      </w:r>
    </w:p>
  </w:footnote>
  <w:footnote w:id="552">
    <w:p>
      <w:pPr>
        <w:pStyle w:val="Funote"/>
        <w:rPr/>
      </w:pPr>
      <w:r>
        <w:rPr>
          <w:rStyle w:val="Funotenzeichen"/>
        </w:rPr>
        <w:footnoteRef/>
      </w:r>
      <w:r>
        <w:rPr>
          <w:i/>
        </w:rPr>
        <w:tab/>
        <w:t>erwache</w:t>
      </w:r>
      <w:r>
        <w:rPr/>
        <w:t xml:space="preserve"> - Hinter diesem häufigen Aufruf steht die Vorstellung, dass - da einerseits ja Gott die ganze Welt lenkt und leitet, andererseits aber offensichtlich gerade ein Unrecht geschieht - Gott aktuell „inaktiv“ sein muss (vgl. näher z.B. </w:t>
      </w:r>
      <w:r>
        <w:fldChar w:fldCharType="begin"/>
      </w:r>
      <w:r>
        <w:rPr>
          <w:rStyle w:val="Internetverknpfung"/>
        </w:rPr>
        <w:instrText> HYPERLINK "http://www.bibelwissenschaft.de/stichwort/26737/" \l "h2"</w:instrText>
      </w:r>
      <w:r>
        <w:rPr>
          <w:rStyle w:val="Internetverknpfung"/>
        </w:rPr>
        <w:fldChar w:fldCharType="separate"/>
      </w:r>
      <w:r>
        <w:rPr>
          <w:rStyle w:val="Internetverknpfung"/>
        </w:rPr>
        <w:t>Schlaf (Wibilex)</w:t>
      </w:r>
      <w:r>
        <w:rPr>
          <w:rStyle w:val="Internetverknpfung"/>
        </w:rPr>
        <w:fldChar w:fldCharType="end"/>
      </w:r>
      <w:r>
        <w:rPr/>
        <w:t xml:space="preserve">). Ob dies „schlafen“ wirklich </w:t>
      </w:r>
      <w:r>
        <w:rPr>
          <w:i/>
        </w:rPr>
        <w:t>nur</w:t>
      </w:r>
      <w:r>
        <w:rPr/>
        <w:t xml:space="preserve"> eine Metapher für die Inaktivität Gottes ist, oder ob die Vorstellung tatsächlich wörtlich genommen werden muss, lässt sich heute nicht mehr sagen.</w:t>
      </w:r>
    </w:p>
  </w:footnote>
  <w:footnote w:id="553">
    <w:p>
      <w:pPr>
        <w:pStyle w:val="Funote"/>
        <w:rPr/>
      </w:pPr>
      <w:r>
        <w:rPr>
          <w:rStyle w:val="Funotenzeichen"/>
        </w:rPr>
        <w:footnoteRef/>
      </w:r>
      <w:r>
        <w:rPr/>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54">
    <w:p>
      <w:pPr>
        <w:pStyle w:val="Funote"/>
        <w:rPr/>
      </w:pPr>
      <w:r>
        <w:rPr>
          <w:rStyle w:val="Funotenzeichen"/>
        </w:rPr>
        <w:footnoteRef/>
      </w:r>
      <w:r>
        <w:rPr/>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55">
    <w:p>
      <w:pPr>
        <w:pStyle w:val="Funote"/>
        <w:rPr/>
      </w:pPr>
      <w:r>
        <w:rPr>
          <w:rStyle w:val="Funotenzeichen"/>
        </w:rPr>
        <w:footnoteRef/>
      </w:r>
      <w:r>
        <w:rPr>
          <w:i/>
        </w:rPr>
        <w:tab/>
        <w:t>Und über sie kehre zur Höhe zurück</w:t>
      </w:r>
      <w:r>
        <w:rPr/>
        <w:t xml:space="preserve"> - nämlich, nachdem du erwacht bist, auf deinen himmlischen „Richterthron“ (4Esr 7,33), um dein Richtamt auszuüben; s. die Parallelstellen und vgl. zur Vorstellung z.B. </w:t>
      </w:r>
      <w:r>
        <w:fldChar w:fldCharType="begin"/>
      </w:r>
      <w:r>
        <w:rPr>
          <w:rStyle w:val="Internetverknpfung"/>
        </w:rPr>
        <w:instrText> HYPERLINK "http://www.bibelwissenschaft.de/stichwort/32258/" \l "h8"</w:instrText>
      </w:r>
      <w:r>
        <w:rPr>
          <w:rStyle w:val="Internetverknpfung"/>
        </w:rPr>
        <w:fldChar w:fldCharType="separate"/>
      </w:r>
      <w:r>
        <w:rPr>
          <w:rStyle w:val="Internetverknpfung"/>
        </w:rPr>
        <w:t>Tag Jahwes (AT) (Wibilex)</w:t>
      </w:r>
      <w:r>
        <w:rPr>
          <w:rStyle w:val="Internetverknpfung"/>
        </w:rPr>
        <w:fldChar w:fldCharType="end"/>
      </w:r>
      <w:r>
        <w:rPr/>
        <w:t>.</w:t>
      </w:r>
    </w:p>
  </w:footnote>
  <w:footnote w:id="556">
    <w:p>
      <w:pPr>
        <w:pStyle w:val="Funote"/>
        <w:rPr/>
      </w:pPr>
      <w:r>
        <w:rPr>
          <w:rStyle w:val="Funotenzeichen"/>
        </w:rPr>
        <w:footnoteRef/>
      </w:r>
      <w:r>
        <w:rPr/>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57">
    <w:p>
      <w:pPr>
        <w:pStyle w:val="Funote"/>
        <w:rPr/>
      </w:pPr>
      <w:r>
        <w:rPr>
          <w:rStyle w:val="Funotenzeichen"/>
        </w:rPr>
        <w:footnoteRef/>
      </w:r>
      <w:r>
        <w:rPr/>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58">
    <w:p>
      <w:pPr>
        <w:pStyle w:val="Funote"/>
        <w:rPr/>
      </w:pPr>
      <w:r>
        <w:rPr>
          <w:rStyle w:val="Funotenzeichen"/>
        </w:rPr>
        <w:footnoteRef/>
      </w:r>
      <w:r>
        <w:rPr>
          <w:i/>
        </w:rPr>
        <w:tab/>
        <w:t>gemäß meiner Gerechtigkeit</w:t>
      </w:r>
      <w:r>
        <w:rPr/>
        <w:t xml:space="preserve"> - d.h., wie dies meiner Gerechtigkeit angemessen wäre.</w:t>
      </w:r>
    </w:p>
  </w:footnote>
  <w:footnote w:id="559">
    <w:p>
      <w:pPr>
        <w:pStyle w:val="Funote"/>
        <w:rPr/>
      </w:pPr>
      <w:r>
        <w:rPr>
          <w:rStyle w:val="Funotenzeichen"/>
        </w:rPr>
        <w:footnoteRef/>
      </w:r>
      <w:r>
        <w:rPr>
          <w:i/>
        </w:rPr>
        <w:tab/>
        <w:t>[die] auf mir [ist]</w:t>
      </w:r>
      <w:r>
        <w:rPr/>
        <w:t xml:space="preserve"> - vielleicht ein Wortspiel: Dass Unschuld „auf“ jemandem ist, ist auch im Heb. nicht idiomatisch. Vielleicht soll hier mit der Vorstellung von Sündigkeit und Ungerechtigkeit, die „auf“ (</w:t>
      </w:r>
      <w:hyperlink r:id="rId31">
        <w:r>
          <w:rPr>
            <w:rStyle w:val="Internetverknpfung"/>
          </w:rPr>
          <w:t>Ez 33,10</w:t>
        </w:r>
      </w:hyperlink>
      <w:r>
        <w:rPr/>
        <w:t xml:space="preserve">; auch </w:t>
      </w:r>
      <w:hyperlink r:id="rId32">
        <w:r>
          <w:rPr>
            <w:rStyle w:val="Internetverknpfung"/>
          </w:rPr>
          <w:t>Ez 18,31</w:t>
        </w:r>
      </w:hyperlink>
      <w:r>
        <w:rPr/>
        <w:t>: „Werft von auf euch alle Übertretungen...“) jemandem lastet (</w:t>
      </w:r>
      <w:hyperlink r:id="rId33">
        <w:r>
          <w:rPr>
            <w:rStyle w:val="Internetverknpfung"/>
          </w:rPr>
          <w:t>Jes 24,20</w:t>
        </w:r>
      </w:hyperlink>
      <w:r>
        <w:rPr/>
        <w:t>) wie ein Joch (</w:t>
      </w:r>
      <w:hyperlink r:id="rId34">
        <w:r>
          <w:rPr>
            <w:rStyle w:val="Internetverknpfung"/>
          </w:rPr>
          <w:t>Klg 1,14</w:t>
        </w:r>
      </w:hyperlink>
      <w:r>
        <w:rPr/>
        <w:t xml:space="preserve">), gespielt werden: </w:t>
      </w:r>
      <w:r>
        <w:rPr>
          <w:i/>
        </w:rPr>
        <w:t>Solche</w:t>
      </w:r>
      <w:r>
        <w:rPr/>
        <w:t xml:space="preserve"> lasten gerade nicht auf dem Beter; auf </w:t>
      </w:r>
      <w:r>
        <w:rPr>
          <w:i/>
        </w:rPr>
        <w:t>ihm</w:t>
      </w:r>
      <w:r>
        <w:rPr/>
        <w:t xml:space="preserve"> lastet nur </w:t>
      </w:r>
      <w:r>
        <w:rPr>
          <w:i/>
        </w:rPr>
        <w:t>Unschuld</w:t>
      </w:r>
      <w:r>
        <w:rPr/>
        <w:t>.</w:t>
      </w:r>
    </w:p>
  </w:footnote>
  <w:footnote w:id="560">
    <w:p>
      <w:pPr>
        <w:pStyle w:val="Funote"/>
        <w:rPr/>
      </w:pPr>
      <w:r>
        <w:rPr>
          <w:rStyle w:val="Funotenzeichen"/>
        </w:rPr>
        <w:footnoteRef/>
      </w:r>
      <w:r>
        <w:rPr>
          <w:i/>
        </w:rPr>
        <w:tab/>
        <w:t>Böses von Frevlern (böse Frevler, Bosheit von Frevler?)</w:t>
      </w:r>
      <w:r>
        <w:rPr/>
        <w:t xml:space="preserve"> - Was auf den ersten Blick „Böses von Frevlern“ zu bedeuten scheint und daher häufig nach „Bosheit von Frevlern“ emendiert worden ist, heißt wohl einfach „böse Frevler“ (zur Konstruktion vgl. </w:t>
      </w:r>
      <w:r>
        <w:fldChar w:fldCharType="begin"/>
      </w:r>
      <w:r>
        <w:rPr>
          <w:rStyle w:val="Internetverknpfung"/>
        </w:rPr>
        <w:instrText> HYPERLINK "http://en.wikisource.org/wiki/Gesenius'_Hebrew_Grammar/132._Connexion_of_the_Substantive_with_the_Adjective" \l "GHGpar-132-c"</w:instrText>
      </w:r>
      <w:r>
        <w:rPr>
          <w:rStyle w:val="Internetverknpfung"/>
        </w:rPr>
        <w:fldChar w:fldCharType="separate"/>
      </w:r>
      <w:r>
        <w:rPr>
          <w:rStyle w:val="Internetverknpfung"/>
        </w:rPr>
        <w:t>GKC § 132c</w:t>
      </w:r>
      <w:r>
        <w:rPr>
          <w:rStyle w:val="Internetverknpfung"/>
        </w:rPr>
        <w:fldChar w:fldCharType="end"/>
      </w:r>
      <w:r>
        <w:rPr/>
        <w:t>).</w:t>
      </w:r>
    </w:p>
  </w:footnote>
  <w:footnote w:id="561">
    <w:p>
      <w:pPr>
        <w:pStyle w:val="Funote"/>
        <w:rPr/>
      </w:pPr>
      <w:r>
        <w:rPr>
          <w:rStyle w:val="Funotenzeichen"/>
        </w:rPr>
        <w:footnoteRef/>
      </w:r>
      <w:r>
        <w:rPr/>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62">
    <w:p>
      <w:pPr>
        <w:pStyle w:val="Funote"/>
        <w:rPr/>
      </w:pPr>
      <w:r>
        <w:rPr>
          <w:rStyle w:val="Funotenzeichen"/>
        </w:rPr>
        <w:footnoteRef/>
      </w:r>
      <w:r>
        <w:rPr/>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63">
    <w:p>
      <w:pPr>
        <w:pStyle w:val="Funote"/>
        <w:rPr/>
      </w:pPr>
      <w:r>
        <w:rPr>
          <w:rStyle w:val="Funotenzeichen"/>
        </w:rPr>
        <w:footnoteRef/>
      </w:r>
      <w:r>
        <w:rPr>
          <w:i/>
        </w:rPr>
        <w:tab/>
        <w:t>Der gerechte Gott prüft Herz und Nieren...</w:t>
      </w:r>
      <w:r>
        <w:rPr/>
        <w:t xml:space="preserve"> - oder: „[Du], gerechter Gott, prüfst Herz und Nieren.“</w:t>
      </w:r>
    </w:p>
  </w:footnote>
  <w:footnote w:id="564">
    <w:p>
      <w:pPr>
        <w:pStyle w:val="Funote"/>
        <w:rPr/>
      </w:pPr>
      <w:r>
        <w:rPr>
          <w:rStyle w:val="Funotenzeichen"/>
        </w:rPr>
        <w:footnoteRef/>
      </w:r>
      <w:r>
        <w:rPr/>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65">
    <w:p>
      <w:pPr>
        <w:pStyle w:val="Funote"/>
        <w:rPr/>
      </w:pPr>
      <w:r>
        <w:rPr>
          <w:rStyle w:val="Funotenzeichen"/>
        </w:rPr>
        <w:footnoteRef/>
      </w:r>
      <w:r>
        <w:rPr/>
        <w:tab/>
        <w:t>der jeden Tag zürnt - nämlich den Frevlern, wie das der Text sicher voraussetzt und wie das schon Tg und heute z.B. GN, NGÜ, NL, T4T ergänzen.</w:t>
      </w:r>
    </w:p>
  </w:footnote>
  <w:footnote w:id="566">
    <w:p>
      <w:pPr>
        <w:pStyle w:val="Funote"/>
        <w:rPr/>
      </w:pPr>
      <w:r>
        <w:rPr>
          <w:rStyle w:val="Funotenzeichen"/>
        </w:rPr>
        <w:footnoteRef/>
      </w:r>
      <w:r>
        <w:rPr/>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67">
    <w:p>
      <w:pPr>
        <w:pStyle w:val="Funote"/>
        <w:rPr/>
      </w:pPr>
      <w:r>
        <w:rPr>
          <w:rStyle w:val="Funotenzeichen"/>
        </w:rPr>
        <w:footnoteRef/>
      </w:r>
      <w:r>
        <w:rPr>
          <w:i/>
        </w:rPr>
        <w:tab/>
        <w:t>ihn aufrichtet</w:t>
      </w:r>
      <w:r>
        <w:rPr/>
        <w:t xml:space="preserve"> - d.h. wohl: „mit ihm zielt“.</w:t>
      </w:r>
    </w:p>
  </w:footnote>
  <w:footnote w:id="568">
    <w:p>
      <w:pPr>
        <w:pStyle w:val="Funote"/>
        <w:rPr/>
      </w:pPr>
      <w:r>
        <w:rPr>
          <w:rStyle w:val="Funotenzeichen"/>
        </w:rPr>
        <w:footnoteRef/>
      </w:r>
      <w:r>
        <w:rPr>
          <w:i/>
        </w:rPr>
        <w:tab/>
        <w:t>zu brennenden</w:t>
      </w:r>
      <w:r>
        <w:rPr/>
        <w:t xml:space="preserve"> - d.h., zu Brandpfeilen.</w:t>
      </w:r>
    </w:p>
  </w:footnote>
  <w:footnote w:id="569">
    <w:p>
      <w:pPr>
        <w:pStyle w:val="Funote"/>
        <w:rPr/>
      </w:pPr>
      <w:r>
        <w:rPr>
          <w:rStyle w:val="Funotenzeichen"/>
        </w:rPr>
        <w:footnoteRef/>
      </w:r>
      <w:r>
        <w:rPr/>
        <w:tab/>
        <w:t>tFN: Wenn (siehe) - zu hinneh mit der Bedeutung „wenn“ vgl. KBL3, S. 242 und s. z.B. 1 Sam 9,7; 2 Sam 18,11; 2 Kön 7,2.</w:t>
      </w:r>
    </w:p>
  </w:footnote>
  <w:footnote w:id="570">
    <w:p>
      <w:pPr>
        <w:pStyle w:val="Funote"/>
        <w:rPr/>
      </w:pPr>
      <w:r>
        <w:rPr>
          <w:rStyle w:val="Funotenzeichen"/>
        </w:rPr>
        <w:footnoteRef/>
      </w:r>
      <w:r>
        <w:rPr/>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71">
    <w:p>
      <w:pPr>
        <w:pStyle w:val="Funote"/>
        <w:rPr/>
      </w:pPr>
      <w:r>
        <w:rPr>
          <w:rStyle w:val="Funotenzeichen"/>
        </w:rPr>
        <w:footnoteRef/>
      </w:r>
      <w:r>
        <w:rPr/>
        <w:tab/>
        <w:t>[Status: Zuverlässig]</w:t>
      </w:r>
    </w:p>
  </w:footnote>
  <w:footnote w:id="572">
    <w:p>
      <w:pPr>
        <w:pStyle w:val="Funote"/>
        <w:rPr/>
      </w:pPr>
      <w:r>
        <w:rPr>
          <w:rStyle w:val="Funotenzeichen"/>
        </w:rPr>
        <w:footnoteRef/>
      </w:r>
      <w:r>
        <w:rPr/>
        <w:tab/>
        <w:t>Genaue Bedeutung unklar. Die gewählte Übersetzung entspricht der Mehrheitsmeinung.</w:t>
      </w:r>
    </w:p>
  </w:footnote>
  <w:footnote w:id="573">
    <w:p>
      <w:pPr>
        <w:pStyle w:val="Funote"/>
        <w:rPr/>
      </w:pPr>
      <w:r>
        <w:rPr>
          <w:rStyle w:val="Funotenzeichen"/>
        </w:rPr>
        <w:footnoteRef/>
      </w:r>
      <w:r>
        <w:rPr/>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74">
    <w:p>
      <w:pPr>
        <w:pStyle w:val="Funote"/>
        <w:rPr/>
      </w:pPr>
      <w:r>
        <w:rPr>
          <w:rStyle w:val="Funotenzeichen"/>
        </w:rPr>
        <w:footnoteRef/>
      </w:r>
      <w:r>
        <w:rPr/>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75">
    <w:p>
      <w:pPr>
        <w:pStyle w:val="Funote"/>
        <w:rPr/>
      </w:pPr>
      <w:r>
        <w:rPr>
          <w:rStyle w:val="Funotenzeichen"/>
        </w:rPr>
        <w:footnoteRef/>
      </w:r>
      <w:r>
        <w:rPr>
          <w:rtl w:val="true"/>
          <w:lang w:bidi="he-IL"/>
        </w:rPr>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76">
    <w:p>
      <w:pPr>
        <w:pStyle w:val="Funote"/>
        <w:rPr/>
      </w:pPr>
      <w:r>
        <w:rPr>
          <w:rStyle w:val="Funotenzeichen"/>
        </w:rPr>
        <w:footnoteRef/>
      </w:r>
      <w:r>
        <w:rPr/>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77">
    <w:p>
      <w:pPr>
        <w:pStyle w:val="Funote"/>
        <w:rPr/>
      </w:pPr>
      <w:r>
        <w:rPr>
          <w:rStyle w:val="Funotenzeichen"/>
        </w:rPr>
        <w:footnoteRef/>
      </w:r>
      <w:r>
        <w:rPr/>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78">
    <w:p>
      <w:pPr>
        <w:pStyle w:val="Funote"/>
        <w:rPr/>
      </w:pPr>
      <w:r>
        <w:rPr>
          <w:rStyle w:val="Funotenzeichen"/>
        </w:rPr>
        <w:footnoteRef/>
      </w:r>
      <w:r>
        <w:rPr/>
        <w:tab/>
        <w:t>Sowohl das Wort für „Kleinkinder“ als auch das für „Säuglinge“ steht für Kinder bis maximal drei Jahren. Die übliche Übersetzung „</w:t>
      </w:r>
      <w:r>
        <w:rPr>
          <w:i/>
        </w:rPr>
        <w:t>Kinder</w:t>
      </w:r>
      <w:r>
        <w:rPr/>
        <w:t xml:space="preserve"> und Säuglinge“ ist also ungenau.</w:t>
      </w:r>
    </w:p>
  </w:footnote>
  <w:footnote w:id="579">
    <w:p>
      <w:pPr>
        <w:pStyle w:val="Funote"/>
        <w:rPr/>
      </w:pPr>
      <w:r>
        <w:rPr>
          <w:rStyle w:val="Funotenzeichen"/>
        </w:rPr>
        <w:footnoteRef/>
      </w:r>
      <w:r>
        <w:rPr/>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80">
    <w:p>
      <w:pPr>
        <w:pStyle w:val="Funote"/>
        <w:rPr/>
      </w:pPr>
      <w:r>
        <w:rPr>
          <w:rStyle w:val="Funotenzeichen"/>
        </w:rPr>
        <w:footnoteRef/>
      </w:r>
      <w:r>
        <w:rPr/>
        <w:tab/>
        <w:t xml:space="preserve">zu „um deiner Gegner willen“ vgl. </w:t>
      </w:r>
      <w:r>
        <w:fldChar w:fldCharType="begin"/>
      </w:r>
      <w:r>
        <w:rPr>
          <w:rStyle w:val="Internetverknpfung"/>
        </w:rPr>
        <w:instrText> HYPERLINK "http://www.offene-bibel.de/wiki/index.php5?title=Psalm_5" \l "note_ad"</w:instrText>
      </w:r>
      <w:r>
        <w:rPr>
          <w:rStyle w:val="Internetverknpfung"/>
        </w:rPr>
        <w:fldChar w:fldCharType="separate"/>
      </w:r>
      <w:r>
        <w:rPr>
          <w:rStyle w:val="Internetverknpfung"/>
        </w:rPr>
        <w:t>FN ad</w:t>
      </w:r>
      <w:r>
        <w:rPr>
          <w:rStyle w:val="Internetverknpfung"/>
        </w:rPr>
        <w:fldChar w:fldCharType="end"/>
      </w:r>
      <w:r>
        <w:rPr/>
        <w:t xml:space="preserve"> zu </w:t>
      </w:r>
      <w:r>
        <w:fldChar w:fldCharType="begin"/>
      </w:r>
      <w:r>
        <w:rPr>
          <w:rStyle w:val="Internetverknpfung"/>
        </w:rPr>
        <w:instrText> HYPERLINK "../../../../../../../../../wiki/Psalm_5" \l "s9"</w:instrText>
      </w:r>
      <w:r>
        <w:rPr>
          <w:rStyle w:val="Internetverknpfung"/>
        </w:rPr>
        <w:fldChar w:fldCharType="separate"/>
      </w:r>
      <w:r>
        <w:rPr>
          <w:rStyle w:val="Internetverknpfung"/>
        </w:rPr>
        <w:t>Ps 5,9</w:t>
      </w:r>
      <w:r>
        <w:rPr>
          <w:rStyle w:val="Internetverknpfung"/>
        </w:rPr>
        <w:fldChar w:fldCharType="end"/>
      </w:r>
      <w:r>
        <w:rPr/>
        <w:t xml:space="preserve">: </w:t>
      </w:r>
      <w:r>
        <w:rPr>
          <w:rtl w:val="true"/>
          <w:lang w:bidi="he-IL"/>
        </w:rPr>
        <w:t>לְמַעַן</w:t>
      </w:r>
      <w:r>
        <w:rPr/>
        <w:t xml:space="preserve"> </w:t>
      </w:r>
      <w:r>
        <w:rPr/>
        <w:t>dient hier wohl zur Bezeichnung der Motivation, die Gott zu einer Handlung veranlassen soll, also wohl „wegen deiner = wider deine Feinde“</w:t>
      </w:r>
    </w:p>
  </w:footnote>
  <w:footnote w:id="581">
    <w:p>
      <w:pPr>
        <w:pStyle w:val="Funote"/>
        <w:rPr/>
      </w:pPr>
      <w:r>
        <w:rPr>
          <w:rStyle w:val="Funotenzeichen"/>
        </w:rPr>
        <w:footnoteRef/>
      </w:r>
      <w:r>
        <w:rPr/>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82">
    <w:p>
      <w:pPr>
        <w:pStyle w:val="Funote"/>
        <w:rPr/>
      </w:pPr>
      <w:r>
        <w:rPr>
          <w:rStyle w:val="Funotenzeichen"/>
        </w:rPr>
        <w:footnoteRef/>
      </w:r>
      <w:r>
        <w:rPr/>
        <w:tab/>
        <w:t>In der biblischen Poesie werden Zitate häufig nicht durch verba dicendi eingeleitet; im Deutschen muss man diese Redeeinleitungen ergänzen. Vgl. dazu ad loc. z.B. GKC §159dd.</w:t>
      </w:r>
    </w:p>
  </w:footnote>
  <w:footnote w:id="583">
    <w:p>
      <w:pPr>
        <w:pStyle w:val="Funote"/>
        <w:rPr/>
      </w:pPr>
      <w:r>
        <w:rPr>
          <w:rStyle w:val="Funotenzeichen"/>
        </w:rPr>
        <w:footnoteRef/>
      </w:r>
      <w:r>
        <w:rPr/>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84">
    <w:p>
      <w:pPr>
        <w:pStyle w:val="Funote"/>
        <w:rPr/>
      </w:pPr>
      <w:r>
        <w:rPr>
          <w:rStyle w:val="Funotenzeichen"/>
        </w:rPr>
        <w:footnoteRef/>
      </w:r>
      <w:r>
        <w:rPr/>
        <w:tab/>
        <w:t xml:space="preserve">Das „Erinnern“ und „Beachten“ Gottes ist nicht wörtlich zu verstehen, sondern beides sind geprägte Wendungen für ein Handeln Gottes an dem, dessen er sich „erinnert“ oder auf den er „achtet“. Ist es nicht näher bestimmt, meint es meist ein </w:t>
      </w:r>
      <w:r>
        <w:rPr>
          <w:i/>
        </w:rPr>
        <w:t>heilsames</w:t>
      </w:r>
      <w:r>
        <w:rPr/>
        <w:t xml:space="preserve"> Handeln; so auch hier. Vgl. zu „Erinnern“ </w:t>
      </w:r>
      <w:r>
        <w:fldChar w:fldCharType="begin"/>
      </w:r>
      <w:r>
        <w:rPr>
          <w:rStyle w:val="Internetverknpfung"/>
        </w:rPr>
        <w:instrText> HYPERLINK "../../../../../../../../../wiki/Genesis_8" \l "s1"</w:instrText>
      </w:r>
      <w:r>
        <w:rPr>
          <w:rStyle w:val="Internetverknpfung"/>
        </w:rPr>
        <w:fldChar w:fldCharType="separate"/>
      </w:r>
      <w:r>
        <w:rPr>
          <w:rStyle w:val="Internetverknpfung"/>
        </w:rPr>
        <w:t>Gen 8,1</w:t>
      </w:r>
      <w:r>
        <w:rPr>
          <w:rStyle w:val="Internetverknpfung"/>
        </w:rPr>
        <w:fldChar w:fldCharType="end"/>
      </w:r>
      <w:r>
        <w:rPr/>
        <w:t xml:space="preserve">; </w:t>
      </w:r>
      <w:r>
        <w:fldChar w:fldCharType="begin"/>
      </w:r>
      <w:r>
        <w:rPr>
          <w:rStyle w:val="Internetverknpfung"/>
        </w:rPr>
        <w:instrText> HYPERLINK "../../../../../../../../../wiki/Genesis_19" \l "s29"</w:instrText>
      </w:r>
      <w:r>
        <w:rPr>
          <w:rStyle w:val="Internetverknpfung"/>
        </w:rPr>
        <w:fldChar w:fldCharType="separate"/>
      </w:r>
      <w:r>
        <w:rPr>
          <w:rStyle w:val="Internetverknpfung"/>
        </w:rPr>
        <w:t>19,29</w:t>
      </w:r>
      <w:r>
        <w:rPr>
          <w:rStyle w:val="Internetverknpfung"/>
        </w:rPr>
        <w:fldChar w:fldCharType="end"/>
      </w:r>
      <w:r>
        <w:rPr/>
        <w:t xml:space="preserve">; </w:t>
      </w:r>
      <w:hyperlink r:id="rId35">
        <w:r>
          <w:rPr>
            <w:rStyle w:val="Internetverknpfung"/>
          </w:rPr>
          <w:t>30,22</w:t>
        </w:r>
      </w:hyperlink>
      <w:r>
        <w:rPr/>
        <w:t xml:space="preserve">; </w:t>
      </w:r>
      <w:hyperlink r:id="rId36">
        <w:r>
          <w:rPr>
            <w:rStyle w:val="Internetverknpfung"/>
          </w:rPr>
          <w:t>Ex 32,13</w:t>
        </w:r>
      </w:hyperlink>
      <w:r>
        <w:rPr/>
        <w:t xml:space="preserve">; </w:t>
      </w:r>
      <w:hyperlink r:id="rId37">
        <w:r>
          <w:rPr>
            <w:rStyle w:val="Internetverknpfung"/>
          </w:rPr>
          <w:t>Dtn 9,27</w:t>
        </w:r>
      </w:hyperlink>
      <w:r>
        <w:rPr/>
        <w:t xml:space="preserve"> u.ö.; zu „Beachten“ </w:t>
      </w:r>
      <w:r>
        <w:fldChar w:fldCharType="begin"/>
      </w:r>
      <w:r>
        <w:rPr>
          <w:rStyle w:val="Internetverknpfung"/>
        </w:rPr>
        <w:instrText> HYPERLINK "../../../../../../../../../wiki/Genesis_21" \l "s1"</w:instrText>
      </w:r>
      <w:r>
        <w:rPr>
          <w:rStyle w:val="Internetverknpfung"/>
        </w:rPr>
        <w:fldChar w:fldCharType="separate"/>
      </w:r>
      <w:r>
        <w:rPr>
          <w:rStyle w:val="Internetverknpfung"/>
        </w:rPr>
        <w:t>Gen 21,1</w:t>
      </w:r>
      <w:r>
        <w:rPr>
          <w:rStyle w:val="Internetverknpfung"/>
        </w:rPr>
        <w:fldChar w:fldCharType="end"/>
      </w:r>
      <w:r>
        <w:rPr/>
        <w:t xml:space="preserve">; </w:t>
      </w:r>
      <w:r>
        <w:fldChar w:fldCharType="begin"/>
      </w:r>
      <w:r>
        <w:rPr>
          <w:rStyle w:val="Internetverknpfung"/>
        </w:rPr>
        <w:instrText> HYPERLINK "../../../../../../../../../wiki/Genesis_50" \l "s24"</w:instrText>
      </w:r>
      <w:r>
        <w:rPr>
          <w:rStyle w:val="Internetverknpfung"/>
        </w:rPr>
        <w:fldChar w:fldCharType="separate"/>
      </w:r>
      <w:r>
        <w:rPr>
          <w:rStyle w:val="Internetverknpfung"/>
        </w:rPr>
        <w:t>50,24f</w:t>
      </w:r>
      <w:r>
        <w:rPr>
          <w:rStyle w:val="Internetverknpfung"/>
        </w:rPr>
        <w:fldChar w:fldCharType="end"/>
      </w:r>
      <w:r>
        <w:rPr/>
        <w:t xml:space="preserve">; </w:t>
      </w:r>
      <w:r>
        <w:fldChar w:fldCharType="begin"/>
      </w:r>
      <w:r>
        <w:rPr>
          <w:rStyle w:val="Internetverknpfung"/>
        </w:rPr>
        <w:instrText> HYPERLINK "../../../../../../../../../wiki/Exodus_3" \l "s16"</w:instrText>
      </w:r>
      <w:r>
        <w:rPr>
          <w:rStyle w:val="Internetverknpfung"/>
        </w:rPr>
        <w:fldChar w:fldCharType="separate"/>
      </w:r>
      <w:r>
        <w:rPr>
          <w:rStyle w:val="Internetverknpfung"/>
        </w:rPr>
        <w:t>Ex 3,16</w:t>
      </w:r>
      <w:r>
        <w:rPr>
          <w:rStyle w:val="Internetverknpfung"/>
        </w:rPr>
        <w:fldChar w:fldCharType="end"/>
      </w:r>
      <w:r>
        <w:rPr/>
        <w:t xml:space="preserve">; </w:t>
      </w:r>
      <w:r>
        <w:fldChar w:fldCharType="begin"/>
      </w:r>
      <w:r>
        <w:rPr>
          <w:rStyle w:val="Internetverknpfung"/>
        </w:rPr>
        <w:instrText> HYPERLINK "../../../../../../../../../wiki/Exodus_4" \l "s31"</w:instrText>
      </w:r>
      <w:r>
        <w:rPr>
          <w:rStyle w:val="Internetverknpfung"/>
        </w:rPr>
        <w:fldChar w:fldCharType="separate"/>
      </w:r>
      <w:r>
        <w:rPr>
          <w:rStyle w:val="Internetverknpfung"/>
        </w:rPr>
        <w:t>4,31</w:t>
      </w:r>
      <w:r>
        <w:rPr>
          <w:rStyle w:val="Internetverknpfung"/>
        </w:rPr>
        <w:fldChar w:fldCharType="end"/>
      </w:r>
      <w:r>
        <w:rPr/>
        <w:t xml:space="preserve">; </w:t>
      </w:r>
      <w:hyperlink r:id="rId38">
        <w:r>
          <w:rPr>
            <w:rStyle w:val="Internetverknpfung"/>
          </w:rPr>
          <w:t>1Sam 2,21</w:t>
        </w:r>
      </w:hyperlink>
      <w:r>
        <w:rPr/>
        <w:t xml:space="preserve"> u.ö.</w:t>
      </w:r>
    </w:p>
  </w:footnote>
  <w:footnote w:id="585">
    <w:p>
      <w:pPr>
        <w:pStyle w:val="Funote"/>
        <w:rPr/>
      </w:pPr>
      <w:r>
        <w:rPr>
          <w:rStyle w:val="Funotenzeichen"/>
        </w:rPr>
        <w:footnoteRef/>
      </w:r>
      <w:r>
        <w:rPr/>
        <w:tab/>
        <w:t>„</w:t>
      </w:r>
      <w:r>
        <w:rPr/>
        <w:t>Menschenkind“ gut nach Ridderbos 1972, S. 136, da diese Übersetzung gut zum vorangehenden Halbvers passt.</w:t>
      </w:r>
    </w:p>
  </w:footnote>
  <w:footnote w:id="586">
    <w:p>
      <w:pPr>
        <w:pStyle w:val="Funote"/>
        <w:rPr/>
      </w:pPr>
      <w:r>
        <w:rPr>
          <w:rStyle w:val="Funotenzeichen"/>
        </w:rPr>
        <w:footnoteRef/>
      </w:r>
      <w:r>
        <w:rPr/>
        <w:tab/>
        <w:t xml:space="preserve">Heb. </w:t>
      </w:r>
      <w:r>
        <w:rPr>
          <w:i/>
        </w:rPr>
        <w:t>ben adam</w:t>
      </w:r>
      <w:r>
        <w:rPr/>
        <w:t xml:space="preserve">, Sohn / Kind des </w:t>
      </w:r>
      <w:r>
        <w:rPr>
          <w:i/>
        </w:rPr>
        <w:t>adam</w:t>
      </w:r>
      <w:r>
        <w:rPr/>
        <w:t xml:space="preserve">. Dass Ps 8 vielfältige Bezüge zum Schöpfungsmythos hat, wurde häufig bemerkt (bis hin zur These, mit dem konsekutiven </w:t>
      </w:r>
      <w:r>
        <w:rPr>
          <w:i/>
        </w:rPr>
        <w:t>waw</w:t>
      </w:r>
      <w:r>
        <w:rPr/>
        <w:t xml:space="preserve"> schließe Ps 8 direkt an Gen 1 an); </w:t>
      </w:r>
      <w:r>
        <w:rPr>
          <w:i/>
        </w:rPr>
        <w:t>ben adam</w:t>
      </w:r>
      <w:r>
        <w:rPr/>
        <w:t xml:space="preserve"> ist daher ein besonders treffender Ausdruck.</w:t>
      </w:r>
    </w:p>
  </w:footnote>
  <w:footnote w:id="587">
    <w:p>
      <w:pPr>
        <w:pStyle w:val="Funote"/>
        <w:rPr/>
      </w:pPr>
      <w:r>
        <w:rPr>
          <w:rStyle w:val="Funotenzeichen"/>
        </w:rPr>
        <w:footnoteRef/>
      </w:r>
      <w:r>
        <w:rPr/>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88">
    <w:p>
      <w:pPr>
        <w:pStyle w:val="Funote"/>
        <w:rPr/>
      </w:pPr>
      <w:r>
        <w:rPr>
          <w:rStyle w:val="Funotenzeichen"/>
        </w:rPr>
        <w:footnoteRef/>
      </w:r>
      <w:r>
        <w:rPr/>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9">
    <w:p>
      <w:pPr>
        <w:pStyle w:val="Funote"/>
        <w:rPr/>
      </w:pPr>
      <w:r>
        <w:rPr>
          <w:rStyle w:val="Funotenzeichen"/>
        </w:rPr>
        <w:footnoteRef/>
      </w:r>
      <w:r>
        <w:rPr/>
        <w:tab/>
        <w:t>„</w:t>
      </w:r>
      <w:r>
        <w:rPr/>
        <w:t xml:space="preserve">Herrlichkeit und Pracht“ sind eigentlich Prädikate, die typischerweise nur von Gott ausgesagt werden (vgl. </w:t>
      </w:r>
      <w:r>
        <w:fldChar w:fldCharType="begin"/>
      </w:r>
      <w:r>
        <w:rPr>
          <w:rStyle w:val="Internetverknpfung"/>
        </w:rPr>
        <w:instrText> HYPERLINK "../../../../../../../../../wiki/Psalm_145" \l "s5"</w:instrText>
      </w:r>
      <w:r>
        <w:rPr>
          <w:rStyle w:val="Internetverknpfung"/>
        </w:rPr>
        <w:fldChar w:fldCharType="separate"/>
      </w:r>
      <w:r>
        <w:rPr>
          <w:rStyle w:val="Internetverknpfung"/>
        </w:rPr>
        <w:t>Ps 145,5.12</w:t>
      </w:r>
      <w:r>
        <w:rPr>
          <w:rStyle w:val="Internetverknpfung"/>
        </w:rPr>
        <w:fldChar w:fldCharType="end"/>
      </w:r>
      <w:r>
        <w:rPr/>
        <w:t xml:space="preserve">; </w:t>
      </w:r>
      <w:r>
        <w:fldChar w:fldCharType="begin"/>
      </w:r>
      <w:r>
        <w:rPr>
          <w:rStyle w:val="Internetverknpfung"/>
        </w:rPr>
        <w:instrText> HYPERLINK "../../../../../../../../../wiki/Jesaja_35" \l "s2"</w:instrText>
      </w:r>
      <w:r>
        <w:rPr>
          <w:rStyle w:val="Internetverknpfung"/>
        </w:rPr>
        <w:fldChar w:fldCharType="separate"/>
      </w:r>
      <w:r>
        <w:rPr>
          <w:rStyle w:val="Internetverknpfung"/>
        </w:rPr>
        <w:t>Jes 35,2</w:t>
      </w:r>
      <w:r>
        <w:rPr>
          <w:rStyle w:val="Internetverknpfung"/>
        </w:rPr>
        <w:fldChar w:fldCharType="end"/>
      </w:r>
      <w:r>
        <w:rPr/>
        <w:t xml:space="preserve">). Ähnlich, wie sie </w:t>
      </w:r>
      <w:hyperlink r:id="rId39">
        <w:r>
          <w:rPr>
            <w:rStyle w:val="Internetverknpfung"/>
          </w:rPr>
          <w:t>Ps 21,5</w:t>
        </w:r>
      </w:hyperlink>
      <w:r>
        <w:rPr/>
        <w:t xml:space="preserve"> dann auf den König angewandt werden, werden sie hier auf den Menschen im Allgemeinen angewendet; dies unterstreicht noch die Aussage in 6a, dass dem Menschen nur wenig zu Gott fehlt.</w:t>
      </w:r>
    </w:p>
  </w:footnote>
  <w:footnote w:id="590">
    <w:p>
      <w:pPr>
        <w:pStyle w:val="Funote"/>
        <w:rPr/>
      </w:pPr>
      <w:r>
        <w:rPr>
          <w:rStyle w:val="Funotenzeichen"/>
        </w:rPr>
        <w:footnoteRef/>
      </w:r>
      <w:r>
        <w:rPr/>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91">
    <w:p>
      <w:pPr>
        <w:pStyle w:val="Funote"/>
        <w:rPr/>
      </w:pPr>
      <w:r>
        <w:rPr>
          <w:rStyle w:val="Funotenzeichen"/>
        </w:rPr>
        <w:footnoteRef/>
      </w:r>
      <w:r>
        <w:rPr/>
        <w:tab/>
        <w:t>Zu „Schafe und Rinder“ als „Kleinvieh und Großvieh“ vgl. ad loc. Craigie 1983, S. 96; Whitekettle 2006, S. 752.</w:t>
      </w:r>
    </w:p>
  </w:footnote>
  <w:footnote w:id="592">
    <w:p>
      <w:pPr>
        <w:pStyle w:val="Funote"/>
        <w:rPr/>
      </w:pPr>
      <w:r>
        <w:rPr>
          <w:rStyle w:val="Funotenzeichen"/>
        </w:rPr>
        <w:footnoteRef/>
      </w:r>
      <w:r>
        <w:rPr/>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93">
    <w:p>
      <w:pPr>
        <w:pStyle w:val="Funote"/>
        <w:rPr/>
      </w:pPr>
      <w:r>
        <w:rPr>
          <w:rStyle w:val="Funotenzeichen"/>
        </w:rPr>
        <w:footnoteRef/>
      </w:r>
      <w:r>
        <w:rPr/>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94">
    <w:p>
      <w:pPr>
        <w:pStyle w:val="Funote"/>
        <w:rPr/>
      </w:pPr>
      <w:r>
        <w:rPr>
          <w:rStyle w:val="Funotenzeichen"/>
        </w:rPr>
        <w:footnoteRef/>
      </w:r>
      <w:r>
        <w:rPr/>
        <w:tab/>
        <w:t>zu „seine Bahnen zieht“ vgl. Waltke 2010, S. 271: Die Pfade des Meeres steht für die Reiseroute des Leviathans.</w:t>
      </w:r>
    </w:p>
  </w:footnote>
  <w:footnote w:id="595">
    <w:p>
      <w:pPr>
        <w:pStyle w:val="Funote"/>
        <w:rPr/>
      </w:pPr>
      <w:r>
        <w:rPr>
          <w:rStyle w:val="Funotenzeichen"/>
        </w:rPr>
        <w:footnoteRef/>
      </w:r>
      <w:r>
        <w:rPr/>
        <w:tab/>
        <w:t>JHWH</w:t>
      </w:r>
    </w:p>
  </w:footnote>
  <w:footnote w:id="596">
    <w:p>
      <w:pPr>
        <w:pStyle w:val="Funote"/>
        <w:rPr/>
      </w:pPr>
      <w:r>
        <w:rPr>
          <w:rStyle w:val="Funotenzeichen"/>
        </w:rPr>
        <w:footnoteRef/>
      </w:r>
      <w:r>
        <w:rPr/>
        <w:tab/>
        <w:t>JHWH</w:t>
      </w:r>
    </w:p>
  </w:footnote>
  <w:footnote w:id="597">
    <w:p>
      <w:pPr>
        <w:pStyle w:val="Funote"/>
        <w:rPr/>
      </w:pPr>
      <w:r>
        <w:rPr>
          <w:rStyle w:val="Funotenzeichen"/>
        </w:rPr>
        <w:footnoteRef/>
      </w:r>
      <w:r>
        <w:rPr/>
        <w:tab/>
        <w:t>[Status: Zuverlässig]</w:t>
      </w:r>
    </w:p>
  </w:footnote>
  <w:footnote w:id="598">
    <w:p>
      <w:pPr>
        <w:pStyle w:val="Funote"/>
        <w:rPr/>
      </w:pPr>
      <w:r>
        <w:rPr>
          <w:rStyle w:val="Funotenzeichen"/>
        </w:rPr>
        <w:footnoteRef/>
      </w:r>
      <w:r>
        <w:rPr>
          <w:i/>
        </w:rPr>
        <w:tab/>
        <w:t>Chorleiter</w:t>
      </w:r>
      <w:r>
        <w:rPr/>
        <w:t xml:space="preserve"> - Heb. </w:t>
      </w:r>
      <w:r>
        <w:rPr>
          <w:i/>
        </w:rPr>
        <w:t>menatseach</w:t>
      </w:r>
      <w:r>
        <w:rPr/>
        <w:t>; genaue Bedeutung unklar. Die Primärübersetzung „Chorleiter“ ist mehr oder weniger Konvention. S. noch nächste FN.</w:t>
      </w:r>
    </w:p>
  </w:footnote>
  <w:footnote w:id="599">
    <w:p>
      <w:pPr>
        <w:pStyle w:val="Funote"/>
        <w:rPr/>
      </w:pPr>
      <w:r>
        <w:rPr>
          <w:rStyle w:val="Funotenzeichen"/>
        </w:rPr>
        <w:footnoteRef/>
      </w:r>
      <w:r>
        <w:rPr/>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600">
    <w:p>
      <w:pPr>
        <w:pStyle w:val="Funote"/>
        <w:rPr/>
      </w:pPr>
      <w:r>
        <w:rPr>
          <w:rStyle w:val="Funotenzeichen"/>
        </w:rPr>
        <w:footnoteRef/>
      </w:r>
      <w:r>
        <w:rPr/>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601">
    <w:p>
      <w:pPr>
        <w:pStyle w:val="Funote"/>
        <w:rPr/>
      </w:pPr>
      <w:r>
        <w:rPr>
          <w:rStyle w:val="Funotenzeichen"/>
        </w:rPr>
        <w:footnoteRef/>
      </w:r>
      <w:r>
        <w:rPr/>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602">
    <w:p>
      <w:pPr>
        <w:pStyle w:val="Funote"/>
        <w:rPr/>
      </w:pPr>
      <w:r>
        <w:rPr>
          <w:rStyle w:val="Funotenzeichen"/>
        </w:rPr>
        <w:footnoteRef/>
      </w:r>
      <w:r>
        <w:rPr/>
        <w:tab/>
        <w:t>deinen Namen (dich) - der „Name“ Gottes steht hier wie meist in den Pss. für Gott selbst, genauer: für „Gott im Menschenmund“. Näher am Sinn wäre daher die Üs. „will dich besingen“ (so z.B. auch EÜ, GN, NeÜ).</w:t>
      </w:r>
    </w:p>
  </w:footnote>
  <w:footnote w:id="603">
    <w:p>
      <w:pPr>
        <w:pStyle w:val="Funote"/>
        <w:rPr/>
      </w:pPr>
      <w:r>
        <w:rPr>
          <w:rStyle w:val="Funotenzeichen"/>
        </w:rPr>
        <w:footnoteRef/>
      </w:r>
      <w:r>
        <w:rPr/>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604">
    <w:p>
      <w:pPr>
        <w:pStyle w:val="Funote"/>
        <w:rPr/>
      </w:pPr>
      <w:r>
        <w:rPr>
          <w:rStyle w:val="Funotenzeichen"/>
        </w:rPr>
        <w:footnoteRef/>
      </w:r>
      <w:r>
        <w:rPr/>
        <w:tab/>
        <w:t xml:space="preserve">In </w:t>
      </w:r>
      <w:r>
        <w:rPr>
          <w:i/>
        </w:rPr>
        <w:t>Vv. 2-3</w:t>
      </w:r>
      <w:r>
        <w:rPr/>
        <w:t xml:space="preserve"> beginnt nicht nur das erste Wort mit Alef, dem ersten Buchstaben des heb. Alphabets - wie es das in den Anmerkungen beschriebene Muster erwarten lassen würde -, sondern jede Zeile und alle fünf verwendeten Verben beginnen mit diesem Buchstaben.</w:t>
      </w:r>
    </w:p>
  </w:footnote>
  <w:footnote w:id="605">
    <w:p>
      <w:pPr>
        <w:pStyle w:val="Funote"/>
        <w:rPr/>
      </w:pPr>
      <w:r>
        <w:rPr>
          <w:rStyle w:val="Funotenzeichen"/>
        </w:rPr>
        <w:footnoteRef/>
      </w:r>
      <w:r>
        <w:rPr>
          <w:i/>
        </w:rPr>
        <w:tab/>
        <w:t>stolpern</w:t>
      </w:r>
      <w:r>
        <w:rPr/>
        <w:t xml:space="preserve"> - häufige Metapher u.a. für das Besiegt-werden; s. z.B. </w:t>
      </w:r>
      <w:hyperlink r:id="rId40">
        <w:r>
          <w:rPr>
            <w:rStyle w:val="Internetverknpfung"/>
          </w:rPr>
          <w:t>Lev 26,37</w:t>
        </w:r>
      </w:hyperlink>
      <w:r>
        <w:rPr/>
        <w:t xml:space="preserve">; </w:t>
      </w:r>
      <w:hyperlink r:id="rId41">
        <w:r>
          <w:rPr>
            <w:rStyle w:val="Internetverknpfung"/>
          </w:rPr>
          <w:t>2 Chr 25,8</w:t>
        </w:r>
      </w:hyperlink>
      <w:r>
        <w:rPr/>
        <w:t xml:space="preserve">; </w:t>
      </w:r>
      <w:r>
        <w:fldChar w:fldCharType="begin"/>
      </w:r>
      <w:r>
        <w:rPr>
          <w:rStyle w:val="Internetverknpfung"/>
        </w:rPr>
        <w:instrText> HYPERLINK "../../../../../../../../../wiki/Psalm_27" \l "s2"</w:instrText>
      </w:r>
      <w:r>
        <w:rPr>
          <w:rStyle w:val="Internetverknpfung"/>
        </w:rPr>
        <w:fldChar w:fldCharType="separate"/>
      </w:r>
      <w:r>
        <w:rPr>
          <w:rStyle w:val="Internetverknpfung"/>
        </w:rPr>
        <w:t>Ps 27,2</w:t>
      </w:r>
      <w:r>
        <w:rPr>
          <w:rStyle w:val="Internetverknpfung"/>
        </w:rPr>
        <w:fldChar w:fldCharType="end"/>
      </w:r>
      <w:r>
        <w:rPr/>
        <w:t xml:space="preserve"> (vgl. V. 3); </w:t>
      </w:r>
      <w:hyperlink r:id="rId42">
        <w:r>
          <w:rPr>
            <w:rStyle w:val="Internetverknpfung"/>
          </w:rPr>
          <w:t>64,8</w:t>
        </w:r>
      </w:hyperlink>
      <w:r>
        <w:rPr/>
        <w:t xml:space="preserve">; </w:t>
      </w:r>
      <w:hyperlink r:id="rId43">
        <w:r>
          <w:rPr>
            <w:rStyle w:val="Internetverknpfung"/>
          </w:rPr>
          <w:t>Jes 3,8</w:t>
        </w:r>
      </w:hyperlink>
      <w:r>
        <w:rPr/>
        <w:t xml:space="preserve">; </w:t>
      </w:r>
      <w:r>
        <w:fldChar w:fldCharType="begin"/>
      </w:r>
      <w:r>
        <w:rPr>
          <w:rStyle w:val="Internetverknpfung"/>
        </w:rPr>
        <w:instrText> HYPERLINK "../../../../../../../../../wiki/Jesaja_8" \l "s15"</w:instrText>
      </w:r>
      <w:r>
        <w:rPr>
          <w:rStyle w:val="Internetverknpfung"/>
        </w:rPr>
        <w:fldChar w:fldCharType="separate"/>
      </w:r>
      <w:r>
        <w:rPr>
          <w:rStyle w:val="Internetverknpfung"/>
        </w:rPr>
        <w:t>8,15</w:t>
      </w:r>
      <w:r>
        <w:rPr>
          <w:rStyle w:val="Internetverknpfung"/>
        </w:rPr>
        <w:fldChar w:fldCharType="end"/>
      </w:r>
      <w:r>
        <w:rPr/>
        <w:t xml:space="preserve"> u.ö.</w:t>
      </w:r>
    </w:p>
  </w:footnote>
  <w:footnote w:id="606">
    <w:p>
      <w:pPr>
        <w:pStyle w:val="Funote"/>
        <w:rPr/>
      </w:pPr>
      <w:r>
        <w:rPr>
          <w:rStyle w:val="Funotenzeichen"/>
        </w:rPr>
        <w:footnoteRef/>
      </w:r>
      <w:r>
        <w:rPr/>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607">
    <w:p>
      <w:pPr>
        <w:pStyle w:val="Funote"/>
        <w:rPr/>
      </w:pPr>
      <w:r>
        <w:rPr>
          <w:rStyle w:val="Funotenzeichen"/>
        </w:rPr>
        <w:footnoteRef/>
      </w:r>
      <w:r>
        <w:rPr/>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608">
    <w:p>
      <w:pPr>
        <w:pStyle w:val="Funote"/>
        <w:rPr/>
      </w:pPr>
      <w:r>
        <w:rPr>
          <w:rStyle w:val="Funotenzeichen"/>
        </w:rPr>
        <w:footnoteRef/>
      </w:r>
      <w:r>
        <w:rPr>
          <w:i/>
        </w:rPr>
        <w:tab/>
        <w:t>auf dem Thron als gerechter Richter</w:t>
      </w:r>
      <w:r>
        <w:rPr/>
        <w:t xml:space="preserve"> - im Alten Israel galt der König als der „oberste Richter und Garant des Rechts“ (</w:t>
      </w:r>
      <w:hyperlink r:id="rId44">
        <w:r>
          <w:rPr>
            <w:rStyle w:val="Internetverknpfung"/>
          </w:rPr>
          <w:t>König / Königtum (AT) (WiBiLex)</w:t>
        </w:r>
      </w:hyperlink>
      <w:r>
        <w:rPr/>
        <w:t xml:space="preserve">); der Übergang von der Streitermetapher zur Metapher vom thronenden Richter ist im Heb. also nicht so hart wie im Dt. S. ähnlich den Übergang von </w:t>
      </w:r>
      <w:hyperlink r:id="rId45">
        <w:r>
          <w:rPr>
            <w:rStyle w:val="Internetverknpfung"/>
          </w:rPr>
          <w:t>Ps 89,9-11.14</w:t>
        </w:r>
      </w:hyperlink>
      <w:r>
        <w:rPr/>
        <w:t xml:space="preserve"> zu </w:t>
      </w:r>
      <w:hyperlink r:id="rId46">
        <w:r>
          <w:rPr>
            <w:rStyle w:val="Internetverknpfung"/>
          </w:rPr>
          <w:t>89,15</w:t>
        </w:r>
      </w:hyperlink>
      <w:r>
        <w:rPr/>
        <w:t xml:space="preserve"> und von </w:t>
      </w:r>
      <w:r>
        <w:fldChar w:fldCharType="begin"/>
      </w:r>
      <w:r>
        <w:rPr>
          <w:rStyle w:val="Internetverknpfung"/>
        </w:rPr>
        <w:instrText> HYPERLINK "../../../../../../../../../wiki/Psalm_97" \l "s1"</w:instrText>
      </w:r>
      <w:r>
        <w:rPr>
          <w:rStyle w:val="Internetverknpfung"/>
        </w:rPr>
        <w:fldChar w:fldCharType="separate"/>
      </w:r>
      <w:r>
        <w:rPr>
          <w:rStyle w:val="Internetverknpfung"/>
        </w:rPr>
        <w:t>Ps 97,1-2</w:t>
      </w:r>
      <w:r>
        <w:rPr>
          <w:rStyle w:val="Internetverknpfung"/>
        </w:rPr>
        <w:fldChar w:fldCharType="end"/>
      </w:r>
      <w:r>
        <w:rPr/>
        <w:t xml:space="preserve"> zu </w:t>
      </w:r>
      <w:r>
        <w:fldChar w:fldCharType="begin"/>
      </w:r>
      <w:r>
        <w:rPr>
          <w:rStyle w:val="Internetverknpfung"/>
        </w:rPr>
        <w:instrText> HYPERLINK "../../../../../../../../../wiki/Psalm_97" \l "s3"</w:instrText>
      </w:r>
      <w:r>
        <w:rPr>
          <w:rStyle w:val="Internetverknpfung"/>
        </w:rPr>
        <w:fldChar w:fldCharType="separate"/>
      </w:r>
      <w:r>
        <w:rPr>
          <w:rStyle w:val="Internetverknpfung"/>
        </w:rPr>
        <w:t>97,3-5</w:t>
      </w:r>
      <w:r>
        <w:rPr>
          <w:rStyle w:val="Internetverknpfung"/>
        </w:rPr>
        <w:fldChar w:fldCharType="end"/>
      </w:r>
      <w:r>
        <w:rPr/>
        <w:t>.</w:t>
      </w:r>
    </w:p>
  </w:footnote>
  <w:footnote w:id="609">
    <w:p>
      <w:pPr>
        <w:pStyle w:val="Funote"/>
        <w:rPr/>
      </w:pPr>
      <w:r>
        <w:rPr>
          <w:rStyle w:val="Funotenzeichen"/>
        </w:rPr>
        <w:footnoteRef/>
      </w:r>
      <w:r>
        <w:rPr/>
        <w:tab/>
        <w:t>Nationen - Heb. gojim, oft verwendet für Nationen qua heidnische Nationen; sinngemäßer daher »Heidenvölker« (ähnlich z.B. Bonkamp 1949; Ehrlich 1905; Weber 2001: »Heiden«).</w:t>
      </w:r>
    </w:p>
  </w:footnote>
  <w:footnote w:id="610">
    <w:p>
      <w:pPr>
        <w:pStyle w:val="Funote"/>
        <w:rPr/>
      </w:pPr>
      <w:r>
        <w:rPr>
          <w:rStyle w:val="Funotenzeichen"/>
        </w:rPr>
        <w:footnoteRef/>
      </w:r>
      <w:r>
        <w:rPr/>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11">
    <w:p>
      <w:pPr>
        <w:pStyle w:val="Funote"/>
        <w:rPr/>
      </w:pPr>
      <w:r>
        <w:rPr>
          <w:rStyle w:val="Funotenzeichen"/>
        </w:rPr>
        <w:footnoteRef/>
      </w:r>
      <w:r>
        <w:rPr/>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12">
    <w:p>
      <w:pPr>
        <w:pStyle w:val="Funote"/>
        <w:rPr/>
      </w:pPr>
      <w:r>
        <w:rPr>
          <w:rStyle w:val="Funotenzeichen"/>
        </w:rPr>
        <w:footnoteRef/>
      </w:r>
      <w:r>
        <w:rPr/>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13">
    <w:p>
      <w:pPr>
        <w:pStyle w:val="Funote"/>
        <w:rPr/>
      </w:pPr>
      <w:r>
        <w:rPr>
          <w:rStyle w:val="Funotenzeichen"/>
        </w:rPr>
        <w:footnoteRef/>
      </w:r>
      <w:r>
        <w:rPr/>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14">
    <w:p>
      <w:pPr>
        <w:pStyle w:val="Funote"/>
        <w:rPr/>
      </w:pPr>
      <w:r>
        <w:rPr>
          <w:rStyle w:val="Funotenzeichen"/>
        </w:rPr>
        <w:footnoteRef/>
      </w:r>
      <w:r>
        <w:rPr/>
        <w:tab/>
        <w:t>Gegner statt der häufigen Üs. »Städte« nach Gordis 1957, S. 11; Herkenne 1936, S. 68; s. 1 Sam 28,16; Sir 37,5; vgl. Ges18, S. 1007.</w:t>
      </w:r>
    </w:p>
  </w:footnote>
  <w:footnote w:id="615">
    <w:p>
      <w:pPr>
        <w:pStyle w:val="Funote"/>
        <w:rPr/>
      </w:pPr>
      <w:r>
        <w:rPr>
          <w:rStyle w:val="Funotenzeichen"/>
        </w:rPr>
        <w:footnoteRef/>
      </w:r>
      <w:r>
        <w:rPr/>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16">
    <w:p>
      <w:pPr>
        <w:pStyle w:val="Funote"/>
        <w:rPr/>
      </w:pPr>
      <w:r>
        <w:rPr>
          <w:rStyle w:val="Funotenzeichen"/>
        </w:rPr>
        <w:footnoteRef/>
      </w:r>
      <w:r>
        <w:rPr/>
        <w:tab/>
        <w:t>[jene], die deinen Namen kennen - geläufiger Ausdruck für JHWH-Verehrer: jene, die dich verehren (vgl. z.B. Ehrlich 1905, S. 18; THAT I, Sp. 694f.).</w:t>
      </w:r>
    </w:p>
  </w:footnote>
  <w:footnote w:id="617">
    <w:p>
      <w:pPr>
        <w:pStyle w:val="Funote"/>
        <w:rPr/>
      </w:pPr>
      <w:r>
        <w:rPr>
          <w:rStyle w:val="Funotenzeichen"/>
        </w:rPr>
        <w:footnoteRef/>
      </w:r>
      <w:r>
        <w:rPr/>
        <w:tab/>
        <w:t>Auch die dich suchen ist ein Ausdruck für JHWH-Verehrer: die, die sich zu dir halten (vgl. THAT I, Sp. 464-466).</w:t>
      </w:r>
    </w:p>
  </w:footnote>
  <w:footnote w:id="618">
    <w:p>
      <w:pPr>
        <w:pStyle w:val="Funote"/>
        <w:rPr/>
      </w:pPr>
      <w:r>
        <w:rPr>
          <w:rStyle w:val="Funotenzeichen"/>
        </w:rPr>
        <w:footnoteRef/>
      </w:r>
      <w:r>
        <w:rPr/>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9">
    <w:p>
      <w:pPr>
        <w:pStyle w:val="Funote"/>
        <w:rPr/>
      </w:pPr>
      <w:r>
        <w:rPr>
          <w:rStyle w:val="Funotenzeichen"/>
        </w:rPr>
        <w:footnoteRef/>
      </w:r>
      <w:r>
        <w:rPr>
          <w:i/>
        </w:rPr>
        <w:tab/>
        <w:t>der auf dem Zion thront</w:t>
      </w:r>
      <w:r>
        <w:rPr/>
        <w:t xml:space="preserve"> - Der Zion war der Tempelberg in Jerusalem; man stellte sich vor, dass Gott - zumindest „teilweise“ - dort im Tempel wohnte. S. näher z.B. </w:t>
      </w:r>
      <w:hyperlink r:id="rId47">
        <w:r>
          <w:rPr>
            <w:rStyle w:val="Internetverknpfung"/>
          </w:rPr>
          <w:t>Zion / Zionstheologie (WiBiLex)</w:t>
        </w:r>
      </w:hyperlink>
      <w:r>
        <w:rPr/>
        <w:t>.</w:t>
      </w:r>
    </w:p>
  </w:footnote>
  <w:footnote w:id="620">
    <w:p>
      <w:pPr>
        <w:pStyle w:val="Funote"/>
        <w:rPr/>
      </w:pPr>
      <w:r>
        <w:rPr>
          <w:rStyle w:val="Funotenzeichen"/>
        </w:rPr>
        <w:footnoteRef/>
      </w:r>
      <w:r>
        <w:rPr/>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21">
    <w:p>
      <w:pPr>
        <w:pStyle w:val="Funote"/>
        <w:rPr/>
      </w:pPr>
      <w:r>
        <w:rPr>
          <w:rStyle w:val="Funotenzeichen"/>
        </w:rPr>
        <w:footnoteRef/>
      </w:r>
      <w:r>
        <w:rPr/>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22">
    <w:p>
      <w:pPr>
        <w:pStyle w:val="Funote"/>
        <w:rPr/>
      </w:pPr>
      <w:r>
        <w:rPr>
          <w:rStyle w:val="Funotenzeichen"/>
        </w:rPr>
        <w:footnoteRef/>
      </w:r>
      <w:r>
        <w:rPr>
          <w:i/>
        </w:rPr>
        <w:tab/>
        <w:t>vergisst nicht</w:t>
      </w:r>
      <w:r>
        <w:rPr/>
        <w:t xml:space="preserve"> - ganz ähnlicher Ausdruck wie „denken an“ in der vorigen Zeile: Die Rede vom „Vergessen“ Gottes meint meist sein aktives sich-Abwenden von jmdn (s. z.B. </w:t>
      </w:r>
      <w:hyperlink r:id="rId48">
        <w:r>
          <w:rPr>
            <w:rStyle w:val="Internetverknpfung"/>
          </w:rPr>
          <w:t>1 Sam 1,11</w:t>
        </w:r>
      </w:hyperlink>
      <w:r>
        <w:rPr/>
        <w:t xml:space="preserve">; </w:t>
      </w:r>
      <w:r>
        <w:fldChar w:fldCharType="begin"/>
      </w:r>
      <w:r>
        <w:rPr>
          <w:rStyle w:val="Internetverknpfung"/>
        </w:rPr>
        <w:instrText> HYPERLINK "../../../../../../../../../wiki/Psalm_13" \l "s2"</w:instrText>
      </w:r>
      <w:r>
        <w:rPr>
          <w:rStyle w:val="Internetverknpfung"/>
        </w:rPr>
        <w:fldChar w:fldCharType="separate"/>
      </w:r>
      <w:r>
        <w:rPr>
          <w:rStyle w:val="Internetverknpfung"/>
        </w:rPr>
        <w:t>Ps 13,2</w:t>
      </w:r>
      <w:r>
        <w:rPr>
          <w:rStyle w:val="Internetverknpfung"/>
        </w:rPr>
        <w:fldChar w:fldCharType="end"/>
      </w:r>
      <w:r>
        <w:rPr/>
        <w:t xml:space="preserve">; </w:t>
      </w:r>
      <w:r>
        <w:fldChar w:fldCharType="begin"/>
      </w:r>
      <w:r>
        <w:rPr>
          <w:rStyle w:val="Internetverknpfung"/>
        </w:rPr>
        <w:instrText> HYPERLINK "../../../../../../../../../wiki/Psalm_42" \l "s10"</w:instrText>
      </w:r>
      <w:r>
        <w:rPr>
          <w:rStyle w:val="Internetverknpfung"/>
        </w:rPr>
        <w:fldChar w:fldCharType="separate"/>
      </w:r>
      <w:r>
        <w:rPr>
          <w:rStyle w:val="Internetverknpfung"/>
        </w:rPr>
        <w:t>42,10</w:t>
      </w:r>
      <w:r>
        <w:rPr>
          <w:rStyle w:val="Internetverknpfung"/>
        </w:rPr>
        <w:fldChar w:fldCharType="end"/>
      </w:r>
      <w:r>
        <w:rPr/>
        <w:t xml:space="preserve">; </w:t>
      </w:r>
      <w:hyperlink r:id="rId49">
        <w:r>
          <w:rPr>
            <w:rStyle w:val="Internetverknpfung"/>
          </w:rPr>
          <w:t>44,25</w:t>
        </w:r>
      </w:hyperlink>
      <w:r>
        <w:rPr/>
        <w:t xml:space="preserve">; </w:t>
      </w:r>
      <w:hyperlink r:id="rId50">
        <w:r>
          <w:rPr>
            <w:rStyle w:val="Internetverknpfung"/>
          </w:rPr>
          <w:t>Jes 49,14</w:t>
        </w:r>
      </w:hyperlink>
      <w:r>
        <w:rPr/>
        <w:t xml:space="preserve">; </w:t>
      </w:r>
      <w:hyperlink r:id="rId51">
        <w:r>
          <w:rPr>
            <w:rStyle w:val="Internetverknpfung"/>
          </w:rPr>
          <w:t>Klg 5,20</w:t>
        </w:r>
      </w:hyperlink>
      <w:r>
        <w:rPr/>
        <w:t>). Dass Gott die Armen „nicht vergisst“ meint also das gleiche wie dass Gott „an sie denkt“, nämlich, dass er ihnen helfend beisteht.</w:t>
      </w:r>
    </w:p>
  </w:footnote>
  <w:footnote w:id="623">
    <w:p>
      <w:pPr>
        <w:pStyle w:val="Funote"/>
        <w:rPr/>
      </w:pPr>
      <w:r>
        <w:rPr>
          <w:rStyle w:val="Funotenzeichen"/>
        </w:rPr>
        <w:footnoteRef/>
      </w:r>
      <w:r>
        <w:rPr/>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24">
    <w:p>
      <w:pPr>
        <w:pStyle w:val="Funote"/>
        <w:rPr/>
      </w:pPr>
      <w:r>
        <w:rPr>
          <w:rStyle w:val="Funotenzeichen"/>
        </w:rPr>
        <w:footnoteRef/>
      </w:r>
      <w:r>
        <w:rPr/>
        <w:tab/>
        <w:t>Sieh auf mein Elend - d.h. ignoriere mich in meinem Elend nicht, sd. hilf mir! Gut HfA: „Siehe doch, wie ich leide unter dem Hass meiner Feinde!“</w:t>
      </w:r>
    </w:p>
  </w:footnote>
  <w:footnote w:id="625">
    <w:p>
      <w:pPr>
        <w:pStyle w:val="Funote"/>
        <w:rPr/>
      </w:pPr>
      <w:r>
        <w:rPr>
          <w:rStyle w:val="Funotenzeichen"/>
        </w:rPr>
        <w:footnoteRef/>
      </w:r>
      <w:r>
        <w:rPr/>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26">
    <w:p>
      <w:pPr>
        <w:pStyle w:val="Funote"/>
        <w:rPr/>
      </w:pPr>
      <w:r>
        <w:rPr>
          <w:rStyle w:val="Funotenzeichen"/>
        </w:rPr>
        <w:footnoteRef/>
      </w:r>
      <w:r>
        <w:rPr/>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27">
    <w:p>
      <w:pPr>
        <w:pStyle w:val="Funote"/>
        <w:rPr/>
      </w:pPr>
      <w:r>
        <w:rPr>
          <w:rStyle w:val="Funotenzeichen"/>
        </w:rPr>
        <w:footnoteRef/>
      </w:r>
      <w:r>
        <w:rPr/>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28">
    <w:p>
      <w:pPr>
        <w:pStyle w:val="Funote"/>
        <w:rPr/>
      </w:pPr>
      <w:r>
        <w:rPr>
          <w:rStyle w:val="Funotenzeichen"/>
        </w:rPr>
        <w:footnoteRef/>
      </w:r>
      <w:r>
        <w:rPr>
          <w:i/>
        </w:rPr>
        <w:tab/>
        <w:t>{</w:t>
      </w:r>
      <w:r>
        <w:rPr>
          <w:i/>
          <w:strike/>
        </w:rPr>
        <w:t>Higgaion Selah</w:t>
      </w:r>
      <w:r>
        <w:rPr>
          <w:i/>
        </w:rPr>
        <w:t>}</w:t>
      </w:r>
      <w:r>
        <w:rPr/>
        <w:t xml:space="preserve"> (V. 17) + </w:t>
      </w:r>
      <w:r>
        <w:rPr>
          <w:i/>
        </w:rPr>
        <w:t>{</w:t>
      </w:r>
      <w:r>
        <w:rPr>
          <w:i/>
          <w:strike/>
        </w:rPr>
        <w:t>Selah</w:t>
      </w:r>
      <w:r>
        <w:rPr>
          <w:i/>
        </w:rPr>
        <w:t>} (V. 21)</w:t>
      </w:r>
      <w:r>
        <w:rPr/>
        <w:t xml:space="preserve"> - Zwei Wörter mit unklarer Bedeutung. </w:t>
      </w:r>
      <w:r>
        <w:rPr>
          <w:i/>
        </w:rPr>
        <w:t>Higgaion</w:t>
      </w:r>
      <w:r>
        <w:rPr/>
        <w:t xml:space="preserve"> ist offenbar etwas Hörbares, s. </w:t>
      </w:r>
      <w:r>
        <w:fldChar w:fldCharType="begin"/>
      </w:r>
      <w:r>
        <w:rPr>
          <w:rStyle w:val="Internetverknpfung"/>
        </w:rPr>
        <w:instrText> HYPERLINK "../../../../../../../../../wiki/Psalm_19" \l "s15"</w:instrText>
      </w:r>
      <w:r>
        <w:rPr>
          <w:rStyle w:val="Internetverknpfung"/>
        </w:rPr>
        <w:fldChar w:fldCharType="separate"/>
      </w:r>
      <w:r>
        <w:rPr>
          <w:rStyle w:val="Internetverknpfung"/>
        </w:rPr>
        <w:t>Ps 19,15</w:t>
      </w:r>
      <w:r>
        <w:rPr>
          <w:rStyle w:val="Internetverknpfung"/>
        </w:rPr>
        <w:fldChar w:fldCharType="end"/>
      </w:r>
      <w:r>
        <w:rPr/>
        <w:t xml:space="preserve"> und </w:t>
      </w:r>
      <w:r>
        <w:fldChar w:fldCharType="begin"/>
      </w:r>
      <w:r>
        <w:rPr>
          <w:rStyle w:val="Internetverknpfung"/>
        </w:rPr>
        <w:instrText> HYPERLINK "../../../../../../../../../wiki/Klagelieder_3" \l "s62"</w:instrText>
      </w:r>
      <w:r>
        <w:rPr>
          <w:rStyle w:val="Internetverknpfung"/>
        </w:rPr>
        <w:fldChar w:fldCharType="separate"/>
      </w:r>
      <w:r>
        <w:rPr>
          <w:rStyle w:val="Internetverknpfung"/>
        </w:rPr>
        <w:t>Klg 3,62</w:t>
      </w:r>
      <w:r>
        <w:rPr>
          <w:rStyle w:val="Internetverknpfung"/>
        </w:rPr>
        <w:fldChar w:fldCharType="end"/>
      </w:r>
      <w:r>
        <w:rPr/>
        <w:t xml:space="preserve">, wo es in Parallele zu „Reden“ steht, und </w:t>
      </w:r>
      <w:hyperlink r:id="rId52">
        <w:r>
          <w:rPr>
            <w:rStyle w:val="Internetverknpfung"/>
          </w:rPr>
          <w:t>Ps 92,4</w:t>
        </w:r>
      </w:hyperlink>
      <w:r>
        <w:rPr/>
        <w:t xml:space="preserve">, wo es offenbar das bezeichnet, was eine Harfe von sich gibt. Hier in Ps 9,17 ist die Funktion von </w:t>
      </w:r>
      <w:r>
        <w:rPr>
          <w:i/>
        </w:rPr>
        <w:t>higgaion</w:t>
      </w:r>
      <w:r>
        <w:rPr/>
        <w:t xml:space="preserve"> wohl die selbe wie die von </w:t>
      </w:r>
      <w:r>
        <w:rPr>
          <w:i/>
        </w:rPr>
        <w:t>selah</w:t>
      </w:r>
      <w:r>
        <w:rPr/>
        <w:t xml:space="preserve"> - und welche das ist, ist ganz unklar, s. Lexikon / Lemma </w:t>
      </w:r>
      <w:hyperlink r:id="rId53">
        <w:r>
          <w:rPr>
            <w:rStyle w:val="Internetverknpfung"/>
            <w:rtl w:val="true"/>
            <w:lang w:bidi="he-IL"/>
          </w:rPr>
          <w:t>סֶלַה</w:t>
        </w:r>
      </w:hyperlink>
      <w:r>
        <w:rPr/>
        <w:t>. In der LF sollten beide Begriffe daher besser wie in vielen Üss. ausgespart werden.</w:t>
      </w:r>
    </w:p>
  </w:footnote>
  <w:footnote w:id="629">
    <w:p>
      <w:pPr>
        <w:pStyle w:val="Funote"/>
        <w:rPr/>
      </w:pPr>
      <w:r>
        <w:rPr>
          <w:rStyle w:val="Funotenzeichen"/>
        </w:rPr>
        <w:footnoteRef/>
      </w:r>
      <w:r>
        <w:rPr/>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30">
    <w:p>
      <w:pPr>
        <w:pStyle w:val="Funote"/>
        <w:rPr/>
      </w:pPr>
      <w:r>
        <w:rPr>
          <w:rStyle w:val="Funotenzeichen"/>
        </w:rPr>
        <w:footnoteRef/>
      </w:r>
      <w:r>
        <w:rPr>
          <w:i/>
        </w:rPr>
        <w:tab/>
        <w:t>Scheol</w:t>
      </w:r>
      <w:r>
        <w:rPr/>
        <w:t xml:space="preserve"> - Heb. Name der Unterwelt. Mit der Hölle hat die Scheol-Vorstellung sehr wenig gemein. Vermutlich stellte man sie sich vor als eine unter der Erde gelegene Stadt, deren Bewohner in der Finsternis zur Passivität und Gottferne verdammt waren (s. näher </w:t>
      </w:r>
      <w:hyperlink r:id="rId54">
        <w:r>
          <w:rPr>
            <w:rStyle w:val="Internetverknpfung"/>
          </w:rPr>
          <w:t>Jenseitsvorstellungen (AT) (WiBiLex)</w:t>
        </w:r>
      </w:hyperlink>
      <w:r>
        <w:rPr/>
        <w:t>).</w:t>
      </w:r>
    </w:p>
  </w:footnote>
  <w:footnote w:id="631">
    <w:p>
      <w:pPr>
        <w:pStyle w:val="Funote"/>
        <w:rPr/>
      </w:pPr>
      <w:r>
        <w:rPr>
          <w:rStyle w:val="Funotenzeichen"/>
        </w:rPr>
        <w:footnoteRef/>
      </w:r>
      <w:r>
        <w:rPr/>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32">
    <w:p>
      <w:pPr>
        <w:pStyle w:val="Funote"/>
        <w:rPr/>
      </w:pPr>
      <w:r>
        <w:rPr>
          <w:rStyle w:val="Funotenzeichen"/>
        </w:rPr>
        <w:footnoteRef/>
      </w:r>
      <w:r>
        <w:rPr/>
        <w:tab/>
        <w:t>Gott vergessen [haben] = die keine JHWH-Verehrer sind (vgl THAT II, Sp. 902).</w:t>
      </w:r>
    </w:p>
  </w:footnote>
  <w:footnote w:id="633">
    <w:p>
      <w:pPr>
        <w:pStyle w:val="Funote"/>
        <w:rPr/>
      </w:pPr>
      <w:r>
        <w:rPr>
          <w:rStyle w:val="Funotenzeichen"/>
        </w:rPr>
        <w:footnoteRef/>
      </w:r>
      <w:r>
        <w:rPr/>
        <w:tab/>
        <w:t>Zu vergessen vgl. FN y, zu der Elenden FN z. Der Beter bittet hier exakt um das, wofür er in V. 13 JHWH versprochen hat, ihn nach dessen Hilfe öffentlich zu preisen.</w:t>
      </w:r>
    </w:p>
  </w:footnote>
  <w:footnote w:id="634">
    <w:p>
      <w:pPr>
        <w:pStyle w:val="Funote"/>
        <w:rPr/>
      </w:pPr>
      <w:r>
        <w:rPr>
          <w:rStyle w:val="Funotenzeichen"/>
        </w:rPr>
        <w:footnoteRef/>
      </w:r>
      <w:r>
        <w:rPr/>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35">
    <w:p>
      <w:pPr>
        <w:pStyle w:val="Funote"/>
        <w:rPr/>
      </w:pPr>
      <w:r>
        <w:rPr>
          <w:rStyle w:val="Funotenzeichen"/>
        </w:rPr>
        <w:footnoteRef/>
      </w:r>
      <w:r>
        <w:rPr/>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36">
    <w:p>
      <w:pPr>
        <w:pStyle w:val="Funote"/>
        <w:rPr/>
      </w:pPr>
      <w:r>
        <w:rPr>
          <w:rStyle w:val="Funotenzeichen"/>
        </w:rPr>
        <w:footnoteRef/>
      </w:r>
      <w:r>
        <w:rPr/>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37">
    <w:p>
      <w:pPr>
        <w:pStyle w:val="Funote"/>
        <w:rPr/>
      </w:pPr>
      <w:r>
        <w:rPr>
          <w:rStyle w:val="Funotenzeichen"/>
        </w:rPr>
        <w:footnoteRef/>
      </w:r>
      <w:r>
        <w:rPr/>
        <w:tab/>
        <w:t>JHWH</w:t>
      </w:r>
    </w:p>
  </w:footnote>
  <w:footnote w:id="638">
    <w:p>
      <w:pPr>
        <w:pStyle w:val="Funote"/>
        <w:rPr/>
      </w:pPr>
      <w:r>
        <w:rPr>
          <w:rStyle w:val="Funotenzeichen"/>
        </w:rPr>
        <w:footnoteRef/>
      </w:r>
      <w:r>
        <w:rPr/>
        <w:tab/>
        <w:t>JHWH</w:t>
      </w:r>
    </w:p>
  </w:footnote>
  <w:footnote w:id="639">
    <w:p>
      <w:pPr>
        <w:pStyle w:val="Funote"/>
        <w:rPr/>
      </w:pPr>
      <w:r>
        <w:rPr>
          <w:rStyle w:val="Funotenzeichen"/>
        </w:rPr>
        <w:footnoteRef/>
      </w:r>
      <w:r>
        <w:rPr/>
        <w:tab/>
        <w:t>JHWH</w:t>
      </w:r>
    </w:p>
  </w:footnote>
  <w:footnote w:id="640">
    <w:p>
      <w:pPr>
        <w:pStyle w:val="Funote"/>
        <w:rPr/>
      </w:pPr>
      <w:r>
        <w:rPr>
          <w:rStyle w:val="Funotenzeichen"/>
        </w:rPr>
        <w:footnoteRef/>
      </w:r>
      <w:r>
        <w:rPr/>
        <w:tab/>
        <w:t>[Status: Zuverlässig]</w:t>
      </w:r>
    </w:p>
  </w:footnote>
  <w:footnote w:id="641">
    <w:p>
      <w:pPr>
        <w:pStyle w:val="Funote"/>
        <w:rPr/>
      </w:pPr>
      <w:r>
        <w:rPr>
          <w:rStyle w:val="Funotenzeichen"/>
        </w:rPr>
        <w:footnoteRef/>
      </w:r>
      <w:r>
        <w:rPr/>
        <w:tab/>
        <w:t xml:space="preserve">Ps 10 ist nicht eigentlich ein eigenständiger Psalm, sondern bildet zusammen mit Ps 9 das erste sog. „Akrostichon“ in der Bibel, die Anfangsbuchstaben einiger Zeilen folgen also dem heb. Alphabet (s. die Anmerkungen zu </w:t>
      </w:r>
      <w:hyperlink r:id="rId55">
        <w:r>
          <w:rPr>
            <w:rStyle w:val="Internetverknpfung"/>
          </w:rPr>
          <w:t>Psalm 9</w:t>
        </w:r>
      </w:hyperlink>
      <w:r>
        <w:rPr/>
        <w:t>). Um das direkt sichtbar zu machen, haben wir die obigen Buchstaben gesetzt: Wo „A“ steht, findet sich im heb. Text der erste Buchstabe des heb. Alphabets, wo „B“ steht der zweite usw.</w:t>
      </w:r>
    </w:p>
  </w:footnote>
  <w:footnote w:id="642">
    <w:p>
      <w:pPr>
        <w:pStyle w:val="Funote"/>
        <w:rPr/>
      </w:pPr>
      <w:r>
        <w:rPr>
          <w:rStyle w:val="Funotenzeichen"/>
        </w:rPr>
        <w:footnoteRef/>
      </w:r>
      <w:r>
        <w:rPr/>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43">
    <w:p>
      <w:pPr>
        <w:pStyle w:val="Funote"/>
        <w:rPr/>
      </w:pPr>
      <w:r>
        <w:rPr>
          <w:rStyle w:val="Funotenzeichen"/>
        </w:rPr>
        <w:footnoteRef/>
      </w:r>
      <w:r>
        <w:rPr/>
        <w:tab/>
        <w:t>den Elenden (Armen) - häufiger Ausdruck für JHWH-Verehrer qua hilfsbedürftige, weil bedrängte, JHWH-Verehrer (vgl. z.B. THAT II, Sp. 345f.).</w:t>
      </w:r>
    </w:p>
  </w:footnote>
  <w:footnote w:id="644">
    <w:p>
      <w:pPr>
        <w:pStyle w:val="Funote"/>
        <w:rPr/>
      </w:pPr>
      <w:r>
        <w:rPr>
          <w:rStyle w:val="Funotenzeichen"/>
        </w:rPr>
        <w:footnoteRef/>
      </w:r>
      <w:r>
        <w:rPr/>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45">
    <w:p>
      <w:pPr>
        <w:pStyle w:val="Funote"/>
        <w:rPr/>
      </w:pPr>
      <w:r>
        <w:rPr>
          <w:rStyle w:val="Funotenzeichen"/>
        </w:rPr>
        <w:footnoteRef/>
      </w:r>
      <w:r>
        <w:rPr/>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46">
    <w:p>
      <w:pPr>
        <w:pStyle w:val="Funote"/>
        <w:rPr/>
      </w:pPr>
      <w:r>
        <w:rPr>
          <w:rStyle w:val="Funotenzeichen"/>
        </w:rPr>
        <w:footnoteRef/>
      </w:r>
      <w:r>
        <w:rPr/>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47">
    <w:p>
      <w:pPr>
        <w:pStyle w:val="Funote"/>
        <w:rPr/>
      </w:pPr>
      <w:r>
        <w:rPr>
          <w:rStyle w:val="Funotenzeichen"/>
        </w:rPr>
        <w:footnoteRef/>
      </w:r>
      <w:r>
        <w:rPr/>
        <w:tab/>
        <w:t>Abschneider = Erpresser; das Verb batsa` („abschneiden“) findet sich oft in der Bed. „erpressen“ in der Bibel. Schön Herkenne 1936: „Halsabschneider“.</w:t>
      </w:r>
    </w:p>
  </w:footnote>
  <w:footnote w:id="648">
    <w:p>
      <w:pPr>
        <w:pStyle w:val="Funote"/>
        <w:rPr/>
      </w:pPr>
      <w:r>
        <w:rPr>
          <w:rStyle w:val="Funotenzeichen"/>
        </w:rPr>
        <w:footnoteRef/>
      </w:r>
      <w:r>
        <w:rPr/>
        <w:tab/>
        <w:t>flucht - barak hier wie oft nicht in der Bed. „segnet“, sd. „flucht“; vgl. z.B. Schorch 2000, S. 101f. So fast alle Üss.</w:t>
      </w:r>
    </w:p>
  </w:footnote>
  <w:footnote w:id="649">
    <w:p>
      <w:pPr>
        <w:pStyle w:val="Funote"/>
        <w:rPr/>
      </w:pPr>
      <w:r>
        <w:rPr>
          <w:rStyle w:val="Funotenzeichen"/>
        </w:rPr>
        <w:footnoteRef/>
      </w:r>
      <w:r>
        <w:rPr/>
        <w:tab/>
        <w:t>flucht, verachtet (V. 3) + bricht zusammen, sinkt nieder (V. 10) - zur Konstruktion vgl. Müller 2013b, S. 62f.: Zwei Verben werden ohne Konjunktion aneinander angeschlossen, um den Ausdruck noch stärker zu machen (vgl. S. 68).</w:t>
      </w:r>
    </w:p>
  </w:footnote>
  <w:footnote w:id="650">
    <w:p>
      <w:pPr>
        <w:pStyle w:val="Funote"/>
        <w:rPr/>
      </w:pPr>
      <w:r>
        <w:rPr>
          <w:rStyle w:val="Funotenzeichen"/>
        </w:rPr>
        <w:footnoteRef/>
      </w:r>
      <w:r>
        <w:rPr/>
        <w:tab/>
        <w:t>[denkt:] - Zu Einleitungen wörtl. Rede ohne ein verbum dicendi/sentiendi wie „sagt“ oder „denkt“ vgl. z.B. Gordis 1949, S. 174-176; zwei Bspp: Pred 8,2: „Ich [sage]:...“; Hos 14,8: „Ephraim [soll sagen:]...“</w:t>
      </w:r>
    </w:p>
  </w:footnote>
  <w:footnote w:id="651">
    <w:p>
      <w:pPr>
        <w:pStyle w:val="Funote"/>
        <w:rPr/>
      </w:pPr>
      <w:r>
        <w:rPr>
          <w:rStyle w:val="Funotenzeichen"/>
        </w:rPr>
        <w:footnoteRef/>
      </w:r>
      <w:r>
        <w:rPr/>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52">
    <w:p>
      <w:pPr>
        <w:pStyle w:val="Funote"/>
        <w:rPr/>
      </w:pPr>
      <w:r>
        <w:rPr>
          <w:rStyle w:val="Funotenzeichen"/>
        </w:rPr>
        <w:footnoteRef/>
      </w:r>
      <w:r>
        <w:rPr/>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53">
    <w:p>
      <w:pPr>
        <w:pStyle w:val="Funote"/>
        <w:rPr/>
      </w:pPr>
      <w:r>
        <w:rPr>
          <w:rStyle w:val="Funotenzeichen"/>
        </w:rPr>
        <w:footnoteRef/>
      </w:r>
      <w:r>
        <w:rPr/>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54">
    <w:p>
      <w:pPr>
        <w:pStyle w:val="Funote"/>
        <w:rPr/>
      </w:pPr>
      <w:r>
        <w:rPr>
          <w:rStyle w:val="Funotenzeichen"/>
        </w:rPr>
        <w:footnoteRef/>
      </w:r>
      <w:r>
        <w:rPr/>
        <w:tab/>
        <w:t>Hoch [sind] deine Gesetze, fern von ihm - d.h. wieder: Um Gott und seine Weisung schert sich der Schlechte nicht im Geringsten. Schön EÜ: „Hoch droben und fern von sich wähnt er deine Gerichte.“</w:t>
      </w:r>
    </w:p>
  </w:footnote>
  <w:footnote w:id="655">
    <w:p>
      <w:pPr>
        <w:pStyle w:val="Funote"/>
        <w:rPr/>
      </w:pPr>
      <w:r>
        <w:rPr>
          <w:rStyle w:val="Funotenzeichen"/>
        </w:rPr>
        <w:footnoteRef/>
      </w:r>
      <w:r>
        <w:rPr/>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56">
    <w:p>
      <w:pPr>
        <w:pStyle w:val="Funote"/>
        <w:rPr/>
      </w:pPr>
      <w:r>
        <w:rPr>
          <w:rStyle w:val="Funotenzeichen"/>
        </w:rPr>
        <w:footnoteRef/>
      </w:r>
      <w:r>
        <w:rPr>
          <w:i/>
        </w:rPr>
        <w:tab/>
        <w:t>wanken</w:t>
      </w:r>
      <w:r>
        <w:rPr/>
        <w:t xml:space="preserve"> - Das „Wanken“ ist in der biblischen Poesie eine häufige Metapher für eine Gefährdung, aus der direkt Vernichtung und Tod folgt. Wer dagegen „nicht wankt“ ist sicher und geschützt und wird daher ewig bestehen; s. bes. gut </w:t>
      </w:r>
      <w:hyperlink r:id="rId56">
        <w:r>
          <w:rPr>
            <w:rStyle w:val="Internetverknpfung"/>
          </w:rPr>
          <w:t>Spr 10,30</w:t>
        </w:r>
      </w:hyperlink>
      <w:r>
        <w:rPr/>
        <w:t xml:space="preserve">; </w:t>
      </w:r>
      <w:r>
        <w:fldChar w:fldCharType="begin"/>
      </w:r>
      <w:r>
        <w:rPr>
          <w:rStyle w:val="Internetverknpfung"/>
        </w:rPr>
        <w:instrText> HYPERLINK "../../../../../../../../../wiki/Sprichw%C3%B6rter_12" \l "s3"</w:instrText>
      </w:r>
      <w:r>
        <w:rPr>
          <w:rStyle w:val="Internetverknpfung"/>
        </w:rPr>
        <w:fldChar w:fldCharType="separate"/>
      </w:r>
      <w:r>
        <w:rPr>
          <w:rStyle w:val="Internetverknpfung"/>
        </w:rPr>
        <w:t>12,3</w:t>
      </w:r>
      <w:r>
        <w:rPr>
          <w:rStyle w:val="Internetverknpfung"/>
        </w:rPr>
        <w:fldChar w:fldCharType="end"/>
      </w:r>
      <w:r>
        <w:rPr/>
        <w:t xml:space="preserve">; auch </w:t>
      </w:r>
      <w:r>
        <w:fldChar w:fldCharType="begin"/>
      </w:r>
      <w:r>
        <w:rPr>
          <w:rStyle w:val="Internetverknpfung"/>
        </w:rPr>
        <w:instrText> HYPERLINK "../../../../../../../../../wiki/Psalm_16" \l "s8"</w:instrText>
      </w:r>
      <w:r>
        <w:rPr>
          <w:rStyle w:val="Internetverknpfung"/>
        </w:rPr>
        <w:fldChar w:fldCharType="separate"/>
      </w:r>
      <w:r>
        <w:rPr>
          <w:rStyle w:val="Internetverknpfung"/>
        </w:rPr>
        <w:t>Ps 16,8</w:t>
      </w:r>
      <w:r>
        <w:rPr>
          <w:rStyle w:val="Internetverknpfung"/>
        </w:rPr>
        <w:fldChar w:fldCharType="end"/>
      </w:r>
      <w:r>
        <w:rPr/>
        <w:t xml:space="preserve">; </w:t>
      </w:r>
      <w:hyperlink r:id="rId57">
        <w:r>
          <w:rPr>
            <w:rStyle w:val="Internetverknpfung"/>
          </w:rPr>
          <w:t>46,6f</w:t>
        </w:r>
      </w:hyperlink>
      <w:r>
        <w:rPr/>
        <w:t xml:space="preserve">; </w:t>
      </w:r>
      <w:hyperlink r:id="rId58">
        <w:r>
          <w:rPr>
            <w:rStyle w:val="Internetverknpfung"/>
          </w:rPr>
          <w:t>62,3.7</w:t>
        </w:r>
      </w:hyperlink>
      <w:r>
        <w:rPr/>
        <w:t xml:space="preserve">; </w:t>
      </w:r>
      <w:hyperlink r:id="rId59">
        <w:r>
          <w:rPr>
            <w:rStyle w:val="Internetverknpfung"/>
          </w:rPr>
          <w:t>112,6</w:t>
        </w:r>
      </w:hyperlink>
      <w:r>
        <w:rPr/>
        <w:t xml:space="preserve">; </w:t>
      </w:r>
      <w:hyperlink r:id="rId60">
        <w:r>
          <w:rPr>
            <w:rStyle w:val="Internetverknpfung"/>
          </w:rPr>
          <w:t>125,1</w:t>
        </w:r>
      </w:hyperlink>
      <w:r>
        <w:rPr/>
        <w:t>. Wie an den Stellen zu sehen ist, handelt es sich bei diesem nicht-Wanken meist um eine Gnadengabe Gottes; hier dagegen wird es gerade auf die Nichtexistenz Gottes zurückgeführt.</w:t>
      </w:r>
    </w:p>
  </w:footnote>
  <w:footnote w:id="657">
    <w:p>
      <w:pPr>
        <w:pStyle w:val="Funote"/>
        <w:rPr/>
      </w:pPr>
      <w:r>
        <w:rPr>
          <w:rStyle w:val="Funotenzeichen"/>
        </w:rPr>
        <w:footnoteRef/>
      </w:r>
      <w:r>
        <w:rPr/>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58">
    <w:p>
      <w:pPr>
        <w:pStyle w:val="Funote"/>
        <w:rPr/>
      </w:pPr>
      <w:r>
        <w:rPr>
          <w:rStyle w:val="Funotenzeichen"/>
        </w:rPr>
        <w:footnoteRef/>
      </w:r>
      <w:r>
        <w:rPr/>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9">
    <w:p>
      <w:pPr>
        <w:pStyle w:val="Funote"/>
        <w:rPr/>
      </w:pPr>
      <w:r>
        <w:rPr>
          <w:rStyle w:val="Funotenzeichen"/>
        </w:rPr>
        <w:footnoteRef/>
      </w:r>
      <w:r>
        <w:rPr/>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60">
    <w:p>
      <w:pPr>
        <w:pStyle w:val="Funote"/>
        <w:rPr/>
      </w:pPr>
      <w:r>
        <w:rPr>
          <w:rStyle w:val="Funotenzeichen"/>
        </w:rPr>
        <w:footnoteRef/>
      </w:r>
      <w:r>
        <w:rPr/>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61">
    <w:p>
      <w:pPr>
        <w:pStyle w:val="Funote"/>
        <w:rPr/>
      </w:pPr>
      <w:r>
        <w:rPr>
          <w:rStyle w:val="Funotenzeichen"/>
        </w:rPr>
        <w:footnoteRef/>
      </w:r>
      <w:r>
        <w:rPr>
          <w:i/>
        </w:rPr>
        <w:tab/>
        <w:t>in sein (mit seinem) Netz zieht</w:t>
      </w:r>
      <w:r>
        <w:rPr/>
        <w:t xml:space="preserve">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w:t>
      </w:r>
      <w:hyperlink r:id="rId61">
        <w:r>
          <w:rPr>
            <w:rStyle w:val="Internetverknpfung"/>
          </w:rPr>
          <w:t>Jer 16,16</w:t>
        </w:r>
      </w:hyperlink>
      <w:r>
        <w:rPr/>
        <w:t xml:space="preserve">; </w:t>
      </w:r>
      <w:r>
        <w:fldChar w:fldCharType="begin"/>
      </w:r>
      <w:r>
        <w:rPr>
          <w:rStyle w:val="Internetverknpfung"/>
        </w:rPr>
        <w:instrText> HYPERLINK "../../../../../../../../../wiki/Amos_4" \l "s2"</w:instrText>
      </w:r>
      <w:r>
        <w:rPr>
          <w:rStyle w:val="Internetverknpfung"/>
        </w:rPr>
        <w:fldChar w:fldCharType="separate"/>
      </w:r>
      <w:r>
        <w:rPr>
          <w:rStyle w:val="Internetverknpfung"/>
        </w:rPr>
        <w:t>Am 4,2</w:t>
      </w:r>
      <w:r>
        <w:rPr>
          <w:rStyle w:val="Internetverknpfung"/>
        </w:rPr>
        <w:fldChar w:fldCharType="end"/>
      </w:r>
      <w:r>
        <w:rPr/>
        <w:t xml:space="preserve">; </w:t>
      </w:r>
      <w:hyperlink r:id="rId62">
        <w:r>
          <w:rPr>
            <w:rStyle w:val="Internetverknpfung"/>
          </w:rPr>
          <w:t>Hab 1,15f.</w:t>
        </w:r>
      </w:hyperlink>
      <w:r>
        <w:rPr/>
        <w:t>; die Fischermetapher passt in der heb. „Metaphernwelt“ besser zur Löwenmetapher als im Dt.</w:t>
      </w:r>
    </w:p>
  </w:footnote>
  <w:footnote w:id="662">
    <w:p>
      <w:pPr>
        <w:pStyle w:val="Funote"/>
        <w:rPr/>
      </w:pPr>
      <w:r>
        <w:rPr>
          <w:rStyle w:val="Funotenzeichen"/>
        </w:rPr>
        <w:footnoteRef/>
      </w:r>
      <w:r>
        <w:rPr/>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63">
    <w:p>
      <w:pPr>
        <w:pStyle w:val="Funote"/>
        <w:rPr/>
      </w:pPr>
      <w:r>
        <w:rPr>
          <w:rStyle w:val="Funotenzeichen"/>
        </w:rPr>
        <w:footnoteRef/>
      </w:r>
      <w:r>
        <w:rPr>
          <w:i/>
        </w:rPr>
        <w:tab/>
        <w:t>Gott vergisst</w:t>
      </w:r>
      <w:r>
        <w:rPr/>
        <w:t xml:space="preserve"> (V. 11) + </w:t>
      </w:r>
      <w:r>
        <w:rPr>
          <w:i/>
        </w:rPr>
        <w:t>Vergiss</w:t>
      </w:r>
      <w:r>
        <w:rPr/>
        <w:t xml:space="preserve"> (V. 12) - Die Rede vom „Vergessen“ Gottes meint meist sein aktives sich-Abwenden von jmdn (s. z.B. </w:t>
      </w:r>
      <w:hyperlink r:id="rId63">
        <w:r>
          <w:rPr>
            <w:rStyle w:val="Internetverknpfung"/>
          </w:rPr>
          <w:t>1 Sam 1,11</w:t>
        </w:r>
      </w:hyperlink>
      <w:r>
        <w:rPr/>
        <w:t xml:space="preserve">; </w:t>
      </w:r>
      <w:r>
        <w:fldChar w:fldCharType="begin"/>
      </w:r>
      <w:r>
        <w:rPr>
          <w:rStyle w:val="Internetverknpfung"/>
        </w:rPr>
        <w:instrText> HYPERLINK "../../../../../../../../../wiki/Psalm_13" \l "s2"</w:instrText>
      </w:r>
      <w:r>
        <w:rPr>
          <w:rStyle w:val="Internetverknpfung"/>
        </w:rPr>
        <w:fldChar w:fldCharType="separate"/>
      </w:r>
      <w:r>
        <w:rPr>
          <w:rStyle w:val="Internetverknpfung"/>
        </w:rPr>
        <w:t>Ps 13,2</w:t>
      </w:r>
      <w:r>
        <w:rPr>
          <w:rStyle w:val="Internetverknpfung"/>
        </w:rPr>
        <w:fldChar w:fldCharType="end"/>
      </w:r>
      <w:r>
        <w:rPr/>
        <w:t xml:space="preserve">; </w:t>
      </w:r>
      <w:r>
        <w:fldChar w:fldCharType="begin"/>
      </w:r>
      <w:r>
        <w:rPr>
          <w:rStyle w:val="Internetverknpfung"/>
        </w:rPr>
        <w:instrText> HYPERLINK "../../../../../../../../../wiki/Psalm_42" \l "s10"</w:instrText>
      </w:r>
      <w:r>
        <w:rPr>
          <w:rStyle w:val="Internetverknpfung"/>
        </w:rPr>
        <w:fldChar w:fldCharType="separate"/>
      </w:r>
      <w:r>
        <w:rPr>
          <w:rStyle w:val="Internetverknpfung"/>
        </w:rPr>
        <w:t>42,10</w:t>
      </w:r>
      <w:r>
        <w:rPr>
          <w:rStyle w:val="Internetverknpfung"/>
        </w:rPr>
        <w:fldChar w:fldCharType="end"/>
      </w:r>
      <w:r>
        <w:rPr/>
        <w:t xml:space="preserve">; </w:t>
      </w:r>
      <w:hyperlink r:id="rId64">
        <w:r>
          <w:rPr>
            <w:rStyle w:val="Internetverknpfung"/>
          </w:rPr>
          <w:t>44,25</w:t>
        </w:r>
      </w:hyperlink>
      <w:r>
        <w:rPr/>
        <w:t xml:space="preserve">; </w:t>
      </w:r>
      <w:hyperlink r:id="rId65">
        <w:r>
          <w:rPr>
            <w:rStyle w:val="Internetverknpfung"/>
          </w:rPr>
          <w:t>Jes 49,14</w:t>
        </w:r>
      </w:hyperlink>
      <w:r>
        <w:rPr/>
        <w:t xml:space="preserve">; </w:t>
      </w:r>
      <w:hyperlink r:id="rId66">
        <w:r>
          <w:rPr>
            <w:rStyle w:val="Internetverknpfung"/>
          </w:rPr>
          <w:t>Klg 5,20</w:t>
        </w:r>
      </w:hyperlink>
      <w:r>
        <w:rPr/>
        <w:t xml:space="preserve">).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w:t>
      </w:r>
      <w:r>
        <w:rPr>
          <w:i/>
        </w:rPr>
        <w:t>Steh auf!</w:t>
      </w:r>
      <w:r>
        <w:rPr/>
        <w:t xml:space="preserve">, d.h., werde aktiv! </w:t>
      </w:r>
      <w:r>
        <w:rPr>
          <w:i/>
        </w:rPr>
        <w:t>Heb deine Hand</w:t>
      </w:r>
      <w:r>
        <w:rPr/>
        <w:t xml:space="preserve">, d.h. mach' jetzt was! </w:t>
      </w:r>
      <w:r>
        <w:rPr>
          <w:i/>
        </w:rPr>
        <w:t>Vergiss nicht!</w:t>
      </w:r>
      <w:r>
        <w:rPr/>
        <w:t>, d.h. wende dich dem Elenden gnädig zu!</w:t>
      </w:r>
    </w:p>
  </w:footnote>
  <w:footnote w:id="664">
    <w:p>
      <w:pPr>
        <w:pStyle w:val="Funote"/>
        <w:rPr/>
      </w:pPr>
      <w:r>
        <w:rPr>
          <w:rStyle w:val="Funotenzeichen"/>
        </w:rPr>
        <w:footnoteRef/>
      </w:r>
      <w:r>
        <w:rPr/>
        <w:tab/>
        <w:t xml:space="preserve">Dass Gott </w:t>
      </w:r>
      <w:r>
        <w:rPr>
          <w:i/>
        </w:rPr>
        <w:t>sein Gesicht verbirgt</w:t>
      </w:r>
      <w:r>
        <w:rPr/>
        <w:t xml:space="preserve">, ist eine häufige Metapher für den Gnadenentzug JHWHs (s. </w:t>
      </w:r>
      <w:r>
        <w:fldChar w:fldCharType="begin"/>
      </w:r>
      <w:r>
        <w:rPr>
          <w:rStyle w:val="Internetverknpfung"/>
        </w:rPr>
        <w:instrText> HYPERLINK "http://offene-bibel.de/wiki/Psalm_30" \l "note_u"</w:instrText>
      </w:r>
      <w:r>
        <w:rPr>
          <w:rStyle w:val="Internetverknpfung"/>
        </w:rPr>
        <w:fldChar w:fldCharType="separate"/>
      </w:r>
      <w:r>
        <w:rPr>
          <w:rStyle w:val="Internetverknpfung"/>
        </w:rPr>
        <w:t>FN u</w:t>
      </w:r>
      <w:r>
        <w:rPr>
          <w:rStyle w:val="Internetverknpfung"/>
        </w:rPr>
        <w:fldChar w:fldCharType="end"/>
      </w:r>
      <w:r>
        <w:rPr/>
        <w:t xml:space="preserve"> zu </w:t>
      </w:r>
      <w:r>
        <w:fldChar w:fldCharType="begin"/>
      </w:r>
      <w:r>
        <w:rPr>
          <w:rStyle w:val="Internetverknpfung"/>
        </w:rPr>
        <w:instrText> HYPERLINK "../../../../../../../../../wiki/Psalm_30" \l "s8"</w:instrText>
      </w:r>
      <w:r>
        <w:rPr>
          <w:rStyle w:val="Internetverknpfung"/>
        </w:rPr>
        <w:fldChar w:fldCharType="separate"/>
      </w:r>
      <w:r>
        <w:rPr>
          <w:rStyle w:val="Internetverknpfung"/>
        </w:rPr>
        <w:t>Ps 30,8</w:t>
      </w:r>
      <w:r>
        <w:rPr>
          <w:rStyle w:val="Internetverknpfung"/>
        </w:rPr>
        <w:fldChar w:fldCharType="end"/>
      </w:r>
      <w:r>
        <w:rPr/>
        <w:t xml:space="preserve">); in unserem Kontext ist es aber besser nicht als Metapher zu nehmen, sondern als alternative Formulierung für den nächsten Satz: „Gott sieht nicht“. S. zu dieser Bedeutung z.B. </w:t>
      </w:r>
      <w:r>
        <w:fldChar w:fldCharType="begin"/>
      </w:r>
      <w:r>
        <w:rPr>
          <w:rStyle w:val="Internetverknpfung"/>
        </w:rPr>
        <w:instrText> HYPERLINK "../../../../../../../../../wiki/Exodus_3" \l "s6"</w:instrText>
      </w:r>
      <w:r>
        <w:rPr>
          <w:rStyle w:val="Internetverknpfung"/>
        </w:rPr>
        <w:fldChar w:fldCharType="separate"/>
      </w:r>
      <w:r>
        <w:rPr>
          <w:rStyle w:val="Internetverknpfung"/>
        </w:rPr>
        <w:t>Ex 3,6</w:t>
      </w:r>
      <w:r>
        <w:rPr>
          <w:rStyle w:val="Internetverknpfung"/>
        </w:rPr>
        <w:fldChar w:fldCharType="end"/>
      </w:r>
      <w:r>
        <w:rPr/>
        <w:t xml:space="preserve"> oder ganz ähnlich wie hier </w:t>
      </w:r>
      <w:r>
        <w:fldChar w:fldCharType="begin"/>
      </w:r>
      <w:r>
        <w:rPr>
          <w:rStyle w:val="Internetverknpfung"/>
        </w:rPr>
        <w:instrText> HYPERLINK "../../../../../../../../../wiki/Psalm_51" \l "s11"</w:instrText>
      </w:r>
      <w:r>
        <w:rPr>
          <w:rStyle w:val="Internetverknpfung"/>
        </w:rPr>
        <w:fldChar w:fldCharType="separate"/>
      </w:r>
      <w:r>
        <w:rPr>
          <w:rStyle w:val="Internetverknpfung"/>
        </w:rPr>
        <w:t>Ps 51,11</w:t>
      </w:r>
      <w:r>
        <w:rPr>
          <w:rStyle w:val="Internetverknpfung"/>
        </w:rPr>
        <w:fldChar w:fldCharType="end"/>
      </w:r>
      <w:r>
        <w:rPr/>
        <w:t>.</w:t>
      </w:r>
    </w:p>
  </w:footnote>
  <w:footnote w:id="665">
    <w:p>
      <w:pPr>
        <w:pStyle w:val="Funote"/>
        <w:rPr/>
      </w:pPr>
      <w:r>
        <w:rPr>
          <w:rStyle w:val="Funotenzeichen"/>
        </w:rPr>
        <w:footnoteRef/>
      </w:r>
      <w:r>
        <w:rPr>
          <w:i/>
        </w:rPr>
        <w:tab/>
        <w:t>Sieht nicht auf immer</w:t>
      </w:r>
      <w:r>
        <w:rPr/>
        <w:t xml:space="preserve"> - d.h., schert sich nicht um das Geschehen auf der Welt, so dass man ihn in seinem Handeln getrost ignorieren kann.</w:t>
        <w:br/>
        <w:t xml:space="preserve">Man beachte die Häufung an Verben in </w:t>
      </w:r>
      <w:r>
        <w:rPr>
          <w:i/>
        </w:rPr>
        <w:t>Vv. 9b-11</w:t>
      </w:r>
      <w:r>
        <w:rPr/>
        <w:t>: Die Klage über das Verhalten der Schlechten kommt hier zu ihrer Klimax, die einzelnen Anklagen überstürzen sich regelrecht im Gebet des Psalmisten.</w:t>
      </w:r>
    </w:p>
  </w:footnote>
  <w:footnote w:id="666">
    <w:p>
      <w:pPr>
        <w:pStyle w:val="Funote"/>
        <w:rPr/>
      </w:pPr>
      <w:r>
        <w:rPr>
          <w:rStyle w:val="Funotenzeichen"/>
        </w:rPr>
        <w:footnoteRef/>
      </w:r>
      <w:r>
        <w:rPr/>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67">
    <w:p>
      <w:pPr>
        <w:pStyle w:val="Funote"/>
        <w:rPr/>
      </w:pPr>
      <w:r>
        <w:rPr>
          <w:rStyle w:val="Funotenzeichen"/>
        </w:rPr>
        <w:footnoteRef/>
      </w:r>
      <w:r>
        <w:rPr/>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68">
    <w:p>
      <w:pPr>
        <w:pStyle w:val="Funote"/>
        <w:rPr/>
      </w:pPr>
      <w:r>
        <w:rPr>
          <w:rStyle w:val="Funotenzeichen"/>
        </w:rPr>
        <w:footnoteRef/>
      </w:r>
      <w:r>
        <w:rPr/>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9">
    <w:p>
      <w:pPr>
        <w:pStyle w:val="Funote"/>
        <w:rPr/>
      </w:pPr>
      <w:r>
        <w:rPr>
          <w:rStyle w:val="Funotenzeichen"/>
        </w:rPr>
        <w:footnoteRef/>
      </w:r>
      <w:r>
        <w:rPr/>
        <w:tab/>
        <w:t>Suche wieder i.S.v. „räche“, vgl. wieder FN w zu Ps 9,13. Gut Bonkamp 1949: „Räche sein Unrecht!“; Terrien 2003: „Pursue his crime!“, Weber 2001: „Ahnde seinen Frevel!“</w:t>
      </w:r>
    </w:p>
  </w:footnote>
  <w:footnote w:id="670">
    <w:p>
      <w:pPr>
        <w:pStyle w:val="Funote"/>
        <w:rPr/>
      </w:pPr>
      <w:r>
        <w:rPr>
          <w:rStyle w:val="Funotenzeichen"/>
        </w:rPr>
        <w:footnoteRef/>
      </w:r>
      <w:r>
        <w:rPr>
          <w:i/>
        </w:rPr>
        <w:tab/>
        <w:t>sein</w:t>
      </w:r>
      <w:r>
        <w:rPr/>
        <w:t xml:space="preserve">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71">
    <w:p>
      <w:pPr>
        <w:pStyle w:val="Funote"/>
        <w:rPr/>
      </w:pPr>
      <w:r>
        <w:rPr>
          <w:rStyle w:val="Funotenzeichen"/>
        </w:rPr>
        <w:footnoteRef/>
      </w:r>
      <w:r>
        <w:rPr/>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72">
    <w:p>
      <w:pPr>
        <w:pStyle w:val="Funote"/>
        <w:rPr/>
      </w:pPr>
      <w:r>
        <w:rPr>
          <w:rStyle w:val="Funotenzeichen"/>
        </w:rPr>
        <w:footnoteRef/>
      </w:r>
      <w:r>
        <w:rPr/>
        <w:tab/>
        <w:t>Nationen - Heb. gojim, oft verwendet für Nationen qua heidnische Nationen; sinngemäßer daher „Heidenvölker“ (ähnlich z.B. Bonkamp 1949; Ehrlich 1905; Weber 2001: „Heiden“).</w:t>
      </w:r>
    </w:p>
  </w:footnote>
  <w:footnote w:id="673">
    <w:p>
      <w:pPr>
        <w:pStyle w:val="Funote"/>
        <w:rPr/>
      </w:pPr>
      <w:r>
        <w:rPr>
          <w:rStyle w:val="Funotenzeichen"/>
        </w:rPr>
        <w:footnoteRef/>
      </w:r>
      <w:r>
        <w:rPr/>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74">
    <w:p>
      <w:pPr>
        <w:pStyle w:val="Funote"/>
        <w:rPr/>
      </w:pPr>
      <w:r>
        <w:rPr>
          <w:rStyle w:val="Funotenzeichen"/>
        </w:rPr>
        <w:footnoteRef/>
      </w:r>
      <w:r>
        <w:rPr>
          <w:i/>
        </w:rPr>
        <w:tab/>
        <w:t>Menschlein aus Erde</w:t>
      </w:r>
      <w:r>
        <w:rPr/>
        <w:t xml:space="preserve"> - Die letzte Zeile ist sehr nahe an den </w:t>
      </w:r>
      <w:r>
        <w:fldChar w:fldCharType="begin"/>
      </w:r>
      <w:r>
        <w:rPr>
          <w:rStyle w:val="Internetverknpfung"/>
        </w:rPr>
        <w:instrText> HYPERLINK "../../../../../../../../../wiki/Psalm_9" \l "s20"</w:instrText>
      </w:r>
      <w:r>
        <w:rPr>
          <w:rStyle w:val="Internetverknpfung"/>
        </w:rPr>
        <w:fldChar w:fldCharType="separate"/>
      </w:r>
      <w:r>
        <w:rPr>
          <w:rStyle w:val="Internetverknpfung"/>
        </w:rPr>
        <w:t>den letzten beiden Zeilen von Ps 9</w:t>
      </w:r>
      <w:r>
        <w:rPr>
          <w:rStyle w:val="Internetverknpfung"/>
        </w:rPr>
        <w:fldChar w:fldCharType="end"/>
      </w:r>
      <w:r>
        <w:rPr/>
        <w:t xml:space="preserve">. Wieder wählt der Dichter bewusst das Wort </w:t>
      </w:r>
      <w:r>
        <w:rPr>
          <w:i/>
        </w:rPr>
        <w:t>´enosch</w:t>
      </w:r>
      <w:r>
        <w:rPr/>
        <w:t xml:space="preserve">, mit dem oft der Mensch qua </w:t>
      </w:r>
      <w:r>
        <w:rPr>
          <w:i/>
        </w:rPr>
        <w:t>schwaches</w:t>
      </w:r>
      <w:r>
        <w:rPr/>
        <w:t xml:space="preserve"> Wesen bezeichnet wird (vgl. z.B. TWOT 136a). Das „aus der Erde“ soll dies noch zusätzlich unterstreichen.</w:t>
      </w:r>
    </w:p>
  </w:footnote>
  <w:footnote w:id="675">
    <w:p>
      <w:pPr>
        <w:pStyle w:val="Funote"/>
        <w:rPr/>
      </w:pPr>
      <w:r>
        <w:rPr>
          <w:rStyle w:val="Funotenzeichen"/>
        </w:rPr>
        <w:footnoteRef/>
      </w:r>
      <w:r>
        <w:rPr/>
        <w:tab/>
        <w:t>[Status: Zuverlässig]</w:t>
      </w:r>
    </w:p>
  </w:footnote>
  <w:footnote w:id="676">
    <w:p>
      <w:pPr>
        <w:pStyle w:val="Funote"/>
        <w:rPr/>
      </w:pPr>
      <w:r>
        <w:rPr>
          <w:rStyle w:val="Funotenzeichen"/>
        </w:rPr>
        <w:footnoteRef/>
      </w:r>
      <w:r>
        <w:rPr/>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77">
    <w:p>
      <w:pPr>
        <w:pStyle w:val="Funote"/>
        <w:rPr/>
      </w:pPr>
      <w:r>
        <w:rPr>
          <w:rStyle w:val="Funotenzeichen"/>
        </w:rPr>
        <w:footnoteRef/>
      </w:r>
      <w:r>
        <w:rPr/>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78">
    <w:p>
      <w:pPr>
        <w:pStyle w:val="Funote"/>
        <w:rPr/>
      </w:pPr>
      <w:r>
        <w:rPr>
          <w:rStyle w:val="Funotenzeichen"/>
        </w:rPr>
        <w:footnoteRef/>
      </w:r>
      <w:r>
        <w:rPr>
          <w:i/>
        </w:rPr>
        <w:tab/>
        <w:t>zu mir (zu meiner Seele)</w:t>
      </w:r>
      <w:r>
        <w:rPr/>
        <w:t xml:space="preserve"> (V. 1) + </w:t>
      </w:r>
      <w:r>
        <w:rPr>
          <w:i/>
        </w:rPr>
        <w:t>hasst er (hasst seine Seele)</w:t>
      </w:r>
      <w:r>
        <w:rPr/>
        <w:t xml:space="preserve"> (V. 5) - Heb. „zu meiner </w:t>
      </w:r>
      <w:r>
        <w:rPr>
          <w:i/>
        </w:rPr>
        <w:t>nefesch</w:t>
      </w:r>
      <w:r>
        <w:rPr/>
        <w:t xml:space="preserve">“ bzw. „hasst seine </w:t>
      </w:r>
      <w:r>
        <w:rPr>
          <w:i/>
        </w:rPr>
        <w:t>nefesch</w:t>
      </w:r>
      <w:r>
        <w:rPr/>
        <w:t xml:space="preserve"> (‚Seele‘)“. Eine wörtl. Üs. von </w:t>
      </w:r>
      <w:r>
        <w:rPr>
          <w:i/>
        </w:rPr>
        <w:t>nefesch</w:t>
      </w:r>
      <w:r>
        <w:rPr/>
        <w:t xml:space="preserve"> ist fast nie zu empfehlen, weil es im heb. Menschenbild einen Gegensatz von Körper und Seele so nicht gab; </w:t>
      </w:r>
      <w:r>
        <w:rPr>
          <w:i/>
        </w:rPr>
        <w:t>nefesch</w:t>
      </w:r>
      <w:r>
        <w:rPr/>
        <w:t xml:space="preserve"> meint hier wie meist den </w:t>
      </w:r>
      <w:r>
        <w:rPr>
          <w:i/>
        </w:rPr>
        <w:t>ganzen</w:t>
      </w:r>
      <w:r>
        <w:rPr/>
        <w:t xml:space="preserve"> Menschen/Gott und wird daher hier wie häufig als Wechselbegriff für „Ich“/„Er“ verwendet.</w:t>
      </w:r>
    </w:p>
  </w:footnote>
  <w:footnote w:id="679">
    <w:p>
      <w:pPr>
        <w:pStyle w:val="Funote"/>
        <w:rPr/>
      </w:pPr>
      <w:r>
        <w:rPr>
          <w:rStyle w:val="Funotenzeichen"/>
        </w:rPr>
        <w:footnoteRef/>
      </w:r>
      <w:r>
        <w:rPr>
          <w:i/>
        </w:rPr>
        <w:tab/>
        <w:t>Wie [könnt] ihr [da] zu mir sagen</w:t>
      </w:r>
      <w:r>
        <w:rPr/>
        <w:t xml:space="preserve"> - W. „Wie (</w:t>
      </w:r>
      <w:r>
        <w:rPr>
          <w:i/>
        </w:rPr>
        <w:t>´ek</w:t>
      </w:r>
      <w:r>
        <w:rPr/>
        <w:t xml:space="preserve">) sagt ihr zu mir...?“; das Fragewort </w:t>
      </w:r>
      <w:r>
        <w:rPr>
          <w:i/>
        </w:rPr>
        <w:t>´ek</w:t>
      </w:r>
      <w:r>
        <w:rPr/>
        <w:t xml:space="preserve"> dient hier wie häufig zur Einleitung eines ablehnenden Ausrufs: „Wie könnt ihr nur...!?“ (s. z.B. </w:t>
      </w:r>
      <w:r>
        <w:fldChar w:fldCharType="begin"/>
      </w:r>
      <w:r>
        <w:rPr>
          <w:rStyle w:val="Internetverknpfung"/>
        </w:rPr>
        <w:instrText> HYPERLINK "../../../../../../../../../wiki/Genesis_26" \l "s9"</w:instrText>
      </w:r>
      <w:r>
        <w:rPr>
          <w:rStyle w:val="Internetverknpfung"/>
        </w:rPr>
        <w:fldChar w:fldCharType="separate"/>
      </w:r>
      <w:r>
        <w:rPr>
          <w:rStyle w:val="Internetverknpfung"/>
        </w:rPr>
        <w:t>Gen 26,9</w:t>
      </w:r>
      <w:r>
        <w:rPr>
          <w:rStyle w:val="Internetverknpfung"/>
        </w:rPr>
        <w:fldChar w:fldCharType="end"/>
      </w:r>
      <w:r>
        <w:rPr/>
        <w:t xml:space="preserve">; </w:t>
      </w:r>
      <w:r>
        <w:fldChar w:fldCharType="begin"/>
      </w:r>
      <w:r>
        <w:rPr>
          <w:rStyle w:val="Internetverknpfung"/>
        </w:rPr>
        <w:instrText> HYPERLINK "../../../../../../../../../wiki/Genesis_39" \l "s9"</w:instrText>
      </w:r>
      <w:r>
        <w:rPr>
          <w:rStyle w:val="Internetverknpfung"/>
        </w:rPr>
        <w:fldChar w:fldCharType="separate"/>
      </w:r>
      <w:r>
        <w:rPr>
          <w:rStyle w:val="Internetverknpfung"/>
        </w:rPr>
        <w:t>39,9</w:t>
      </w:r>
      <w:r>
        <w:rPr>
          <w:rStyle w:val="Internetverknpfung"/>
        </w:rPr>
        <w:fldChar w:fldCharType="end"/>
      </w:r>
      <w:r>
        <w:rPr/>
        <w:t xml:space="preserve">; </w:t>
      </w:r>
      <w:hyperlink r:id="rId67">
        <w:r>
          <w:rPr>
            <w:rStyle w:val="Internetverknpfung"/>
          </w:rPr>
          <w:t>Ri 16,15</w:t>
        </w:r>
      </w:hyperlink>
      <w:r>
        <w:rPr/>
        <w:t xml:space="preserve"> u.ö). Die obige Übersetzung versucht, diesen Ton einzufangen. Ähnlich viele Üss.</w:t>
      </w:r>
    </w:p>
  </w:footnote>
  <w:footnote w:id="680">
    <w:p>
      <w:pPr>
        <w:pStyle w:val="Funote"/>
        <w:rPr/>
      </w:pPr>
      <w:r>
        <w:rPr>
          <w:rStyle w:val="Funotenzeichen"/>
        </w:rPr>
        <w:footnoteRef/>
      </w:r>
      <w:r>
        <w:rPr>
          <w:i/>
        </w:rPr>
        <w:tab/>
        <w:t>auf euren Berg</w:t>
      </w:r>
      <w:r>
        <w:rPr/>
        <w:t xml:space="preserve"> - nämlich den Zion, den Berg, auf dem Gott in seinem Tempel wohnt und der daher eine sichere Zuflucht ist (vgl. z.B. </w:t>
      </w:r>
      <w:r>
        <w:fldChar w:fldCharType="begin"/>
      </w:r>
      <w:r>
        <w:rPr>
          <w:rStyle w:val="Internetverknpfung"/>
        </w:rPr>
        <w:instrText> HYPERLINK "https://www.bibelwissenschaft.de/de/stichwort/35418/" \l "h8"</w:instrText>
      </w:r>
      <w:r>
        <w:rPr>
          <w:rStyle w:val="Internetverknpfung"/>
        </w:rPr>
        <w:fldChar w:fldCharType="separate"/>
      </w:r>
      <w:r>
        <w:rPr>
          <w:rStyle w:val="Internetverknpfung"/>
        </w:rPr>
        <w:t>Zion/Zionstheologie (WiBiLex)</w:t>
      </w:r>
      <w:r>
        <w:rPr>
          <w:rStyle w:val="Internetverknpfung"/>
        </w:rPr>
        <w:fldChar w:fldCharType="end"/>
      </w:r>
      <w:r>
        <w:rPr/>
        <w:t xml:space="preserve"> und s. z.B. </w:t>
      </w:r>
      <w:hyperlink r:id="rId68">
        <w:r>
          <w:rPr>
            <w:rStyle w:val="Internetverknpfung"/>
          </w:rPr>
          <w:t>Ps 46,1-8</w:t>
        </w:r>
      </w:hyperlink>
      <w:r>
        <w:rPr/>
        <w:t xml:space="preserve">; </w:t>
      </w:r>
      <w:hyperlink r:id="rId69">
        <w:r>
          <w:rPr>
            <w:rStyle w:val="Internetverknpfung"/>
          </w:rPr>
          <w:t>48,13-15</w:t>
        </w:r>
      </w:hyperlink>
      <w:r>
        <w:rPr/>
        <w:t xml:space="preserve">; zum ähnlichen Motiv des Tempels als Zufluchtsort s. z.B. </w:t>
      </w:r>
      <w:r>
        <w:fldChar w:fldCharType="begin"/>
      </w:r>
      <w:r>
        <w:rPr>
          <w:rStyle w:val="Internetverknpfung"/>
        </w:rPr>
        <w:instrText> HYPERLINK "../../../../../../../../../wiki/Psalm_27" \l "s4"</w:instrText>
      </w:r>
      <w:r>
        <w:rPr>
          <w:rStyle w:val="Internetverknpfung"/>
        </w:rPr>
        <w:fldChar w:fldCharType="separate"/>
      </w:r>
      <w:r>
        <w:rPr>
          <w:rStyle w:val="Internetverknpfung"/>
        </w:rPr>
        <w:t>Ps 27,4f.</w:t>
      </w:r>
      <w:r>
        <w:rPr>
          <w:rStyle w:val="Internetverknpfung"/>
        </w:rPr>
        <w:fldChar w:fldCharType="end"/>
      </w:r>
      <w:r>
        <w:rPr/>
        <w:t xml:space="preserve">; </w:t>
      </w:r>
      <w:hyperlink r:id="rId70">
        <w:r>
          <w:rPr>
            <w:rStyle w:val="Internetverknpfung"/>
          </w:rPr>
          <w:t>61,4f.</w:t>
        </w:r>
      </w:hyperlink>
      <w:r>
        <w:rPr/>
        <w:t>).</w:t>
      </w:r>
    </w:p>
  </w:footnote>
  <w:footnote w:id="681">
    <w:p>
      <w:pPr>
        <w:pStyle w:val="Funote"/>
        <w:rPr/>
      </w:pPr>
      <w:r>
        <w:rPr>
          <w:rStyle w:val="Funotenzeichen"/>
        </w:rPr>
        <w:footnoteRef/>
      </w:r>
      <w:r>
        <w:rPr/>
        <w:tab/>
        <w:t>[wie] ein Vogel, d.h. »wie ein Angsthase« (vgl. Spr 27,8; Hos 11,11). Sehr schön Delekat 1967, S. 154: »Flieh ins Gebirge wie ein Hasenfuss!«»Vogel« ist ein »generischer Singular« mit Pl.-Bed.; übersetze: »wie Vögel«.</w:t>
      </w:r>
    </w:p>
  </w:footnote>
  <w:footnote w:id="682">
    <w:p>
      <w:pPr>
        <w:pStyle w:val="Funote"/>
        <w:rPr/>
      </w:pPr>
      <w:r>
        <w:rPr>
          <w:rStyle w:val="Funotenzeichen"/>
        </w:rPr>
        <w:footnoteRef/>
      </w:r>
      <w:r>
        <w:rPr/>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83">
    <w:p>
      <w:pPr>
        <w:pStyle w:val="Funote"/>
        <w:rPr/>
      </w:pPr>
      <w:r>
        <w:rPr>
          <w:rStyle w:val="Funotenzeichen"/>
        </w:rPr>
        <w:footnoteRef/>
      </w:r>
      <w:r>
        <w:rPr>
          <w:i/>
        </w:rPr>
        <w:tab/>
        <w:t>Denn siehe</w:t>
      </w:r>
      <w:r>
        <w:rPr/>
        <w:t xml:space="preserve"> leitet hier die Begründung der vorangehenden Aufforderung ein (s. ähnlich z.B. </w:t>
      </w:r>
      <w:hyperlink r:id="rId71">
        <w:r>
          <w:rPr>
            <w:rStyle w:val="Internetverknpfung"/>
          </w:rPr>
          <w:t>Jer 50,9</w:t>
        </w:r>
      </w:hyperlink>
      <w:r>
        <w:rPr/>
        <w:t xml:space="preserve"> auf V. 8; </w:t>
      </w:r>
      <w:hyperlink r:id="rId72">
        <w:r>
          <w:rPr>
            <w:rStyle w:val="Internetverknpfung"/>
          </w:rPr>
          <w:t>Ps 59,4</w:t>
        </w:r>
      </w:hyperlink>
      <w:r>
        <w:rPr/>
        <w:t xml:space="preserve"> auf V. 3; </w:t>
      </w:r>
      <w:hyperlink r:id="rId73">
        <w:r>
          <w:rPr>
            <w:rStyle w:val="Internetverknpfung"/>
          </w:rPr>
          <w:t>83,3</w:t>
        </w:r>
      </w:hyperlink>
      <w:r>
        <w:rPr/>
        <w:t xml:space="preserve"> auf V. 2); sinngemäßer daher: „</w:t>
      </w:r>
      <w:r>
        <w:rPr>
          <w:i/>
        </w:rPr>
        <w:t>Denn</w:t>
      </w:r>
      <w:r>
        <w:rPr/>
        <w:t xml:space="preserve"> </w:t>
      </w:r>
      <w:r>
        <w:rPr>
          <w:strike/>
        </w:rPr>
        <w:t>siehe</w:t>
      </w:r>
      <w:r>
        <w:rPr/>
        <w:t xml:space="preserve"> die Bösen wollen </w:t>
      </w:r>
      <w:r>
        <w:rPr>
          <w:i/>
        </w:rPr>
        <w:t>[ja]</w:t>
      </w:r>
      <w:r>
        <w:rPr/>
        <w:t xml:space="preserve"> den Bogen spannen“.</w:t>
      </w:r>
    </w:p>
  </w:footnote>
  <w:footnote w:id="684">
    <w:p>
      <w:pPr>
        <w:pStyle w:val="Funote"/>
        <w:rPr/>
      </w:pPr>
      <w:r>
        <w:rPr>
          <w:rStyle w:val="Funotenzeichen"/>
        </w:rPr>
        <w:footnoteRef/>
      </w:r>
      <w:r>
        <w:rPr/>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85">
    <w:p>
      <w:pPr>
        <w:pStyle w:val="Funote"/>
        <w:rPr/>
      </w:pPr>
      <w:r>
        <w:rPr>
          <w:rStyle w:val="Funotenzeichen"/>
        </w:rPr>
        <w:footnoteRef/>
      </w:r>
      <w:r>
        <w:rPr>
          <w:i/>
        </w:rPr>
        <w:tab/>
        <w:t>im Dunkel</w:t>
      </w:r>
      <w:r>
        <w:rPr/>
        <w:t>, also feige im Schutz der Nacht.</w:t>
      </w:r>
    </w:p>
  </w:footnote>
  <w:footnote w:id="686">
    <w:p>
      <w:pPr>
        <w:pStyle w:val="Funote"/>
        <w:rPr/>
      </w:pPr>
      <w:r>
        <w:rPr>
          <w:rStyle w:val="Funotenzeichen"/>
        </w:rPr>
        <w:footnoteRef/>
      </w:r>
      <w:r>
        <w:rPr/>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87">
    <w:p>
      <w:pPr>
        <w:pStyle w:val="Funote"/>
        <w:rPr/>
      </w:pPr>
      <w:r>
        <w:rPr>
          <w:rStyle w:val="Funotenzeichen"/>
        </w:rPr>
        <w:footnoteRef/>
      </w:r>
      <w:r>
        <w:rPr/>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88">
    <w:p>
      <w:pPr>
        <w:pStyle w:val="Funote"/>
        <w:rPr/>
      </w:pPr>
      <w:r>
        <w:rPr>
          <w:rStyle w:val="Funotenzeichen"/>
        </w:rPr>
        <w:footnoteRef/>
      </w:r>
      <w:r>
        <w:rPr/>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9">
    <w:p>
      <w:pPr>
        <w:pStyle w:val="Funote"/>
        <w:rPr/>
      </w:pPr>
      <w:r>
        <w:rPr>
          <w:rStyle w:val="Funotenzeichen"/>
        </w:rPr>
        <w:footnoteRef/>
      </w:r>
      <w:r>
        <w:rPr>
          <w:i/>
        </w:rPr>
        <w:tab/>
        <w:t>Seine Augen blicken</w:t>
      </w:r>
      <w:r>
        <w:rPr/>
        <w:t xml:space="preserve"> - das Objekt auch dieses Satzes sind die „Menschenkinder“. Die Aneinanderreihung zweier alternativer Ausdrücke für dieses blickende Prüfen soll die Aussage noch steigern und emphatischer machen.</w:t>
      </w:r>
    </w:p>
  </w:footnote>
  <w:footnote w:id="690">
    <w:p>
      <w:pPr>
        <w:pStyle w:val="Funote"/>
        <w:rPr/>
      </w:pPr>
      <w:r>
        <w:rPr>
          <w:rStyle w:val="Funotenzeichen"/>
        </w:rPr>
        <w:footnoteRef/>
      </w:r>
      <w:r>
        <w:rPr/>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91">
    <w:p>
      <w:pPr>
        <w:pStyle w:val="Funote"/>
        <w:rPr/>
      </w:pPr>
      <w:r>
        <w:rPr>
          <w:rStyle w:val="Funotenzeichen"/>
        </w:rPr>
        <w:footnoteRef/>
      </w:r>
      <w:r>
        <w:rPr/>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92">
    <w:p>
      <w:pPr>
        <w:pStyle w:val="Funote"/>
        <w:rPr/>
      </w:pPr>
      <w:r>
        <w:rPr>
          <w:rStyle w:val="Funotenzeichen"/>
        </w:rPr>
        <w:footnoteRef/>
      </w:r>
      <w:r>
        <w:rPr/>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93">
    <w:p>
      <w:pPr>
        <w:pStyle w:val="Funote"/>
        <w:rPr/>
      </w:pPr>
      <w:r>
        <w:rPr>
          <w:rStyle w:val="Funotenzeichen"/>
        </w:rPr>
        <w:footnoteRef/>
      </w:r>
      <w:r>
        <w:rPr>
          <w:i/>
        </w:rPr>
        <w:tab/>
        <w:t>wird (soll)</w:t>
      </w:r>
      <w:r>
        <w:rPr/>
        <w:t xml:space="preserve"> - Ein Jussiv („soll“). Unzulässig daher: „Er lässt regnen“. Der Jussiv hat hier vermutlich kommissive Sinnrichtung und wird so als Drohung verwendet; im Dt. entspricht dem: „Er </w:t>
      </w:r>
      <w:r>
        <w:rPr>
          <w:i/>
        </w:rPr>
        <w:t>wird</w:t>
      </w:r>
      <w:r>
        <w:rPr/>
        <w:t xml:space="preserve"> regnen lassen.“</w:t>
      </w:r>
    </w:p>
  </w:footnote>
  <w:footnote w:id="694">
    <w:p>
      <w:pPr>
        <w:pStyle w:val="Funote"/>
        <w:rPr/>
      </w:pPr>
      <w:r>
        <w:rPr>
          <w:rStyle w:val="Funotenzeichen"/>
        </w:rPr>
        <w:footnoteRef/>
      </w:r>
      <w:r>
        <w:rPr/>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95">
    <w:p>
      <w:pPr>
        <w:pStyle w:val="Funote"/>
        <w:rPr/>
      </w:pPr>
      <w:r>
        <w:rPr>
          <w:rStyle w:val="Funotenzeichen"/>
        </w:rPr>
        <w:footnoteRef/>
      </w:r>
      <w:r>
        <w:rPr/>
        <w:tab/>
        <w:t xml:space="preserve">Zu </w:t>
      </w:r>
      <w:r>
        <w:rPr>
          <w:i/>
        </w:rPr>
        <w:t>Feuer</w:t>
      </w:r>
      <w:r>
        <w:rPr/>
        <w:t xml:space="preserve"> und </w:t>
      </w:r>
      <w:r>
        <w:rPr>
          <w:i/>
        </w:rPr>
        <w:t>Schwefel</w:t>
      </w:r>
      <w:r>
        <w:rPr/>
        <w:t xml:space="preserve"> vgl. </w:t>
      </w:r>
      <w:r>
        <w:fldChar w:fldCharType="begin"/>
      </w:r>
      <w:r>
        <w:rPr>
          <w:rStyle w:val="Internetverknpfung"/>
        </w:rPr>
        <w:instrText> HYPERLINK "../../../../../../../../../wiki/Genesis_19" \l "s24"</w:instrText>
      </w:r>
      <w:r>
        <w:rPr>
          <w:rStyle w:val="Internetverknpfung"/>
        </w:rPr>
        <w:fldChar w:fldCharType="separate"/>
      </w:r>
      <w:r>
        <w:rPr>
          <w:rStyle w:val="Internetverknpfung"/>
        </w:rPr>
        <w:t>Gen 19,24</w:t>
      </w:r>
      <w:r>
        <w:rPr>
          <w:rStyle w:val="Internetverknpfung"/>
        </w:rPr>
        <w:fldChar w:fldCharType="end"/>
      </w:r>
      <w:r>
        <w:rPr/>
        <w:t xml:space="preserve"> und </w:t>
      </w:r>
      <w:hyperlink r:id="rId74">
        <w:r>
          <w:rPr>
            <w:rStyle w:val="Internetverknpfung"/>
          </w:rPr>
          <w:t>Ez 38,22</w:t>
        </w:r>
      </w:hyperlink>
      <w:r>
        <w:rPr/>
        <w:t xml:space="preserve">, wo Gott seine Feinde vernichtet, indem er Feuer und Schwefel vom Himmel regnen lässt. Auch „Wind“ kommt nach bibl. Vorstellung oder nach bibl. Idiom vom Himmel herab; in </w:t>
      </w:r>
      <w:r>
        <w:fldChar w:fldCharType="begin"/>
      </w:r>
      <w:r>
        <w:rPr>
          <w:rStyle w:val="Internetverknpfung"/>
        </w:rPr>
        <w:instrText> HYPERLINK "../../../../../../../../../wiki/Jona_1" \l "s4"</w:instrText>
      </w:r>
      <w:r>
        <w:rPr>
          <w:rStyle w:val="Internetverknpfung"/>
        </w:rPr>
        <w:fldChar w:fldCharType="separate"/>
      </w:r>
      <w:r>
        <w:rPr>
          <w:rStyle w:val="Internetverknpfung"/>
        </w:rPr>
        <w:t>Jon 1,4</w:t>
      </w:r>
      <w:r>
        <w:rPr>
          <w:rStyle w:val="Internetverknpfung"/>
        </w:rPr>
        <w:fldChar w:fldCharType="end"/>
      </w:r>
      <w:r>
        <w:rPr/>
        <w:t xml:space="preserve"> z.B. kann daher Gott einen Wind auf das Meer „hinabwerfen“.</w:t>
      </w:r>
    </w:p>
  </w:footnote>
  <w:footnote w:id="696">
    <w:p>
      <w:pPr>
        <w:pStyle w:val="Funote"/>
        <w:rPr/>
      </w:pPr>
      <w:r>
        <w:rPr>
          <w:rStyle w:val="Funotenzeichen"/>
        </w:rPr>
        <w:footnoteRef/>
      </w:r>
      <w:r>
        <w:rPr/>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97">
    <w:p>
      <w:pPr>
        <w:pStyle w:val="Funote"/>
        <w:rPr/>
      </w:pPr>
      <w:r>
        <w:rPr>
          <w:rStyle w:val="Funotenzeichen"/>
        </w:rPr>
        <w:footnoteRef/>
      </w:r>
      <w:r>
        <w:rPr>
          <w:i/>
        </w:rPr>
        <w:tab/>
        <w:t>wird</w:t>
      </w:r>
      <w:r>
        <w:rPr/>
        <w:t xml:space="preserve"> - Eigentlich ein Plural-Verb, da „der Aufrechte“ ein „generischer Singular“ mit Pl.-Bed. ist. Sinngemäß also: „Werden Aufrechte sein Gesicht sehen“.</w:t>
      </w:r>
    </w:p>
  </w:footnote>
  <w:footnote w:id="698">
    <w:p>
      <w:pPr>
        <w:pStyle w:val="Funote"/>
        <w:rPr/>
      </w:pPr>
      <w:r>
        <w:rPr>
          <w:rStyle w:val="Funotenzeichen"/>
        </w:rPr>
        <w:footnoteRef/>
      </w:r>
      <w:r>
        <w:rPr/>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9">
    <w:p>
      <w:pPr>
        <w:pStyle w:val="Funote"/>
        <w:rPr/>
      </w:pPr>
      <w:r>
        <w:rPr>
          <w:rStyle w:val="Funotenzeichen"/>
        </w:rPr>
        <w:footnoteRef/>
      </w:r>
      <w:r>
        <w:rPr/>
        <w:tab/>
        <w:t>[Status: Zuverlässig]</w:t>
      </w:r>
    </w:p>
  </w:footnote>
  <w:footnote w:id="700">
    <w:p>
      <w:pPr>
        <w:pStyle w:val="Funote"/>
        <w:rPr/>
      </w:pPr>
      <w:r>
        <w:rPr>
          <w:rStyle w:val="Funotenzeichen"/>
        </w:rPr>
        <w:footnoteRef/>
      </w:r>
      <w:r>
        <w:rPr>
          <w:i/>
        </w:rPr>
        <w:tab/>
        <w:t>Chorleiter</w:t>
      </w:r>
      <w:r>
        <w:rPr/>
        <w:t xml:space="preserve"> - Heb. </w:t>
      </w:r>
      <w:r>
        <w:rPr>
          <w:i/>
        </w:rPr>
        <w:t>menatseach</w:t>
      </w:r>
      <w:r>
        <w:rPr/>
        <w:t>; genaue Bedeutung unklar. Die Primärübersetzung „Chorleiter“ ist mehr oder weniger Konvention. S. noch nächste FN.</w:t>
      </w:r>
    </w:p>
  </w:footnote>
  <w:footnote w:id="701">
    <w:p>
      <w:pPr>
        <w:pStyle w:val="Funote"/>
        <w:rPr/>
      </w:pPr>
      <w:r>
        <w:rPr>
          <w:rStyle w:val="Funotenzeichen"/>
        </w:rPr>
        <w:footnoteRef/>
      </w:r>
      <w:r>
        <w:rPr/>
        <w:tab/>
        <w:t>`al-hascheminit ([vorzutragen] von Bassstimmen; [Vorzutragen vom] Vorsteher über [das Ritual] „hascheminit“) - rätselhafter Begriff, der sich auch im Titel von Ps 6,1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vorzuträgen wäre. Doch ist auch dies nur ein „educated guess“ und „Chorleiter“ und die Deutung von hascheminit als Angabe zur Vortragsweise des Psalms sind in dt. Üss. so etabliert, dass die LF doch besser dieser Deutung folgen sollte: „Für den Chorleiter. [Vorzutragen] von Bassstimmen“.</w:t>
      </w:r>
    </w:p>
  </w:footnote>
  <w:footnote w:id="702">
    <w:p>
      <w:pPr>
        <w:pStyle w:val="Funote"/>
        <w:rPr/>
      </w:pPr>
      <w:r>
        <w:rPr>
          <w:rStyle w:val="Funotenzeichen"/>
        </w:rPr>
        <w:footnoteRef/>
      </w:r>
      <w:r>
        <w:rPr/>
        <w:tab/>
        <w:t>Hilf! - Kürzestmöglicher Hilferuf; selbst der Empfänger der Rettung Gottes wird hier nicht genannt, was so ungewöhnlich ist, dass LXX ergänzt: „Hilf mir!“. Gut daher der Vorschlag einer stiltreuen Übersetzung von Ruiz 2013, S. 129 FN 13: „Hilfe!“</w:t>
      </w:r>
    </w:p>
  </w:footnote>
  <w:footnote w:id="703">
    <w:p>
      <w:pPr>
        <w:pStyle w:val="Funote"/>
        <w:rPr/>
      </w:pPr>
      <w:r>
        <w:rPr>
          <w:rStyle w:val="Funotenzeichen"/>
        </w:rPr>
        <w:footnoteRef/>
      </w:r>
      <w:r>
        <w:rPr/>
        <w:tab/>
        <w:t>Textkritik: gehen zugrunde - Heb. pasu; das Wort findet sich einzig hier in der Bibel; die Bed. ist daher unklar. Tg aber hat sapu und auch die Übersetzung von LXX legt nahe, dass in dem ihr vorliegenden Text sapu stand; ein recht häufiges Wort mit der Bed. „zugrunde gehen“. Weil außerdem einige Handschriften den Text korrigieren zu patsu, muss man davon ausgehen, dass im MT ein Schreibfehler vorliegt und der urspr. Text in der Tat sapu gelautet hat; so auch BHS; Ges18, S. 877; KBL3, S. 705.</w:t>
      </w:r>
    </w:p>
  </w:footnote>
  <w:footnote w:id="704">
    <w:p>
      <w:pPr>
        <w:pStyle w:val="Funote"/>
        <w:rPr/>
      </w:pPr>
      <w:r>
        <w:rPr>
          <w:rStyle w:val="Funotenzeichen"/>
        </w:rPr>
        <w:footnoteRef/>
      </w:r>
      <w:r>
        <w:rPr/>
        <w:tab/>
        <w:t>jeder seinem Nächsten - d.h. „alle lügen einander an“; zur Konstruktion vgl. Bar-Asher Siegal 2012. Gut daher HfA, NGÜ: „Jeder belügt jeden.“</w:t>
      </w:r>
    </w:p>
  </w:footnote>
  <w:footnote w:id="705">
    <w:p>
      <w:pPr>
        <w:pStyle w:val="Funote"/>
        <w:rPr/>
      </w:pPr>
      <w:r>
        <w:rPr>
          <w:rStyle w:val="Funotenzeichen"/>
        </w:rPr>
        <w:footnoteRef/>
      </w:r>
      <w:r>
        <w:rPr/>
        <w:tab/>
        <w:t>Mit glatter Lippe - stehender Ausdruck für „heuchlerisch“, s. noch Ps 5,10; 55,22; Röm 3,13 und vgl. z.B. ThWAT II, S. 1012.</w:t>
      </w:r>
    </w:p>
  </w:footnote>
  <w:footnote w:id="706">
    <w:p>
      <w:pPr>
        <w:pStyle w:val="Funote"/>
        <w:rPr/>
      </w:pPr>
      <w:r>
        <w:rPr>
          <w:rStyle w:val="Funotenzeichen"/>
        </w:rPr>
        <w:footnoteRef/>
      </w:r>
      <w:r>
        <w:rPr/>
        <w:tab/>
        <w:t>mit Herz und Herz - Entweder zu erklären als „mit doppeltem Herzen, dem einen in der Brust und dem andern, davon verschiedenen und deshalb falschen, auf der Zunge“ (Olshausen 1853, S. 72) oder „mit doppelter, zweideutiger Gesinnung“ (Herkenne 1936, S. 74), also: „unaufrichtig“. Der Sinn ist also: „Jeder belügt jeden; spricht doppelzüngig, unaufrichtig!“</w:t>
      </w:r>
    </w:p>
  </w:footnote>
  <w:footnote w:id="707">
    <w:p>
      <w:pPr>
        <w:pStyle w:val="Funote"/>
        <w:rPr/>
      </w:pPr>
      <w:r>
        <w:rPr>
          <w:rStyle w:val="Funotenzeichen"/>
        </w:rPr>
        <w:footnoteRef/>
      </w:r>
      <w:r>
        <w:rPr>
          <w:i/>
        </w:rPr>
        <w:tab/>
        <w:t>Ich werde ich mich erheben</w:t>
      </w:r>
      <w:r>
        <w:rPr/>
        <w:t>, d.h. werde aktiv, anstatt, wie bisher, nichts gegen die Sünden der Glattlippigen und Doppelzüngigen zu unternehmen.</w:t>
      </w:r>
    </w:p>
  </w:footnote>
  <w:footnote w:id="708">
    <w:p>
      <w:pPr>
        <w:pStyle w:val="Funote"/>
        <w:rPr/>
      </w:pPr>
      <w:r>
        <w:rPr>
          <w:rStyle w:val="Funotenzeichen"/>
        </w:rPr>
        <w:footnoteRef/>
      </w:r>
      <w:r>
        <w:rPr/>
        <w:tab/>
        <w:t>möge (wird) JHWH sprechen (spricht JHWH?) - Wichtige Stelle; das Verb wird leider selten kommentiert. Das Verb „sprechen“ steht in der Verbform „Yiqtol“, nicht gesagt wird also, dass JHWH etwas gesagt habe oder aktuell etwas sagt, sondern dass er etwas sagen soll (Alexander 1850)/wird (Eerdmans 1947) oder immer wieder etwas sagt (am besten Kissane 1953, S. 51: „Hier wird wahrscheinlich keine wirkliche Prophezeiung zitiert, sondern nur der traditionelle Glaube an die Rache [Gottes] in der Form einer Prophetie ausgedrückt“). S. dazu die Anmerkungen. Vgl. allerdings auch Zuber 1985, S. 131-133, der mit Jes 1,11.18; 40,1.25; 41,21 fünf weitere Stellen mit einem ähnlich schwer erklärbaren „sagen“ im Yiqtol sammelt (evt. auch Jes 33,10, wo aber 1QJesa Qatal hat und also ein Schreibfehler im MT vorliegen könnte).</w:t>
      </w:r>
    </w:p>
  </w:footnote>
  <w:footnote w:id="709">
    <w:p>
      <w:pPr>
        <w:pStyle w:val="Funote"/>
        <w:rPr/>
      </w:pPr>
      <w:r>
        <w:rPr>
          <w:rStyle w:val="Funotenzeichen"/>
        </w:rPr>
        <w:footnoteRef/>
      </w:r>
      <w:r>
        <w:rPr/>
        <w:tab/>
        <w:t>[den, der] danach seufzt (gegen den man schnaubt, will seinen Zeugen in Sicherheit bringen, will ihm zum Heil einen Zeugen stellen) - Die us. Alternativübersetzungen gehen alle auf Vorschläge zur Deutung derselben zwei Worte zurück. Die Primärübersetzung ist aber doch die wahrscheinlichste. Zu „gegen den man schnaubt“ s. Ps 10,5 und dazu FN o; so z.B. Koenen 1996, S. 6. In Ps 10,5 wird aber wird eine andere Präposition verwendet. Zu „seinen Zeugen in Sicherheit bringen“ vgl. v.a. Miller 1979, zu „ihm einen Zeugen stellen“ Janzen 2004; besagter „Zeuge“ würde aber in diesem Psalm auftauchen wie ein Deus ex machina. „Der danach seufzt“ dagegen lässt sich gut aus dem „ächzenden Armen“ in V. 6a erklären; vgl. dazu v.a. Hab 2,3.</w:t>
      </w:r>
    </w:p>
  </w:footnote>
  <w:footnote w:id="710">
    <w:p>
      <w:pPr>
        <w:pStyle w:val="Funote"/>
        <w:rPr/>
      </w:pPr>
      <w:r>
        <w:rPr>
          <w:rStyle w:val="Funotenzeichen"/>
        </w:rPr>
        <w:footnoteRef/>
      </w:r>
      <w:r>
        <w:rPr/>
        <w:tab/>
        <w:t>??? - Heb. ba`alil; Bed. heute und schon den alten Üss. ganz unklar. In die LF sollte daher eine verbreitete und unauffällige Üs. übernommen werden; am besten: „Silber, das veredelt wurde im Schmelztiegel, / das mit Erde siebenfach geläutert wurde.“ (ähnlich z.B. ZÜR). Gemeint ist dann Folgendes: Silber wurde im Alten Israel v.a. aus Blei-Silbererz gewonnen, indem es vom Blei getrennt wurde. Geschmolzenes Blei hat eine geringere Oberflächenspannung als Silber; schmolz man daher die Blei-Silbermischung in einer sog. „Kupelle“ - einem mit Lehm, Knochenasche oder einer anderen porösen Substanz ausgekleideten Schmelztiegel -, wurde das Blei von dieser Auskleidung aufgesogen, während das Silber als eine kleine geschmolzene Kugel am Boden der Kupelle zurückblieb. Dieser Vorgang wird in unserem Vers sieben Mal wiederholt; was übrig bleibt, ist also denkbar reines Silber. Dass Gottes „Aussagen“ mit diesem Silber verglichen werden, bringt sie in einen starken Kontrast zu den anmaßenden Lügenreden, die in Vv. 2-5 beklagt werden.</w:t>
      </w:r>
    </w:p>
  </w:footnote>
  <w:footnote w:id="711">
    <w:p>
      <w:pPr>
        <w:pStyle w:val="Funote"/>
        <w:rPr/>
      </w:pPr>
      <w:r>
        <w:rPr>
          <w:rStyle w:val="Funotenzeichen"/>
        </w:rPr>
        <w:footnoteRef/>
      </w:r>
      <w:r>
        <w:rPr/>
        <w:tab/>
        <w:t>Du, JHWH findet sich häufig zur Einleitung einer Bitte, nachdem zuvor in einem anderen „Modus“ gesprochen wurde (s. Ps 22,20; 40,12; 41,11; 59,6; 109,21), und ist daher wahrscheinlich eine Art „stärkerer Vokativ“, der Gott signalisieren soll, dass der Beter sich jetzt wieder mit einer Bitte an ihn richtet. Im Dt. entspräche dem eher ein „JHWH! Behüte...“</w:t>
      </w:r>
    </w:p>
  </w:footnote>
  <w:footnote w:id="712">
    <w:p>
      <w:pPr>
        <w:pStyle w:val="Funote"/>
        <w:rPr/>
      </w:pPr>
      <w:r>
        <w:rPr>
          <w:rStyle w:val="Funotenzeichen"/>
        </w:rPr>
        <w:footnoteRef/>
      </w:r>
      <w:r>
        <w:rPr/>
        <w:tab/>
        <w:t>Sowohl sie als auch ihn in V. 8 bezieht sich am wahrscheinlichsten auf die Armen in V. 6. Wegen diesem Numerus-Wechsel wurde früher häufig der Text korrigiert, doch das ist unnötig: N-Shift: Aus poetischen Gründen kann in der heb. Lyrik von einer Zeile auf die andere von einem Numerus zum nächsten gewechselt werden, ohne, dass dies einen Bedeutungsunterschied machen würde. In Ps 12 findet sich noch häufiger: V. 2a: „der Fromme“ - 2b: „die Treuen“; V. 6a: „die Elenden und Armen“ - 6c: „der, der danach seufzt / auf den man schnaubt“ (vgl. gut Ruiz 2013, S. 129.130).</w:t>
      </w:r>
    </w:p>
  </w:footnote>
  <w:footnote w:id="713">
    <w:p>
      <w:pPr>
        <w:pStyle w:val="Funote"/>
        <w:rPr/>
      </w:pPr>
      <w:r>
        <w:rPr>
          <w:rStyle w:val="Funotenzeichen"/>
        </w:rPr>
        <w:footnoteRef/>
      </w:r>
      <w:r>
        <w:rPr>
          <w:i/>
        </w:rPr>
        <w:tab/>
        <w:t>hoch ist (wird)</w:t>
      </w:r>
      <w:r>
        <w:rPr/>
        <w:t xml:space="preserve"> - d.h. „hoch im Kurs steht“ oder „immer schlimmer wird“. „Verachtenswertes“ findet sich nur hier in der Bibel; die Bed. ist also etwas unsicher, heute aber recht unumstritten.</w:t>
      </w:r>
    </w:p>
  </w:footnote>
  <w:footnote w:id="714">
    <w:p>
      <w:pPr>
        <w:pStyle w:val="Funote"/>
        <w:rPr/>
      </w:pPr>
      <w:r>
        <w:rPr>
          <w:rStyle w:val="Funotenzeichen"/>
        </w:rPr>
        <w:footnoteRef/>
      </w:r>
      <w:r>
        <w:rPr/>
        <w:tab/>
        <w:t>V. 9 wird gern mit einem „auch, wenn“ an V. 8 angeschlossen: „Du, JHWH, mögest sie vor diesem Geschlecht beschützen, / auch, wenn ringsum die Bösen einherschreiten.“ Das hat keine Basis im Text und ist abzulehnen (so richtig Rong 2012, S. 158). Allenfalls vielleicht möglich, aber nicht sehr wahrscheinlich: „... vor diesem Geschlecht, / [die] sich ringsum als Böse ergehen.“ (so Scoralick 2013, S. 189). Ganz untypisch kehrt also der Psalm nach seiner Bitte an Gott noch einmal zur Schilderung der schlimmen Situation zurück, was durch die Wiederholung des Begriffs „Menschenkinder“ aus dem Beginn des Psalms zusätzlich unterstrichen wird. Früher hat das viele Textkorrektur-Vorschläge veranlasst; definitiv am sinnvollsten Zorell 1929, S. 100: kerum [kerom] zullut („Schneide ab/vernichte [die] Gemeinheit!“).</w:t>
      </w:r>
    </w:p>
  </w:footnote>
  <w:footnote w:id="715">
    <w:p>
      <w:pPr>
        <w:pStyle w:val="Funote"/>
        <w:rPr/>
      </w:pPr>
      <w:r>
        <w:rPr>
          <w:rStyle w:val="Funotenzeichen"/>
        </w:rPr>
        <w:footnoteRef/>
      </w:r>
      <w:r>
        <w:rPr/>
        <w:tab/>
        <w:t>[Status: Zuverlässig]</w:t>
      </w:r>
    </w:p>
  </w:footnote>
  <w:footnote w:id="716">
    <w:p>
      <w:pPr>
        <w:pStyle w:val="Funote"/>
        <w:rPr/>
      </w:pPr>
      <w:r>
        <w:rPr>
          <w:rStyle w:val="Funotenzeichen"/>
        </w:rPr>
        <w:footnoteRef/>
      </w:r>
      <w:r>
        <w:rPr/>
        <w:tab/>
        <w:t>Genaue Bedeutung unklar. Die gewählte Übersetzung ist mehr oder weniger Konvention, obwohl es nicht an alternativen Übersetzungsvorschlägen mangelt.</w:t>
      </w:r>
    </w:p>
  </w:footnote>
  <w:footnote w:id="717">
    <w:p>
      <w:pPr>
        <w:pStyle w:val="Funote"/>
        <w:rPr/>
      </w:pPr>
      <w:r>
        <w:rPr>
          <w:rStyle w:val="Funotenzeichen"/>
        </w:rPr>
        <w:footnoteRef/>
      </w:r>
      <w:r>
        <w:rPr/>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718">
    <w:p>
      <w:pPr>
        <w:pStyle w:val="Funote"/>
        <w:rPr/>
      </w:pPr>
      <w:r>
        <w:rPr>
          <w:rStyle w:val="Funotenzeichen"/>
        </w:rPr>
        <w:footnoteRef/>
      </w:r>
      <w:r>
        <w:rPr/>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719">
    <w:p>
      <w:pPr>
        <w:pStyle w:val="Funote"/>
        <w:rPr/>
      </w:pPr>
      <w:r>
        <w:rPr>
          <w:rStyle w:val="Funotenzeichen"/>
        </w:rPr>
        <w:footnoteRef/>
      </w:r>
      <w:r>
        <w:rPr/>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720">
    <w:p>
      <w:pPr>
        <w:pStyle w:val="Funote"/>
        <w:rPr/>
      </w:pPr>
      <w:r>
        <w:rPr>
          <w:rStyle w:val="Funotenzeichen"/>
        </w:rPr>
        <w:footnoteRef/>
      </w:r>
      <w:r>
        <w:rPr/>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721">
    <w:p>
      <w:pPr>
        <w:pStyle w:val="Funote"/>
        <w:rPr/>
      </w:pPr>
      <w:r>
        <w:rPr>
          <w:rStyle w:val="Funotenzeichen"/>
        </w:rPr>
        <w:footnoteRef/>
      </w:r>
      <w:r>
        <w:rPr/>
        <w:tab/>
        <w:t>Pläne (Auflehnung?, Schmerzen?, Kummer?, Sorgen?) - Bedeutung umstritten; vgl. Anmerkung zum Text b. Am Besten ist die Zeile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722">
    <w:p>
      <w:pPr>
        <w:pStyle w:val="Funote"/>
        <w:rPr/>
      </w:pPr>
      <w:r>
        <w:rPr>
          <w:rStyle w:val="Funotenzeichen"/>
        </w:rPr>
        <w:footnoteRef/>
      </w:r>
      <w:r>
        <w:rPr>
          <w:i/>
        </w:rPr>
        <w:tab/>
        <w:t>in meine Seele</w:t>
      </w:r>
      <w:r>
        <w:rPr/>
        <w:t xml:space="preserve"> - dazu s. vorige FN.</w:t>
      </w:r>
    </w:p>
  </w:footnote>
  <w:footnote w:id="723">
    <w:p>
      <w:pPr>
        <w:pStyle w:val="Funote"/>
        <w:rPr/>
      </w:pPr>
      <w:r>
        <w:rPr>
          <w:rStyle w:val="Funotenzeichen"/>
        </w:rPr>
        <w:footnoteRef/>
      </w:r>
      <w:r>
        <w:rPr/>
        <w:tab/>
        <w:t>Wobei Kummer in meinem Herzen ist (Wie lange wird sein/muss ich legen Kummer in meinem Herz) - Beide Auflösungen sind hier gleichermaßen möglich; die eingeklammerte erfordert allerdings die Ergänzung (-&gt;Brachylogie) von „wird sein“ und „muss ich legen“ aus der vorigen Zeile, was aber nicht problematisch ist. Dass diese Zeile die einzige in Vv. 2f ist, in der das einleitende „Bis wann“ fehlt, ist aber so auffällig, dass die primäre Übersetzung doch etwas wahrscheinlicher ist.</w:t>
      </w:r>
    </w:p>
  </w:footnote>
  <w:footnote w:id="724">
    <w:p>
      <w:pPr>
        <w:pStyle w:val="Funote"/>
        <w:rPr/>
      </w:pPr>
      <w:r>
        <w:rPr>
          <w:rStyle w:val="Funotenzeichen"/>
        </w:rPr>
        <w:footnoteRef/>
      </w:r>
      <w:r>
        <w:rPr/>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25">
    <w:p>
      <w:pPr>
        <w:pStyle w:val="Funote"/>
        <w:rPr/>
      </w:pPr>
      <w:r>
        <w:rPr>
          <w:rStyle w:val="Funotenzeichen"/>
        </w:rPr>
        <w:footnoteRef/>
      </w:r>
      <w:r>
        <w:rPr/>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26">
    <w:p>
      <w:pPr>
        <w:pStyle w:val="Funote"/>
        <w:rPr/>
      </w:pPr>
      <w:r>
        <w:rPr>
          <w:rStyle w:val="Funotenzeichen"/>
        </w:rPr>
        <w:footnoteRef/>
      </w:r>
      <w:r>
        <w:rPr/>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27">
    <w:p>
      <w:pPr>
        <w:pStyle w:val="Funote"/>
        <w:rPr/>
      </w:pPr>
      <w:r>
        <w:rPr>
          <w:rStyle w:val="Funotenzeichen"/>
        </w:rPr>
        <w:footnoteRef/>
      </w:r>
      <w:r>
        <w:rPr/>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28">
    <w:p>
      <w:pPr>
        <w:pStyle w:val="Funote"/>
        <w:rPr/>
      </w:pPr>
      <w:r>
        <w:rPr>
          <w:rStyle w:val="Funotenzeichen"/>
        </w:rPr>
        <w:footnoteRef/>
      </w:r>
      <w:r>
        <w:rPr/>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29">
    <w:p>
      <w:pPr>
        <w:pStyle w:val="Funote"/>
        <w:rPr/>
      </w:pPr>
      <w:r>
        <w:rPr>
          <w:rStyle w:val="Funotenzeichen"/>
        </w:rPr>
        <w:footnoteRef/>
      </w:r>
      <w:r>
        <w:rPr/>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30">
    <w:p>
      <w:pPr>
        <w:pStyle w:val="Funote"/>
        <w:rPr/>
      </w:pPr>
      <w:r>
        <w:rPr>
          <w:rStyle w:val="Funotenzeichen"/>
        </w:rPr>
        <w:footnoteRef/>
      </w:r>
      <w:r>
        <w:rPr>
          <w:i/>
        </w:rPr>
        <w:tab/>
        <w:t>Ich habe ihn übermocht (Ich habe ihn ausgetilgt?, Ich habe es geschafft?)</w:t>
      </w:r>
      <w:r>
        <w:rPr/>
        <w:t xml:space="preserve"> - Bedeutung umstritten; s. </w:t>
      </w:r>
      <w:r>
        <w:fldChar w:fldCharType="begin"/>
      </w:r>
      <w:r>
        <w:rPr>
          <w:rStyle w:val="Internetverknpfung"/>
        </w:rPr>
        <w:instrText> HYPERLINK "http://www.offene-bibel.de/wiki/index.php5?title=Kommentar:Psalm_13" \l "note_h"</w:instrText>
      </w:r>
      <w:r>
        <w:rPr>
          <w:rStyle w:val="Internetverknpfung"/>
        </w:rPr>
        <w:fldChar w:fldCharType="separate"/>
      </w:r>
      <w:r>
        <w:rPr>
          <w:rStyle w:val="Internetverknpfung"/>
        </w:rPr>
        <w:t>Anmerkung zum Text h</w:t>
      </w:r>
      <w:r>
        <w:rPr>
          <w:rStyle w:val="Internetverknpfung"/>
        </w:rPr>
        <w:fldChar w:fldCharType="end"/>
      </w:r>
      <w:r>
        <w:rPr/>
        <w:t xml:space="preserve">. Nach unserer Deutung ist das Wort vom Hebräischen </w:t>
      </w:r>
      <w:r>
        <w:rPr>
          <w:i/>
        </w:rPr>
        <w:t>jakal</w:t>
      </w:r>
      <w:r>
        <w:rPr/>
        <w:t xml:space="preserve"> abzuleiten, das sowohl „überlegen sein“ als auch „siegen“ bedeuten kann; die Zeile greift damit gleichzeitig den Gedanken aus Zeile 3c („Bis wann wird mein Feind mir überlegen sein?“) und Zeile 4c („damit ich nicht sterbe“) wieder auf. Im Deutschen laufen beide Bedeutungen wohl am besten zusammen im Wort „übermögen“, doch ist das vielleicht schon zu alt für die LF (?) - in diesem Fall vielleicht besser: „Ich habe ihn überwältigt“.</w:t>
      </w:r>
    </w:p>
  </w:footnote>
  <w:footnote w:id="731">
    <w:p>
      <w:pPr>
        <w:pStyle w:val="Funote"/>
        <w:rPr/>
      </w:pPr>
      <w:r>
        <w:rPr>
          <w:rStyle w:val="Funotenzeichen"/>
        </w:rPr>
        <w:footnoteRef/>
      </w:r>
      <w:r>
        <w:rPr/>
        <w:tab/>
        <w:t xml:space="preserve">Zum </w:t>
      </w:r>
      <w:r>
        <w:rPr>
          <w:i/>
        </w:rPr>
        <w:t>Wanken</w:t>
      </w:r>
      <w:r>
        <w:rPr/>
        <w:t xml:space="preserve"> vgl. </w:t>
      </w:r>
      <w:r>
        <w:fldChar w:fldCharType="begin"/>
      </w:r>
      <w:r>
        <w:rPr>
          <w:rStyle w:val="Internetverknpfung"/>
        </w:rPr>
        <w:instrText> HYPERLINK "http://www.offene-bibel.de/wiki/index.php5?title=Psalm_30" \l "note_r"</w:instrText>
      </w:r>
      <w:r>
        <w:rPr>
          <w:rStyle w:val="Internetverknpfung"/>
        </w:rPr>
        <w:fldChar w:fldCharType="separate"/>
      </w:r>
      <w:r>
        <w:rPr>
          <w:rStyle w:val="Internetverknpfung"/>
        </w:rPr>
        <w:t>FN r</w:t>
      </w:r>
      <w:r>
        <w:rPr>
          <w:rStyle w:val="Internetverknpfung"/>
        </w:rPr>
        <w:fldChar w:fldCharType="end"/>
      </w:r>
      <w:r>
        <w:rPr/>
        <w:t xml:space="preserve"> zu </w:t>
      </w:r>
      <w:r>
        <w:fldChar w:fldCharType="begin"/>
      </w:r>
      <w:r>
        <w:rPr>
          <w:rStyle w:val="Internetverknpfung"/>
        </w:rPr>
        <w:instrText> HYPERLINK "../../../../../../../../../wiki/Psalm_30" \l "s7"</w:instrText>
      </w:r>
      <w:r>
        <w:rPr>
          <w:rStyle w:val="Internetverknpfung"/>
        </w:rPr>
        <w:fldChar w:fldCharType="separate"/>
      </w:r>
      <w:r>
        <w:rPr>
          <w:rStyle w:val="Internetverknpfung"/>
        </w:rPr>
        <w:t>Ps 30,7</w:t>
      </w:r>
      <w:r>
        <w:rPr>
          <w:rStyle w:val="Internetverknpfung"/>
        </w:rPr>
        <w:fldChar w:fldCharType="end"/>
      </w:r>
      <w:r>
        <w:rPr/>
        <w:t xml:space="preserve">: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w:t>
      </w:r>
      <w:r>
        <w:fldChar w:fldCharType="begin"/>
      </w:r>
      <w:r>
        <w:rPr>
          <w:rStyle w:val="Internetverknpfung"/>
        </w:rPr>
        <w:instrText> HYPERLINK "../../../../../../../../../wiki/Psalm_30" \l "s7"</w:instrText>
      </w:r>
      <w:r>
        <w:rPr>
          <w:rStyle w:val="Internetverknpfung"/>
        </w:rPr>
        <w:fldChar w:fldCharType="separate"/>
      </w:r>
      <w:r>
        <w:rPr>
          <w:rStyle w:val="Internetverknpfung"/>
        </w:rPr>
        <w:t>Ps 30,7f</w:t>
      </w:r>
      <w:r>
        <w:rPr>
          <w:rStyle w:val="Internetverknpfung"/>
        </w:rPr>
        <w:fldChar w:fldCharType="end"/>
      </w:r>
      <w:r>
        <w:rPr/>
        <w:t>) Gottes.</w:t>
      </w:r>
    </w:p>
  </w:footnote>
  <w:footnote w:id="732">
    <w:p>
      <w:pPr>
        <w:pStyle w:val="Funote"/>
        <w:rPr/>
      </w:pPr>
      <w:r>
        <w:rPr>
          <w:rStyle w:val="Funotenzeichen"/>
        </w:rPr>
        <w:footnoteRef/>
      </w:r>
      <w:r>
        <w:rPr/>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33">
    <w:p>
      <w:pPr>
        <w:pStyle w:val="Funote"/>
        <w:rPr/>
      </w:pPr>
      <w:r>
        <w:rPr>
          <w:rStyle w:val="Funotenzeichen"/>
        </w:rPr>
        <w:footnoteRef/>
      </w:r>
      <w:r>
        <w:rPr>
          <w:i/>
        </w:rPr>
        <w:tab/>
        <w:t>Mein Herz (Ich)</w:t>
      </w:r>
      <w:r>
        <w:rPr/>
        <w:t xml:space="preserve"> - Das „Herz“ - wie auch viele andere „Teile“ des Menschen, z.B. seine „Seele“, sein „Kopf“ etc. - werden im Hebräischen sehr häufig fast wie reine Personalpronomen verwendet. So sicher auch hier; „Mein Herz soll jubeln“ = „Ich will jubeln“.</w:t>
      </w:r>
    </w:p>
  </w:footnote>
  <w:footnote w:id="734">
    <w:p>
      <w:pPr>
        <w:pStyle w:val="Funote"/>
        <w:rPr/>
      </w:pPr>
      <w:r>
        <w:rPr>
          <w:rStyle w:val="Funotenzeichen"/>
        </w:rPr>
        <w:footnoteRef/>
      </w:r>
      <w:r>
        <w:rPr/>
        <w:tab/>
        <w:t>JHWH (dich) + Er hat (Du hast) - Vor allem in der biblischen Poesie kann ein hebräischer Autor ohne erkennbare Gründe von einer Zeile auf die andere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35">
    <w:p>
      <w:pPr>
        <w:pStyle w:val="Funote"/>
        <w:rPr/>
      </w:pPr>
      <w:r>
        <w:rPr>
          <w:rStyle w:val="Funotenzeichen"/>
        </w:rPr>
        <w:footnoteRef/>
      </w:r>
      <w:r>
        <w:rPr/>
        <w:tab/>
        <w:t>[Status: Zuverlässig]</w:t>
      </w:r>
    </w:p>
  </w:footnote>
  <w:footnote w:id="736">
    <w:p>
      <w:pPr>
        <w:pStyle w:val="Funote"/>
        <w:rPr/>
      </w:pPr>
      <w:r>
        <w:rPr>
          <w:rStyle w:val="Funotenzeichen"/>
        </w:rPr>
        <w:footnoteRef/>
      </w:r>
      <w:r>
        <w:rPr/>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Konvention folgen sollte.</w:t>
      </w:r>
    </w:p>
  </w:footnote>
  <w:footnote w:id="737">
    <w:p>
      <w:pPr>
        <w:pStyle w:val="Funote"/>
        <w:rPr/>
      </w:pPr>
      <w:r>
        <w:rPr>
          <w:rStyle w:val="Funotenzeichen"/>
        </w:rPr>
        <w:footnoteRef/>
      </w:r>
      <w:r>
        <w:rPr>
          <w:i/>
        </w:rPr>
        <w:tab/>
        <w:t>Es gibt keinen Gott</w:t>
      </w:r>
      <w:r>
        <w:rPr/>
        <w:t xml:space="preserve"> - Gemeint ist kein theoretischer Atheismus, der im Alten Israel schwerlich vorstellbar ist. Der „Narr“ vertritt einen </w:t>
      </w:r>
      <w:r>
        <w:rPr>
          <w:i/>
        </w:rPr>
        <w:t>praktischen</w:t>
      </w:r>
      <w:r>
        <w:rPr/>
        <w:t xml:space="preserve"> Atheismus: Er lebt und handelt so, als gäbe es keinen Gott, wie dann auch in den nächsten Zeilen näher ausgeführt wird.</w:t>
      </w:r>
    </w:p>
  </w:footnote>
  <w:footnote w:id="738">
    <w:p>
      <w:pPr>
        <w:pStyle w:val="Funote"/>
        <w:rPr/>
      </w:pPr>
      <w:r>
        <w:rPr>
          <w:rStyle w:val="Funotenzeichen"/>
        </w:rPr>
        <w:footnoteRef/>
      </w:r>
      <w:r>
        <w:rPr/>
        <w:tab/>
        <w:t>begehen, verbrechen Übeltat - Die beiden Verben benötigen eigentlich kein Objekt; das erste bedeutet schon allein „verderblich handeln“, das zweite „abscheulich handeln“. Sowohl die Aneinanderreihung der beiden fast synonymen Verben als auch die eigentlich unnötige Hinzufügung des Substantivs (das zwar auch neutral als „Tat“ verwendet werden kann, oft aber speziell die Bedeutung „Übeltat“ hat. In Ps 53,2 ist dies noch zusätzlich vereindeutigt worden zu „Untat“) sollen den Ausdruck noch intensiver machen.Sinnvoll daher NL: „Sie sind durch und durch schlecht und ihre Taten sind böse“.</w:t>
      </w:r>
    </w:p>
  </w:footnote>
  <w:footnote w:id="739">
    <w:p>
      <w:pPr>
        <w:pStyle w:val="Funote"/>
        <w:rPr/>
      </w:pPr>
      <w:r>
        <w:rPr>
          <w:rStyle w:val="Funotenzeichen"/>
        </w:rPr>
        <w:footnoteRef/>
      </w:r>
      <w:r>
        <w:rPr/>
        <w:tab/>
        <w:t>: - Vv. 3-4 schildern das Ergebnis von Gottes Prüfung: Die gesamte Menschheit hat sie nicht bestanden.Dass Gott in V. 4 von sich selbst in der 3. Pers. spricht, kommt häufiger vor (vgl. dazu z.B. Malone 2009). Zu ähnlichen nicht durch ein Verb des Sagens eingeleiteten Zitaten vgl. z.B. Gordis 1949, S. 167-173.</w:t>
      </w:r>
    </w:p>
  </w:footnote>
  <w:footnote w:id="740">
    <w:p>
      <w:pPr>
        <w:pStyle w:val="Funote"/>
        <w:rPr/>
      </w:pPr>
      <w:r>
        <w:rPr>
          <w:rStyle w:val="Funotenzeichen"/>
        </w:rPr>
        <w:footnoteRef/>
      </w:r>
      <w:r>
        <w:rPr/>
        <w:tab/>
        <w:t>[Die] mein Volk fressen? / Sie fressen Brot - Oft übersetzt als »Die mein Volk fressen, wie man Brot isst«, aber dann wären die beiden unterschiedlichen Verbformen (Zeile 2: Partizip, Zeile 3: Qatal) unerklärlich (richtig Eerdmans 1947, S. 135). Unsere Üs. folgt daher deClaissé-Walford/Jacobson/Tanner 2014, S. 165; Eerdmans 1947, S. 134; vgl. auch schon Olshausen 1853, S. 79. Charakterisiert werden die Übeltäter hier also erstens darüber, dass sie »mein Volk fressen« (d.h. ausbeuten, s. ähnlich Spr 30,14; Jer 10,25; Mi 3,3; Hab 3,14), obwohl sie das nicht mal nötig hätten, da sie ja Brot zu fressen haben (d.h. keine Not leiden müssen), und zweitens darüber, dass sie Brot zu essen haben - dass es ihnen also gut geht -, aber nicht einmal dafür JHWH anrufen, also danken. Sowohl in ihrem Verhalten ihren Mitmenschen als auch Gott gegenüber sind sie durch und durch schlecht. Die Üs. von EÜ (»Sie verschlingen mein Volk. Sie essen das Brot JHWHs, doch seinen Namen rufen sie nicht an«) folgt einem unnötigen Textkorrekturvorschlag von Kissane 1953 (s. auch schon Duhm, Gunkel).</w:t>
      </w:r>
    </w:p>
  </w:footnote>
  <w:footnote w:id="741">
    <w:p>
      <w:pPr>
        <w:pStyle w:val="Funote"/>
        <w:rPr/>
      </w:pPr>
      <w:r>
        <w:rPr>
          <w:rStyle w:val="Funotenzeichen"/>
        </w:rPr>
        <w:footnoteRef/>
      </w:r>
      <w:r>
        <w:rPr>
          <w:i/>
        </w:rPr>
        <w:tab/>
        <w:t>erschraken sie einen Schrecken</w:t>
      </w:r>
      <w:r>
        <w:rPr/>
        <w:t xml:space="preserve"> - Figura etymologica, die den ganzen Ausdruck noch intensiver macht: „Da erschraken sie sehr“.</w:t>
      </w:r>
    </w:p>
  </w:footnote>
  <w:footnote w:id="742">
    <w:p>
      <w:pPr>
        <w:pStyle w:val="Funote"/>
        <w:rPr/>
      </w:pPr>
      <w:r>
        <w:rPr>
          <w:rStyle w:val="Funotenzeichen"/>
        </w:rPr>
        <w:footnoteRef/>
      </w:r>
      <w:r>
        <w:rPr>
          <w:i/>
        </w:rPr>
        <w:tab/>
        <w:t>:</w:t>
      </w:r>
      <w:r>
        <w:rPr/>
        <w:t xml:space="preserve"> - Auch V. 6 ist wahrscheinlich ein Zitat JHWHs. Erst aus diesem Vers kann ja abgeleitet werden, dass Gott mit den Armen ist, wohingegen es Vv. 3-4 noch hieß, dass die gesamte Menschheit bei Gottes Prüfung durchgefallen ist.</w:t>
      </w:r>
    </w:p>
  </w:footnote>
  <w:footnote w:id="743">
    <w:p>
      <w:pPr>
        <w:pStyle w:val="Funote"/>
        <w:rPr/>
      </w:pPr>
      <w:r>
        <w:rPr>
          <w:rStyle w:val="Funotenzeichen"/>
        </w:rPr>
        <w:footnoteRef/>
      </w:r>
      <w:r>
        <w:rPr>
          <w:i/>
        </w:rPr>
        <w:tab/>
        <w:t>Zion</w:t>
      </w:r>
      <w:r>
        <w:rPr/>
        <w:t xml:space="preserve"> - Der Berg in Jerusalem, auf dem Gott in seinem Tempel wohnt. Hilfe von Gott kommt daher „vom Zion“ (vgl. z.B. </w:t>
      </w:r>
      <w:r>
        <w:fldChar w:fldCharType="begin"/>
      </w:r>
      <w:r>
        <w:rPr>
          <w:rStyle w:val="Internetverknpfung"/>
        </w:rPr>
        <w:instrText> HYPERLINK "https://www.bibelwissenschaft.de/de/stichwort/35418/" \l "h8"</w:instrText>
      </w:r>
      <w:r>
        <w:rPr>
          <w:rStyle w:val="Internetverknpfung"/>
        </w:rPr>
        <w:fldChar w:fldCharType="separate"/>
      </w:r>
      <w:r>
        <w:rPr>
          <w:rStyle w:val="Internetverknpfung"/>
        </w:rPr>
        <w:t>Zion/Zionstheologie (WiBiLex)</w:t>
      </w:r>
      <w:r>
        <w:rPr>
          <w:rStyle w:val="Internetverknpfung"/>
        </w:rPr>
        <w:fldChar w:fldCharType="end"/>
      </w:r>
      <w:r>
        <w:rPr/>
        <w:t>.</w:t>
      </w:r>
    </w:p>
  </w:footnote>
  <w:footnote w:id="744">
    <w:p>
      <w:pPr>
        <w:pStyle w:val="Funote"/>
        <w:rPr/>
      </w:pPr>
      <w:r>
        <w:rPr>
          <w:rStyle w:val="Funotenzeichen"/>
        </w:rPr>
        <w:footnoteRef/>
      </w:r>
      <w:r>
        <w:rPr/>
        <w:tab/>
        <w:t>Möge es doch vom Zion Rettung für Israel geben! - W.: „Wer wird geben vom Zion Rettung für Israel!?“, die heb. Wendung „Wer wird geben X“ ist ein Idiom für „Es möge sein, dass... X“, „Oh dass doch X wäre!“ (vgl. Lande 1949, S. 90f.).</w:t>
      </w:r>
    </w:p>
  </w:footnote>
  <w:footnote w:id="745">
    <w:p>
      <w:pPr>
        <w:pStyle w:val="Funote"/>
        <w:rPr/>
      </w:pPr>
      <w:r>
        <w:rPr>
          <w:rStyle w:val="Funotenzeichen"/>
        </w:rPr>
        <w:footnoteRef/>
      </w:r>
      <w:r>
        <w:rPr>
          <w:i/>
        </w:rPr>
        <w:tab/>
        <w:t>Jakob</w:t>
      </w:r>
      <w:r>
        <w:rPr/>
        <w:t xml:space="preserve"> - Alternativer Begriff für Israel, da Jakob nach </w:t>
      </w:r>
      <w:hyperlink r:id="rId75">
        <w:r>
          <w:rPr>
            <w:rStyle w:val="Internetverknpfung"/>
          </w:rPr>
          <w:t>Gen 25</w:t>
        </w:r>
      </w:hyperlink>
      <w:r>
        <w:rPr/>
        <w:t xml:space="preserve"> der Stammvater der Israeliten war.</w:t>
      </w:r>
    </w:p>
  </w:footnote>
  <w:footnote w:id="746">
    <w:p>
      <w:pPr>
        <w:pStyle w:val="Funote"/>
        <w:rPr/>
      </w:pPr>
      <w:r>
        <w:rPr>
          <w:rStyle w:val="Funotenzeichen"/>
        </w:rPr>
        <w:footnoteRef/>
      </w:r>
      <w:r>
        <w:rPr/>
        <w:tab/>
        <w:t>[b.Mak 24a geht sogar noch weiter: „Wann immer Rabbi Gamaliel [den Vers Ps 15,5] erreichte, weinte er und sagte: ‚Wer all diese Gebote hält, wird nie wanken; hält er nur eins von ihnen, wird er wanken!‘ Da sagte man ihm: ‚Steht etwa geschrieben: ‚Wer all diese Gebote hält?‘ Es steht geschrieben: ‚Wer diese Gebote hält‘ – das gilt selbst für den, der nur eins von ihnen hält.‘“: Die Gebote in Ps 15 wären so fundamental, das selbst jener, der nur eins von ihnen einhält, auf ewig „nicht wanken“ wird.]</w:t>
      </w:r>
    </w:p>
  </w:footnote>
  <w:footnote w:id="747">
    <w:p>
      <w:pPr>
        <w:pStyle w:val="Funote"/>
        <w:rPr/>
      </w:pPr>
      <w:r>
        <w:rPr>
          <w:rStyle w:val="Funotenzeichen"/>
        </w:rPr>
        <w:footnoteRef/>
      </w:r>
      <w:r>
        <w:rPr/>
        <w:tab/>
        <w:t>[Zum Gedanken vgl. z.B. Ps 1: Auch hier werden in Vv. 1f. negative und positive Bedingungen (Vv. 1-2) für Gottes Segen (V. 3) aufgezählt. Zur Formulierung vgl. die sehr nahen Parallelen Ps 24; Jes 33,14-16; Mic 6,6-8.]</w:t>
      </w:r>
    </w:p>
  </w:footnote>
  <w:footnote w:id="748">
    <w:p>
      <w:pPr>
        <w:pStyle w:val="Funote"/>
        <w:rPr/>
      </w:pPr>
      <w:r>
        <w:rPr>
          <w:rStyle w:val="Funotenzeichen"/>
        </w:rPr>
        <w:footnoteRef/>
      </w:r>
      <w:r>
        <w:rPr/>
        <w:tab/>
        <w:t>[Status: Zuverlässig]</w:t>
      </w:r>
    </w:p>
  </w:footnote>
  <w:footnote w:id="749">
    <w:p>
      <w:pPr>
        <w:pStyle w:val="Funote"/>
        <w:rPr/>
      </w:pPr>
      <w:r>
        <w:rPr>
          <w:rStyle w:val="Funotenzeichen"/>
        </w:rPr>
        <w:footnoteRef/>
      </w:r>
      <w:r>
        <w:rPr/>
        <w:tab/>
        <w:t>Mit dem Zelt könnte das mischkan gemeint sein, eine Art zeltförmiger transportabler Tempel, den die Israeliten mit sich durch die Wüste führten und der als „Wohnstatt“ Gottes diente (mischkan kommt von schakan, „wohnen“; zum Zelt s. z.B. Ex 25,8f.; Ex 26), oder das Zelt, das David stattdessen zum selben Zweck in Jerusalem errichtete (s. z.B. 1 Chr 15,1; 2 Chr 1,3f.). Der Tg und viele Handschriften haben wohl deshalb auch den Plural „Zelte“ statt den Singular. Später wurden diese Zelte abgelöst durch den Tempel, den Salomo auf dem „heiligen Berg“ Zion als neue Wohnstatt Gottes erbaute. Auch in Ps 27,4-6 werden „Tempel“ und „Zelt“ in einem Atemzug verwendet; vielleicht konnte „Zelt“ später also auch poetisch für den „Tempel“ stehen.</w:t>
      </w:r>
    </w:p>
  </w:footnote>
  <w:footnote w:id="750">
    <w:p>
      <w:pPr>
        <w:pStyle w:val="Funote"/>
        <w:rPr/>
      </w:pPr>
      <w:r>
        <w:rPr>
          <w:rStyle w:val="Funotenzeichen"/>
        </w:rPr>
        <w:footnoteRef/>
      </w:r>
      <w:r>
        <w:rPr/>
        <w:tab/>
        <w:t>Textkritik: Und ({und}) - „Und“ findet sich nicht im Codex Leningradensis, aber in vielen Handschriften, LXX, Syr, VUL und Hier und ist damit wohl urprünglich.</w:t>
      </w:r>
    </w:p>
  </w:footnote>
  <w:footnote w:id="751">
    <w:p>
      <w:pPr>
        <w:pStyle w:val="Funote"/>
        <w:rPr/>
      </w:pPr>
      <w:r>
        <w:rPr>
          <w:rStyle w:val="Funotenzeichen"/>
        </w:rPr>
        <w:footnoteRef/>
      </w:r>
      <w:r>
        <w:rPr/>
        <w:tab/>
        <w:t>Wahres sagt (denkt) in seinem Herzen (ausspricht, [was] wahrhaft in seinem Herzen [ist]) - etwas schwierige Zeile, die leider nur selten kommentiert wird. Das Herz ist in der heb. Anthropologie seltener Sitz der Emotionen als des Verstandes; einfacher könnte man also schlicht schreiben: »wer Wahres denkt«. Weil der Psalm hier ethische Regeln aufstellt, würde hier also gesagt, dass Irrtümer ethisch falsch sind. Zu dieser weisheitlichen Vorstellung s. die Anmerkungen zu Ps 14; sinngemäß richtig also Saadja: »Wer die Wahrheit bekennt in seinem Herzen«.Alternativ könnte man wie in unserer Alternativübersetzung (nach Olshausen) deuten als »Wer ausspricht, [was] wahrhaft in seinem Herzen [ist]« (so schon Raschi; auch MEN: »wer die Wahrheit redet, wie's ihm ums Herz ist«); die Rede wäre dann von der Aufrichtigkeit im Gegensatz zur Verlogenheit wie z.B. in Ps 12,3. Sprachlich liegt die erste Deutung aber näher. Viele dt. Üss. übersetzen als »wer von (ganzem) Herzen die Wahrheit sagt« (z.B. ASTADLER, BB, EÜ16, LUT17, NGÜ, STAD), doch den Ausdruck »von ganzem Herzen« gibt es mit dieser Bed. nicht im Heb.</w:t>
      </w:r>
    </w:p>
  </w:footnote>
  <w:footnote w:id="752">
    <w:p>
      <w:pPr>
        <w:pStyle w:val="Funote"/>
        <w:rPr/>
      </w:pPr>
      <w:r>
        <w:rPr>
          <w:rStyle w:val="Funotenzeichen"/>
        </w:rPr>
        <w:footnoteRef/>
      </w:r>
      <w:r>
        <w:rPr/>
        <w:tab/>
        <w:t>Verleumdung - Wortspiel im Heb.: Das Wort kommt von heb. regel (»Fuß, Bein«), bed. meistens »(als Kundschafter) laufen« und kommt damit aus dem selben Wortfeld wie das »wandeln« in V. 2.Textkritik: Verleumdung auf seiner Zunge hat - W. nach BHS »Wer verleumdet auf seiner Zunge«; lies statt dem Verb rāgal (»verleumdet«) besser das Abstraktsubstantiv rāgāl (»Verleumdung«), da die Präposition `al (»auf«) vor »seine Zunge« nicht gut mit dem Verb zusammenpasst (so auch ZLH, S. 755; ähnlich Budde 1915, S. 182). Selbst Sir 5,14, dessen Autor sich wohl an unserem Vers orientiert, ändert daher dennoch die Präposition el (s. Sir 4,28) nach b. Zur Konstruktion mit Substantiv vgl. 2 Sam 23,2; Spr 31,26; vgl. auch Jes 53,9. So wohl auch MEN, OEB, SLT, TEX.</w:t>
      </w:r>
    </w:p>
  </w:footnote>
  <w:footnote w:id="753">
    <w:p>
      <w:pPr>
        <w:pStyle w:val="Funote"/>
        <w:rPr/>
      </w:pPr>
      <w:r>
        <w:rPr>
          <w:rStyle w:val="Funotenzeichen"/>
        </w:rPr>
        <w:footnoteRef/>
      </w:r>
      <w:r>
        <w:rPr/>
        <w:tab/>
        <w:t>Textkritik: ([Und]) - Die Konjunktion findet sich nicht im Text der BHS, aber in wenigen Handschriften, LXX und Syr; nicht aber in VUL und Hier. Die Kolometrie des Psalms ist recht klar; in Teil 2 des Psalms wird sonst jede zweite(/dritte) Zeile eingeleitet durch eine Konjunktion – das (anders als in V. 1) nicht sehr gut bezeugte »und« lässt sich daher erklären als Angleichung an diese Struktur.</w:t>
      </w:r>
    </w:p>
  </w:footnote>
  <w:footnote w:id="754">
    <w:p>
      <w:pPr>
        <w:pStyle w:val="Funote"/>
        <w:rPr/>
      </w:pPr>
      <w:r>
        <w:rPr>
          <w:rStyle w:val="Funotenzeichen"/>
        </w:rPr>
        <w:footnoteRef/>
      </w:r>
      <w:r>
        <w:rPr>
          <w:i/>
        </w:rPr>
        <w:tab/>
        <w:t>seinem Genossen Schaden</w:t>
      </w:r>
      <w:r>
        <w:rPr/>
        <w:t xml:space="preserve"> - Klangspiel: </w:t>
      </w:r>
      <w:r>
        <w:rPr>
          <w:i/>
        </w:rPr>
        <w:t>re`ehu ra`ah</w:t>
      </w:r>
      <w:r>
        <w:rPr/>
        <w:t>.</w:t>
      </w:r>
    </w:p>
  </w:footnote>
  <w:footnote w:id="755">
    <w:p>
      <w:pPr>
        <w:pStyle w:val="Funote"/>
        <w:rPr/>
      </w:pPr>
      <w:r>
        <w:rPr>
          <w:rStyle w:val="Funotenzeichen"/>
        </w:rPr>
        <w:footnoteRef/>
      </w:r>
      <w:r>
        <w:rPr/>
        <w:tab/>
        <w:t>Schande nicht trug wegen seinem Nächsten (nicht lud auf seinen Nächsten?) - Nach der Alternativübersetzung übersetzen fast alle Üss. und Kommentare, was nach den Wortbedeutungen auch möglich wäre, doch ist naßah cherpah `al ein Idiom, das sonst stets »Schande tragen wegen« bedeutet (s. Ps 69,8; Jer 15,5; 31,19; Ez 36,14; Mic 6,16; auch Ps 89,51). Richtig daher Alter 2007, S. 44: »Nor bears reproach for his kin«; Ehrlich 1905, S. 26: »und auf sich keine Schmach ladet ob seines Verwandten«; R-S: »nicht Schmach ob der Verwandten auf sich nimmt«; Sarna 1993, S. 98: »or borne reproach for [his acts toward] his neighbor«. Was gemeint ist, ist unklar; sinnvoll aber Ehrlich: »Um eines Verwandten willen Schmach auf sich laden ist so viel, als einen gottlosen Verwandten vor der verdienten Strafe schützen, statt ihn ihr preiszugeben, und sich so derselben Schmach aussetzen« (ebenso R-S in den Erläuterungen): Seine Schmach mittragen. Zeile 2 spricht von den bösen Taten, die man selbst begeht, Zeile 3 von Komplizenschaft.Vv. 2f. sind chiastisch gebaut: 2ab sprechen vom rechten Handeln, 2c vom rechten Reden (im Herzen, also denken); 3a vom falschen Reden und 3bc vom falschen Handeln.</w:t>
      </w:r>
    </w:p>
  </w:footnote>
  <w:footnote w:id="756">
    <w:p>
      <w:pPr>
        <w:pStyle w:val="Funote"/>
        <w:rPr/>
      </w:pPr>
      <w:r>
        <w:rPr>
          <w:rStyle w:val="Funotenzeichen"/>
        </w:rPr>
        <w:footnoteRef/>
      </w:r>
      <w:r>
        <w:rPr/>
        <w:tab/>
        <w:t>Also jenen, den in seinen Augen Gott vorworfen hat: den Sünder. Gut daher NGÜ: »Er wird den verachten, den Gott verworfen hat« (ähnlich GN, TEX); sinnvoll auch HER, LUT (leider nicht mehr LUT17): »der den Gottlosen verachtet«.tFN: Alternative 1 folgt dem Text der BHS (so auch die meisten Üss.); sowohl »verachtet« als auch »verworfen« sind hier Partizipien und man muss aus dem Kontext erschließen, was Subjekt und was Prädikat ist (so die meisten Üss.). Alternative 2 geht aufgrund derselben Tatsache davon aus, dass beide Wörter den selben syntaktischen Status haben, obwohl das eine am Zeilenbeginn, das andere am Zeilenende steht (ähnlich aber z.B. auch Jes 43,4), die Rede wäre hier wie in 1 Sam 15,17; 2 Sam 6,22; Ps 131; Jes 57,15; Lk 18,13f. von einer demütigen Haltung. So schon Tg und die alten jüd. Ausleger Saadja, Ibn Ezra und Kimchi; auch gerade die grammatisch sehr fähigen Kommentatoren Delitzsch 1894, S. 149; Ehrlich 1905, S. 27; Hitzig 1863, S. 77 und Zorell 1928, S. 19; auch ALB. Unsere Primärübersetzung geht mit Zuber 1986, S. 29 davon aus, dass das erste Partizip als finites Verb zu vokalisieren ist (ähnlich Dahood 1965, S. 84, der das zweite Verb, und Driver 1942, S. 152, der beide Partizipien als finite Verben vokalisieren will).</w:t>
      </w:r>
    </w:p>
  </w:footnote>
  <w:footnote w:id="757">
    <w:p>
      <w:pPr>
        <w:pStyle w:val="Funote"/>
        <w:rPr/>
      </w:pPr>
      <w:r>
        <w:rPr>
          <w:rStyle w:val="Funotenzeichen"/>
        </w:rPr>
        <w:footnoteRef/>
      </w:r>
      <w:r>
        <w:rPr/>
        <w:tab/>
        <w:t>dem Genossen (zu schaden, zum Schaden?) - der also einen geleisteten Schwur nicht bricht. Textkritik: dem Genossen (zu schaden, zum Schaden?) - die Konsonanten lassen beide Deutungen zu. LXX, Sym, Syr und VUL vereindeutigen durch Übersetzung zur Primärübersetzung, MT, Tg, Hier, Aq, Theod durch Vokalisierung oder Übersetzung zur Alternativübersetzung. Diese Alternativübersetzung, nach der auf den ersten Blick jemand als gut bezeichnet wird, weil er etwas Böses schwört und dann auch dabei bleibt, ist entweder zu erklären als »etwas schwören, wovon sich dann herausstellt, dass es für jmdn selbst zum Schaden war, und dennoch dem Schwur treu bleiben« (HfA: »Jeder, der hält, was er geschworen hat, auch wenn ihm daraus Nachteile entstehen«; EÜ16: »Er wird nicht ändern, was er zum eigenen Schaden geschworen hat.« u.ö.) oder, sprachlich näherliegend, »der schwört, [sich] zu schädigen« (z.B. durch Fasten oder durch das Einhalten von Sabbatgeboten) und darin hart bleibt (so b.Mak 24a; Saadja; Kimchi, Ibn Ezra, Ehrlich 1905, S. 27: »schwor, sich etwas zu entsagen«).</w:t>
      </w:r>
    </w:p>
  </w:footnote>
  <w:footnote w:id="758">
    <w:p>
      <w:pPr>
        <w:pStyle w:val="Funote"/>
        <w:rPr/>
      </w:pPr>
      <w:r>
        <w:rPr>
          <w:rStyle w:val="Funotenzeichen"/>
        </w:rPr>
        <w:footnoteRef/>
      </w:r>
      <w:r>
        <w:rPr/>
        <w:tab/>
        <w:t xml:space="preserve">Zum </w:t>
      </w:r>
      <w:r>
        <w:rPr>
          <w:i/>
        </w:rPr>
        <w:t>Zinsverbot</w:t>
      </w:r>
      <w:r>
        <w:rPr/>
        <w:t xml:space="preserve"> s. </w:t>
      </w:r>
      <w:hyperlink r:id="rId76">
        <w:r>
          <w:rPr>
            <w:rStyle w:val="Internetverknpfung"/>
          </w:rPr>
          <w:t>Ex 22,24</w:t>
        </w:r>
      </w:hyperlink>
      <w:r>
        <w:rPr/>
        <w:t xml:space="preserve">; </w:t>
      </w:r>
      <w:r>
        <w:fldChar w:fldCharType="begin"/>
      </w:r>
      <w:r>
        <w:rPr>
          <w:rStyle w:val="Internetverknpfung"/>
        </w:rPr>
        <w:instrText> HYPERLINK "../../../../../../../../../wiki/Levitikus_25" \l "s37"</w:instrText>
      </w:r>
      <w:r>
        <w:rPr>
          <w:rStyle w:val="Internetverknpfung"/>
        </w:rPr>
        <w:fldChar w:fldCharType="separate"/>
      </w:r>
      <w:r>
        <w:rPr>
          <w:rStyle w:val="Internetverknpfung"/>
        </w:rPr>
        <w:t>Lev 25,37</w:t>
      </w:r>
      <w:r>
        <w:rPr>
          <w:rStyle w:val="Internetverknpfung"/>
        </w:rPr>
        <w:fldChar w:fldCharType="end"/>
      </w:r>
      <w:r>
        <w:rPr/>
        <w:t xml:space="preserve">; </w:t>
      </w:r>
      <w:hyperlink r:id="rId77">
        <w:r>
          <w:rPr>
            <w:rStyle w:val="Internetverknpfung"/>
          </w:rPr>
          <w:t>Dtn 23,20f.</w:t>
        </w:r>
      </w:hyperlink>
      <w:r>
        <w:rPr/>
        <w:t xml:space="preserve">; </w:t>
      </w:r>
      <w:hyperlink r:id="rId78">
        <w:r>
          <w:rPr>
            <w:rStyle w:val="Internetverknpfung"/>
          </w:rPr>
          <w:t>Ez 18,8</w:t>
        </w:r>
      </w:hyperlink>
      <w:r>
        <w:rPr/>
        <w:t xml:space="preserve">, zur Bestechlichkeit </w:t>
      </w:r>
      <w:hyperlink r:id="rId79">
        <w:r>
          <w:rPr>
            <w:rStyle w:val="Internetverknpfung"/>
          </w:rPr>
          <w:t>Ex 23,8</w:t>
        </w:r>
      </w:hyperlink>
      <w:r>
        <w:rPr/>
        <w:t xml:space="preserve">; </w:t>
      </w:r>
      <w:r>
        <w:fldChar w:fldCharType="begin"/>
      </w:r>
      <w:r>
        <w:rPr>
          <w:rStyle w:val="Internetverknpfung"/>
        </w:rPr>
        <w:instrText> HYPERLINK "../../../../../../../../../wiki/Deuteronomium_16" \l "s19"</w:instrText>
      </w:r>
      <w:r>
        <w:rPr>
          <w:rStyle w:val="Internetverknpfung"/>
        </w:rPr>
        <w:fldChar w:fldCharType="separate"/>
      </w:r>
      <w:r>
        <w:rPr>
          <w:rStyle w:val="Internetverknpfung"/>
        </w:rPr>
        <w:t>Dtn 16,19</w:t>
      </w:r>
      <w:r>
        <w:rPr>
          <w:rStyle w:val="Internetverknpfung"/>
        </w:rPr>
        <w:fldChar w:fldCharType="end"/>
      </w:r>
      <w:r>
        <w:rPr/>
        <w:t xml:space="preserve">; </w:t>
      </w:r>
      <w:hyperlink r:id="rId80">
        <w:r>
          <w:rPr>
            <w:rStyle w:val="Internetverknpfung"/>
          </w:rPr>
          <w:t>27,25</w:t>
        </w:r>
      </w:hyperlink>
      <w:r>
        <w:rPr/>
        <w:t xml:space="preserve">; </w:t>
      </w:r>
      <w:r>
        <w:fldChar w:fldCharType="begin"/>
      </w:r>
      <w:r>
        <w:rPr>
          <w:rStyle w:val="Internetverknpfung"/>
        </w:rPr>
        <w:instrText> HYPERLINK "../../../../../../../../../wiki/Jesaja_1" \l "s23"</w:instrText>
      </w:r>
      <w:r>
        <w:rPr>
          <w:rStyle w:val="Internetverknpfung"/>
        </w:rPr>
        <w:fldChar w:fldCharType="separate"/>
      </w:r>
      <w:r>
        <w:rPr>
          <w:rStyle w:val="Internetverknpfung"/>
        </w:rPr>
        <w:t>Jes 1,23</w:t>
      </w:r>
      <w:r>
        <w:rPr>
          <w:rStyle w:val="Internetverknpfung"/>
        </w:rPr>
        <w:fldChar w:fldCharType="end"/>
      </w:r>
      <w:r>
        <w:rPr/>
        <w:t xml:space="preserve">; </w:t>
      </w:r>
      <w:r>
        <w:fldChar w:fldCharType="begin"/>
      </w:r>
      <w:r>
        <w:rPr>
          <w:rStyle w:val="Internetverknpfung"/>
        </w:rPr>
        <w:instrText> HYPERLINK "../../../../../../../../../wiki/Micha_3" \l "s11"</w:instrText>
      </w:r>
      <w:r>
        <w:rPr>
          <w:rStyle w:val="Internetverknpfung"/>
        </w:rPr>
        <w:fldChar w:fldCharType="separate"/>
      </w:r>
      <w:r>
        <w:rPr>
          <w:rStyle w:val="Internetverknpfung"/>
        </w:rPr>
        <w:t>Mi 3,11</w:t>
      </w:r>
      <w:r>
        <w:rPr>
          <w:rStyle w:val="Internetverknpfung"/>
        </w:rPr>
        <w:fldChar w:fldCharType="end"/>
      </w:r>
      <w:r>
        <w:rPr/>
        <w:t>.</w:t>
      </w:r>
    </w:p>
  </w:footnote>
  <w:footnote w:id="759">
    <w:p>
      <w:pPr>
        <w:pStyle w:val="Funote"/>
        <w:rPr/>
      </w:pPr>
      <w:r>
        <w:rPr>
          <w:rStyle w:val="Funotenzeichen"/>
        </w:rPr>
        <w:footnoteRef/>
      </w:r>
      <w:r>
        <w:rPr/>
        <w:tab/>
        <w:t>Das „</w:t>
      </w:r>
      <w:r>
        <w:rPr>
          <w:i/>
        </w:rPr>
        <w:t>Wanken</w:t>
      </w:r>
      <w:r>
        <w:rPr/>
        <w:t xml:space="preserve">“ ist in der biblischen Poesie eine häufige Metapher für eine Gefährdung, aus der direkt Vernichtung und Tod folgt. Wer dagegen „nicht wankt“ ist sicher und geschützt und wird daher ewig bestehen; s. bes. gut </w:t>
      </w:r>
      <w:hyperlink r:id="rId81">
        <w:r>
          <w:rPr>
            <w:rStyle w:val="Internetverknpfung"/>
          </w:rPr>
          <w:t>Spr 10,30</w:t>
        </w:r>
      </w:hyperlink>
      <w:r>
        <w:rPr/>
        <w:t xml:space="preserve">; </w:t>
      </w:r>
      <w:r>
        <w:fldChar w:fldCharType="begin"/>
      </w:r>
      <w:r>
        <w:rPr>
          <w:rStyle w:val="Internetverknpfung"/>
        </w:rPr>
        <w:instrText> HYPERLINK "../../../../../../../../../wiki/Sprichw%C3%B6rter_12" \l "s3"</w:instrText>
      </w:r>
      <w:r>
        <w:rPr>
          <w:rStyle w:val="Internetverknpfung"/>
        </w:rPr>
        <w:fldChar w:fldCharType="separate"/>
      </w:r>
      <w:r>
        <w:rPr>
          <w:rStyle w:val="Internetverknpfung"/>
        </w:rPr>
        <w:t>12,3</w:t>
      </w:r>
      <w:r>
        <w:rPr>
          <w:rStyle w:val="Internetverknpfung"/>
        </w:rPr>
        <w:fldChar w:fldCharType="end"/>
      </w:r>
      <w:r>
        <w:rPr/>
        <w:t xml:space="preserve">; auch </w:t>
      </w:r>
      <w:r>
        <w:fldChar w:fldCharType="begin"/>
      </w:r>
      <w:r>
        <w:rPr>
          <w:rStyle w:val="Internetverknpfung"/>
        </w:rPr>
        <w:instrText> HYPERLINK "../../../../../../../../../wiki/Psalm_16" \l "s8"</w:instrText>
      </w:r>
      <w:r>
        <w:rPr>
          <w:rStyle w:val="Internetverknpfung"/>
        </w:rPr>
        <w:fldChar w:fldCharType="separate"/>
      </w:r>
      <w:r>
        <w:rPr>
          <w:rStyle w:val="Internetverknpfung"/>
        </w:rPr>
        <w:t>Ps 16,8</w:t>
      </w:r>
      <w:r>
        <w:rPr>
          <w:rStyle w:val="Internetverknpfung"/>
        </w:rPr>
        <w:fldChar w:fldCharType="end"/>
      </w:r>
      <w:r>
        <w:rPr/>
        <w:t xml:space="preserve">; </w:t>
      </w:r>
      <w:r>
        <w:fldChar w:fldCharType="begin"/>
      </w:r>
      <w:r>
        <w:rPr>
          <w:rStyle w:val="Internetverknpfung"/>
        </w:rPr>
        <w:instrText> HYPERLINK "../../../../../../../../../wiki/Psalm_30" \l "s7"</w:instrText>
      </w:r>
      <w:r>
        <w:rPr>
          <w:rStyle w:val="Internetverknpfung"/>
        </w:rPr>
        <w:fldChar w:fldCharType="separate"/>
      </w:r>
      <w:r>
        <w:rPr>
          <w:rStyle w:val="Internetverknpfung"/>
        </w:rPr>
        <w:t>30,7</w:t>
      </w:r>
      <w:r>
        <w:rPr>
          <w:rStyle w:val="Internetverknpfung"/>
        </w:rPr>
        <w:fldChar w:fldCharType="end"/>
      </w:r>
      <w:r>
        <w:rPr/>
        <w:t xml:space="preserve">; </w:t>
      </w:r>
      <w:hyperlink r:id="rId82">
        <w:r>
          <w:rPr>
            <w:rStyle w:val="Internetverknpfung"/>
          </w:rPr>
          <w:t>46,6f</w:t>
        </w:r>
      </w:hyperlink>
      <w:r>
        <w:rPr/>
        <w:t xml:space="preserve">; </w:t>
      </w:r>
      <w:hyperlink r:id="rId83">
        <w:r>
          <w:rPr>
            <w:rStyle w:val="Internetverknpfung"/>
          </w:rPr>
          <w:t>62,3.7</w:t>
        </w:r>
      </w:hyperlink>
      <w:r>
        <w:rPr/>
        <w:t xml:space="preserve">; </w:t>
      </w:r>
      <w:hyperlink r:id="rId84">
        <w:r>
          <w:rPr>
            <w:rStyle w:val="Internetverknpfung"/>
          </w:rPr>
          <w:t>112,6</w:t>
        </w:r>
      </w:hyperlink>
      <w:r>
        <w:rPr/>
        <w:t xml:space="preserve">; </w:t>
      </w:r>
      <w:hyperlink r:id="rId85">
        <w:r>
          <w:rPr>
            <w:rStyle w:val="Internetverknpfung"/>
          </w:rPr>
          <w:t>125,1</w:t>
        </w:r>
      </w:hyperlink>
      <w:r>
        <w:rPr/>
        <w:t>.</w:t>
      </w:r>
    </w:p>
  </w:footnote>
  <w:footnote w:id="760">
    <w:p>
      <w:pPr>
        <w:pStyle w:val="Funote"/>
        <w:rPr/>
      </w:pPr>
      <w:r>
        <w:rPr>
          <w:rStyle w:val="Funotenzeichen"/>
        </w:rPr>
        <w:footnoteRef/>
      </w:r>
      <w:r>
        <w:rPr/>
        <w:tab/>
        <w:t>[In einigen Kommentaren wird der Sprecher wegen dieser Verse für einen Leviten gehalten: Die Leviten waren von der in Jos 13 erzählten Landverlosung ausgenommen; ihr „Los war JHWH“ (Num 18,20; Dtn 10,9). Dem scheint aber V. 6 zu widersprechen, wonach der Sprecher offenbar doch Land zugelost bekommen hat. Entweder ist der Dichter also Levit und spricht derart metaphorisch vom segensreichen Gott als „seinem zugelosten Land“, dass selbst V. 6 noch eine Metapher hierfür ist (dass dies möglich wäre, zeigt Dtn 32,9), oder er ist gerade kein Levit und V. 5 spricht mithilfe der Landlosmetapher davon, dass ihm ein segensreiches Leben beschieden wurde, weil JHWH es ihm beschieden hat, und zu diesem segensreichen Leben gehört tatsächlich, V. 6., auch liebliches Land.]</w:t>
      </w:r>
    </w:p>
  </w:footnote>
  <w:footnote w:id="761">
    <w:p>
      <w:pPr>
        <w:pStyle w:val="Funote"/>
        <w:rPr/>
      </w:pPr>
      <w:r>
        <w:rPr>
          <w:rStyle w:val="Funotenzeichen"/>
        </w:rPr>
        <w:footnoteRef/>
      </w:r>
      <w:r>
        <w:rPr/>
        <w:tab/>
        <w:t>JHWH</w:t>
      </w:r>
    </w:p>
  </w:footnote>
  <w:footnote w:id="762">
    <w:p>
      <w:pPr>
        <w:pStyle w:val="Funote"/>
        <w:rPr/>
      </w:pPr>
      <w:r>
        <w:rPr>
          <w:rStyle w:val="Funotenzeichen"/>
        </w:rPr>
        <w:footnoteRef/>
      </w:r>
      <w:r>
        <w:rPr/>
        <w:tab/>
        <w:t>[Status: Zuverlässig]</w:t>
      </w:r>
    </w:p>
  </w:footnote>
  <w:footnote w:id="763">
    <w:p>
      <w:pPr>
        <w:pStyle w:val="Funote"/>
        <w:rPr/>
      </w:pPr>
      <w:r>
        <w:rPr>
          <w:rStyle w:val="Funotenzeichen"/>
        </w:rPr>
        <w:footnoteRef/>
      </w:r>
      <w:r>
        <w:rPr/>
        <w:tab/>
        <w:t>miktam - Unbekanntes Wort, das vermutlich als Überschrift die Gattung von Ps 16 und Ps 56-60 angeben soll; daher meist mit dem Platzhalterbegriff „Lied“ übersetzt oder einfach transkribiert; für die LF ist wohl ersteres zu empfehlen.Im Talmudhebräischen bedeutet das Wort „Dokument“, im Neuhebräischen „Epigramm“; LXX hält es für ein ebensolches, in Stein Gehauenes, und übersetzt mit steleographia („Inschrift“, so auch BB und viele Kommentare). In allen drei Fällen wird das Wort aber wohl eher mit miktab („Geschriebenes“) verbunden, das sich als Psalmüberschrift in Jes 38,9 findet (Pietersma 2010, S. 524f.), was man schön an Tg sieht: Dieser hält das Wort wohl für eine Mischbildung aus miktab und tam („aufrecht“) und übersetzt „aufrechte Inschrift“. Ähnlich verfahren auch Aq, Sym, VUL, Raschi und andernorts Tg, zerlegen das Wort in die Bestandteile mk und tm und übersetzen „vom demütigen und aufrechten David“. Dass das Wort unbekannt war, sieht man noch besser an Quinta und Sexta, die bloß transkribieren: machtham. Luther leitet das Wort ab von ketem („Gold“), daher die Üs. „gülden Kleinod“ in den Lutherbibeln. Das „Sühngedicht“ von B-R und Stier2 kommt von einer Ableitung von katam („bedecken“), das auch für das „Sühnen“ von Sünden stehen kann (so z.B. auch Sawyer 2011b, S. 294).</w:t>
      </w:r>
    </w:p>
  </w:footnote>
  <w:footnote w:id="764">
    <w:p>
      <w:pPr>
        <w:pStyle w:val="Funote"/>
        <w:rPr/>
      </w:pPr>
      <w:r>
        <w:rPr>
          <w:rStyle w:val="Funotenzeichen"/>
        </w:rPr>
        <w:footnoteRef/>
      </w:r>
      <w:r>
        <w:rPr/>
        <w:tab/>
        <w:t>Textkritik: Vv. 2-4 gehören zu den umstrittensten Versen im Psalmenbuch überhaupt. Teilweise liegt das daran, dass sich hier eine Reihe textkritischer Probleme finden; zu diesen s. den Kommentar / Textkritik Vv. 2-4.Zu Vv. 2-4: Weiterhin sehr erschwert wird das Verständnis dieser Verse durch viele (oben im Text angezeigte oder in den folgenden FNn angegebene) Ambiguitäten, die zusammengenommen dazu führen, dass der Text auf ganz verschiedene Weisen verstanden werden könnte. Hinzu kommt v.a. noch die Problematik, dass das Hebräische keine Anführungs- und Schlusszeichen kennt und daher auch V. 3 oder sogar noch V. 4 als wörtl. Rede vom „ich sage/du sagst“ in V. 2 abhängen könnten; außerdem die Tatsache, dass V. 3b auch als unmarkierter Relativsatz verstanden werden kann. Neben der obigen (z.B. auch von ALB und MEN) gewählten Auflösung hier nur noch die drei häufigsten Alternativauflösungen, die grammatisch auch möglich sind: * [Ich (du) sagt(e) zu JHWH: „...“]. Was die Heiligen (Götter) betrifft, die im Lande sind – diese, (und) die Herrlichen –: Mein ganzes Wohlgefallen richtet sich auf sie. (z.B. LUT17) * [Ich (du) sagt(e) zu JHWH: „...“]. Was die Heiligen (Götter) betrifft, die im Lande sind – diese, (und) die Herrlichen, auf die sich mein ganzes Wohlgefallen richtet: [V. 4]. (z.B. Ridderbos 1972, S. 157) * [Ich (du) sagt(e) zu JHWH: „...“], zu den Heiligen (Götter), die im Land sind – [zu] diesen, (und) den Herrlichen, auf die sich mein ganzes Wohlgefallen richtet: „[V. 4]“ (z.B. Weber 2001, S. 96) Ein letztes und wichtiges Beispiel für eine andere Auflösung, die den Sinn der Verse völlig verändern würde, ist die von Craigie 1983, Franken 1954, Tournay 2001 und der Jerusalemer Bibel (vgl. wichtig auch Mannati 1972), die amart in V. 2a als 2. Pers. verstehen, die „Heiligen“ als Ausdruck für Götter und 2b als gegensätzliche Aussage von 3b: „Ihr sagt zu Jahwe: ‚Mein Herr! / Du bist mein Glück, über dich geht nichts!‘; zu den ‚Heiligen‘, denen, die da auf Erden sind: / ‚Ihr Prächtigen mein! Bei euch ist mein ganzes Gefallen!‘“. Der Psalmist zitierte dann also vorwurfsvoll synkretistische Gegner, die neben JHWH auch noch irdische „Götter“ anbeten. Will man bei der textkritischen Entscheidung zu 2b nicht mitgehen, wäre diese völlig andere Deutung wohl die nächstwahrscheinlichere; will man die „Heiligen“ nicht als Götter verstehen, wieder eine andere mit sehr unterschiedlicher Bedeutung usw. – Vv. 2-4 sind und bleiben sehr unsicher.</w:t>
      </w:r>
    </w:p>
  </w:footnote>
  <w:footnote w:id="765">
    <w:p>
      <w:pPr>
        <w:pStyle w:val="Funote"/>
        <w:rPr/>
      </w:pPr>
      <w:r>
        <w:rPr>
          <w:rStyle w:val="Funotenzeichen"/>
        </w:rPr>
        <w:footnoteRef/>
      </w:r>
      <w:r>
        <w:rPr/>
        <w:tab/>
        <w:t>Heilige + die Herrlichen - Gemeint sind wohl die JHWH-Gläubigen, vgl. Ex 19,6; Dtn 33,3; Dan 7,21.25; Ps 34,10. Dass sie „im Land“ sind, ist nicht irrelevant: Im AT sind klar die Israeliten JHWHs auserwähltes Volk; auf denselben Gedanken wird auch mehrfach in Vv. 5f. angespielt. Dem Psalmisten geht es gut, weil JHWH ihm wohl tut, und er tut dies u.a. auch, weil er ganz Israelit ist, sich in aller Entschiedenheit an die „Heiligen im Land“ hält, Gottes auserwähltes Volk. Diese sind „herrlich“; ein Begriff, mit dem man im Heb. bes. würdige und mächtige Menschen bezeichnet (s. Ri 5,13: Die „Edlen des Volkes“ (//Helden); 2 Chr 23,20: „Die Obersten und die Herrlichen und die Führenden“; Ps 136,18: „herrliche Könige“); und herrlich sind sie wohl im Gegensatz zu „weltlichen Herrlichen“ qua „Heiligkeit“: Sie sind keine irdischen Würdenträger, sondern würdig durch ihr Verhältnis zu Gott: Weil JHWH sie „würdigt“.Sehr verbreitet ist aber auch das Verständnis dieser „herrlichen Heiligen“ als pagane Götter; man orientiert sich dabei an Ps 89,6-8; auch Dtn 33,2f.; Dan 4,5f..10.14f.20; Ijob 5,1; 15,15; Sach 14,5, wo aber meist vom himmlischen Hofstaat JHWHs die Rede ist.Gut Luther: „Aber zu denen will ich mich halten, die heilig und herrlich im Geist sind, wenn auch verachtet vor der Welt un vor jenen. Zu ihnen steht mein Wille, meine Sehnsucht. [...] Heilig ist, wie wir schon früher ausgeführt haben, das, was beiseit getan, verborgen und allein vor Gottes Augen vorhanden ist. Was heutzutage an Häusern, Kleidern und Klerus von den Päpsten heilig genannt wird, ist ein Profan-heiliges, womit man die Leute betrügt. Heilig aber, d.h. durch die Salbung des heiligen Geistes geheiligt, [... ist] überhaupt kein Mensch, außer wenn er durch den Glauben Gott anhangt [...].“ (Luther 1959, S. 213f.).</w:t>
      </w:r>
    </w:p>
  </w:footnote>
  <w:footnote w:id="766">
    <w:p>
      <w:pPr>
        <w:pStyle w:val="Funote"/>
        <w:rPr/>
      </w:pPr>
      <w:r>
        <w:rPr>
          <w:rStyle w:val="Funotenzeichen"/>
        </w:rPr>
        <w:footnoteRef/>
      </w:r>
      <w:r>
        <w:rPr/>
        <w:tab/>
        <w:t>tFN: Diese, - W. übersetzt lauten die einzelnen Bestandteile dieser Zeile: »Zu den Heiligen (Was die Heiligen angeht) die im Land diese und die Herrlichen, ...«. Die meisten Üss. ziehen das »diese« mit der masoretischen Akzentuierung zum ersten Satz und teilen auf: »Die Heiligen, die im Land sind diese« und »und die Herrlichen«. »Diese« wäre dann ein sog. »resumptives Pronomen« (wie in Gen 9,3; Num 9,13; 35,31; Rut 4,15; Pred 4,2), das im Deutschen unübersetzt bleiben könnte. An dieser Satzposition stehen solche resumptiven Pronomen aber nur in negierten Sätzen (s. Gen 17,12; Num 17,5; Dtn 17,15; 20,15; 1 Kön 9,20; vgl. JM §158g). Allenfalls müsste man mit Peels 2000, S. 246 davon ausgehen, dass V. 3 bewusst als Gegen-Satz zu V. 2 formuliert ist und dies zusätzlich damit markiert werden soll, dass hemmah ungrammatisch gesetzt wird; andernfalls ist diese Auflösung nicht möglich – daher entgegen der masoret. Akzentuierung besser wie oben. Das Waw (»und«) vor den »Herrlichen« ist dann keine Konjunktion (»und«), sondern ein Waw explicativum (»Diese, d.h. die Herrlichen«).</w:t>
      </w:r>
    </w:p>
  </w:footnote>
  <w:footnote w:id="767">
    <w:p>
      <w:pPr>
        <w:pStyle w:val="Funote"/>
        <w:rPr/>
      </w:pPr>
      <w:r>
        <w:rPr>
          <w:rStyle w:val="Funotenzeichen"/>
        </w:rPr>
        <w:footnoteRef/>
      </w:r>
      <w:r>
        <w:rPr/>
        <w:tab/>
        <w:t>Man beachte, wie sowohl in der Anrede an Gott als auch in der Anrede an die Heiligen drei Worte auf den Angesprochenen verweisen: Zu JHWH: „Mein Herr bist du, / mein Wohlergehen ist nicht außer durch dich'“; zu den Heiligen: „Diese, die Herrlichen, all mein Wohgefallen richtet sich auf sie.“</w:t>
      </w:r>
    </w:p>
  </w:footnote>
  <w:footnote w:id="768">
    <w:p>
      <w:pPr>
        <w:pStyle w:val="Funote"/>
        <w:rPr/>
      </w:pPr>
      <w:r>
        <w:rPr>
          <w:rStyle w:val="Funotenzeichen"/>
        </w:rPr>
        <w:footnoteRef/>
      </w:r>
      <w:r>
        <w:rPr/>
        <w:tab/>
        <w:t>Es sollen sich vermehren die Schmerzen - nämlich so, wie Calvin gut erklärt: „Ungläubige, die falschen Göttern Geschenke opfern, verlieren nicht nur, was sie dafür ausgegeben haben, sondern laden auch noch Leid um Leid auf sich, weil es letzten Endes schlimm und ruinös für sie ausgehen wird.“ (Calvin 1845, S. 222)</w:t>
      </w:r>
    </w:p>
  </w:footnote>
  <w:footnote w:id="769">
    <w:p>
      <w:pPr>
        <w:pStyle w:val="Funote"/>
        <w:rPr/>
      </w:pPr>
      <w:r>
        <w:rPr>
          <w:rStyle w:val="Funotenzeichen"/>
        </w:rPr>
        <w:footnoteRef/>
      </w:r>
      <w:r>
        <w:rPr/>
        <w:tab/>
        <w:t>nacheilen (?, umwerben?) - Textkritisch schwierige Stelle, s. den Kommentar / Textkritik Vv. 2-4. Beide häufig gewählte Alternativen sind problematisch; in die LF sollte es daher am besten unauffällig und freier übertragen werden, z.B. durch „die anderen Göttern huldigen“ (HER05), „die anderen Göttern dienen“ (ALB) o.Ä., denn dies ist hier sicher gemeint.</w:t>
      </w:r>
    </w:p>
  </w:footnote>
  <w:footnote w:id="770">
    <w:p>
      <w:pPr>
        <w:pStyle w:val="Funote"/>
        <w:rPr/>
      </w:pPr>
      <w:r>
        <w:rPr>
          <w:rStyle w:val="Funotenzeichen"/>
        </w:rPr>
        <w:footnoteRef/>
      </w:r>
      <w:r>
        <w:rPr/>
        <w:tab/>
        <w:t>Blutlibationen (zur Alternative s. den Kommentar / Textkritik Vv. 2-4) sind im Alten Orient zwar selten, aber sicher belegt und waren nicht per se schlecht. Gemeint ist eine Opfer-„gattung“, bei der eine Flüssigkeit (häufig: vor einem oder auf einen Altar) als Opfergabe für eine Gottheit ausgegossen wurde. Für das alte Israel vgl. Ex 29,12; Lev 4,7.18.25.30.34; Dtn 12,27; auch Jes 66,3 setzt voraus, dass man auch „gutes“ Blut opfern konnte (z.B. Lammblut), ebenso Heb 10,4.10. Auch die Hethiter kannten Blutopfer: „Vor dem Altar [...] libiert er das Blut [der Schafe]“ (KUB 10, 11, 5-7, apud Liess 2004, S. 149); ebenso die Babylonier, etwa im Etana-Mythos: „Etana flehte täglich zu Schamasch: ‚Du hast verspeist, o Schamasch, das Fett meines Schafs, die Erde trank das Blut meines Lamms! Die Götter habe ich geehrt, die Geister respektiert.‘“ (COS 1.131,131-134).</w:t>
      </w:r>
    </w:p>
  </w:footnote>
  <w:footnote w:id="771">
    <w:p>
      <w:pPr>
        <w:pStyle w:val="Funote"/>
        <w:rPr/>
      </w:pPr>
      <w:r>
        <w:rPr>
          <w:rStyle w:val="Funotenzeichen"/>
        </w:rPr>
        <w:footnoteRef/>
      </w:r>
      <w:r>
        <w:rPr/>
        <w:tab/>
        <w:t>Also nicht einmal ihre Namen aussprechen.</w:t>
      </w:r>
    </w:p>
  </w:footnote>
  <w:footnote w:id="772">
    <w:p>
      <w:pPr>
        <w:pStyle w:val="Funote"/>
        <w:rPr/>
      </w:pPr>
      <w:r>
        <w:rPr>
          <w:rStyle w:val="Funotenzeichen"/>
        </w:rPr>
        <w:footnoteRef/>
      </w:r>
      <w:r>
        <w:rPr/>
        <w:tab/>
        <w:t>Teil, Zuteilung, Becher, Losstein - Vier Begriffe, von denen jeder für sich schon für das Schicksal eines Menschen stehen kann (zur Becher-metapher s. noch Ps 11,6; Ez 23,31-33; Hab 2,16; Mk 10,38; 14,36; wohl auch Ps 23,5.). Die sehr redundante Fügung „Teil meines Anteils“ findet sich denn auch sonst nicht mehr in der Bibel. Der heb. Text ist sogar noch redundanter als der dt., weil hier einige dt. Worte nur als Suffixe realisiert sind. In Zeile 1 stehen neben „JHWH“ nur drei „schicksalhafte“ Worte: „JHWH Teil meines-Anteils meines-Bechers“; ähnlich Zeile 2: „Zieher meines-Lossteins“. Drei dieser Begriffe („Teil“, „Anteil“ und „Losstein“) stehen häufig außerdem speziell für das Land, dass nach atl. Vorstellung durch das Schicksal jmds Eigen geworden ist (vgl. Jos 13 und Jos 14,2!; z.B. auch Ri 18,1). Dies schwingt auch hier mindestens mit, wie V. 6 deutlich macht (vgl. auch die deutliche Parallele in Dtn 32,9), könnte aber auch rein metaphorisch sein, wie es z.B. NGÜ versteht: „Was du mir für mein Leben geschenkt hast, ist wie ein fruchtbares Stück Land, das mich glücklich macht.“Zieher meines Lossteins ist w. „Halter meines Lossteins“; „der, der meinen Losstein hält“ (mit fast allen Exegeten vokalisiert als tomech statt tomich). Der Losstein hat seinen Platz in der Mantik, also der Disziplin, mit diversen Hilfsmitteln das Schicksal eines Menschen oder den Willen von Göttern zu erfragen – hier also mithilfe von Steinchen. Dass JHWH das Los des Beters „hält“, meint also wohl, dass er es wirft (R-S: „Du wirfst mein Los“) – und dabei sozusagen mogelt, weil durch das Losewerfen ja ohnehin der Wille Gottes herauskommen wird –, dass er also das Geschick des Beters lenkt (ZÜR31: „Du lenkst mein Geschick“) und zugleich „erhält“, was ihm durch dieses Los beschieden wird (Houston/Waltke 2010, S. 331). Schön FENZ: „Du hältst mein Los und wirfst es recht.“</w:t>
      </w:r>
    </w:p>
  </w:footnote>
  <w:footnote w:id="773">
    <w:p>
      <w:pPr>
        <w:pStyle w:val="Funote"/>
        <w:rPr/>
      </w:pPr>
      <w:r>
        <w:rPr>
          <w:rStyle w:val="Funotenzeichen"/>
        </w:rPr>
        <w:footnoteRef/>
      </w:r>
      <w:r>
        <w:rPr>
          <w:i/>
        </w:rPr>
        <w:tab/>
        <w:t>Schnüre fielen mir auf Liebliches</w:t>
      </w:r>
      <w:r>
        <w:rPr/>
        <w:t xml:space="preserve"> - Auch V. 6a spricht noch von der Zulosung von Land (s. die vorige FN). Die „Schnüre“ sind die „Messschnüre“; bezeichnet werden also die Grenzen seines ererbten Landes (vgl. </w:t>
      </w:r>
      <w:r>
        <w:fldChar w:fldCharType="begin"/>
      </w:r>
      <w:r>
        <w:rPr>
          <w:rStyle w:val="Internetverknpfung"/>
        </w:rPr>
        <w:instrText> HYPERLINK "../../../../../../../../../wiki/Amos_7" \l "s17"</w:instrText>
      </w:r>
      <w:r>
        <w:rPr>
          <w:rStyle w:val="Internetverknpfung"/>
        </w:rPr>
        <w:fldChar w:fldCharType="separate"/>
      </w:r>
      <w:r>
        <w:rPr>
          <w:rStyle w:val="Internetverknpfung"/>
        </w:rPr>
        <w:t>Am 7,17</w:t>
      </w:r>
      <w:r>
        <w:rPr>
          <w:rStyle w:val="Internetverknpfung"/>
        </w:rPr>
        <w:fldChar w:fldCharType="end"/>
      </w:r>
      <w:r>
        <w:rPr/>
        <w:t xml:space="preserve">): Ihm wurde in der Tat liebliches [Land] beschieden (s. ähnlich noch </w:t>
      </w:r>
      <w:hyperlink r:id="rId86">
        <w:r>
          <w:rPr>
            <w:rStyle w:val="Internetverknpfung"/>
          </w:rPr>
          <w:t>Ps 78,55</w:t>
        </w:r>
      </w:hyperlink>
      <w:r>
        <w:rPr/>
        <w:t xml:space="preserve">; </w:t>
      </w:r>
      <w:hyperlink r:id="rId87">
        <w:r>
          <w:rPr>
            <w:rStyle w:val="Internetverknpfung"/>
          </w:rPr>
          <w:t>Mi 2,5</w:t>
        </w:r>
      </w:hyperlink>
      <w:r>
        <w:rPr/>
        <w:t>).</w:t>
      </w:r>
    </w:p>
  </w:footnote>
  <w:footnote w:id="774">
    <w:p>
      <w:pPr>
        <w:pStyle w:val="Funote"/>
        <w:rPr/>
      </w:pPr>
      <w:r>
        <w:rPr>
          <w:rStyle w:val="Funotenzeichen"/>
        </w:rPr>
        <w:footnoteRef/>
      </w:r>
      <w:r>
        <w:rPr/>
        <w:tab/>
        <w:t>tFN: Heb. nachlat, also auf den ersten Blick „der Erbbesitz“. LXX, Syr, VUL aber übersetzen „mein Erbbesitz“. Wie in V. 2 (s. Kommentar / Textkritik Vv. 2-4) also wohl defektive Schreibung von nachlati („mein Erbbesitz“).</w:t>
      </w:r>
    </w:p>
  </w:footnote>
  <w:footnote w:id="775">
    <w:p>
      <w:pPr>
        <w:pStyle w:val="Funote"/>
        <w:rPr/>
      </w:pPr>
      <w:r>
        <w:rPr>
          <w:rStyle w:val="Funotenzeichen"/>
        </w:rPr>
        <w:footnoteRef/>
      </w:r>
      <w:r>
        <w:rPr>
          <w:i/>
        </w:rPr>
        <w:tab/>
        <w:t>dünkt mich schön</w:t>
      </w:r>
      <w:r>
        <w:rPr/>
        <w:t xml:space="preserve"> - W. „ist schön auf mir“; die Präp. </w:t>
      </w:r>
      <w:r>
        <w:rPr>
          <w:i/>
        </w:rPr>
        <w:t>auf</w:t>
      </w:r>
      <w:r>
        <w:rPr/>
        <w:t xml:space="preserve"> wird hier wie oft verwendet, um anzuzeigen, dass etwas von jmdm </w:t>
      </w:r>
      <w:r>
        <w:rPr>
          <w:i/>
        </w:rPr>
        <w:t>empfunden</w:t>
      </w:r>
      <w:r>
        <w:rPr/>
        <w:t xml:space="preserve"> wird.</w:t>
      </w:r>
    </w:p>
  </w:footnote>
  <w:footnote w:id="776">
    <w:p>
      <w:pPr>
        <w:pStyle w:val="Funote"/>
        <w:rPr/>
      </w:pPr>
      <w:r>
        <w:rPr>
          <w:rStyle w:val="Funotenzeichen"/>
        </w:rPr>
        <w:footnoteRef/>
      </w:r>
      <w:r>
        <w:rPr/>
        <w:tab/>
        <w:t>Nieren - In der atl. Anthropologie ist nicht das Herz Sitz der Emotionen, sondern die Nieren. Das Herz ist stattdessen Sitz des Verstandes. Geistige Qualen sind daher im AT „Nierenschmerzen“ (s. Ijob 19,27; Ps 73,21; Klg 3,13); dass Gott „Herz und Nieren prüft“ (Ps 7,10; 26,2; Jer 11,20; 17,10; 20,12), meint also im Dt., dass er „Herz und Verstand“ eines Menschen unter die Lupe nimmt. Ähnlich hier: Gott berät den Menschen, belehrt ihn also auf Verstandesebene, und selbst noch nachts „züchtigen ihn seine Nieren“, Gott belehrt ihn also z.B. durch Gewissensbisse auf emotionaler Ebene (NGÜ: „Selbst nachts weist mein Gewissen mich zurecht“; EÜ: „Auch mahnt mich mein Herz in der Nacht“).</w:t>
      </w:r>
    </w:p>
  </w:footnote>
  <w:footnote w:id="777">
    <w:p>
      <w:pPr>
        <w:pStyle w:val="Funote"/>
        <w:rPr/>
      </w:pPr>
      <w:r>
        <w:rPr>
          <w:rStyle w:val="Funotenzeichen"/>
        </w:rPr>
        <w:footnoteRef/>
      </w:r>
      <w:r>
        <w:rPr/>
        <w:tab/>
        <w:t>Ich halte ihn mir also stets bewusst. Gut Saadja: „Und mit Überzeugung halte ich Gott mir stets gegenwärtig und da er so zu meiner Rechten steht, so werde ich gewiss nicht wanken.“</w:t>
      </w:r>
    </w:p>
  </w:footnote>
  <w:footnote w:id="778">
    <w:p>
      <w:pPr>
        <w:pStyle w:val="Funote"/>
        <w:rPr/>
      </w:pPr>
      <w:r>
        <w:rPr>
          <w:rStyle w:val="Funotenzeichen"/>
        </w:rPr>
        <w:footnoteRef/>
      </w:r>
      <w:r>
        <w:rPr/>
        <w:tab/>
        <w:t>Das „Wanken“ ist in der biblischen Poesie eine häufige Metapher für eine Gefährdung, aus der direkt Vernichtung und Tod folgt. Wer dagegen „nicht wankt“ ist sicher und geschützt und wird daher ewig bestehen; s. bes. gut Spr 10,30; 12,3; Psalm 46,6f; 62,3.7; 112,6; 125,1.Schön ausgelegt hat diesen Vers auch Maimonides in seinem „Führer der Unschlüssigen“: „‚Lasst nicht zu, dass eure Geister vom Nachdenken über Gott ablassen!‘ Ebenso heißt es auch bei David, wenn er sagt: ‚Ich setze mir JHWH vor mich beständig; denn ist er zu meiner Rechten, werde ich nicht wanken‘, d.h., ich wende mein Denken nicht von Gott ab; er ist wie meine rechte Hand, die ich ja auch nicht auch nur für einen Moment vergesse, nur weil sie sich so einfach bewegen lässt, und aus diesem Grund werde ich nicht wanken, nicht fehlgehen.“ (III 51)</w:t>
      </w:r>
    </w:p>
  </w:footnote>
  <w:footnote w:id="779">
    <w:p>
      <w:pPr>
        <w:pStyle w:val="Funote"/>
        <w:rPr/>
      </w:pPr>
      <w:r>
        <w:rPr>
          <w:rStyle w:val="Funotenzeichen"/>
        </w:rPr>
        <w:footnoteRef/>
      </w:r>
      <w:r>
        <w:rPr/>
        <w:tab/>
        <w:t>Textkritik: Leber (Herrlichkeit) - Beide Begriffe waren ursprünglich gleich geschrieben worden. Sehr nah verwandt ist diese Stelle mit Ps 30,13; 57,9; 108,2: An allen vier Stellen wird Gott entweder von der „Leber“ oer von der „Herrlichkeit“ des Beters besungen und die Masoreten haben sich jedes Mal für „Herrlichkeit“ entschieden. Dass es auch im Akkadischen stets entweder das Herz oder eben die „Leber“ ist, die sich freut und jubelt (vgl. Dhorme 1922, S. 509f.), spricht aber stark dafür, dass auch im Heb. md. an diesen vier Stellen „Leber“ zu lesen ist. Das Idiom der „jubelnden Leber“ gibt es auch im Gr. und Lat. nicht; LXX und VUL übersetzen daher sicher v.a. vom Verb geleitet mit „meine Zunge“. So und so würde man aber in die LF mit einer allgemeineren Formulierung übersetzen müssen, etwa „Ich kann aus tiefster Seele jubeln“ (NGÜ), „es jubelt mein Gemüt“ (PAT, R-S); „Drum bin ich voll Freude, mein Innerstes jubelt“ (STAD) o.Ä.</w:t>
      </w:r>
    </w:p>
  </w:footnote>
  <w:footnote w:id="780">
    <w:p>
      <w:pPr>
        <w:pStyle w:val="Funote"/>
        <w:rPr/>
      </w:pPr>
      <w:r>
        <w:rPr>
          <w:rStyle w:val="Funotenzeichen"/>
        </w:rPr>
        <w:footnoteRef/>
      </w:r>
      <w:r>
        <w:rPr/>
        <w:tab/>
        <w:t>mein Fleisch wird wohnen in Sicherheit - gemeint ist sehr wahrscheinlich nicht der Zustand des Körpers zwischen Tod und leiblicher Auferstehung nach dem Tode, wie der Vers in der Geschichte seiner Auslegung häufig verstanden worden ist (s. die Anmerkungen), sondern die Zeile bedeutet das selbe wie V. 8b: Ich werde „nicht wanken“, nicht in Gefahr geraten, sondern vielmehr wird im Leben „mein Fleisch“, also ich, „sicher“ sein. Vgl. ähnlich Dtn 33,12.28; Ri 18,7; Ps 4,9; Jer 23,6; 33,16. Besagte alternative Ausdeutung findet sich aber bereits im babylonischen Talmud, wo der Vers daraufhin gedeutet wird, dass der Körper „Davids“ nicht aufgrund von Würmern und Maden verwesen wird (b.B.B. 17a; s. auch den Midrasch: „R. Jizchak hat gesagt: Daraus geht hervor, dass Wurm und Moder über sein Fleisch keine Gewalt gehabt hat.“). Ähnlich auch noch Augustinus: LXX übersetzt statt mit „in Sicherheit“ mit „in Hoffnung“ und Augustinus erklärt: „Mein Fleisch wird nicht zur Zerstörung verderben (=verwesen), sondern in der Hoffnung auf die Auferstehung schlafen.“; ebenso Thomas von Aquin und dann endgültig Bellarmin: „Mein Fleisch schläft im Tode zufrieden und sicher, in gewisser Erwartung einer schnellen Auferstehung“.</w:t>
      </w:r>
    </w:p>
  </w:footnote>
  <w:footnote w:id="781">
    <w:p>
      <w:pPr>
        <w:pStyle w:val="Funote"/>
        <w:rPr/>
      </w:pPr>
      <w:r>
        <w:rPr>
          <w:rStyle w:val="Funotenzeichen"/>
        </w:rPr>
        <w:footnoteRef/>
      </w:r>
      <w:r>
        <w:rPr>
          <w:i/>
        </w:rPr>
        <w:tab/>
        <w:t>Scheol</w:t>
      </w:r>
      <w:r>
        <w:rPr/>
        <w:t xml:space="preserve"> - Der heb. Begriff für das Totenreich, vgl. </w:t>
      </w:r>
      <w:hyperlink r:id="rId88">
        <w:r>
          <w:rPr>
            <w:rStyle w:val="Internetverknpfung"/>
          </w:rPr>
          <w:t>Jenseitsvorstellungen (AT) (WiBiLex)</w:t>
        </w:r>
      </w:hyperlink>
      <w:r>
        <w:rPr/>
        <w:t>. Nicht zu übersetzen mit „Hölle“; die atl. Vorstellung des Scheols und die christliche Vorstellung der Hölle sind sehr unterschiedlich: Anders als letztere ist erstere kein Ort des Schreckens und der Schmerzen, an den nur Sünder kommen, sondern ähnlich wie der Hades ein Un-Ort des Schweigens und Vergessens, zu dem sämtliche Toten hinabsteigen.</w:t>
      </w:r>
    </w:p>
  </w:footnote>
  <w:footnote w:id="782">
    <w:p>
      <w:pPr>
        <w:pStyle w:val="Funote"/>
        <w:rPr/>
      </w:pPr>
      <w:r>
        <w:rPr>
          <w:rStyle w:val="Funotenzeichen"/>
        </w:rPr>
        <w:footnoteRef/>
      </w:r>
      <w:r>
        <w:rPr>
          <w:i/>
        </w:rPr>
        <w:tab/>
        <w:t>wirst nicht erlauben, dass</w:t>
      </w:r>
      <w:r>
        <w:rPr/>
        <w:t xml:space="preserve"> - W. „wirst nicht geben deinen Frommen zu sehen...“; „X geben zu Y (Inf.)“ ist ein heb. Idiom mit der Bed. „X erlauben zu Y“ oder „zulassen, dass X Y“.</w:t>
      </w:r>
    </w:p>
  </w:footnote>
  <w:footnote w:id="783">
    <w:p>
      <w:pPr>
        <w:pStyle w:val="Funote"/>
        <w:rPr/>
      </w:pPr>
      <w:r>
        <w:rPr>
          <w:rStyle w:val="Funotenzeichen"/>
        </w:rPr>
        <w:footnoteRef/>
      </w:r>
      <w:r>
        <w:rPr/>
        <w:tab/>
        <w:t>Textkritik: dein Frommer (deine Frommen) - im urspr. Konsonantentext als Plural geschrieben. Die Masoreten zeigen in ihrer Vokalisierung an, dass Singular zu lesen sei, und so übersetzen auch LXX, VUL, Hier, Syr. So daher auch alle Üss; eine seltene Ausnahme ist z.B. Buttenwieser 1938, S. 502: „Thou wilt not suffer thy faithful servants to see the engulfing pit.“</w:t>
      </w:r>
    </w:p>
  </w:footnote>
  <w:footnote w:id="784">
    <w:p>
      <w:pPr>
        <w:pStyle w:val="Funote"/>
        <w:rPr/>
      </w:pPr>
      <w:r>
        <w:rPr>
          <w:rStyle w:val="Funotenzeichen"/>
        </w:rPr>
        <w:footnoteRef/>
      </w:r>
      <w:r>
        <w:rPr/>
        <w:tab/>
        <w:t>die Grube (die Verwesung) - Wegen der Auslegungsgeschichte des Psalms (s. die Anmerkungen) wurde oft recht heftig diskutiert, ob das Wort für „Grube“ auch „Verwesung“ bedeuten kann oder nicht. Das kann es, daher übersetzen hier so auch LXX, Tg, VUL, Syr, Hier. Eigentlich läuft aber ohnehin beides auf das selbe hinaus: Im atl. Totenkult wurde ein toter Körper zunächst in ein Gemeinschaftsgrab gelegt und dort verwesen gelassen. Nach der Verwesung sammelte man die Knochen ein und gab sie in eine Grube, in der sich auch die Knochen der bereits verblichenen Familienangehörigen befanden (vgl. z.B. Figueras 1984f., S. 46). Von dieser Grube ist hier wohl ursprünglich die Rede; ob mit „Grube“ oder „Verwesung“ zu übersetzen ist, ist also irrelevant: „Du wirst nicht erlauben, dass dein Frommer verwest / die Knochen deines verwesten Frommen in die Grube gegeben werden“ ist letztlich gleichbedeutend: „Du wirst nicht erlauben, dass dein Frommer stirbt“. Wichtig außerdem: Auch nach dem Tod hatte man nach antiker Vorstellung nicht einen bloßen Körper vor sich; erst im Verlaufe der Verwesung wanderte der Tote hinab in die Scheol (vgl. Leuenberger 2012, S. 327). 10a und 10b bedingen sich damit gegenseitig: Verwest jemand nicht, geht er auch nicht über in den Scheol. Will man auch schon 9b als Ausdruck für den Zustand eines Körpers nach dem Tod lesen, sind sogar 10a und 10b Ausfaltungen dieses Verses: „Mein Fleisch wird sicher wohnen“, also nicht zerstört werden, und das heißt dann zum einen, „du wirst meine Seele nicht dem Scheol überlassen“, und das ist möglich weil „du nicht erlauben wirst, dass dein Frommer verwest“.</w:t>
      </w:r>
    </w:p>
  </w:footnote>
  <w:footnote w:id="785">
    <w:p>
      <w:pPr>
        <w:pStyle w:val="Funote"/>
        <w:rPr/>
      </w:pPr>
      <w:r>
        <w:rPr>
          <w:rStyle w:val="Funotenzeichen"/>
        </w:rPr>
        <w:footnoteRef/>
      </w:r>
      <w:r>
        <w:rPr/>
        <w:tab/>
        <w:t>Weg des Lebens (Weg zum Leben) - gelegentlich interpretiert als „Weg zum Leben“, nämlich aus dem Tode: Die Auferstehung (so schon Kimchi). Gemeint ist mit dem „Weg des Lebens“ aber ursprünglich sicher ein innerweltlicher Weg: Wer auf dem von Gott gewiesenen Weg geht, indem er sich an seine Weisung hält, wird recht und in Sicherheit wandeln und insofern ist dieser Weg dem Tod entgegengesetzt. S. bes. Spr 12,28; auch Spr 2,18f.; 5,5f.; 15,9f.; ähnlich 10,17; Ps 1. Zeilen 2 und 3 schildern dann Charakteristika dieses „Wegs des Lebens“ (richtig Thomas von Aquin: commemorat beneficium, „er erinnert an die Vorteile“; Liess 2004, S. 91: „V. 11a formuliert mit der zentralen Wendung [Weg des Lebens] den Leitgedanken, der in den beiden folgenden Kola entfaltet wird.“); gut daher nur mit Doppelpunkt und ohne „[ist]“ in Zz. 2 und 3 in ZÜR 1931. Schön wieder FENZ: „Den Weg des Lebens zeigst du mir: / zum Fest vor deinem Angesichte, / am Quell der Freuden und der Wonnen, / zu deiner Rechten ohne Ende.“ Die meisten Üss. sehen allerdings Zz. 2.3 als eigenständige Sätze.</w:t>
      </w:r>
    </w:p>
  </w:footnote>
  <w:footnote w:id="786">
    <w:p>
      <w:pPr>
        <w:pStyle w:val="Funote"/>
        <w:rPr/>
      </w:pPr>
      <w:r>
        <w:rPr>
          <w:rStyle w:val="Funotenzeichen"/>
        </w:rPr>
        <w:footnoteRef/>
      </w:r>
      <w:r>
        <w:rPr/>
        <w:tab/>
        <w:t>Man beachte, wie hier V. 8 wieder aufgegriffen wird: Der Beter hält sich JHWH „beständig vor Augen“ und „hat JHWH zu seiner Rechten“. Dem korrespondieren die „Fülle der Freuden bei JHWHs Angesicht“ und die „Annehmlichkeiten in JHWHs Rechten“.</w:t>
      </w:r>
    </w:p>
  </w:footnote>
  <w:footnote w:id="787">
    <w:p>
      <w:pPr>
        <w:pStyle w:val="Funote"/>
        <w:rPr/>
      </w:pPr>
      <w:r>
        <w:rPr>
          <w:rStyle w:val="Funotenzeichen"/>
        </w:rPr>
        <w:footnoteRef/>
      </w:r>
      <w:r>
        <w:rPr/>
        <w:tab/>
        <w:t>JHWH</w:t>
      </w:r>
    </w:p>
  </w:footnote>
  <w:footnote w:id="788">
    <w:p>
      <w:pPr>
        <w:pStyle w:val="Funote"/>
        <w:rPr/>
      </w:pPr>
      <w:r>
        <w:rPr>
          <w:rStyle w:val="Funotenzeichen"/>
        </w:rPr>
        <w:footnoteRef/>
      </w:r>
      <w:r>
        <w:rPr/>
        <w:tab/>
        <w:t>200px</w:t>
      </w:r>
    </w:p>
  </w:footnote>
  <w:footnote w:id="789">
    <w:p>
      <w:pPr>
        <w:pStyle w:val="Funote"/>
        <w:rPr/>
      </w:pPr>
      <w:r>
        <w:rPr>
          <w:rStyle w:val="Funotenzeichen"/>
        </w:rPr>
        <w:footnoteRef/>
      </w:r>
      <w:r>
        <w:rPr/>
        <w:tab/>
        <w:t>200px</w:t>
      </w:r>
    </w:p>
  </w:footnote>
  <w:footnote w:id="790">
    <w:p>
      <w:pPr>
        <w:pStyle w:val="Funote"/>
        <w:rPr/>
      </w:pPr>
      <w:r>
        <w:rPr>
          <w:rStyle w:val="Funotenzeichen"/>
        </w:rPr>
        <w:footnoteRef/>
      </w:r>
      <w:r>
        <w:rPr/>
        <w:tab/>
        <w:t>[Status: Zuverlässig]</w:t>
      </w:r>
    </w:p>
  </w:footnote>
  <w:footnote w:id="791">
    <w:p>
      <w:pPr>
        <w:pStyle w:val="Funote"/>
        <w:rPr/>
      </w:pPr>
      <w:r>
        <w:rPr>
          <w:rStyle w:val="Funotenzeichen"/>
        </w:rPr>
        <w:footnoteRef/>
      </w:r>
      <w:r>
        <w:rPr/>
        <w:tab/>
        <w:t>Textkritik: LXX hat „meine Gerechtigkeit“; so daher auch viele Exegeten. Doch ist dies sicher nur eine auslegende Übersetzung. Gemeint ist natürlich „meine“ Gerechtigkeit, doch hier wird JHWH allgemein aufgefordert, auf „Gerechtes“ zu lauschen. V. 1 bildet so eine kleine Inclusio mit V. 2: JHWH soll „Gerechtigkeit hören“ – und Gerechtigkeit spricht aus dem Mund des Beters, weil sein Beten geäußert wird von „Nicht-Trug-Lippen“ – und er soll „Aufrichtigkeit sehen“, nämlich wieder die des Beters, die JHWH erkennen würde, wenn er ihn denn prüfte (V. 3). „Gesehen werden“ soll gerade jene Aufrichtigkeit, die „nicht über meine Lippen kommen dürfte“ (V. 3); das „Hören“ in V. 1 bezieht sich also auf die Aufrichtigkeit des Beters im Beten, das „Schauen“ auf die unhörbare Aufrichtigkeit des Beters im Denken.</w:t>
      </w:r>
    </w:p>
  </w:footnote>
  <w:footnote w:id="792">
    <w:p>
      <w:pPr>
        <w:pStyle w:val="Funote"/>
        <w:rPr/>
      </w:pPr>
      <w:r>
        <w:rPr>
          <w:rStyle w:val="Funotenzeichen"/>
        </w:rPr>
        <w:footnoteRef/>
      </w:r>
      <w:r>
        <w:rPr>
          <w:i/>
        </w:rPr>
        <w:tab/>
        <w:t>mein Recht ausgehen</w:t>
      </w:r>
      <w:r>
        <w:rPr/>
        <w:t xml:space="preserve"> - d.h. vor deinem Richterstuhl möge mir Gerechtigkeit widerfahren. Das heb. Verb kann auch „aufgehen“, „aufstrahlen“ bedeuten und wird oft von der Sonne gesagt, was gut zur Rechtfertigung am </w:t>
      </w:r>
      <w:r>
        <w:rPr>
          <w:i/>
        </w:rPr>
        <w:t>Morgen</w:t>
      </w:r>
      <w:r>
        <w:rPr/>
        <w:t xml:space="preserve"> in V. 15 passt (s. dort). </w:t>
      </w:r>
    </w:p>
  </w:footnote>
  <w:footnote w:id="793">
    <w:p>
      <w:pPr>
        <w:pStyle w:val="Funote"/>
        <w:rPr/>
      </w:pPr>
      <w:r>
        <w:rPr>
          <w:rStyle w:val="Funotenzeichen"/>
        </w:rPr>
        <w:footnoteRef/>
      </w:r>
      <w:r>
        <w:rPr/>
        <w:tab/>
        <w:t>[mich (es)] - Objekt der Prüfung könnte hier entweder wieder das „Herz“ sein oder allgemein „ich“. Tg und Syr übersetzen einheitlich mit „ich“, was nicht im MT steht; vielleicht ist also sogar von Schreibern wegen der Buchstabengleichheit von „ich“ und dem Beginn von „bei Nacht“ das „ich“ übersehen worden: pqdt [lj] ljlh.</w:t>
      </w:r>
    </w:p>
  </w:footnote>
  <w:footnote w:id="794">
    <w:p>
      <w:pPr>
        <w:pStyle w:val="Funote"/>
        <w:rPr/>
      </w:pPr>
      <w:r>
        <w:rPr>
          <w:rStyle w:val="Funotenzeichen"/>
        </w:rPr>
        <w:footnoteRef/>
      </w:r>
      <w:r>
        <w:rPr/>
        <w:tab/>
        <w:t>[selbst] - Fokuspartikeln wie „selbst“ werden im Heb. häufig auch dort nicht gesetzt, wo das Deutsche sie setzen muss. So wohl auch hier; der Gedanke ist vermutlich: Selbst Nachts, wenn ich am wenigsten auf eine Durchsuchung meiner Selbst vorbereitet bin, wirst du nichts finden (Schegg 1845, S. 166: „Denn du hast mein Herz geprüft, überrascht bei Nacht“).</w:t>
      </w:r>
    </w:p>
  </w:footnote>
  <w:footnote w:id="795">
    <w:p>
      <w:pPr>
        <w:pStyle w:val="Funote"/>
        <w:rPr/>
      </w:pPr>
      <w:r>
        <w:rPr>
          <w:rStyle w:val="Funotenzeichen"/>
        </w:rPr>
        <w:footnoteRef/>
      </w:r>
      <w:r>
        <w:rPr/>
        <w:tab/>
        <w:t>probtest - W. „läutertest“; der Psalmist verwendet (wie z.B. auch Ijob 23,10) das Bild der Läuterprobe aus der Metallurgie, mit der durch das Schmelzen von Edelmetallen Beimengungen von anderen Stoffen gefunden und ausgeschieden werden können (NGÜ: „Du hast mich 'wie Metall im Feuer' geläutert“; StierPs: „schmelze mich aus!“). Der Fremdkörper, der in diesem Fall nicht gefunden wird, ist die „Schandtat“.Trikolon mit Klimax: Die drei Tests in V. 3 werden immer intensiver: Testen – bei Nacht prüfen – Läuterprobe durchführen.</w:t>
      </w:r>
    </w:p>
  </w:footnote>
  <w:footnote w:id="796">
    <w:p>
      <w:pPr>
        <w:pStyle w:val="Funote"/>
        <w:rPr/>
      </w:pPr>
      <w:r>
        <w:rPr>
          <w:rStyle w:val="Funotenzeichen"/>
        </w:rPr>
        <w:footnoteRef/>
      </w:r>
      <w:r>
        <w:rPr/>
        <w:tab/>
        <w:t>Textkritik: Ränke an mir (Plan, Schandtat, ich habe geplant) - Beide Alternativen wären mit den selben Konsonanten geschrieben worden (zimati vs. zamoti); MT und die meisten dt. Üss. deuten als Variante 2, die meisten alten Üss. aber wie wir als Variante 1.</w:t>
      </w:r>
    </w:p>
  </w:footnote>
  <w:footnote w:id="797">
    <w:p>
      <w:pPr>
        <w:pStyle w:val="Funote"/>
        <w:rPr/>
      </w:pPr>
      <w:r>
        <w:rPr>
          <w:rStyle w:val="Funotenzeichen"/>
        </w:rPr>
        <w:footnoteRef/>
      </w:r>
      <w:r>
        <w:rPr/>
        <w:tab/>
        <w:t>[die] nicht meinen Mund überschreiten dürfte - so gut als Relativsatz aufgelöst von Ehrlich 1905; Zorell 1928; R-S. Im Heb. sind die beiden Zeilen ganz parallel gebaut, was sich schwer ins Dt. übertragen lässt: „Nicht findest du Schandtat von mir, / nicht durfte [sie] überschreiten den Mund von mir.“Die meisten dt. Üss. lösen auf verschiedenste Weisen anders auf. W. übersetzt lautet MT: „nicht(s) wirst/sollst du finden ich habe geplant/mein Planen nicht(s) wird/soll überschreiten mein(en) Mund V. 4 Taten von Menschen“, was sich dann konstruieren lässt als: * Du wirst nichts finden; mein Planen wird nicht meinen Mund überschreiten, d.h. selbst, wenn ich Böses denke, kommt es mir nicht über die Lippen. (Delitzsch 1894; ALB) * Du wirst nichts finden; mein Planen wird nicht mein Mund überschreiten, d.h. ich denke nicht dies, spreche aber dann das. (Vaihinger 1856; ELB, GN, NeÜ) * Du wirst nichts finden; mein Planen soll nicht mein Mund überschreiten, d.h. ich will nicht unbedacht reden (BigS) * Du wirst nichts finden. Ich habe geplant: „Nichts [Böses] soll mir über die Lippen kommen.“ (deClaissé-Walford/Jacobson/Tanner 2014; EÜ16, LUT17 u.a.) * ... Mein Mund läuft nicht über bei dem Tun der Menschen (Kraus 1961; PAT) Die Übersetzung „Nie hat sich vergangen mein Mund“ (z.B. EÜ, H-R, ZÜR) schließlich geht fälschlicherweise davon aus, dass „überschreiten“ auch das Übertreten von Gesetzen meinen könne.</w:t>
      </w:r>
    </w:p>
  </w:footnote>
  <w:footnote w:id="798">
    <w:p>
      <w:pPr>
        <w:pStyle w:val="Funote"/>
        <w:rPr/>
      </w:pPr>
      <w:r>
        <w:rPr>
          <w:rStyle w:val="Funotenzeichen"/>
        </w:rPr>
        <w:footnoteRef/>
      </w:r>
      <w:r>
        <w:rPr/>
        <w:tab/>
        <w:t>Z. 1 aufgelöst in Anlehnung an Köster 1837 („So oft die Menschen thun wider deiner Lippen Wort“, S. 40; auch Calvin berichtet, gelegentlich auf diese Auflösung gestoßen zu sein). Obwohl sie sich so selten findet, ist sie recht wahrscheinlich richtig: Nach den Wortsünden (V. 1) und den Gedankensünden (Vv. 2-3) werden nun in Vv. 4-5 noch die Tatsünden zurückgewiesen. Der Beter ist völlig unschuldig.Die meisten Üss. und Exegeten ziehen den Beginn der Zeile entweder zu V. 3 („Mein Mund quillt nicht über beim Tun des Menschen“) oder teilen noch häufiger diese Zeile auf in zwei Gliedsätze („Was das Tun des Menschen angeht: Beim Wort deiner Lippen...“, was dann aber schwerlich „gemäß dem Wort deiner Lippen“ hieße, wofür kidbar statt bidbar verwendet würde (so korrigieren den Text daher Bonkamp 1949 und Leveen 1961, S. 48).).Theoretisch möglich wäre allerdings die Auflösung „Was die Taten ders Menschen angeht: Durch das Wort deiner Lippen habe ich die Wege des Gebots geachtet“ (so BigS). Calvin kommentiert: „Suchen wir nach einer guten Richtlinie für unser Verhalten, wenn unsere Feinde uns dazu provozieren, ihnen Gleiches mit Gleichem zu vergelten, lasst uns am Beispiel des David lernen, über das Wort Gottes nachzudenken und unsere Augen darauf gerichtet zu halten! So nämlich wird unser Geist davon abgehalten, geblendet zu werden, und wir werden stets den Weg der Frevler meiden können, da Gott durch seine Gebote nicht nur unsere Affekte bändigt, sondern durch seine Versprechungen auch unsere Geduld befeuert.“ (Calvin 1845, S. 240).</w:t>
      </w:r>
    </w:p>
  </w:footnote>
  <w:footnote w:id="799">
    <w:p>
      <w:pPr>
        <w:pStyle w:val="Funote"/>
        <w:rPr/>
      </w:pPr>
      <w:r>
        <w:rPr>
          <w:rStyle w:val="Funotenzeichen"/>
        </w:rPr>
        <w:footnoteRef/>
      </w:r>
      <w:r>
        <w:rPr/>
        <w:tab/>
        <w:t>tFN: Gebots (Gewalttätigen) - W. auf den ersten Blick „Ich habe geachtet die Wege des Gewalttätigen“, was dann oft erläutert wird als „achten, [um nicht darauf zu geraten]“. Doch dafür würde im Heb. nicht schamar („achten“), sondern schamar min („sich in Acht nehmen vor“) verwendet. Besser sollte man daher in Orientierung an arab. faraḍa („gebieten“) davon ausgehen, dass neben parits („Gewalttätiger“, von parats „überschreiten“) ein gleichlautendes Wort parits II („Gebot“, von parats II „gebieten“, das sich wohl auch in 1 Chr 13,2 und 2 Chr 31,5 findet, vgl. Kissane 1928, S. 90) existiert. Dieses Wort ist nicht allgemein anerkannt (und findet sich daher in DCH VI, S. 769; ZLH S. 668, nicht aber in Ges18 und KBL3), wird aber an unserer Stelle von vielen Exegeten und einigen dt. Üss. (EÜ (nicht mehr EÜ16), GUAR, H-R, HER05, PAT, StierPs) vertreten.</w:t>
      </w:r>
    </w:p>
  </w:footnote>
  <w:footnote w:id="800">
    <w:p>
      <w:pPr>
        <w:pStyle w:val="Funote"/>
        <w:rPr/>
      </w:pPr>
      <w:r>
        <w:rPr>
          <w:rStyle w:val="Funotenzeichen"/>
        </w:rPr>
        <w:footnoteRef/>
      </w:r>
      <w:r>
        <w:rPr>
          <w:i/>
        </w:rPr>
        <w:tab/>
        <w:t>Wege des Gebots</w:t>
      </w:r>
      <w:r>
        <w:rPr/>
        <w:t xml:space="preserve">, </w:t>
      </w:r>
      <w:r>
        <w:rPr>
          <w:i/>
        </w:rPr>
        <w:t>meine Schritte</w:t>
      </w:r>
      <w:r>
        <w:rPr/>
        <w:t xml:space="preserve">, </w:t>
      </w:r>
      <w:r>
        <w:rPr>
          <w:i/>
        </w:rPr>
        <w:t>deine Spuren</w:t>
      </w:r>
      <w:r>
        <w:rPr/>
        <w:t xml:space="preserve">, </w:t>
      </w:r>
      <w:r>
        <w:rPr>
          <w:i/>
        </w:rPr>
        <w:t>meine Tritte</w:t>
      </w:r>
      <w:r>
        <w:rPr/>
        <w:t xml:space="preserve"> - Der Psalmist greift hier zurück auf die häufige Metapher des „rechten Weges“: Indem Gott den Menschen seine Gebote gab, wies er ihnen einen „Weg“. Beschreitet man diesen, ist man auf dem „rechten Weg“ und wird dafür von Gott gesegnet sein (s. z.B. </w:t>
      </w:r>
      <w:r>
        <w:fldChar w:fldCharType="begin"/>
      </w:r>
      <w:r>
        <w:rPr>
          <w:rStyle w:val="Internetverknpfung"/>
        </w:rPr>
        <w:instrText> HYPERLINK "../../../../../../../../../wiki/Sprichw%C3%B6rter_2" \l "s18"</w:instrText>
      </w:r>
      <w:r>
        <w:rPr>
          <w:rStyle w:val="Internetverknpfung"/>
        </w:rPr>
        <w:fldChar w:fldCharType="separate"/>
      </w:r>
      <w:r>
        <w:rPr>
          <w:rStyle w:val="Internetverknpfung"/>
        </w:rPr>
        <w:t>Spr 2,18f.</w:t>
      </w:r>
      <w:r>
        <w:rPr>
          <w:rStyle w:val="Internetverknpfung"/>
        </w:rPr>
        <w:fldChar w:fldCharType="end"/>
      </w:r>
      <w:r>
        <w:rPr/>
        <w:t xml:space="preserve">; </w:t>
      </w:r>
      <w:hyperlink r:id="rId89">
        <w:r>
          <w:rPr>
            <w:rStyle w:val="Internetverknpfung"/>
          </w:rPr>
          <w:t>5,5f.</w:t>
        </w:r>
      </w:hyperlink>
      <w:r>
        <w:rPr/>
        <w:t xml:space="preserve">; </w:t>
      </w:r>
      <w:r>
        <w:fldChar w:fldCharType="begin"/>
      </w:r>
      <w:r>
        <w:rPr>
          <w:rStyle w:val="Internetverknpfung"/>
        </w:rPr>
        <w:instrText> HYPERLINK "../../../../../../../../../wiki/Sprichw%C3%B6rter_12" \l "s28"</w:instrText>
      </w:r>
      <w:r>
        <w:rPr>
          <w:rStyle w:val="Internetverknpfung"/>
        </w:rPr>
        <w:fldChar w:fldCharType="separate"/>
      </w:r>
      <w:r>
        <w:rPr>
          <w:rStyle w:val="Internetverknpfung"/>
        </w:rPr>
        <w:t>12,28</w:t>
      </w:r>
      <w:r>
        <w:rPr>
          <w:rStyle w:val="Internetverknpfung"/>
        </w:rPr>
        <w:fldChar w:fldCharType="end"/>
      </w:r>
      <w:r>
        <w:rPr/>
        <w:t xml:space="preserve">; </w:t>
      </w:r>
      <w:hyperlink r:id="rId90">
        <w:r>
          <w:rPr>
            <w:rStyle w:val="Internetverknpfung"/>
          </w:rPr>
          <w:t>15,9f.</w:t>
        </w:r>
      </w:hyperlink>
      <w:r>
        <w:rPr/>
        <w:t>); „der Frevler Weg jedoch vergeht“ (</w:t>
      </w:r>
      <w:r>
        <w:fldChar w:fldCharType="begin"/>
      </w:r>
      <w:r>
        <w:rPr>
          <w:rStyle w:val="Internetverknpfung"/>
        </w:rPr>
        <w:instrText> HYPERLINK "../../../../../../../../../wiki/Psalm_1" \l "s6"</w:instrText>
      </w:r>
      <w:r>
        <w:rPr>
          <w:rStyle w:val="Internetverknpfung"/>
        </w:rPr>
        <w:fldChar w:fldCharType="separate"/>
      </w:r>
      <w:r>
        <w:rPr>
          <w:rStyle w:val="Internetverknpfung"/>
        </w:rPr>
        <w:t>Ps 1,6</w:t>
      </w:r>
      <w:r>
        <w:rPr>
          <w:rStyle w:val="Internetverknpfung"/>
        </w:rPr>
        <w:fldChar w:fldCharType="end"/>
      </w:r>
      <w:r>
        <w:rPr/>
        <w:t>).</w:t>
      </w:r>
    </w:p>
  </w:footnote>
  <w:footnote w:id="801">
    <w:p>
      <w:pPr>
        <w:pStyle w:val="Funote"/>
        <w:rPr/>
      </w:pPr>
      <w:r>
        <w:rPr>
          <w:rStyle w:val="Funotenzeichen"/>
        </w:rPr>
        <w:footnoteRef/>
      </w:r>
      <w:r>
        <w:rPr/>
        <w:tab/>
        <w:t>Textkritik: MT hat hapleh („scheide/erweise“), so auch Tg. Einige MT-Handschriften aber haben haple´ („Wirke wunderbar“), was durch LXX, Syr, VUL und Hier gestützt wird. Die Fügung palah chesed findet sich sonst nicht mehr in der Bibel (allerdings das ähnliche palah chasid, „er hat geschieden seinen Frommen“ in Ps 4,4, wo aber ebenfalls pala´ zu lesen ist), pala´ chesed aber in Ps 31,22 und beide Wörter in engem Zhg. auch in Ps 106,7 und 107,8.15.21.31. Syr hat darüber hinaus offenbar sogar an Ps 4,4 gedacht und statt chesed chasid übersetzt, dennoch aber nicht palah, sondern pala´. Etwas wahrscheinlicher ist daher „wirke wunderbar“; letztlich trägt es sich aber nicht wesentlich auf die Bedeutung des Textes aus.</w:t>
      </w:r>
    </w:p>
  </w:footnote>
  <w:footnote w:id="802">
    <w:p>
      <w:pPr>
        <w:pStyle w:val="Funote"/>
        <w:rPr/>
      </w:pPr>
      <w:r>
        <w:rPr>
          <w:rStyle w:val="Funotenzeichen"/>
        </w:rPr>
        <w:footnoteRef/>
      </w:r>
      <w:r>
        <w:rPr/>
        <w:tab/>
        <w:t>Textkritik: [zu dir] steht nicht in MT, Tg, Hier, aber in LXX, Syr, VUL, Saadja. Houbigant 1777 und BHS erachten es daher als ursprünglich, doch ist es wohl eher Angleichung an „deine Huld“ und „deine Hand“.</w:t>
      </w:r>
    </w:p>
  </w:footnote>
  <w:footnote w:id="803">
    <w:p>
      <w:pPr>
        <w:pStyle w:val="Funote"/>
        <w:rPr/>
      </w:pPr>
      <w:r>
        <w:rPr>
          <w:rStyle w:val="Funotenzeichen"/>
        </w:rPr>
        <w:footnoteRef/>
      </w:r>
      <w:r>
        <w:rPr/>
        <w:tab/>
        <w:t>wider deine rechte Hand - der ungewöhnliche Ausdruck (für gewöhnlich erhebt man sich nicht gegen Hände, sondern gegen Menschen und Götter) soll wohl die Formulierung der ausgleichenden Gerechtigkeit in Vv. 13f. vorbereiten, wo Gott sich erheben und seine Hand als Waffe gegen Menschen einsetzen soll: Diese sind „sich Erhebende gegen seine rechte Hand“; sie haben es also geradezu herausgefordert.Weil der Ausdruck so ungewöhnlich ist, haben andere vorgeschlagen, dass die letzte Phrase nicht auf die „sich Erhebenden“ zu beziehen sei, sondern auf die „sich Flüchtenden“ („die sich zu deiner rechten Hand flüchten“), was noch recht ungezwungen möglich ist (z.B. HER05, EÜ 16, SLT), auf „[oh] Retter“ („oh Retter durch deine rechte Hand“; so z.B. TAF) oder gar auf „Wirke wunderbar deine Huld“ („... mit deiner rechten Hand“; so offenbar B-R). Mosca 2011 hat sogar vorgeschlagen, dass die Phrase bewusst ans Ende des Verses gestellt wurde, um sich gleichzeitig in der Tat auf all diese Phrasen beziehen zu können:„Erweise deine Huld mit,[oh] Retter durch,von sich Flüchtenden zu,vor sich Erhebenden gegendein(e) rechte(n) Hand!“</w:t>
      </w:r>
    </w:p>
  </w:footnote>
  <w:footnote w:id="804">
    <w:p>
      <w:pPr>
        <w:pStyle w:val="Funote"/>
        <w:rPr/>
      </w:pPr>
      <w:r>
        <w:rPr>
          <w:rStyle w:val="Funotenzeichen"/>
        </w:rPr>
        <w:footnoteRef/>
      </w:r>
      <w:r>
        <w:rPr/>
        <w:tab/>
        <w:t>ein Augenmännlein (die Pupille) des Augenmädchens (, die Pupille) - Zwei (auch: in vielen Sprachen, z.B. Lat: pupus und pupilla) verbreitete Umschreibungen der Pupille folgen hier aufeinander. Die erste ist w. „das Männchen“, die zweite w. „die Tochter des Auges“. Entweder steht die „Tochter des Auges“ in Apposition zum „Männchen“ (also: „das Männchen, [d.h.] die Tochter des Auges“) oder in einem Constructus-verhältnis mit ihm (also der heb. Entsprechung des Genitivs: „das Männchen der Tochter des Auges“). Alle uns zugänglichen Auslegungen deuten als Apposition, aber es ist doch zu fragen, was der Mehrwert dieser Apposition sein soll, wenn doch beide Glieder sonst stets alleine stehen („Männchen (des Auges)“: Dnt 32,15; Spr 7,2; Sir 3,25; 17,22; „Tochter des Auges“: Klg 2,18; Sach 2,12). Vielleicht findet sich hier also ein schönes Bild: Die beiden Bezeichnungen rühren wohl daher, dass man sich als kleines „Männchen“ in der Pupille des Anderen spiegelt, wenn man ihm in die Augen sieht (Kimchi: „Es heißt ´ischon, weil man darin das Bild eines Menschen sieht.“). Dies war bereits in der Antike auffällig, vgl. Platon, Alkibiades 132e-133a („Hast du beobachtet, dass von dem, der in ein Auge blickt, das Gesicht im Auge gegenüber erscheint wie in einem Spiegel – wir nennen dies Pupille...?“); Plinius, Naturalis Historia XI 53 („So sehr gleicht das Auge einem Spiegel, dass, so klein die Pupille auch ist, sie das ganze Bild eines Menschen widergibt. Dies ist der Grund, warum die meisten Vögel in den Händen von Menschen am ehesten nach den Augen picken, weil sie ihr Bild in ihnen erkennen.“; Stellen nach Hunziker-Rodewald 2009b, S. 138). Hierauf spielt wohl das „Behüten wie jmds Augenmännlein/-mädchen“ (Dtn 32,15; Spr 7,2; Sir 17,22; ähnlich Sach 2,12) an: Nicht, dass man jmdn/etw. so behüten soll wie etwas sehr Verletzliches (Thomas von Aquin: „Die Pupille des Auges wird mit Sorgfalt bewacht, weil nichts, das sie verletzten könnte, erlaubt ist, sich ihr zu nähern.“), sondern so aufmerksam, dass man ihm mit dem Gesicht so nahe ist, dass der/das Behütete sich im Auge des Hüteres widerspiegelt (ebd., S. 140: „Garde-moi comme [...] une image pupilline!“). Deuten wir, weil wie gesagt der Mehrwert der Apposition „wie ein Männchen, eine Tochter des Auges“ nicht einzusehen ist, die Fügung als Constructus-verbindung, geht diese Abwandlung des Bildes vielleicht sogar noch einen Schritt weiter: Gott soll den Beter nicht nur so sehr behüten, dass sich dessen Bild in seinen Augen widerspiegelt, sondern sogar so sehr, dass dieses Spiegelbild sozusagen der „Angetraute“ seiner Pupille ist: „Lass mich das Augenmännlein deines Augenmädchens sein!“, „Erbaue meinem Bild ein Heim in deinem Auge!“</w:t>
      </w:r>
    </w:p>
  </w:footnote>
  <w:footnote w:id="805">
    <w:p>
      <w:pPr>
        <w:pStyle w:val="Funote"/>
        <w:rPr/>
      </w:pPr>
      <w:r>
        <w:rPr>
          <w:rStyle w:val="Funotenzeichen"/>
        </w:rPr>
        <w:footnoteRef/>
      </w:r>
      <w:r>
        <w:rPr/>
        <w:tab/>
        <w:t>mini|x200px|rechts|Köng Chephren wird schützend von einem Horusfalken beschattet. (c) IPIAO I 120Eine weitere schöne Kompositmetapher. Sowohl der „Schatten“ als auch die „Flügel“ allein können als Metaphern für das schützende und heilsame Handeln Gottes stehen (s. Ps 121,5f und Ps 61,5; 91,4). Im Ausdruck „Schatten der Flügel“ (hier; Ps 36,8; 57,2; 63,8) werden beide Bilder kombiniert. Übrigens legt Ps 91,4 nahe, dass bei diesem Bild weniger an einen Adler oder Falken zu denken ist, der schützend über jemandem schwebt (wie öfter in Ägypten, s. rechts und vgl. entfernt Jes 31,5, wo jedoch Vögelchen fliegen und nicht Adlern beschirmen), sondern an eine Henne, die ihre Küken unter ihren Flügeln birgt (s. Mt 23,37).Eine schöne geistliche Auslegung stammt von Thomas von Aquin: „Die beiden Flügel sind die beiden Arme, die Christus am Kreuz ausbreitete, s. Dtn 32: ‚Er breitete seine Flügel aus, nahm sie auf und trug sie auf seinen Schultern‘.“</w:t>
      </w:r>
    </w:p>
  </w:footnote>
  <w:footnote w:id="806">
    <w:p>
      <w:pPr>
        <w:pStyle w:val="Funote"/>
        <w:rPr/>
      </w:pPr>
      <w:r>
        <w:rPr>
          <w:rStyle w:val="Funotenzeichen"/>
        </w:rPr>
        <w:footnoteRef/>
      </w:r>
      <w:r>
        <w:rPr/>
        <w:tab/>
        <w:t>{wollen} - T-Shift: Heb. Stilmittel, das sich nicht ins Dt. übersetzen lässt. In Z. 1 wird das „Tempus“ Qatal verwendet, in Z. 2 dagegen Yiqtol, womit für gewöhnlich die Zukunft oder Modalität markiert wird. Hier ist der Tempuswechsel aber bedeutungslos und rein stilistisch.</w:t>
      </w:r>
    </w:p>
  </w:footnote>
  <w:footnote w:id="807">
    <w:p>
      <w:pPr>
        <w:pStyle w:val="Funote"/>
        <w:rPr/>
      </w:pPr>
      <w:r>
        <w:rPr>
          <w:rStyle w:val="Funotenzeichen"/>
        </w:rPr>
        <w:footnoteRef/>
      </w:r>
      <w:r>
        <w:rPr/>
        <w:tab/>
        <w:t>Textkritik: [Mit] Fett verschließen sie [ihr Herz] - Heb. chlbmw sgrw, „Ihr Fett verschließen sie“, weshalb einige jüdische Ausleger den „Mund“ aus Z. 2 noch zu Z. 1 ziehen: „Mit Fett verschließen sie ihren Mund [so dass sie nur noch stolz daherreden können]“. Lies aber besser mit vielen Exegeten und allen dt. Üss. in Orientierung an Ps 119,70 (vgl. auch Jes 6,10) und an 1 Joh 3,17 chlb lbmw sgrw.Fett zu sein ist in der Bibel häufig sehr negativ konnotiert: „Fette Menschen“ glauben, Gott nicht mehr nötig zu haben, und wenden sich anderen Göttern zu (Dtn 31,20; 31,15; Ijob 15,25-27; Hos 13,6) oder sind allgemein bösartig (Ps 119,70; Jer 5,28) und hybrid (Ps 73,6-8), was auch hier aus Z. 2 spricht. Frei und sehr richtig FENZ: „Steine in der Brust statt Herzen / und den blanken Hohn im Munde...“</w:t>
      </w:r>
    </w:p>
  </w:footnote>
  <w:footnote w:id="808">
    <w:p>
      <w:pPr>
        <w:pStyle w:val="Funote"/>
        <w:rPr/>
      </w:pPr>
      <w:r>
        <w:rPr>
          <w:rStyle w:val="Funotenzeichen"/>
        </w:rPr>
        <w:footnoteRef/>
      </w:r>
      <w:r>
        <w:rPr>
          <w:i/>
        </w:rPr>
        <w:tab/>
        <w:t>ihrem Mund</w:t>
      </w:r>
      <w:r>
        <w:rPr/>
        <w:t xml:space="preserve"> - Wortspiel: „ihr Mund“ ist im Heb. </w:t>
      </w:r>
      <w:r>
        <w:rPr>
          <w:i/>
        </w:rPr>
        <w:t>pimo</w:t>
      </w:r>
      <w:r>
        <w:rPr/>
        <w:t xml:space="preserve"> und klingt damit sehr ähnlich wie das Wort für „Speck“, </w:t>
      </w:r>
      <w:r>
        <w:rPr>
          <w:i/>
        </w:rPr>
        <w:t>pimah</w:t>
      </w:r>
      <w:r>
        <w:rPr/>
        <w:t xml:space="preserve"> (s. </w:t>
      </w:r>
      <w:hyperlink r:id="rId91">
        <w:r>
          <w:rPr>
            <w:rStyle w:val="Internetverknpfung"/>
          </w:rPr>
          <w:t>Ijob 15,27</w:t>
        </w:r>
      </w:hyperlink>
      <w:r>
        <w:rPr/>
        <w:t>).</w:t>
      </w:r>
    </w:p>
  </w:footnote>
  <w:footnote w:id="809">
    <w:p>
      <w:pPr>
        <w:pStyle w:val="Funote"/>
        <w:rPr/>
      </w:pPr>
      <w:r>
        <w:rPr>
          <w:rStyle w:val="Funotenzeichen"/>
        </w:rPr>
        <w:footnoteRef/>
      </w:r>
      <w:r>
        <w:rPr/>
        <w:tab/>
        <w:t>Textkritik: Sie verfolgen mich (unsere Schritte, sie warfen mich hinaus, sie tadelten mich) - MT hat ´aschurenu („unsere Schritte“); ähnlich Tg. Eine MT-Handschrift hat aber ´aschruni; Syr, Sym („sie priesen mich“) und Hier („sie marschierten wider mich“) lasen ´ischruni, 11QPsc, LXX und VUL („sie warfen mich hinaus“) ´aschduni; dass das ursprüngliche Wort auf -uni endete, ist also recht sicher. ´aschduni wäre aramäisch; vorzuziehen ist daher klar ´ischruni (vgl. ähnlich Jes 1,17). So auch BB, GN, NL, ZÜR; die meisten Üss. folgen aber MT („Auf Schritt und Tritt haben sie mich umzingelt“).</w:t>
      </w:r>
    </w:p>
  </w:footnote>
  <w:footnote w:id="810">
    <w:p>
      <w:pPr>
        <w:pStyle w:val="Funote"/>
        <w:rPr/>
      </w:pPr>
      <w:r>
        <w:rPr>
          <w:rStyle w:val="Funotenzeichen"/>
        </w:rPr>
        <w:footnoteRef/>
      </w:r>
      <w:r>
        <w:rPr/>
        <w:tab/>
        <w:t>Textkritik: Sie sinnen gegen mich (sein Aussehen ist wie das eines) - Heb. dimjono („Sein Aussehen“). Lies wohl mit BHS; Graetz 1893, S. 28; Nötscher 1959, S. 40 und ähnlich Driver 1942, S. 152 dimmuni, „sie sinnen gegen mich“ (vgl. 2 Sam 21,5). Das Wort im MT findet sich nur noch in Sir 3,24 („Einbildung“) und 1QM 6,13 („Aussehen“); wird hier aber i.d.R. für ein Synonym von demut („Ähnlichkeit“) gehalten. Dass ein Wort bei drei Belegen drei verschiedene Bedeutungen haben soll, muss ohnehin misstrauisch machen; misstrauisch macht außerdem, dass LXX, Syr und VUL ein Verb lasen (LXX und VUL: auf -uni) und Tg nicht dimjon widergibt, sd. gerade dessen hypothetisches Synonym demut. Misstrauisch macht auch der Numeruswechsel vom Plural „sie“ und „ihre“ in V. 11 zum Sg. „sein“ in V. 12, obwohl sich dies als N-Shift erklären ließe. Misstrauisch macht schließlich, dass bei vergleichbaren „pleonastischen Ausdrücken der Vergleichbarkeit“ (Jenni 1997d) die Vergleichspartikel nicht wie hier vor dem Vergeichswort steht, sondern vor dem „Synonym“ demut (s. Gen 1,26; Ps 58,58; Dan 10,6).</w:t>
      </w:r>
    </w:p>
  </w:footnote>
  <w:footnote w:id="811">
    <w:p>
      <w:pPr>
        <w:pStyle w:val="Funote"/>
        <w:rPr/>
      </w:pPr>
      <w:r>
        <w:rPr>
          <w:rStyle w:val="Funotenzeichen"/>
        </w:rPr>
        <w:footnoteRef/>
      </w:r>
      <w:r>
        <w:rPr/>
        <w:tab/>
        <w:t>Toten (Männern) - Zum Sinn d. Verses s. die Anmerkungen. Beide Wörter können hier gelesen werden, da sie ursprünglich gleich geschrieben wurden und nur unterschiedlich zu vokalisieren waren: mimetim vs. mimetim. Entgegen der starken Mehrheit wurde hier mit Bonkamp 1949, S. 101 die Deutung „Tote“ gewählt, weil nur so die Rede vom „Teil im Leben“ in 14c und von der „Dauer“ in 14b (was eigentlich nicht „Welt [im Ggs. zu Gott]“ bedeutet) gut erklärbar ist und der Vers so übersetzt eine sehr nahe Parallele in Ps 109,13f. hat.Entscheidet man sich für die Bedeutung „Männer“, muss man anders auflösen; am sinnvollsten: „Rette meine Seele vor dem Frevler [durch] dein Schwert, vor Männern [durch] deine Hand, vor Männern, deren Teil im Leben ohne Dauer/aus der Welt (im Gegensatz zu ‚von Gott‘) [ist].“ So fast alle dt. Üss (PAT und StierPs nehmen unnötige Änderungen am Text vor). Die Deutung als „Tote“ findet sich heute nur noch sehr selten, war früher aber sogar wesentlich geläufiger als die Deutung „Männer“. Die (mittelalterliche!) Vokalisierung des MT deutet zwar als Männer und es findet sich diese Deutung schon in einigen LXX-Handschriften und dem folgend in VUL, der wesentlich ältere heb. Text in 11QPsc „vokalisiert“ dagegen als „Tote“ und diese Deutung findet sich auch in Tg, Syr, Sym, Aq und einigen VL-Versionen. Auch Hieronymus wählt für das erste Wort die Deutung „Männer“, für das zweite aber wieder „Tote“, und für beide Wörter ist diese Deutung auch belegt in b.Ber 61b, bei Chanina ben Pappa (vgl. Bacher 1896, S. 524) und bei Raschi.</w:t>
      </w:r>
    </w:p>
  </w:footnote>
  <w:footnote w:id="812">
    <w:p>
      <w:pPr>
        <w:pStyle w:val="Funote"/>
        <w:rPr/>
      </w:pPr>
      <w:r>
        <w:rPr>
          <w:rStyle w:val="Funotenzeichen"/>
        </w:rPr>
        <w:footnoteRef/>
      </w:r>
      <w:r>
        <w:rPr>
          <w:i/>
        </w:rPr>
        <w:tab/>
        <w:t>Teil</w:t>
      </w:r>
      <w:r>
        <w:rPr/>
        <w:t xml:space="preserve"> ist urspr. das ererbte </w:t>
      </w:r>
      <w:r>
        <w:rPr>
          <w:i/>
        </w:rPr>
        <w:t>Land</w:t>
      </w:r>
      <w:r>
        <w:rPr/>
        <w:t xml:space="preserve">, das einer Familie nach bibl. Vorstellung durch das Schicksal zugefallen ist (vgl. </w:t>
      </w:r>
      <w:hyperlink r:id="rId92">
        <w:r>
          <w:rPr>
            <w:rStyle w:val="Internetverknpfung"/>
          </w:rPr>
          <w:t>Jos 13</w:t>
        </w:r>
      </w:hyperlink>
      <w:r>
        <w:rPr/>
        <w:t xml:space="preserve"> und </w:t>
      </w:r>
      <w:hyperlink r:id="rId93">
        <w:r>
          <w:rPr>
            <w:rStyle w:val="Internetverknpfung"/>
          </w:rPr>
          <w:t>Jos 14,2</w:t>
        </w:r>
      </w:hyperlink>
      <w:r>
        <w:rPr/>
        <w:t xml:space="preserve">; z.B. auch </w:t>
      </w:r>
      <w:hyperlink r:id="rId94">
        <w:r>
          <w:rPr>
            <w:rStyle w:val="Internetverknpfung"/>
          </w:rPr>
          <w:t>Ri 18,1</w:t>
        </w:r>
      </w:hyperlink>
      <w:r>
        <w:rPr/>
        <w:t xml:space="preserve">); übertragen dann auch vom Schicksal eines Menschen, das bes. hier als (auch) </w:t>
      </w:r>
      <w:r>
        <w:rPr>
          <w:i/>
        </w:rPr>
        <w:t>ererbtes</w:t>
      </w:r>
      <w:r>
        <w:rPr/>
        <w:t xml:space="preserve"> Schicksal vorgestellt ist.</w:t>
      </w:r>
    </w:p>
  </w:footnote>
  <w:footnote w:id="813">
    <w:p>
      <w:pPr>
        <w:pStyle w:val="Funote"/>
        <w:rPr/>
      </w:pPr>
      <w:r>
        <w:rPr>
          <w:rStyle w:val="Funotenzeichen"/>
        </w:rPr>
        <w:footnoteRef/>
      </w:r>
      <w:r>
        <w:rPr>
          <w:i/>
        </w:rPr>
        <w:tab/>
        <w:t>[Mit] deinem Aufgesparten</w:t>
      </w:r>
      <w:r>
        <w:rPr/>
        <w:t xml:space="preserve"> - Zur Vorstellung vgl. </w:t>
      </w:r>
      <w:hyperlink r:id="rId95">
        <w:r>
          <w:rPr>
            <w:rStyle w:val="Internetverknpfung"/>
          </w:rPr>
          <w:t>Ijob 21,17-19</w:t>
        </w:r>
      </w:hyperlink>
      <w:r>
        <w:rPr/>
        <w:t xml:space="preserve">; </w:t>
      </w:r>
      <w:r>
        <w:fldChar w:fldCharType="begin"/>
      </w:r>
      <w:r>
        <w:rPr>
          <w:rStyle w:val="Internetverknpfung"/>
        </w:rPr>
        <w:instrText> HYPERLINK "../../../../../../../../../wiki/Psalm_31" \l "s20"</w:instrText>
      </w:r>
      <w:r>
        <w:rPr>
          <w:rStyle w:val="Internetverknpfung"/>
        </w:rPr>
        <w:fldChar w:fldCharType="separate"/>
      </w:r>
      <w:r>
        <w:rPr>
          <w:rStyle w:val="Internetverknpfung"/>
        </w:rPr>
        <w:t>Ps 31,20</w:t>
      </w:r>
      <w:r>
        <w:rPr>
          <w:rStyle w:val="Internetverknpfung"/>
        </w:rPr>
        <w:fldChar w:fldCharType="end"/>
      </w:r>
      <w:r>
        <w:rPr/>
        <w:t xml:space="preserve">; </w:t>
      </w:r>
      <w:r>
        <w:fldChar w:fldCharType="begin"/>
      </w:r>
      <w:r>
        <w:rPr>
          <w:rStyle w:val="Internetverknpfung"/>
        </w:rPr>
        <w:instrText> HYPERLINK "../../../../../../../../../wiki/Sprichw%C3%B6rter_2" \l "s7"</w:instrText>
      </w:r>
      <w:r>
        <w:rPr>
          <w:rStyle w:val="Internetverknpfung"/>
        </w:rPr>
        <w:fldChar w:fldCharType="separate"/>
      </w:r>
      <w:r>
        <w:rPr>
          <w:rStyle w:val="Internetverknpfung"/>
        </w:rPr>
        <w:t>Spr 2,7</w:t>
      </w:r>
      <w:r>
        <w:rPr>
          <w:rStyle w:val="Internetverknpfung"/>
        </w:rPr>
        <w:fldChar w:fldCharType="end"/>
      </w:r>
      <w:r>
        <w:rPr/>
        <w:t xml:space="preserve">; </w:t>
      </w:r>
      <w:hyperlink r:id="rId96">
        <w:r>
          <w:rPr>
            <w:rStyle w:val="Internetverknpfung"/>
          </w:rPr>
          <w:t>13,22</w:t>
        </w:r>
      </w:hyperlink>
      <w:r>
        <w:rPr/>
        <w:t xml:space="preserve">; </w:t>
      </w:r>
      <w:r>
        <w:fldChar w:fldCharType="begin"/>
      </w:r>
      <w:r>
        <w:rPr>
          <w:rStyle w:val="Internetverknpfung"/>
        </w:rPr>
        <w:instrText> HYPERLINK "../../../../../../../../../wiki/Hosea_13" \l "s12"</w:instrText>
      </w:r>
      <w:r>
        <w:rPr>
          <w:rStyle w:val="Internetverknpfung"/>
        </w:rPr>
        <w:fldChar w:fldCharType="separate"/>
      </w:r>
      <w:r>
        <w:rPr>
          <w:rStyle w:val="Internetverknpfung"/>
        </w:rPr>
        <w:t>Hos 13,12</w:t>
      </w:r>
      <w:r>
        <w:rPr>
          <w:rStyle w:val="Internetverknpfung"/>
        </w:rPr>
        <w:fldChar w:fldCharType="end"/>
      </w:r>
      <w:r>
        <w:rPr/>
        <w:t xml:space="preserve">; auch </w:t>
      </w:r>
      <w:hyperlink r:id="rId97">
        <w:r>
          <w:rPr>
            <w:rStyle w:val="Internetverknpfung"/>
          </w:rPr>
          <w:t>Ijob 20,26</w:t>
        </w:r>
      </w:hyperlink>
      <w:r>
        <w:rPr/>
        <w:t>: Gott vergilt jedem Menschen nach seinen Werken. Doch nicht immer sogleich; manchmal spart er dieses Entgelt auch auf, um es irgendwann auf einen Schwung loszulassen. So erst recht hier: Was Gott für die Frevler aufgespart hat, sammelt sich schon seit der Zeit ihrer Eltern in seinen Schatzkammern an. Es ist also nichts Gutes, womit Gott hier die Bäuche der Frevler füllen soll, wie das einige Üss. deuten.</w:t>
      </w:r>
    </w:p>
  </w:footnote>
  <w:footnote w:id="814">
    <w:p>
      <w:pPr>
        <w:pStyle w:val="Funote"/>
        <w:rPr/>
      </w:pPr>
      <w:r>
        <w:rPr>
          <w:rStyle w:val="Funotenzeichen"/>
        </w:rPr>
        <w:footnoteRef/>
      </w:r>
      <w:r>
        <w:rPr>
          <w:i/>
        </w:rPr>
        <w:tab/>
        <w:t>durch Gerechtigkeit</w:t>
      </w:r>
      <w:r>
        <w:rPr/>
        <w:t xml:space="preserve"> - Auf V. 15 basiert eine der Vorschriften im Schulchan Aruch, einer sehr wichtigen jüdischen Gesetzessammlung. Im Talmud (b.B.B. 10a) wird das „als Gerechter“ gedeutet als „durch Wohltätigkeit“; darauf aufbauend führt R. Dostai aus: „Kommt und seht, dass der Heilige, gelobt sei er!, nicht aus Fleisch und Blut ist. Bringt ein Mensch [aus Fleisch und Blut] einem König ein Geschenk, ist es unsicher, ob dieser es annehmen oder abweisen wird. Und selbst, wenn er es annimmt, ist unsicher, ob er dann das Gesicht des Königs sehen wird oder nicht. Der Heilige jedoch, gelobt sei er!, handelt anders. Gibt ein Mensch einem Armen auch nur eine Peruta[, einen kleinen Geldbetrag], ist sein Gewinn der Empfang der göttlichen Gegenwart, wie es heißt in Psalm 17,15: Ich aber werde dein Gesicht durch Wohltätigkeit schauen...“, woraus dann im Schulchan Aruch abgeleitet wird: „Es ist gut, vor dem Beten Almosen zu geben, denn es heißt: ‚Ich werde durch Wohltätigkeit dein Gesicht sehen‘.“ (12,2).</w:t>
      </w:r>
    </w:p>
  </w:footnote>
  <w:footnote w:id="815">
    <w:p>
      <w:pPr>
        <w:pStyle w:val="Funote"/>
        <w:rPr/>
      </w:pPr>
      <w:r>
        <w:rPr>
          <w:rStyle w:val="Funotenzeichen"/>
        </w:rPr>
        <w:footnoteRef/>
      </w:r>
      <w:r>
        <w:rPr>
          <w:i/>
        </w:rPr>
        <w:tab/>
        <w:t>beim Aufwachen</w:t>
      </w:r>
      <w:r>
        <w:rPr/>
        <w:t xml:space="preserve"> meint wohl „bei meinem Erwachen“; dass mit Gottes Heilshandeln die neue, heilvolle Zeit mit dem nächsten </w:t>
      </w:r>
      <w:r>
        <w:rPr>
          <w:i/>
        </w:rPr>
        <w:t>Morgen</w:t>
      </w:r>
      <w:r>
        <w:rPr/>
        <w:t xml:space="preserve"> anbricht, findet sich häufig in der Bibel (s. </w:t>
      </w:r>
      <w:r>
        <w:fldChar w:fldCharType="begin"/>
      </w:r>
      <w:r>
        <w:rPr>
          <w:rStyle w:val="Internetverknpfung"/>
        </w:rPr>
        <w:instrText> HYPERLINK "../../../../../../../../../wiki/Psalm_30" \l "s6"</w:instrText>
      </w:r>
      <w:r>
        <w:rPr>
          <w:rStyle w:val="Internetverknpfung"/>
        </w:rPr>
        <w:fldChar w:fldCharType="separate"/>
      </w:r>
      <w:r>
        <w:rPr>
          <w:rStyle w:val="Internetverknpfung"/>
        </w:rPr>
        <w:t>Ps 30,6</w:t>
      </w:r>
      <w:r>
        <w:rPr>
          <w:rStyle w:val="Internetverknpfung"/>
        </w:rPr>
        <w:fldChar w:fldCharType="end"/>
      </w:r>
      <w:r>
        <w:rPr/>
        <w:t xml:space="preserve">; </w:t>
      </w:r>
      <w:hyperlink r:id="rId98">
        <w:r>
          <w:rPr>
            <w:rStyle w:val="Internetverknpfung"/>
          </w:rPr>
          <w:t>46,6</w:t>
        </w:r>
      </w:hyperlink>
      <w:r>
        <w:rPr/>
        <w:t xml:space="preserve">; </w:t>
      </w:r>
      <w:r>
        <w:fldChar w:fldCharType="begin"/>
      </w:r>
      <w:r>
        <w:rPr>
          <w:rStyle w:val="Internetverknpfung"/>
        </w:rPr>
        <w:instrText> HYPERLINK "../../../../../../../../../wiki/Psalm_90" \l "s14"</w:instrText>
      </w:r>
      <w:r>
        <w:rPr>
          <w:rStyle w:val="Internetverknpfung"/>
        </w:rPr>
        <w:fldChar w:fldCharType="separate"/>
      </w:r>
      <w:r>
        <w:rPr>
          <w:rStyle w:val="Internetverknpfung"/>
        </w:rPr>
        <w:t>90,14</w:t>
      </w:r>
      <w:r>
        <w:rPr>
          <w:rStyle w:val="Internetverknpfung"/>
        </w:rPr>
        <w:fldChar w:fldCharType="end"/>
      </w:r>
      <w:r>
        <w:rPr/>
        <w:t xml:space="preserve">; </w:t>
      </w:r>
      <w:hyperlink r:id="rId99">
        <w:r>
          <w:rPr>
            <w:rStyle w:val="Internetverknpfung"/>
          </w:rPr>
          <w:t>143,8</w:t>
        </w:r>
      </w:hyperlink>
      <w:r>
        <w:rPr/>
        <w:t xml:space="preserve">; </w:t>
      </w:r>
      <w:r>
        <w:fldChar w:fldCharType="begin"/>
      </w:r>
      <w:r>
        <w:rPr>
          <w:rStyle w:val="Internetverknpfung"/>
        </w:rPr>
        <w:instrText> HYPERLINK "../../../../../../../../../wiki/Klagelieder_3" \l "s22"</w:instrText>
      </w:r>
      <w:r>
        <w:rPr>
          <w:rStyle w:val="Internetverknpfung"/>
        </w:rPr>
        <w:fldChar w:fldCharType="separate"/>
      </w:r>
      <w:r>
        <w:rPr>
          <w:rStyle w:val="Internetverknpfung"/>
        </w:rPr>
        <w:t>Klg 3,22f.</w:t>
      </w:r>
      <w:r>
        <w:rPr>
          <w:rStyle w:val="Internetverknpfung"/>
        </w:rPr>
        <w:fldChar w:fldCharType="end"/>
      </w:r>
      <w:r>
        <w:rPr/>
        <w:t xml:space="preserve">; </w:t>
      </w:r>
      <w:hyperlink r:id="rId100">
        <w:r>
          <w:rPr>
            <w:rStyle w:val="Internetverknpfung"/>
          </w:rPr>
          <w:t>Zef 3,5</w:t>
        </w:r>
      </w:hyperlink>
      <w:r>
        <w:rPr/>
        <w:t xml:space="preserve"> und vgl. z.St. Lindblom 1943, S. 12f.). Alternativ könnte aber auch von </w:t>
      </w:r>
      <w:r>
        <w:rPr>
          <w:i/>
        </w:rPr>
        <w:t>Gottes</w:t>
      </w:r>
      <w:r>
        <w:rPr/>
        <w:t xml:space="preserve"> Erwachen die Rede sein: Gelegentlich ist bes. in den Psalmen davon die Rede, dass Gott „schläft“ (s. </w:t>
      </w:r>
      <w:r>
        <w:fldChar w:fldCharType="begin"/>
      </w:r>
      <w:r>
        <w:rPr>
          <w:rStyle w:val="Internetverknpfung"/>
        </w:rPr>
        <w:instrText> HYPERLINK "../../../../../../../../../wiki/Psalm_7" \l "s7"</w:instrText>
      </w:r>
      <w:r>
        <w:rPr>
          <w:rStyle w:val="Internetverknpfung"/>
        </w:rPr>
        <w:fldChar w:fldCharType="separate"/>
      </w:r>
      <w:r>
        <w:rPr>
          <w:rStyle w:val="Internetverknpfung"/>
        </w:rPr>
        <w:t>Ps 7,7</w:t>
      </w:r>
      <w:r>
        <w:rPr>
          <w:rStyle w:val="Internetverknpfung"/>
        </w:rPr>
        <w:fldChar w:fldCharType="end"/>
      </w:r>
      <w:r>
        <w:rPr/>
        <w:t xml:space="preserve">; </w:t>
      </w:r>
      <w:hyperlink r:id="rId101">
        <w:r>
          <w:rPr>
            <w:rStyle w:val="Internetverknpfung"/>
          </w:rPr>
          <w:t>35,23</w:t>
        </w:r>
      </w:hyperlink>
      <w:r>
        <w:rPr/>
        <w:t xml:space="preserve">; </w:t>
      </w:r>
      <w:hyperlink r:id="rId102">
        <w:r>
          <w:rPr>
            <w:rStyle w:val="Internetverknpfung"/>
          </w:rPr>
          <w:t>Ps 44,24</w:t>
        </w:r>
      </w:hyperlink>
      <w:r>
        <w:rPr/>
        <w:t xml:space="preserve"> und vgl. </w:t>
      </w:r>
      <w:r>
        <w:fldChar w:fldCharType="begin"/>
      </w:r>
      <w:r>
        <w:rPr>
          <w:rStyle w:val="Internetverknpfung"/>
        </w:rPr>
        <w:instrText> HYPERLINK "http://www.bibelwissenschaft.de/wibilex/das-bibellexikon/lexikon/sachwort/anzeigen/details/schlaf/ch/0cdfba948f34a514c481d88023a1a586/" \l "h2"</w:instrText>
      </w:r>
      <w:r>
        <w:rPr>
          <w:rStyle w:val="Internetverknpfung"/>
        </w:rPr>
        <w:fldChar w:fldCharType="separate"/>
      </w:r>
      <w:r>
        <w:rPr>
          <w:rStyle w:val="Internetverknpfung"/>
        </w:rPr>
        <w:t>Schlaf (WiBiLex)</w:t>
      </w:r>
      <w:r>
        <w:rPr>
          <w:rStyle w:val="Internetverknpfung"/>
        </w:rPr>
        <w:fldChar w:fldCharType="end"/>
      </w:r>
      <w:r>
        <w:rPr/>
        <w:t>), deshalb kurzzeitig untätig ist, nach dem Erwachen aber wieder heilvoll am Beter handeln wird. Gerade, weil diese Vorstellung sehr gut zur Rede vom „Aufgesparten“ in V. 14 passt, ist diese Möglichkeit durchaus erwägenswert, wird aber nur sehr selten vertreten. Sicher nicht gemeint ist eine kultische Theophanie: Wäre davon die Rede, dass der Beter im Schlaf Gott selbst geschaut hätte, wäre die Zeitangabe „beim Erwachen“ falsch und ein Götterbild hätte er ja auch beim Einschlafen gesehen, wenn denn wirklich die Möglichkeit bestanden haben sollte, sich im Tempelbezirk schlafen zu legen.</w:t>
        <w:br/>
        <w:t>Ursprünglich sehr wahrscheinlich nicht gemeint ist die „Auferstehung“, viele alte Ausleger deuten das Wort aber daraufhin aus, z.B. Saadja, Raschi, Kimchi.</w:t>
      </w:r>
    </w:p>
  </w:footnote>
  <w:footnote w:id="816">
    <w:p>
      <w:pPr>
        <w:pStyle w:val="Funote"/>
        <w:rPr/>
      </w:pPr>
      <w:r>
        <w:rPr>
          <w:rStyle w:val="Funotenzeichen"/>
        </w:rPr>
        <w:footnoteRef/>
      </w:r>
      <w:r>
        <w:rPr/>
        <w:tab/>
        <w:t>Zu diesem V. siehe die Anmerkungen.</w:t>
      </w:r>
    </w:p>
  </w:footnote>
  <w:footnote w:id="817">
    <w:p>
      <w:pPr>
        <w:pStyle w:val="Funote"/>
        <w:rPr/>
      </w:pPr>
      <w:r>
        <w:rPr>
          <w:rStyle w:val="Funotenzeichen"/>
        </w:rPr>
        <w:footnoteRef/>
      </w:r>
      <w:r>
        <w:rPr/>
        <w:tab/>
        <w:t>[Status: Zuverlässig]</w:t>
      </w:r>
    </w:p>
  </w:footnote>
  <w:footnote w:id="818">
    <w:p>
      <w:pPr>
        <w:pStyle w:val="Funote"/>
        <w:rPr/>
      </w:pPr>
      <w:r>
        <w:rPr>
          <w:rStyle w:val="Funotenzeichen"/>
        </w:rPr>
        <w:footnoteRef/>
      </w:r>
      <w:r>
        <w:rPr/>
        <w:tab/>
        <w:t>Textkritik: Der Text von Ps 18 findet sich in etwas anderer Form noch mal in 2 Sam 22. Die Textkritik beider Texte ist daher sehr komplex und wurde daher ausgelagert auf die Seite 2 Sam 22, Ps 18 und die Textkritik des Alten Testaments.</w:t>
      </w:r>
    </w:p>
  </w:footnote>
  <w:footnote w:id="819">
    <w:p>
      <w:pPr>
        <w:pStyle w:val="Funote"/>
        <w:rPr/>
      </w:pPr>
      <w:r>
        <w:rPr>
          <w:rStyle w:val="Funotenzeichen"/>
        </w:rPr>
        <w:footnoteRef/>
      </w:r>
      <w:r>
        <w:rPr/>
        <w:tab/>
        <w:t>werden mich erschrecken - d.h. »erschreckten mich«, ein bedeutungsloser T-Shift.</w:t>
      </w:r>
    </w:p>
  </w:footnote>
  <w:footnote w:id="820">
    <w:p>
      <w:pPr>
        <w:pStyle w:val="Funote"/>
        <w:rPr/>
      </w:pPr>
      <w:r>
        <w:rPr>
          <w:rStyle w:val="Funotenzeichen"/>
        </w:rPr>
        <w:footnoteRef/>
      </w:r>
      <w:r>
        <w:rPr>
          <w:i/>
        </w:rPr>
        <w:tab/>
        <w:t>Scheol</w:t>
      </w:r>
      <w:r>
        <w:rPr/>
        <w:t xml:space="preserve"> - Heb. Bezeichnung der Unterwelt; nicht identisch mit der christlichen „Hölle“. Die Metapher, dass der Scheol fast personal vorzustellen ist und jemanden gefangen nimmt, findet sich häufiger in der Bibel (z.B. </w:t>
      </w:r>
      <w:r>
        <w:fldChar w:fldCharType="begin"/>
      </w:r>
      <w:r>
        <w:rPr>
          <w:rStyle w:val="Internetverknpfung"/>
        </w:rPr>
        <w:instrText> HYPERLINK "../../../../../../../../../wiki/Numeri_16" \l "s33"</w:instrText>
      </w:r>
      <w:r>
        <w:rPr>
          <w:rStyle w:val="Internetverknpfung"/>
        </w:rPr>
        <w:fldChar w:fldCharType="separate"/>
      </w:r>
      <w:r>
        <w:rPr>
          <w:rStyle w:val="Internetverknpfung"/>
        </w:rPr>
        <w:t>Num 16,33f.</w:t>
      </w:r>
      <w:r>
        <w:rPr>
          <w:rStyle w:val="Internetverknpfung"/>
        </w:rPr>
        <w:fldChar w:fldCharType="end"/>
      </w:r>
      <w:r>
        <w:rPr/>
        <w:t xml:space="preserve">; </w:t>
      </w:r>
      <w:hyperlink r:id="rId103">
        <w:r>
          <w:rPr>
            <w:rStyle w:val="Internetverknpfung"/>
          </w:rPr>
          <w:t>Ps 69,16</w:t>
        </w:r>
      </w:hyperlink>
      <w:r>
        <w:rPr/>
        <w:t>).</w:t>
      </w:r>
    </w:p>
  </w:footnote>
  <w:footnote w:id="821">
    <w:p>
      <w:pPr>
        <w:pStyle w:val="Funote"/>
        <w:rPr/>
      </w:pPr>
      <w:r>
        <w:rPr>
          <w:rStyle w:val="Funotenzeichen"/>
        </w:rPr>
        <w:footnoteRef/>
      </w:r>
      <w:r>
        <w:rPr>
          <w:i/>
        </w:rPr>
        <w:tab/>
        <w:t>Pfeiler der Berge</w:t>
      </w:r>
      <w:r>
        <w:rPr/>
        <w:t xml:space="preserve"> - gemeint sind also wohl ebenso wie in </w:t>
      </w:r>
      <w:r>
        <w:fldChar w:fldCharType="begin"/>
      </w:r>
      <w:r>
        <w:rPr>
          <w:rStyle w:val="Internetverknpfung"/>
        </w:rPr>
        <w:instrText> HYPERLINK "../../../../../../../../../wiki/Deuteronomium_32" \l "s22"</w:instrText>
      </w:r>
      <w:r>
        <w:rPr>
          <w:rStyle w:val="Internetverknpfung"/>
        </w:rPr>
        <w:fldChar w:fldCharType="separate"/>
      </w:r>
      <w:r>
        <w:rPr>
          <w:rStyle w:val="Internetverknpfung"/>
        </w:rPr>
        <w:t>Dtn 32,22</w:t>
      </w:r>
      <w:r>
        <w:rPr>
          <w:rStyle w:val="Internetverknpfung"/>
        </w:rPr>
        <w:fldChar w:fldCharType="end"/>
      </w:r>
      <w:r>
        <w:rPr/>
        <w:t xml:space="preserve"> (wo von unten nach oben aufgezählt wird: Der unterste Scheol - die Erde - die Pfeiler der Berge) die Berge selbst, da nach altorientalischer Vorstellung auf diesen als Pfeilern der Himmel ruhte: „Die Pfeiler, die die Berge sind“. Die „Pfeiler der Berge“ wären demnach identisch mit den „Pfeilern des Himmels“ in </w:t>
      </w:r>
      <w:hyperlink r:id="rId104">
        <w:r>
          <w:rPr>
            <w:rStyle w:val="Internetverknpfung"/>
          </w:rPr>
          <w:t>2 Sam 22,8</w:t>
        </w:r>
      </w:hyperlink>
      <w:r>
        <w:rPr/>
        <w:t>.</w:t>
      </w:r>
    </w:p>
  </w:footnote>
  <w:footnote w:id="822">
    <w:p>
      <w:pPr>
        <w:pStyle w:val="Funote"/>
        <w:rPr/>
      </w:pPr>
      <w:r>
        <w:rPr>
          <w:rStyle w:val="Funotenzeichen"/>
        </w:rPr>
        <w:footnoteRef/>
      </w:r>
      <w:r>
        <w:rPr>
          <w:i/>
        </w:rPr>
        <w:tab/>
        <w:t>öffnete den Himmel</w:t>
      </w:r>
      <w:r>
        <w:rPr/>
        <w:t xml:space="preserve"> - Der Himmel wird hier wie noch öfter vorgestellt als festes Gebilde, das sich öffnen lässt (z.B., um durch die Öffnung die Sintflut auf die Erde zu schicken, </w:t>
      </w:r>
      <w:r>
        <w:fldChar w:fldCharType="begin"/>
      </w:r>
      <w:r>
        <w:rPr>
          <w:rStyle w:val="Internetverknpfung"/>
        </w:rPr>
        <w:instrText> HYPERLINK "../../../../../../../../../wiki/Genesis_7" \l "s11"</w:instrText>
      </w:r>
      <w:r>
        <w:rPr>
          <w:rStyle w:val="Internetverknpfung"/>
        </w:rPr>
        <w:fldChar w:fldCharType="separate"/>
      </w:r>
      <w:r>
        <w:rPr>
          <w:rStyle w:val="Internetverknpfung"/>
        </w:rPr>
        <w:t>Gen 7,11</w:t>
      </w:r>
      <w:r>
        <w:rPr>
          <w:rStyle w:val="Internetverknpfung"/>
        </w:rPr>
        <w:fldChar w:fldCharType="end"/>
      </w:r>
      <w:r>
        <w:rPr/>
        <w:t>).</w:t>
      </w:r>
    </w:p>
  </w:footnote>
  <w:footnote w:id="823">
    <w:p>
      <w:pPr>
        <w:pStyle w:val="Funote"/>
        <w:rPr/>
      </w:pPr>
      <w:r>
        <w:rPr>
          <w:rStyle w:val="Funotenzeichen"/>
        </w:rPr>
        <w:footnoteRef/>
      </w:r>
      <w:r>
        <w:rPr>
          <w:i/>
        </w:rPr>
        <w:tab/>
        <w:t>Kerub</w:t>
      </w:r>
      <w:r>
        <w:rPr/>
        <w:t xml:space="preserve"> - altorientalisches Fabelwesen; meist dargestellt als geflügelter Löwe. S. näher </w:t>
      </w:r>
      <w:hyperlink r:id="rId105">
        <w:r>
          <w:rPr>
            <w:rStyle w:val="Internetverknpfung"/>
          </w:rPr>
          <w:t>Keruben / Kerubenthroner (WiBiLex)</w:t>
        </w:r>
      </w:hyperlink>
      <w:r>
        <w:rPr/>
        <w:t xml:space="preserve">. Im Alten Orient wurden die vier Winde (die den vier Himmelsrichtungen entsprechen) häufiger identifiziert mit oder personifiziert als geflügelte Wesen (s. zu </w:t>
      </w:r>
      <w:r>
        <w:fldChar w:fldCharType="begin"/>
      </w:r>
      <w:r>
        <w:rPr>
          <w:rStyle w:val="Internetverknpfung"/>
        </w:rPr>
        <w:instrText> HYPERLINK "../../../../../../../../../wiki/Markus_13" \l "s27"</w:instrText>
      </w:r>
      <w:r>
        <w:rPr>
          <w:rStyle w:val="Internetverknpfung"/>
        </w:rPr>
        <w:fldChar w:fldCharType="separate"/>
      </w:r>
      <w:r>
        <w:rPr>
          <w:rStyle w:val="Internetverknpfung"/>
        </w:rPr>
        <w:t>Mk 13,27</w:t>
      </w:r>
      <w:r>
        <w:rPr>
          <w:rStyle w:val="Internetverknpfung"/>
        </w:rPr>
        <w:fldChar w:fldCharType="end"/>
      </w:r>
      <w:r>
        <w:rPr/>
        <w:t>). Das scheint auch hier der Fall zu sein; s. die folgende Zeile.</w:t>
      </w:r>
    </w:p>
  </w:footnote>
  <w:footnote w:id="824">
    <w:p>
      <w:pPr>
        <w:pStyle w:val="Funote"/>
        <w:rPr/>
      </w:pPr>
      <w:r>
        <w:rPr>
          <w:rStyle w:val="Funotenzeichen"/>
        </w:rPr>
        <w:footnoteRef/>
      </w:r>
      <w:r>
        <w:rPr/>
        <w:tab/>
        <w:t>tFN: wird geben - d.h. »gab«, ein bedeutungsloser T-Shift</w:t>
      </w:r>
    </w:p>
  </w:footnote>
  <w:footnote w:id="825">
    <w:p>
      <w:pPr>
        <w:pStyle w:val="Funote"/>
        <w:rPr/>
      </w:pPr>
      <w:r>
        <w:rPr>
          <w:rStyle w:val="Funotenzeichen"/>
        </w:rPr>
        <w:footnoteRef/>
      </w:r>
      <w:r>
        <w:rPr>
          <w:i/>
        </w:rPr>
        <w:tab/>
        <w:t>Einen Blitz verwirrte er</w:t>
      </w:r>
      <w:r>
        <w:rPr/>
        <w:t xml:space="preserve"> - d.h. wahrscheinlich: Er gab ihm das wilde Zickzack, das für Blitze so charakteristisch ist.</w:t>
      </w:r>
    </w:p>
  </w:footnote>
  <w:footnote w:id="826">
    <w:p>
      <w:pPr>
        <w:pStyle w:val="Funote"/>
        <w:rPr/>
      </w:pPr>
      <w:r>
        <w:rPr>
          <w:rStyle w:val="Funotenzeichen"/>
        </w:rPr>
        <w:footnoteRef/>
      </w:r>
      <w:r>
        <w:rPr/>
        <w:tab/>
        <w:t>tFN: werden bloßgelegt werden - d.h. »es wurden bloßgelegt«, ein bedeutungsloser T-Shift.</w:t>
      </w:r>
    </w:p>
  </w:footnote>
  <w:footnote w:id="827">
    <w:p>
      <w:pPr>
        <w:pStyle w:val="Funote"/>
        <w:rPr/>
      </w:pPr>
      <w:r>
        <w:rPr>
          <w:rStyle w:val="Funotenzeichen"/>
        </w:rPr>
        <w:footnoteRef/>
      </w:r>
      <w:r>
        <w:rPr>
          <w:i/>
        </w:rPr>
        <w:tab/>
        <w:t>Fundamente der Erde</w:t>
      </w:r>
      <w:r>
        <w:rPr/>
        <w:t xml:space="preserve"> - die Pfeiler, auf denen nach dem altorientalischen Weltbild die Erde über dem Mehr ruhte.</w:t>
      </w:r>
    </w:p>
  </w:footnote>
  <w:footnote w:id="828">
    <w:p>
      <w:pPr>
        <w:pStyle w:val="Funote"/>
        <w:rPr/>
      </w:pPr>
      <w:r>
        <w:rPr>
          <w:rStyle w:val="Funotenzeichen"/>
        </w:rPr>
        <w:footnoteRef/>
      </w:r>
      <w:r>
        <w:rPr>
          <w:i/>
        </w:rPr>
        <w:tab/>
        <w:t>Er möge senden aus der Höhe</w:t>
      </w:r>
      <w:r>
        <w:rPr/>
        <w:t xml:space="preserve"> - nämlich seine Hand, die er helfend herunterreichen möge. Das Objekt wird hier wie in </w:t>
      </w:r>
      <w:hyperlink r:id="rId106">
        <w:r>
          <w:rPr>
            <w:rStyle w:val="Internetverknpfung"/>
          </w:rPr>
          <w:t>2 Sam 6,6</w:t>
        </w:r>
      </w:hyperlink>
      <w:r>
        <w:rPr/>
        <w:t xml:space="preserve"> ausgespart.</w:t>
      </w:r>
    </w:p>
  </w:footnote>
  <w:footnote w:id="829">
    <w:p>
      <w:pPr>
        <w:pStyle w:val="Funote"/>
        <w:rPr/>
      </w:pPr>
      <w:r>
        <w:rPr>
          <w:rStyle w:val="Funotenzeichen"/>
        </w:rPr>
        <w:footnoteRef/>
      </w:r>
      <w:r>
        <w:rPr>
          <w:i/>
        </w:rPr>
        <w:tab/>
        <w:t>Wassern</w:t>
      </w:r>
      <w:r>
        <w:rPr/>
        <w:t xml:space="preserve"> - Wie häufig wird hier die Not metaphorisch dargestellt als Wasserflut, in der der Beter zu ertrinken droht.</w:t>
      </w:r>
    </w:p>
  </w:footnote>
  <w:footnote w:id="830">
    <w:p>
      <w:pPr>
        <w:pStyle w:val="Funote"/>
        <w:rPr/>
      </w:pPr>
      <w:r>
        <w:rPr>
          <w:rStyle w:val="Funotenzeichen"/>
        </w:rPr>
        <w:footnoteRef/>
      </w:r>
      <w:r>
        <w:rPr/>
        <w:tab/>
        <w:t>böse handeln von - das »von« ist im Heb. ebenso merkwürdig wie im Dt. Offenbar heißt das Verb hier ausnahmsweise nicht »böse handeln«, sondern speziell »durch böse Handlungen abfallen«, daher z.B. MÜN: »Ich bin nicht frevelhaft von meinem Gott gewichen«.</w:t>
      </w:r>
    </w:p>
  </w:footnote>
  <w:footnote w:id="831">
    <w:p>
      <w:pPr>
        <w:pStyle w:val="Funote"/>
        <w:rPr/>
      </w:pPr>
      <w:r>
        <w:rPr>
          <w:rStyle w:val="Funotenzeichen"/>
        </w:rPr>
        <w:footnoteRef/>
      </w:r>
      <w:r>
        <w:rPr>
          <w:i/>
        </w:rPr>
        <w:tab/>
        <w:t>waren vor mir</w:t>
      </w:r>
      <w:r>
        <w:rPr/>
        <w:t xml:space="preserve"> - d.h., ich hielt sie mir beständig vor Augen und wich daher nicht von ihnen ab.</w:t>
      </w:r>
    </w:p>
  </w:footnote>
  <w:footnote w:id="832">
    <w:p>
      <w:pPr>
        <w:pStyle w:val="Funote"/>
        <w:rPr/>
      </w:pPr>
      <w:r>
        <w:rPr>
          <w:rStyle w:val="Funotenzeichen"/>
        </w:rPr>
        <w:footnoteRef/>
      </w:r>
      <w:r>
        <w:rPr/>
        <w:tab/>
        <w:t>tFN: stärken - wenichat wurde hier nach Good 1985; Görg 1986 in Orientierung am äg. nḫt (»stark sein, jmdn stärken«, vgl. Erman/Grapow II 314f.) und einem evtl. ug. Kognat nḥt (»stark sein, jmdn stärken«, vgl. del Olmo Lete/Sanmartín 628) abgeleitet von nachat II (»stark sein, jmdn stärken«; vgl. DCH V 671; Ges18 808). So übersetzen bereits Tg und Syr; vgl. auch beide Vrs. zu Jes 30,30. Zur in diesem V. schwierigen Textkritik s. 2 Sam 22, Ps 18 und die Textkritik des Alten Testaments.</w:t>
      </w:r>
    </w:p>
  </w:footnote>
  <w:footnote w:id="833">
    <w:p>
      <w:pPr>
        <w:pStyle w:val="Funote"/>
        <w:rPr/>
      </w:pPr>
      <w:r>
        <w:rPr>
          <w:rStyle w:val="Funotenzeichen"/>
        </w:rPr>
        <w:footnoteRef/>
      </w:r>
      <w:r>
        <w:rPr>
          <w:i/>
        </w:rPr>
        <w:tab/>
        <w:t>du gabst mir ihren Rücken</w:t>
      </w:r>
      <w:r>
        <w:rPr/>
        <w:t xml:space="preserve"> - d.h., du machtest, dass sie vor mir flohen.</w:t>
      </w:r>
    </w:p>
  </w:footnote>
  <w:footnote w:id="834">
    <w:p>
      <w:pPr>
        <w:pStyle w:val="Funote"/>
        <w:rPr/>
      </w:pPr>
      <w:r>
        <w:rPr>
          <w:rStyle w:val="Funotenzeichen"/>
        </w:rPr>
        <w:footnoteRef/>
      </w:r>
      <w:r>
        <w:rPr/>
        <w:tab/>
        <w:t>Sie werden schreien ... / Zu JHWH - Zwei Stilmittel in einer Doppelzeile: Hyperbaton (Umstellung der gewöhnlichen Wortfolge) + Break up (Aufteilung eines häufigen Ausdrucks wie »Sie werden zu JHWH schreien«) auf zwei Zeilen. Hier auch noch gepaart mit dem T-Shift beim folgenden Verb; schon in der Formulierung des Verses kommt das Chaos zum Ausdruck, in das die Macht des Sprechers und die Hilfeverweigerung JHWHs die Feinde stürzt.</w:t>
      </w:r>
    </w:p>
  </w:footnote>
  <w:footnote w:id="835">
    <w:p>
      <w:pPr>
        <w:pStyle w:val="Funote"/>
        <w:rPr/>
      </w:pPr>
      <w:r>
        <w:rPr>
          <w:rStyle w:val="Funotenzeichen"/>
        </w:rPr>
        <w:footnoteRef/>
      </w:r>
      <w:r>
        <w:rPr/>
        <w:tab/>
        <w:t>tFN: er antwortete ihnen nicht - d.h. »er wird ihnen nicht antworten«, ein bedeutungsloser T-Shift.</w:t>
      </w:r>
    </w:p>
  </w:footnote>
  <w:footnote w:id="836">
    <w:p>
      <w:pPr>
        <w:pStyle w:val="Funote"/>
        <w:rPr/>
      </w:pPr>
      <w:r>
        <w:rPr>
          <w:rStyle w:val="Funotenzeichen"/>
        </w:rPr>
        <w:footnoteRef/>
      </w:r>
      <w:r>
        <w:rPr/>
        <w:tab/>
        <w:t>[Status: Zuverlässig]</w:t>
      </w:r>
    </w:p>
  </w:footnote>
  <w:footnote w:id="837">
    <w:p>
      <w:pPr>
        <w:pStyle w:val="Funote"/>
        <w:rPr/>
      </w:pPr>
      <w:r>
        <w:rPr>
          <w:rStyle w:val="Funotenzeichen"/>
        </w:rPr>
        <w:footnoteRef/>
      </w:r>
      <w:r>
        <w:rPr/>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838">
    <w:p>
      <w:pPr>
        <w:pStyle w:val="Funote"/>
        <w:rPr/>
      </w:pPr>
      <w:r>
        <w:rPr>
          <w:rStyle w:val="Funotenzeichen"/>
        </w:rPr>
        <w:footnoteRef/>
      </w:r>
      <w:r>
        <w:rPr/>
        <w:tab/>
        <w:t>verkünden - heb. safar; v.a in den Psalmen wird dieses Verb bes. dann verwendet, wenn jemand von großen Taten Gottes berichtet (vgl. THAT II, S. 168): Der Himmel wird hier vorgestellt als ein Prediger.</w:t>
      </w:r>
    </w:p>
  </w:footnote>
  <w:footnote w:id="839">
    <w:p>
      <w:pPr>
        <w:pStyle w:val="Funote"/>
        <w:rPr/>
      </w:pPr>
      <w:r>
        <w:rPr>
          <w:rStyle w:val="Funotenzeichen"/>
        </w:rPr>
        <w:footnoteRef/>
      </w:r>
      <w:r>
        <w:rPr>
          <w:i/>
        </w:rPr>
        <w:tab/>
        <w:t>Himmel</w:t>
      </w:r>
      <w:r>
        <w:rPr/>
        <w:t xml:space="preserve"> ist im Hebräischen ein Pluralwort; damit erklärt sich der Plural „Die Himmel“, der in vielen Übersetzungen zu finden ist. Ins Deutsche muss mit Singular übertragen werden.</w:t>
      </w:r>
    </w:p>
  </w:footnote>
  <w:footnote w:id="840">
    <w:p>
      <w:pPr>
        <w:pStyle w:val="Funote"/>
        <w:rPr/>
      </w:pPr>
      <w:r>
        <w:rPr>
          <w:rStyle w:val="Funotenzeichen"/>
        </w:rPr>
        <w:footnoteRef/>
      </w:r>
      <w:r>
        <w:rPr/>
        <w:tab/>
        <w:t xml:space="preserve">Zur Vorstellung der „Herrlichkeit“ s. die </w:t>
      </w:r>
      <w:hyperlink w:anchor="Anliegen">
        <w:r>
          <w:rPr>
            <w:rStyle w:val="Internetverknpfung"/>
          </w:rPr>
          <w:t>Anmerkungen</w:t>
        </w:r>
      </w:hyperlink>
      <w:r>
        <w:rPr/>
        <w:t>.</w:t>
      </w:r>
    </w:p>
  </w:footnote>
  <w:footnote w:id="841">
    <w:p>
      <w:pPr>
        <w:pStyle w:val="Funote"/>
        <w:rPr/>
      </w:pPr>
      <w:r>
        <w:rPr>
          <w:rStyle w:val="Funotenzeichen"/>
        </w:rPr>
        <w:footnoteRef/>
      </w:r>
      <w:r>
        <w:rPr/>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842">
    <w:p>
      <w:pPr>
        <w:pStyle w:val="Funote"/>
        <w:rPr/>
      </w:pPr>
      <w:r>
        <w:rPr>
          <w:rStyle w:val="Funotenzeichen"/>
        </w:rPr>
        <w:footnoteRef/>
      </w:r>
      <w:r>
        <w:rPr>
          <w:i/>
        </w:rPr>
        <w:tab/>
        <w:t>das Walten seiner Hände (sein Walten)</w:t>
      </w:r>
      <w:r>
        <w:rPr/>
        <w:t xml:space="preserve"> + </w:t>
      </w:r>
      <w:r>
        <w:rPr>
          <w:i/>
        </w:rPr>
        <w:t>die Reden meines Mundes (mein Reden)</w:t>
      </w:r>
      <w:r>
        <w:rPr/>
        <w:t xml:space="preserve"> + </w:t>
      </w:r>
      <w:r>
        <w:rPr>
          <w:i/>
        </w:rPr>
        <w:t>das sich-Äußern meines Herzens (mein sich-Äußern)</w:t>
      </w:r>
      <w:r>
        <w:rPr/>
        <w:t xml:space="preserve"> + </w:t>
      </w:r>
      <w:r>
        <w:rPr>
          <w:i/>
        </w:rPr>
        <w:t>vor deinem Gesicht (vor dir)</w:t>
      </w:r>
      <w:r>
        <w:rPr/>
        <w:t xml:space="preserve">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w:t>
      </w:r>
      <w:r>
        <w:rPr>
          <w:i/>
        </w:rPr>
        <w:t>Person</w:t>
      </w:r>
      <w:r>
        <w:rPr/>
        <w:t>.</w:t>
      </w:r>
    </w:p>
  </w:footnote>
  <w:footnote w:id="843">
    <w:p>
      <w:pPr>
        <w:pStyle w:val="Funote"/>
        <w:rPr/>
      </w:pPr>
      <w:r>
        <w:rPr>
          <w:rStyle w:val="Funotenzeichen"/>
        </w:rPr>
        <w:footnoteRef/>
      </w:r>
      <w:r>
        <w:rPr/>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844">
    <w:p>
      <w:pPr>
        <w:pStyle w:val="Funote"/>
        <w:rPr/>
      </w:pPr>
      <w:r>
        <w:rPr>
          <w:rStyle w:val="Funotenzeichen"/>
        </w:rPr>
        <w:footnoteRef/>
      </w:r>
      <w:r>
        <w:rPr/>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845">
    <w:p>
      <w:pPr>
        <w:pStyle w:val="Funote"/>
        <w:rPr/>
      </w:pPr>
      <w:r>
        <w:rPr>
          <w:rStyle w:val="Funotenzeichen"/>
        </w:rPr>
        <w:footnoteRef/>
      </w:r>
      <w:r>
        <w:rPr>
          <w:i/>
        </w:rPr>
        <w:tab/>
        <w:t>Tag für Tag äußert es (Ein Tag äußert gegenüber dem nächsten Tag)</w:t>
      </w:r>
      <w:r>
        <w:rPr/>
        <w:t xml:space="preserve"> + </w:t>
      </w:r>
      <w:r>
        <w:rPr>
          <w:i/>
        </w:rPr>
        <w:t>Nacht für Nacht lehrt es (eine Nacht lehrt der nächsten Nacht)</w:t>
      </w:r>
      <w:r>
        <w:rPr/>
        <w:t xml:space="preserve">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w:t>
        <w:br/>
        <w:t>Theoretisch außerdem möglich: Verben in der 3. Pers. sing. mask. können im Hebräischen auch als impersonale Verben verwendet werden: „</w:t>
      </w:r>
      <w:r>
        <w:rPr>
          <w:i/>
        </w:rPr>
        <w:t>Man</w:t>
      </w:r>
      <w:r>
        <w:rPr/>
        <w:t xml:space="preserve"> äußert“ (vgl. </w:t>
      </w:r>
      <w:hyperlink r:id="rId107">
        <w:r>
          <w:rPr>
            <w:rStyle w:val="Internetverknpfung"/>
          </w:rPr>
          <w:t>GKC §144d</w:t>
        </w:r>
      </w:hyperlink>
      <w:r>
        <w:rPr/>
        <w:t xml:space="preserve">); die Struktur von Vv. 2-3 würde dann der z.B. von </w:t>
      </w:r>
      <w:r>
        <w:fldChar w:fldCharType="begin"/>
      </w:r>
      <w:r>
        <w:rPr>
          <w:rStyle w:val="Internetverknpfung"/>
        </w:rPr>
        <w:instrText> HYPERLINK "../../../../../../../../../wiki/Psalm_8" \l "s2"</w:instrText>
      </w:r>
      <w:r>
        <w:rPr>
          <w:rStyle w:val="Internetverknpfung"/>
        </w:rPr>
        <w:fldChar w:fldCharType="separate"/>
      </w:r>
      <w:r>
        <w:rPr>
          <w:rStyle w:val="Internetverknpfung"/>
        </w:rPr>
        <w:t>Ps 8,2</w:t>
      </w:r>
      <w:r>
        <w:rPr>
          <w:rStyle w:val="Internetverknpfung"/>
        </w:rPr>
        <w:fldChar w:fldCharType="end"/>
      </w:r>
      <w:r>
        <w:rPr/>
        <w:t xml:space="preserve"> entprechen: „Auf der ganzen Erde wirst du verehrt, / im Himmel, da wirst du besungen!“ &lt;-&gt; hier: V. 2: Die Himmel verkünden Gott, V. 3: Auch auf der ganzen Erde spricht man über ihn. So aber m.W. bisher kein Exeget.</w:t>
      </w:r>
    </w:p>
  </w:footnote>
  <w:footnote w:id="846">
    <w:p>
      <w:pPr>
        <w:pStyle w:val="Funote"/>
        <w:rPr/>
      </w:pPr>
      <w:r>
        <w:rPr>
          <w:rStyle w:val="Funotenzeichen"/>
        </w:rPr>
        <w:footnoteRef/>
      </w:r>
      <w:r>
        <w:rPr>
          <w:i/>
        </w:rPr>
        <w:tab/>
        <w:t>eine Nacht lehrt [der nächsten] Nacht Kenntnis, Nacht für Nacht lehrt man Kenntnis?</w:t>
      </w:r>
      <w:r>
        <w:rPr/>
        <w:t xml:space="preserve"> - s. </w:t>
      </w:r>
      <w:r>
        <w:fldChar w:fldCharType="begin"/>
      </w:r>
      <w:r>
        <w:rPr>
          <w:rStyle w:val="Internetverknpfung"/>
        </w:rPr>
        <w:instrText> HYPERLINK "http://www.offene-bibel.de/wiki/index.php5?title=Psalm_19" \l "note_i"</w:instrText>
      </w:r>
      <w:r>
        <w:rPr>
          <w:rStyle w:val="Internetverknpfung"/>
        </w:rPr>
        <w:fldChar w:fldCharType="separate"/>
      </w:r>
      <w:r>
        <w:rPr>
          <w:rStyle w:val="Internetverknpfung"/>
        </w:rPr>
        <w:t>FN i</w:t>
      </w:r>
      <w:r>
        <w:rPr>
          <w:rStyle w:val="Internetverknpfung"/>
        </w:rPr>
        <w:fldChar w:fldCharType="end"/>
      </w:r>
      <w:r>
        <w:rPr/>
        <w:t>; diese beiden Alternativen sind unwahrscheinlich, aber möglich.</w:t>
      </w:r>
    </w:p>
  </w:footnote>
  <w:footnote w:id="847">
    <w:p>
      <w:pPr>
        <w:pStyle w:val="Funote"/>
        <w:rPr/>
      </w:pPr>
      <w:r>
        <w:rPr>
          <w:rStyle w:val="Funotenzeichen"/>
        </w:rPr>
        <w:footnoteRef/>
      </w:r>
      <w:r>
        <w:rPr/>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848">
    <w:p>
      <w:pPr>
        <w:pStyle w:val="Funote"/>
        <w:rPr/>
      </w:pPr>
      <w:r>
        <w:rPr>
          <w:rStyle w:val="Funotenzeichen"/>
        </w:rPr>
        <w:footnoteRef/>
      </w:r>
      <w:r>
        <w:rPr/>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849">
    <w:p>
      <w:pPr>
        <w:pStyle w:val="Funote"/>
        <w:rPr/>
      </w:pPr>
      <w:r>
        <w:rPr>
          <w:rStyle w:val="Funotenzeichen"/>
        </w:rPr>
        <w:footnoteRef/>
      </w:r>
      <w:r>
        <w:rPr/>
        <w:tab/>
        <w:t>[geht aus] - Brachylogie aus V. 5a.</w:t>
      </w:r>
    </w:p>
  </w:footnote>
  <w:footnote w:id="850">
    <w:p>
      <w:pPr>
        <w:pStyle w:val="Funote"/>
        <w:rPr/>
      </w:pPr>
      <w:r>
        <w:rPr>
          <w:rStyle w:val="Funotenzeichen"/>
        </w:rPr>
        <w:footnoteRef/>
      </w:r>
      <w:r>
        <w:rPr/>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851">
    <w:p>
      <w:pPr>
        <w:pStyle w:val="Funote"/>
        <w:rPr/>
      </w:pPr>
      <w:r>
        <w:rPr>
          <w:rStyle w:val="Funotenzeichen"/>
        </w:rPr>
        <w:footnoteRef/>
      </w:r>
      <w:r>
        <w:rPr/>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852">
    <w:p>
      <w:pPr>
        <w:pStyle w:val="Funote"/>
        <w:rPr/>
      </w:pPr>
      <w:r>
        <w:rPr>
          <w:rStyle w:val="Funotenzeichen"/>
        </w:rPr>
        <w:footnoteRef/>
      </w:r>
      <w:r>
        <w:rPr/>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 Zeile in die Reihe der Texte, die betonen, dass JHWH die Sonne geschaffen habe und ihr übergeordnet sei, um so die Sonne zu depotenzieren.</w:t>
      </w:r>
    </w:p>
  </w:footnote>
  <w:footnote w:id="853">
    <w:p>
      <w:pPr>
        <w:pStyle w:val="Funote"/>
        <w:rPr/>
      </w:pPr>
      <w:r>
        <w:rPr>
          <w:rStyle w:val="Funotenzeichen"/>
        </w:rPr>
        <w:footnoteRef/>
      </w:r>
      <w:r>
        <w:rPr/>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die Zeile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854">
    <w:p>
      <w:pPr>
        <w:pStyle w:val="Funote"/>
        <w:rPr/>
      </w:pPr>
      <w:r>
        <w:rPr>
          <w:rStyle w:val="Funotenzeichen"/>
        </w:rPr>
        <w:footnoteRef/>
      </w:r>
      <w:r>
        <w:rPr>
          <w:i/>
        </w:rPr>
        <w:tab/>
        <w:t>Brautzelt (Zelt)</w:t>
      </w:r>
      <w:r>
        <w:rPr/>
        <w:t xml:space="preserve"> - Hierzu s. letzte FN.</w:t>
      </w:r>
    </w:p>
  </w:footnote>
  <w:footnote w:id="855">
    <w:p>
      <w:pPr>
        <w:pStyle w:val="Funote"/>
        <w:rPr/>
      </w:pPr>
      <w:r>
        <w:rPr>
          <w:rStyle w:val="Funotenzeichen"/>
        </w:rPr>
        <w:footnoteRef/>
      </w:r>
      <w:r>
        <w:rPr/>
        <w:tab/>
        <w:t>freut sich wie ein Held [darüber] (freut sich, wie ein Held [sich darüber freut]) - Wortspiel im Hebräischen: Ebenso, wie in der vorigen Zeile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856">
    <w:p>
      <w:pPr>
        <w:pStyle w:val="Funote"/>
        <w:rPr/>
      </w:pPr>
      <w:r>
        <w:rPr>
          <w:rStyle w:val="Funotenzeichen"/>
        </w:rPr>
        <w:footnoteRef/>
      </w:r>
      <w:r>
        <w:rPr>
          <w:i/>
        </w:rPr>
        <w:tab/>
        <w:t>Ende</w:t>
      </w:r>
      <w:r>
        <w:rPr/>
        <w:t xml:space="preserve"> - der äußerste Ort der Welt, an dem der Himmel auf den „Pfeilern des Himmels“ aufruht (für eine schöne grafische Darstellung des hebräischen Weltbildes s. </w:t>
      </w:r>
      <w:hyperlink r:id="rId108">
        <w:r>
          <w:rPr>
            <w:rStyle w:val="Internetverknpfung"/>
          </w:rPr>
          <w:t>hier</w:t>
        </w:r>
      </w:hyperlink>
      <w:r>
        <w:rPr/>
        <w:t>). Die Sonne beginnt ihre Reise entlang des Firmaments also am östlichen „Ende des Himmels“ und vollendet ihn am westlichen Ende.</w:t>
      </w:r>
    </w:p>
  </w:footnote>
  <w:footnote w:id="857">
    <w:p>
      <w:pPr>
        <w:pStyle w:val="Funote"/>
        <w:rPr/>
      </w:pPr>
      <w:r>
        <w:rPr>
          <w:rStyle w:val="Funotenzeichen"/>
        </w:rPr>
        <w:footnoteRef/>
      </w:r>
      <w:r>
        <w:rPr>
          <w:i/>
        </w:rPr>
        <w:tab/>
        <w:t>der Himmel</w:t>
      </w:r>
      <w:r>
        <w:rPr/>
        <w:t xml:space="preserve"> - hierzu vgl. </w:t>
      </w:r>
      <w:r>
        <w:fldChar w:fldCharType="begin"/>
      </w:r>
      <w:r>
        <w:rPr>
          <w:rStyle w:val="Internetverknpfung"/>
        </w:rPr>
        <w:instrText> HYPERLINK "http://www.offene-bibel.de/wiki/index.php5?title=Psalm_19" \l "note_c"</w:instrText>
      </w:r>
      <w:r>
        <w:rPr>
          <w:rStyle w:val="Internetverknpfung"/>
        </w:rPr>
        <w:fldChar w:fldCharType="separate"/>
      </w:r>
      <w:r>
        <w:rPr>
          <w:rStyle w:val="Internetverknpfung"/>
        </w:rPr>
        <w:t>FN c</w:t>
      </w:r>
      <w:r>
        <w:rPr>
          <w:rStyle w:val="Internetverknpfung"/>
        </w:rPr>
        <w:fldChar w:fldCharType="end"/>
      </w:r>
      <w:r>
        <w:rPr/>
        <w:t>.</w:t>
      </w:r>
    </w:p>
  </w:footnote>
  <w:footnote w:id="858">
    <w:p>
      <w:pPr>
        <w:pStyle w:val="Funote"/>
        <w:rPr/>
      </w:pPr>
      <w:r>
        <w:rPr>
          <w:rStyle w:val="Funotenzeichen"/>
        </w:rPr>
        <w:footnoteRef/>
      </w:r>
      <w:r>
        <w:rPr/>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859">
    <w:p>
      <w:pPr>
        <w:pStyle w:val="Funote"/>
        <w:spacing w:before="0" w:after="283"/>
        <w:rPr/>
      </w:pPr>
      <w:r>
        <w:rPr>
          <w:rStyle w:val="Funotenzeichen"/>
        </w:rPr>
        <w:footnoteRef/>
      </w:r>
      <w:r>
        <w:rPr>
          <w:i/>
        </w:rPr>
        <w:tab/>
        <w:t>Gesetz</w:t>
      </w:r>
      <w:r>
        <w:rPr/>
        <w:t xml:space="preserve"> + </w:t>
      </w:r>
      <w:r>
        <w:rPr>
          <w:i/>
        </w:rPr>
        <w:t>Gebot</w:t>
      </w:r>
      <w:r>
        <w:rPr/>
        <w:t xml:space="preserve"> + </w:t>
      </w:r>
      <w:r>
        <w:rPr>
          <w:i/>
        </w:rPr>
        <w:t>Weisungen</w:t>
      </w:r>
      <w:r>
        <w:rPr/>
        <w:t xml:space="preserve"> + </w:t>
      </w:r>
      <w:r>
        <w:rPr>
          <w:i/>
        </w:rPr>
        <w:t>Satzung</w:t>
      </w:r>
      <w:r>
        <w:rPr/>
        <w:t xml:space="preserve"> + </w:t>
      </w:r>
      <w:r>
        <w:rPr>
          <w:i/>
        </w:rPr>
        <w:t>Wort</w:t>
      </w:r>
      <w:r>
        <w:rPr/>
        <w:t xml:space="preserve"> + </w:t>
      </w:r>
      <w:r>
        <w:rPr>
          <w:i/>
        </w:rPr>
        <w:t>Rechtssätze</w:t>
      </w:r>
      <w:r>
        <w:rPr/>
        <w:t xml:space="preserve"> - In den Vv. 8-10 stehen fünf Begriffe, die alle in etwa die selbe Bedeutung haben. Programmatisch beginnt die Begriffsreihe mit </w:t>
      </w:r>
      <w:r>
        <w:rPr>
          <w:i/>
        </w:rPr>
        <w:t>torah jhwh</w:t>
      </w:r>
      <w:r>
        <w:rPr/>
        <w:t>,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w:t>
      </w:r>
    </w:p>
    <w:p>
      <w:pPr>
        <w:pStyle w:val="Textkrper"/>
        <w:rPr/>
      </w:pPr>
      <w:r>
        <w:rPr/>
        <w:tab/>
        <w:t xml:space="preserve">V. 8b ist die Rede vom </w:t>
      </w:r>
      <w:r>
        <w:rPr>
          <w:i/>
        </w:rPr>
        <w:t>edut</w:t>
      </w:r>
      <w:r>
        <w:rPr/>
        <w:t xml:space="preserve"> JHWHs, was in der Bibel meist als </w:t>
      </w:r>
      <w:r>
        <w:rPr>
          <w:i/>
        </w:rPr>
        <w:t>terminus technicus</w:t>
      </w:r>
      <w:r>
        <w:rPr/>
        <w:t xml:space="preserve"> für die 10 Gebote fungiert - die Übersetzung „Zeugnisse“, die sich häufig in Üss. findet, ist zwar möglich, hier aber unpassend.</w:t>
        <w:br/>
      </w:r>
      <w:r>
        <w:rPr>
          <w:i/>
        </w:rPr>
        <w:t>piqudim</w:t>
      </w:r>
      <w:r>
        <w:rPr/>
        <w:t xml:space="preserve"> (V. 9a) als Ausdruck für die Anweisungen Gottes findet sich neben unserer Stelle nur in den späten Psalmen 103 (V. </w:t>
      </w:r>
      <w:hyperlink r:id="rId109">
        <w:r>
          <w:rPr>
            <w:rStyle w:val="Internetverknpfung"/>
          </w:rPr>
          <w:t>18</w:t>
        </w:r>
      </w:hyperlink>
      <w:r>
        <w:rPr/>
        <w:t xml:space="preserve">), Ps 111 (V. </w:t>
      </w:r>
      <w:hyperlink r:id="rId110">
        <w:r>
          <w:rPr>
            <w:rStyle w:val="Internetverknpfung"/>
          </w:rPr>
          <w:t>7</w:t>
        </w:r>
      </w:hyperlink>
      <w:r>
        <w:rPr/>
        <w:t xml:space="preserve">) und oft in </w:t>
      </w:r>
      <w:hyperlink r:id="rId111">
        <w:r>
          <w:rPr>
            <w:rStyle w:val="Internetverknpfung"/>
          </w:rPr>
          <w:t>Ps 119</w:t>
        </w:r>
      </w:hyperlink>
      <w:r>
        <w:rPr/>
        <w:t xml:space="preserve">. Auffällig ist, dass das Wort oft zusammen mit </w:t>
      </w:r>
      <w:r>
        <w:rPr>
          <w:i/>
        </w:rPr>
        <w:t>derek</w:t>
      </w:r>
      <w:r>
        <w:rPr/>
        <w:t xml:space="preserve"> („Weg“) steht und als etwas geschildert wird, dem man „folgen“ kann (s. </w:t>
      </w:r>
      <w:hyperlink r:id="rId112">
        <w:r>
          <w:rPr>
            <w:rStyle w:val="Internetverknpfung"/>
          </w:rPr>
          <w:t>Ps 119,15</w:t>
        </w:r>
      </w:hyperlink>
      <w:r>
        <w:rPr/>
        <w:t>.</w:t>
      </w:r>
      <w:hyperlink r:id="rId113">
        <w:r>
          <w:rPr>
            <w:rStyle w:val="Internetverknpfung"/>
          </w:rPr>
          <w:t>27</w:t>
        </w:r>
      </w:hyperlink>
      <w:r>
        <w:rPr/>
        <w:t>.</w:t>
      </w:r>
      <w:hyperlink r:id="rId114">
        <w:r>
          <w:rPr>
            <w:rStyle w:val="Internetverknpfung"/>
          </w:rPr>
          <w:t>45</w:t>
        </w:r>
      </w:hyperlink>
      <w:r>
        <w:rPr/>
        <w:t>.</w:t>
      </w:r>
      <w:hyperlink r:id="rId115">
        <w:r>
          <w:rPr>
            <w:rStyle w:val="Internetverknpfung"/>
          </w:rPr>
          <w:t>104</w:t>
        </w:r>
      </w:hyperlink>
      <w:r>
        <w:rPr/>
        <w:t>.</w:t>
      </w:r>
      <w:hyperlink r:id="rId116">
        <w:r>
          <w:rPr>
            <w:rStyle w:val="Internetverknpfung"/>
          </w:rPr>
          <w:t>110</w:t>
        </w:r>
      </w:hyperlink>
      <w:r>
        <w:rPr/>
        <w:t>.</w:t>
      </w:r>
      <w:hyperlink r:id="rId117">
        <w:r>
          <w:rPr>
            <w:rStyle w:val="Internetverknpfung"/>
          </w:rPr>
          <w:t>128</w:t>
        </w:r>
      </w:hyperlink>
      <w:r>
        <w:rPr/>
        <w:t>) und kontrastiert wird mit Lügen und Betrug (</w:t>
      </w:r>
      <w:hyperlink r:id="rId118">
        <w:r>
          <w:rPr>
            <w:rStyle w:val="Internetverknpfung"/>
          </w:rPr>
          <w:t>Ps 119,69</w:t>
        </w:r>
      </w:hyperlink>
      <w:r>
        <w:rPr/>
        <w:t>.</w:t>
      </w:r>
      <w:hyperlink r:id="rId119">
        <w:r>
          <w:rPr>
            <w:rStyle w:val="Internetverknpfung"/>
          </w:rPr>
          <w:t>78</w:t>
        </w:r>
      </w:hyperlink>
      <w:r>
        <w:rPr/>
        <w:t>.</w:t>
      </w:r>
      <w:hyperlink r:id="rId120">
        <w:r>
          <w:rPr>
            <w:rStyle w:val="Internetverknpfung"/>
          </w:rPr>
          <w:t>104</w:t>
        </w:r>
      </w:hyperlink>
      <w:r>
        <w:rPr/>
        <w:t xml:space="preserve">) - die </w:t>
      </w:r>
      <w:r>
        <w:rPr>
          <w:i/>
        </w:rPr>
        <w:t>piqudim</w:t>
      </w:r>
      <w:r>
        <w:rPr/>
        <w:t xml:space="preserve"> werden vorgestellt als eine Art „gute Wegbeschreibung“ (</w:t>
      </w:r>
      <w:hyperlink r:id="rId121">
        <w:r>
          <w:rPr>
            <w:rStyle w:val="Internetverknpfung"/>
          </w:rPr>
          <w:t>Ps 119,110</w:t>
        </w:r>
      </w:hyperlink>
      <w:r>
        <w:rPr/>
        <w:t>.</w:t>
      </w:r>
      <w:hyperlink r:id="rId122">
        <w:r>
          <w:rPr>
            <w:rStyle w:val="Internetverknpfung"/>
          </w:rPr>
          <w:t>128</w:t>
        </w:r>
      </w:hyperlink>
      <w:r>
        <w:rPr/>
        <w:t xml:space="preserve">!). Diese Vorstellung könnte auch hinter unserer Stelle stehen, denn die </w:t>
      </w:r>
      <w:r>
        <w:rPr>
          <w:i/>
        </w:rPr>
        <w:t>piqudim</w:t>
      </w:r>
      <w:r>
        <w:rPr/>
        <w:t xml:space="preserve"> JHWHs sind </w:t>
      </w:r>
      <w:r>
        <w:rPr>
          <w:i/>
        </w:rPr>
        <w:t>jescharim</w:t>
      </w:r>
      <w:r>
        <w:rPr/>
        <w:t>, „richtig, eben, angenehm zu befolgen“. Will man diese Vorstellung auch in der Übersetzung herauskommen lassen, empfähle sich die Übersetzung „Weisungen“.</w:t>
      </w:r>
    </w:p>
    <w:p>
      <w:pPr>
        <w:pStyle w:val="Textkrper"/>
        <w:spacing w:before="0" w:after="283"/>
        <w:rPr/>
      </w:pPr>
      <w:r>
        <w:rPr/>
        <w:tab/>
        <w:t xml:space="preserve">Die „Satzung“ (9b) und die „Rechtssätze“ (10b) dürften selbsterklärend sein; erwähnenswert ist, dass auch sie meist als satzhafte Vorgaben aufzufassen sind. Zum „Wort JHWHs“ s. </w:t>
      </w:r>
      <w:r>
        <w:rPr>
          <w:i/>
        </w:rPr>
        <w:t>ad loc</w:t>
      </w:r>
      <w:r>
        <w:rPr/>
        <w:t>.</w:t>
      </w:r>
    </w:p>
  </w:footnote>
  <w:footnote w:id="860">
    <w:p>
      <w:pPr>
        <w:pStyle w:val="Funote"/>
        <w:rPr/>
      </w:pPr>
      <w:r>
        <w:rPr>
          <w:rStyle w:val="Funotenzeichen"/>
        </w:rPr>
        <w:footnoteRef/>
      </w:r>
      <w:r>
        <w:rPr/>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861">
    <w:p>
      <w:pPr>
        <w:pStyle w:val="Funote"/>
        <w:rPr/>
      </w:pPr>
      <w:r>
        <w:rPr>
          <w:rStyle w:val="Funotenzeichen"/>
        </w:rPr>
        <w:footnoteRef/>
      </w:r>
      <w:r>
        <w:rPr/>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862">
    <w:p>
      <w:pPr>
        <w:pStyle w:val="Funote"/>
        <w:rPr/>
      </w:pPr>
      <w:r>
        <w:rPr>
          <w:rStyle w:val="Funotenzeichen"/>
        </w:rPr>
        <w:footnoteRef/>
      </w:r>
      <w:r>
        <w:rPr/>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863">
    <w:p>
      <w:pPr>
        <w:pStyle w:val="Funote"/>
        <w:rPr/>
      </w:pPr>
      <w:r>
        <w:rPr>
          <w:rStyle w:val="Funotenzeichen"/>
        </w:rPr>
        <w:footnoteRef/>
      </w:r>
      <w:r>
        <w:rPr/>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864">
    <w:p>
      <w:pPr>
        <w:pStyle w:val="Funote"/>
        <w:rPr/>
      </w:pPr>
      <w:r>
        <w:rPr>
          <w:rStyle w:val="Funotenzeichen"/>
        </w:rPr>
        <w:footnoteRef/>
      </w:r>
      <w:r>
        <w:rPr/>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865">
    <w:p>
      <w:pPr>
        <w:pStyle w:val="Funote"/>
        <w:rPr/>
      </w:pPr>
      <w:r>
        <w:rPr>
          <w:rStyle w:val="Funotenzeichen"/>
        </w:rPr>
        <w:footnoteRef/>
      </w:r>
      <w:r>
        <w:rPr/>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866">
    <w:p>
      <w:pPr>
        <w:pStyle w:val="Funote"/>
        <w:rPr/>
      </w:pPr>
      <w:r>
        <w:rPr>
          <w:rStyle w:val="Funotenzeichen"/>
        </w:rPr>
        <w:footnoteRef/>
      </w:r>
      <w:r>
        <w:rPr/>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867">
    <w:p>
      <w:pPr>
        <w:pStyle w:val="Funote"/>
        <w:rPr/>
      </w:pPr>
      <w:r>
        <w:rPr>
          <w:rStyle w:val="Funotenzeichen"/>
        </w:rPr>
        <w:footnoteRef/>
      </w:r>
      <w:r>
        <w:rPr>
          <w:i/>
        </w:rPr>
        <w:tab/>
        <w:t>Wahrheit (wahr)</w:t>
      </w:r>
      <w:r>
        <w:rPr/>
        <w:t xml:space="preserve"> - Subst. verwendet als Adj. (häufig im Heb.); übersetze: „wahr“.</w:t>
      </w:r>
    </w:p>
  </w:footnote>
  <w:footnote w:id="868">
    <w:p>
      <w:pPr>
        <w:pStyle w:val="Funote"/>
        <w:rPr/>
      </w:pPr>
      <w:r>
        <w:rPr>
          <w:rStyle w:val="Funotenzeichen"/>
        </w:rPr>
        <w:footnoteRef/>
      </w:r>
      <w:r>
        <w:rPr/>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869">
    <w:p>
      <w:pPr>
        <w:pStyle w:val="Funote"/>
        <w:rPr/>
      </w:pPr>
      <w:r>
        <w:rPr>
          <w:rStyle w:val="Funotenzeichen"/>
        </w:rPr>
        <w:footnoteRef/>
      </w:r>
      <w:r>
        <w:rPr>
          <w:i/>
        </w:rPr>
        <w:tab/>
        <w:t>Honig des Honigs</w:t>
      </w:r>
      <w:r>
        <w:rPr/>
        <w:t xml:space="preserve"> - Der Psalmist verwendet in Vv. 11cd drei verschiedene Wörter mit der Bedeutung „Honig“: „süßer als Honig 1, / ja, als Honig 2 des Honig 3´s“. Diese Konstruktion dient der Intensivierung der gesamten Aussage - ähnlich, wie im häufigen „der Himmel und der Himmel der Himmel“ (</w:t>
      </w:r>
      <w:hyperlink r:id="rId123">
        <w:r>
          <w:rPr>
            <w:rStyle w:val="Internetverknpfung"/>
          </w:rPr>
          <w:t>Dtn 10,14</w:t>
        </w:r>
      </w:hyperlink>
      <w:r>
        <w:rPr/>
        <w:t xml:space="preserve">; </w:t>
      </w:r>
      <w:hyperlink r:id="rId124">
        <w:r>
          <w:rPr>
            <w:rStyle w:val="Internetverknpfung"/>
          </w:rPr>
          <w:t>8,27</w:t>
        </w:r>
      </w:hyperlink>
      <w:r>
        <w:rPr/>
        <w:t xml:space="preserve">; </w:t>
      </w:r>
      <w:hyperlink r:id="rId125">
        <w:r>
          <w:rPr>
            <w:rStyle w:val="Internetverknpfung"/>
          </w:rPr>
          <w:t>2Chr 2,5</w:t>
        </w:r>
      </w:hyperlink>
      <w:r>
        <w:rPr/>
        <w:t xml:space="preserve">; </w:t>
      </w:r>
      <w:hyperlink r:id="rId126">
        <w:r>
          <w:rPr>
            <w:rStyle w:val="Internetverknpfung"/>
          </w:rPr>
          <w:t>6,18</w:t>
        </w:r>
      </w:hyperlink>
      <w:r>
        <w:rPr/>
        <w:t>)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870">
    <w:p>
      <w:pPr>
        <w:pStyle w:val="Funote"/>
        <w:rPr/>
      </w:pPr>
      <w:r>
        <w:rPr>
          <w:rStyle w:val="Funotenzeichen"/>
        </w:rPr>
        <w:footnoteRef/>
      </w:r>
      <w:r>
        <w:rPr/>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871">
    <w:p>
      <w:pPr>
        <w:pStyle w:val="Funote"/>
        <w:rPr/>
      </w:pPr>
      <w:r>
        <w:rPr>
          <w:rStyle w:val="Funotenzeichen"/>
        </w:rPr>
        <w:footnoteRef/>
      </w:r>
      <w:r>
        <w:rPr/>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872">
    <w:p>
      <w:pPr>
        <w:pStyle w:val="Funote"/>
        <w:rPr/>
      </w:pPr>
      <w:r>
        <w:rPr>
          <w:rStyle w:val="Funotenzeichen"/>
        </w:rPr>
        <w:footnoteRef/>
      </w:r>
      <w:r>
        <w:rPr/>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873">
    <w:p>
      <w:pPr>
        <w:pStyle w:val="Funote"/>
        <w:rPr/>
      </w:pPr>
      <w:r>
        <w:rPr>
          <w:rStyle w:val="Funotenzeichen"/>
        </w:rPr>
        <w:footnoteRef/>
      </w:r>
      <w:r>
        <w:rPr/>
        <w:tab/>
        <w:t>Oder: Die Zeile gibt den wörtlichen Inhalt der Warnung wieder: „Durch sie ... wird auch dein Sklave gewarnt: ‚In ihrer Befolgung liegt reichlich Lohn!‘“.</w:t>
      </w:r>
    </w:p>
  </w:footnote>
  <w:footnote w:id="874">
    <w:p>
      <w:pPr>
        <w:pStyle w:val="Funote"/>
        <w:rPr/>
      </w:pPr>
      <w:r>
        <w:rPr>
          <w:rStyle w:val="Funotenzeichen"/>
        </w:rPr>
        <w:footnoteRef/>
      </w:r>
      <w:r>
        <w:rPr>
          <w:i/>
        </w:rPr>
        <w:tab/>
        <w:t>[Doch]</w:t>
      </w:r>
      <w:r>
        <w:rPr/>
        <w:t xml:space="preserve"> - Der Zhg. von Vv. 12.13 ist sicher adversativ; das muss man in der LF wohl besser durch die Einfügung eines „Doch“ o.Ä. ausdrücklich machen.</w:t>
      </w:r>
    </w:p>
  </w:footnote>
  <w:footnote w:id="875">
    <w:p>
      <w:pPr>
        <w:pStyle w:val="Funote"/>
        <w:rPr/>
      </w:pPr>
      <w:r>
        <w:rPr>
          <w:rStyle w:val="Funotenzeichen"/>
        </w:rPr>
        <w:footnoteRef/>
      </w:r>
      <w:r>
        <w:rPr/>
        <w:tab/>
        <w:t>Versehen (versehentliche Fehler) - Bedeutung unsicher (-&gt; Hapax legomenon); vermutlich meint es in etwa das selbe wie das folgende „Verborgene (ungewollte Sünden)“; vgl. z.B. König 1927, S. 104; Kittel 1914, S. 78; Wagner 1999, S. 258; Nel 2004, S. 113f.</w:t>
      </w:r>
    </w:p>
  </w:footnote>
  <w:footnote w:id="876">
    <w:p>
      <w:pPr>
        <w:pStyle w:val="Funote"/>
        <w:rPr/>
      </w:pPr>
      <w:r>
        <w:rPr>
          <w:rStyle w:val="Funotenzeichen"/>
        </w:rPr>
        <w:footnoteRef/>
      </w:r>
      <w:r>
        <w:rPr/>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877">
    <w:p>
      <w:pPr>
        <w:pStyle w:val="Funote"/>
        <w:rPr/>
      </w:pPr>
      <w:r>
        <w:rPr>
          <w:rStyle w:val="Funotenzeichen"/>
        </w:rPr>
        <w:footnoteRef/>
      </w:r>
      <w:r>
        <w:rPr>
          <w:i/>
        </w:rPr>
        <w:tab/>
        <w:t>Verborgenen (ungewollte Sünden)</w:t>
      </w:r>
      <w:r>
        <w:rPr/>
        <w:t xml:space="preserve"> ist ein Begriff aus der israelitischen Rechtsterminologie; man bezeichnet damit Vergehen und Sünden, die ein Sünder unwissentlich begangen hat. Vgl. z.B. </w:t>
      </w:r>
      <w:hyperlink r:id="rId127">
        <w:r>
          <w:rPr>
            <w:rStyle w:val="Internetverknpfung"/>
          </w:rPr>
          <w:t>Lev 4</w:t>
        </w:r>
      </w:hyperlink>
      <w:r>
        <w:rPr/>
        <w:t>-</w:t>
      </w:r>
      <w:hyperlink r:id="rId128">
        <w:r>
          <w:rPr>
            <w:rStyle w:val="Internetverknpfung"/>
          </w:rPr>
          <w:t>5</w:t>
        </w:r>
      </w:hyperlink>
      <w:r>
        <w:rPr/>
        <w:t>.</w:t>
      </w:r>
    </w:p>
  </w:footnote>
  <w:footnote w:id="878">
    <w:p>
      <w:pPr>
        <w:pStyle w:val="Funote"/>
        <w:rPr/>
      </w:pPr>
      <w:r>
        <w:rPr>
          <w:rStyle w:val="Funotenzeichen"/>
        </w:rPr>
        <w:footnoteRef/>
      </w:r>
      <w:r>
        <w:rPr/>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879">
    <w:p>
      <w:pPr>
        <w:pStyle w:val="Funote"/>
        <w:rPr/>
      </w:pPr>
      <w:r>
        <w:rPr>
          <w:rStyle w:val="Funotenzeichen"/>
        </w:rPr>
        <w:footnoteRef/>
      </w:r>
      <w:r>
        <w:rPr/>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880">
    <w:p>
      <w:pPr>
        <w:pStyle w:val="Funote"/>
        <w:rPr/>
      </w:pPr>
      <w:r>
        <w:rPr>
          <w:rStyle w:val="Funotenzeichen"/>
        </w:rPr>
        <w:footnoteRef/>
      </w:r>
      <w:r>
        <w:rPr/>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881">
    <w:p>
      <w:pPr>
        <w:pStyle w:val="Funote"/>
        <w:rPr/>
      </w:pPr>
      <w:r>
        <w:rPr>
          <w:rStyle w:val="Funotenzeichen"/>
        </w:rPr>
        <w:footnoteRef/>
      </w:r>
      <w:r>
        <w:rPr/>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in der zweiten Zeile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882">
    <w:p>
      <w:pPr>
        <w:pStyle w:val="Funote"/>
        <w:rPr/>
      </w:pPr>
      <w:r>
        <w:rPr>
          <w:rStyle w:val="Funotenzeichen"/>
        </w:rPr>
        <w:footnoteRef/>
      </w:r>
      <w:r>
        <w:rPr/>
        <w:tab/>
        <w:t>[Status: Zuverlässig]</w:t>
      </w:r>
    </w:p>
  </w:footnote>
  <w:footnote w:id="883">
    <w:p>
      <w:pPr>
        <w:pStyle w:val="Funote"/>
        <w:rPr/>
      </w:pPr>
      <w:r>
        <w:rPr>
          <w:rStyle w:val="Funotenzeichen"/>
        </w:rPr>
        <w:footnoteRef/>
      </w:r>
      <w:r>
        <w:rPr>
          <w:i/>
        </w:rPr>
        <w:tab/>
        <w:t>Chorleiter</w:t>
      </w:r>
      <w:r>
        <w:rPr/>
        <w:t xml:space="preserve"> - Heb. </w:t>
      </w:r>
      <w:r>
        <w:rPr>
          <w:i/>
        </w:rPr>
        <w:t>menatseach</w:t>
      </w:r>
      <w:r>
        <w:rPr/>
        <w:t>; genaue Bedeutung unklar. Die Primärübersetzung „Chorleiter“ ist mehr oder weniger Konvention. S. noch nächste FN.</w:t>
      </w:r>
    </w:p>
  </w:footnote>
  <w:footnote w:id="884">
    <w:p>
      <w:pPr>
        <w:pStyle w:val="Funote"/>
        <w:rPr/>
      </w:pPr>
      <w:r>
        <w:rPr>
          <w:rStyle w:val="Funotenzeichen"/>
        </w:rPr>
        <w:footnoteRef/>
      </w:r>
      <w:r>
        <w:rPr/>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885">
    <w:p>
      <w:pPr>
        <w:pStyle w:val="Funote"/>
        <w:rPr/>
      </w:pPr>
      <w:r>
        <w:rPr>
          <w:rStyle w:val="Funotenzeichen"/>
        </w:rPr>
        <w:footnoteRef/>
      </w:r>
      <w:r>
        <w:rPr/>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886">
    <w:p>
      <w:pPr>
        <w:pStyle w:val="Funote"/>
        <w:rPr/>
      </w:pPr>
      <w:r>
        <w:rPr>
          <w:rStyle w:val="Funotenzeichen"/>
        </w:rPr>
        <w:footnoteRef/>
      </w:r>
      <w:r>
        <w:rPr>
          <w:i/>
        </w:rPr>
        <w:tab/>
        <w:t>Antworten</w:t>
      </w:r>
      <w:r>
        <w:rPr/>
        <w:t xml:space="preserve"> ist in Zhgg. wie diesem fast stets ein stehender Begriff für die Gebetserhörungen Gottes.</w:t>
      </w:r>
    </w:p>
  </w:footnote>
  <w:footnote w:id="887">
    <w:p>
      <w:pPr>
        <w:pStyle w:val="Funote"/>
        <w:rPr/>
      </w:pPr>
      <w:r>
        <w:rPr>
          <w:rStyle w:val="Funotenzeichen"/>
        </w:rPr>
        <w:footnoteRef/>
      </w:r>
      <w:r>
        <w:rPr/>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888">
    <w:p>
      <w:pPr>
        <w:pStyle w:val="Funote"/>
        <w:rPr/>
      </w:pPr>
      <w:r>
        <w:rPr>
          <w:rStyle w:val="Funotenzeichen"/>
        </w:rPr>
        <w:footnoteRef/>
      </w:r>
      <w:r>
        <w:rPr/>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889">
    <w:p>
      <w:pPr>
        <w:pStyle w:val="Funote"/>
        <w:rPr/>
      </w:pPr>
      <w:r>
        <w:rPr>
          <w:rStyle w:val="Funotenzeichen"/>
        </w:rPr>
        <w:footnoteRef/>
      </w:r>
      <w:r>
        <w:rPr/>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890">
    <w:p>
      <w:pPr>
        <w:pStyle w:val="Funote"/>
        <w:rPr/>
      </w:pPr>
      <w:r>
        <w:rPr>
          <w:rStyle w:val="Funotenzeichen"/>
        </w:rPr>
        <w:footnoteRef/>
      </w:r>
      <w:r>
        <w:rPr>
          <w:i/>
        </w:rPr>
        <w:tab/>
        <w:t>Reißen die Lippe[n] auf, schütteln den Kopf</w:t>
      </w:r>
      <w:r>
        <w:rPr/>
        <w:t xml:space="preserve"> - Zwei Gesten der Verachtung. Zur ersten Geste s. noch </w:t>
      </w:r>
      <w:hyperlink r:id="rId129">
        <w:r>
          <w:rPr>
            <w:rStyle w:val="Internetverknpfung"/>
          </w:rPr>
          <w:t>Ijob 16,10</w:t>
        </w:r>
      </w:hyperlink>
      <w:r>
        <w:rPr/>
        <w:t xml:space="preserve">; </w:t>
      </w:r>
      <w:hyperlink r:id="rId130">
        <w:r>
          <w:rPr>
            <w:rStyle w:val="Internetverknpfung"/>
          </w:rPr>
          <w:t>Ps 35,21</w:t>
        </w:r>
      </w:hyperlink>
      <w:r>
        <w:rPr/>
        <w:t xml:space="preserve">; zur zweiten </w:t>
      </w:r>
      <w:hyperlink r:id="rId131">
        <w:r>
          <w:rPr>
            <w:rStyle w:val="Internetverknpfung"/>
          </w:rPr>
          <w:t>Ps 44,14</w:t>
        </w:r>
      </w:hyperlink>
      <w:r>
        <w:rPr/>
        <w:t xml:space="preserve">; </w:t>
      </w:r>
      <w:hyperlink r:id="rId132">
        <w:r>
          <w:rPr>
            <w:rStyle w:val="Internetverknpfung"/>
          </w:rPr>
          <w:t>64,8</w:t>
        </w:r>
      </w:hyperlink>
      <w:r>
        <w:rPr/>
        <w:t>.</w:t>
      </w:r>
    </w:p>
  </w:footnote>
  <w:footnote w:id="891">
    <w:p>
      <w:pPr>
        <w:pStyle w:val="Funote"/>
        <w:rPr/>
      </w:pPr>
      <w:r>
        <w:rPr>
          <w:rStyle w:val="Funotenzeichen"/>
        </w:rPr>
        <w:footnoteRef/>
      </w:r>
      <w:r>
        <w:rPr/>
        <w:tab/>
        <w:t>[und spotten:] - das Folgende ist eine Spottrede der der „Leute“, die dem Psalmisten absprechen, dass Gott Wohlgefallen an ihm habe. Vgl. z.B. Gordis 1949, S. 167f.</w:t>
      </w:r>
    </w:p>
  </w:footnote>
  <w:footnote w:id="892">
    <w:p>
      <w:pPr>
        <w:pStyle w:val="Funote"/>
        <w:rPr/>
      </w:pPr>
      <w:r>
        <w:rPr>
          <w:rStyle w:val="Funotenzeichen"/>
        </w:rPr>
        <w:footnoteRef/>
      </w:r>
      <w:r>
        <w:rPr/>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893">
    <w:p>
      <w:pPr>
        <w:pStyle w:val="Funote"/>
        <w:rPr/>
      </w:pPr>
      <w:r>
        <w:rPr>
          <w:rStyle w:val="Funotenzeichen"/>
        </w:rPr>
        <w:footnoteRef/>
      </w:r>
      <w:r>
        <w:rPr/>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894">
    <w:p>
      <w:pPr>
        <w:pStyle w:val="Funote"/>
        <w:rPr/>
      </w:pPr>
      <w:r>
        <w:rPr>
          <w:rStyle w:val="Funotenzeichen"/>
        </w:rPr>
        <w:footnoteRef/>
      </w:r>
      <w:r>
        <w:rPr>
          <w:i/>
        </w:rPr>
        <w:tab/>
        <w:t>aus dem Schoß hervorbrechen ließ</w:t>
      </w:r>
      <w:r>
        <w:rPr/>
        <w:t xml:space="preserve"> - d.h. der bei meiner Geburt Hebammendienst leistete. V. 10 spricht davon, wie Gott sich schon von Geburt an um den Psalmisten kümmerte, V. 11 davon, wie der Psalmist dafür schon von Geburt an Gott tief verbunden war.</w:t>
      </w:r>
    </w:p>
  </w:footnote>
  <w:footnote w:id="895">
    <w:p>
      <w:pPr>
        <w:pStyle w:val="Funote"/>
        <w:rPr/>
      </w:pPr>
      <w:r>
        <w:rPr>
          <w:rStyle w:val="Funotenzeichen"/>
        </w:rPr>
        <w:footnoteRef/>
      </w:r>
      <w:r>
        <w:rPr/>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896">
    <w:p>
      <w:pPr>
        <w:pStyle w:val="Funote"/>
        <w:rPr/>
      </w:pPr>
      <w:r>
        <w:rPr>
          <w:rStyle w:val="Funotenzeichen"/>
        </w:rPr>
        <w:footnoteRef/>
      </w:r>
      <w:r>
        <w:rPr/>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897">
    <w:p>
      <w:pPr>
        <w:pStyle w:val="Funote"/>
        <w:rPr/>
      </w:pPr>
      <w:r>
        <w:rPr>
          <w:rStyle w:val="Funotenzeichen"/>
        </w:rPr>
        <w:footnoteRef/>
      </w:r>
      <w:r>
        <w:rPr>
          <w:i/>
        </w:rPr>
        <w:tab/>
        <w:t>Enge (Bedrängnis) ist nahe</w:t>
      </w:r>
      <w:r>
        <w:rPr/>
        <w:t xml:space="preserve"> - dazu s. </w:t>
      </w:r>
      <w:r>
        <w:fldChar w:fldCharType="begin"/>
      </w:r>
      <w:r>
        <w:rPr>
          <w:rStyle w:val="Internetverknpfung"/>
        </w:rPr>
        <w:instrText> HYPERLINK "../../../../../../../../../wiki/Psalm_4" \l "s2"</w:instrText>
      </w:r>
      <w:r>
        <w:rPr>
          <w:rStyle w:val="Internetverknpfung"/>
        </w:rPr>
        <w:fldChar w:fldCharType="separate"/>
      </w:r>
      <w:r>
        <w:rPr>
          <w:rStyle w:val="Internetverknpfung"/>
        </w:rPr>
        <w:t>Ps 4,2</w:t>
      </w:r>
      <w:r>
        <w:rPr>
          <w:rStyle w:val="Internetverknpfung"/>
        </w:rPr>
        <w:fldChar w:fldCharType="end"/>
      </w:r>
      <w:r>
        <w:rPr/>
        <w:t xml:space="preserve"> (dazu </w:t>
      </w:r>
      <w:r>
        <w:fldChar w:fldCharType="begin"/>
      </w:r>
      <w:r>
        <w:rPr>
          <w:rStyle w:val="Internetverknpfung"/>
        </w:rPr>
        <w:instrText> HYPERLINK "http://offene-bibel.de/wiki/Psalm_4" \l "note_f"</w:instrText>
      </w:r>
      <w:r>
        <w:rPr>
          <w:rStyle w:val="Internetverknpfung"/>
        </w:rPr>
        <w:fldChar w:fldCharType="separate"/>
      </w:r>
      <w:r>
        <w:rPr>
          <w:rStyle w:val="Internetverknpfung"/>
        </w:rPr>
        <w:t>FN f</w:t>
      </w:r>
      <w:r>
        <w:rPr>
          <w:rStyle w:val="Internetverknpfung"/>
        </w:rPr>
        <w:fldChar w:fldCharType="end"/>
      </w:r>
      <w:r>
        <w:rPr/>
        <w:t xml:space="preserve">); </w:t>
      </w:r>
      <w:hyperlink r:id="rId133">
        <w:r>
          <w:rPr>
            <w:rStyle w:val="Internetverknpfung"/>
          </w:rPr>
          <w:t>25,17</w:t>
        </w:r>
      </w:hyperlink>
      <w:r>
        <w:rPr/>
        <w:t xml:space="preserve">: Not wird in der Bibel des Öfteren mit der Metapher des Beengt-seins ausgedrückt. Hier gleich doppelt: „die </w:t>
      </w:r>
      <w:r>
        <w:rPr>
          <w:i/>
        </w:rPr>
        <w:t>Enge</w:t>
      </w:r>
      <w:r>
        <w:rPr/>
        <w:t xml:space="preserve"> ist </w:t>
      </w:r>
      <w:r>
        <w:rPr>
          <w:i/>
        </w:rPr>
        <w:t>nahe</w:t>
      </w:r>
      <w:r>
        <w:rPr/>
        <w:t>“ - ganz im Gegensatz zum „fernen“ Gott, der den Psalmisten verlassen hat.</w:t>
      </w:r>
    </w:p>
  </w:footnote>
  <w:footnote w:id="898">
    <w:p>
      <w:pPr>
        <w:pStyle w:val="Funote"/>
        <w:rPr/>
      </w:pPr>
      <w:r>
        <w:rPr>
          <w:rStyle w:val="Funotenzeichen"/>
        </w:rPr>
        <w:footnoteRef/>
      </w:r>
      <w:r>
        <w:rPr>
          <w:i/>
        </w:rPr>
        <w:tab/>
        <w:t>Baschan[stiere]</w:t>
      </w:r>
      <w:r>
        <w:rPr/>
        <w:t xml:space="preserve"> - Baschan war eine äußerst fruchtbare Region; die „</w:t>
      </w:r>
      <w:r>
        <w:rPr>
          <w:i/>
        </w:rPr>
        <w:t>Baschan</w:t>
      </w:r>
      <w:r>
        <w:rPr/>
        <w:t xml:space="preserve">stiere“ sind daher hier noch mal als Steigerung der bloßen „Stiere“ erwähnt: als besonders gut genährte und daher besonders gefährliche Vertreter ihrer Art. Vgl. </w:t>
      </w:r>
      <w:r>
        <w:fldChar w:fldCharType="begin"/>
      </w:r>
      <w:r>
        <w:rPr>
          <w:rStyle w:val="Internetverknpfung"/>
        </w:rPr>
        <w:instrText> HYPERLINK "../../../../../../../../../wiki/Deuteronomium_32" \l "s14"</w:instrText>
      </w:r>
      <w:r>
        <w:rPr>
          <w:rStyle w:val="Internetverknpfung"/>
        </w:rPr>
        <w:fldChar w:fldCharType="separate"/>
      </w:r>
      <w:r>
        <w:rPr>
          <w:rStyle w:val="Internetverknpfung"/>
        </w:rPr>
        <w:t>Dtn 32,14</w:t>
      </w:r>
      <w:r>
        <w:rPr>
          <w:rStyle w:val="Internetverknpfung"/>
        </w:rPr>
        <w:fldChar w:fldCharType="end"/>
      </w:r>
      <w:r>
        <w:rPr/>
        <w:t xml:space="preserve"> und </w:t>
      </w:r>
      <w:hyperlink r:id="rId134">
        <w:r>
          <w:rPr>
            <w:rStyle w:val="Internetverknpfung"/>
          </w:rPr>
          <w:t>Ez 39,18</w:t>
        </w:r>
      </w:hyperlink>
      <w:r>
        <w:rPr/>
        <w:t xml:space="preserve">, wo die „Baschanstiere“ als besonders nahrhafte Vertreter ihrer Art genannt werden, und </w:t>
      </w:r>
      <w:r>
        <w:fldChar w:fldCharType="begin"/>
      </w:r>
      <w:r>
        <w:rPr>
          <w:rStyle w:val="Internetverknpfung"/>
        </w:rPr>
        <w:instrText> HYPERLINK "../../../../../../../../../wiki/Amos_4" \l "s1"</w:instrText>
      </w:r>
      <w:r>
        <w:rPr>
          <w:rStyle w:val="Internetverknpfung"/>
        </w:rPr>
        <w:fldChar w:fldCharType="separate"/>
      </w:r>
      <w:r>
        <w:rPr>
          <w:rStyle w:val="Internetverknpfung"/>
        </w:rPr>
        <w:t>Am 4,1</w:t>
      </w:r>
      <w:r>
        <w:rPr>
          <w:rStyle w:val="Internetverknpfung"/>
        </w:rPr>
        <w:fldChar w:fldCharType="end"/>
      </w:r>
      <w:r>
        <w:rPr/>
        <w:t>, wo sie gar zur Metapher für trinkfreudige Bonzen werden.</w:t>
      </w:r>
    </w:p>
  </w:footnote>
  <w:footnote w:id="899">
    <w:p>
      <w:pPr>
        <w:pStyle w:val="Funote"/>
        <w:rPr/>
      </w:pPr>
      <w:r>
        <w:rPr>
          <w:rStyle w:val="Funotenzeichen"/>
        </w:rPr>
        <w:footnoteRef/>
      </w:r>
      <w:r>
        <w:rPr>
          <w:i/>
        </w:rPr>
        <w:tab/>
        <w:t>reißende, brüllende Löwen ([wie] ein reißender, brüllender Löwe)</w:t>
      </w:r>
      <w:r>
        <w:rPr/>
        <w:t xml:space="preserve"> steht im heb. Text im Sg. Viele denken daher, dass Subjekt des „Maul-Aufsperrens“ die (selbst schon metaphorischen) Baschanstiere wären, die danach noch einmal mit dem Vergleich „[wie] ein Löwe“ näher spezifiziert würden. Wahrscheinlicher ist, dass </w:t>
      </w:r>
      <w:r>
        <w:rPr>
          <w:i/>
        </w:rPr>
        <w:t>Löwe</w:t>
      </w:r>
      <w:r>
        <w:rPr/>
        <w:t xml:space="preserve"> hier ein sog. „kollektiver Singular“ mit Pluralbedeutung ist und als ein solcher mit dem Pluralverb „</w:t>
      </w:r>
      <w:r>
        <w:rPr>
          <w:i/>
        </w:rPr>
        <w:t>sie</w:t>
      </w:r>
      <w:r>
        <w:rPr/>
        <w:t xml:space="preserve"> sperr</w:t>
      </w:r>
      <w:r>
        <w:rPr>
          <w:i/>
        </w:rPr>
        <w:t>en ihr</w:t>
      </w:r>
      <w:r>
        <w:rPr/>
        <w:t xml:space="preserve"> Maul gegen mich auf“ konstruiert wird.</w:t>
        <w:br/>
        <w:t>Das „Maul-aufsperren“ ist hier nicht wie in V. 8 als Spottgeste zu verstehen, sondern wörtlich als Bild für die von den Löwen ausgehende Gefahr.</w:t>
      </w:r>
    </w:p>
  </w:footnote>
  <w:footnote w:id="900">
    <w:p>
      <w:pPr>
        <w:pStyle w:val="Funote"/>
        <w:rPr/>
      </w:pPr>
      <w:r>
        <w:rPr>
          <w:rStyle w:val="Funotenzeichen"/>
        </w:rPr>
        <w:footnoteRef/>
      </w:r>
      <w:r>
        <w:rPr>
          <w:i/>
        </w:rPr>
        <w:tab/>
        <w:t>{</w:t>
      </w:r>
      <w:r>
        <w:rPr>
          <w:i/>
          <w:strike/>
        </w:rPr>
        <w:t>das</w:t>
      </w:r>
      <w:r>
        <w:rPr>
          <w:i/>
        </w:rPr>
        <w:t>}</w:t>
      </w:r>
      <w:r>
        <w:rPr/>
        <w:t xml:space="preserve"> (V. 15); </w:t>
      </w:r>
      <w:r>
        <w:rPr>
          <w:i/>
        </w:rPr>
        <w:t>{</w:t>
      </w:r>
      <w:r>
        <w:rPr>
          <w:i/>
          <w:strike/>
        </w:rPr>
        <w:t>der</w:t>
      </w:r>
      <w:r>
        <w:rPr>
          <w:i/>
        </w:rPr>
        <w:t>} [ein]</w:t>
      </w:r>
      <w:r>
        <w:rPr/>
        <w:t xml:space="preserve"> (V. 17) - Vergleiche werden im Heb. häufig auch dort mit best. Artikel konstruiert, wo das Dt. einen unbest. Artikel verwenden würde.</w:t>
      </w:r>
    </w:p>
  </w:footnote>
  <w:footnote w:id="901">
    <w:p>
      <w:pPr>
        <w:pStyle w:val="Funote"/>
        <w:rPr/>
      </w:pPr>
      <w:r>
        <w:rPr>
          <w:rStyle w:val="Funotenzeichen"/>
        </w:rPr>
        <w:footnoteRef/>
      </w:r>
      <w:r>
        <w:rPr/>
        <w:tab/>
        <w:t>Eine Reihe starker Metaphern zur Beschreibung der Not: Aus lauter Furcht verflüssigt sich der Psalmist regelrecht.</w:t>
      </w:r>
    </w:p>
  </w:footnote>
  <w:footnote w:id="902">
    <w:p>
      <w:pPr>
        <w:pStyle w:val="Funote"/>
        <w:rPr/>
      </w:pPr>
      <w:r>
        <w:rPr>
          <w:rStyle w:val="Funotenzeichen"/>
        </w:rPr>
        <w:footnoteRef/>
      </w:r>
      <w:r>
        <w:rPr/>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903">
    <w:p>
      <w:pPr>
        <w:pStyle w:val="Funote"/>
        <w:rPr/>
      </w:pPr>
      <w:r>
        <w:rPr>
          <w:rStyle w:val="Funotenzeichen"/>
        </w:rPr>
        <w:footnoteRef/>
      </w:r>
      <w:r>
        <w:rPr/>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904">
    <w:p>
      <w:pPr>
        <w:pStyle w:val="Funote"/>
        <w:rPr/>
      </w:pPr>
      <w:r>
        <w:rPr>
          <w:rStyle w:val="Funotenzeichen"/>
        </w:rPr>
        <w:footnoteRef/>
      </w:r>
      <w:r>
        <w:rPr/>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905">
    <w:p>
      <w:pPr>
        <w:pStyle w:val="Funote"/>
        <w:rPr/>
      </w:pPr>
      <w:r>
        <w:rPr>
          <w:rStyle w:val="Funotenzeichen"/>
        </w:rPr>
        <w:footnoteRef/>
      </w:r>
      <w:r>
        <w:rPr>
          <w:i/>
        </w:rPr>
        <w:tab/>
        <w:t>Aufgegraben sind ([wie] ein Löwe, gebunden sind)</w:t>
      </w:r>
      <w:r>
        <w:rPr/>
        <w:t xml:space="preserve"> - zu diesen Alternativen s. die nächste FN.</w:t>
      </w:r>
    </w:p>
  </w:footnote>
  <w:footnote w:id="906">
    <w:p>
      <w:pPr>
        <w:pStyle w:val="Funote"/>
        <w:rPr/>
      </w:pPr>
      <w:r>
        <w:rPr>
          <w:rStyle w:val="Funotenzeichen"/>
        </w:rPr>
        <w:footnoteRef/>
      </w:r>
      <w:r>
        <w:rPr/>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wird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907">
    <w:p>
      <w:pPr>
        <w:pStyle w:val="Funote"/>
        <w:rPr/>
      </w:pPr>
      <w:r>
        <w:rPr>
          <w:rStyle w:val="Funotenzeichen"/>
        </w:rPr>
        <w:footnoteRef/>
      </w:r>
      <w:r>
        <w:rPr/>
        <w:tab/>
        <w:t>Das Aufteilen der Kleidung ist wohl eine Anspielung auf eine Hinrichtungsszene, s. Mk 15,24 parr., Sanh 6,3; vgl. Deissler 1981, S. 111. Der Psalmist schwebt in unmittelbarer Todesgefahr.</w:t>
      </w:r>
    </w:p>
  </w:footnote>
  <w:footnote w:id="908">
    <w:p>
      <w:pPr>
        <w:pStyle w:val="Funote"/>
        <w:rPr/>
      </w:pPr>
      <w:r>
        <w:rPr>
          <w:rStyle w:val="Funotenzeichen"/>
        </w:rPr>
        <w:footnoteRef/>
      </w:r>
      <w:r>
        <w:rPr/>
        <w:tab/>
        <w:t xml:space="preserve">Zu </w:t>
      </w:r>
      <w:r>
        <w:rPr>
          <w:i/>
        </w:rPr>
        <w:t>sei nicht fern</w:t>
      </w:r>
      <w:r>
        <w:rPr/>
        <w:t xml:space="preserve"> s.o. </w:t>
      </w:r>
      <w:r>
        <w:fldChar w:fldCharType="begin"/>
      </w:r>
      <w:r>
        <w:rPr>
          <w:rStyle w:val="Internetverknpfung"/>
        </w:rPr>
        <w:instrText> HYPERLINK "http://offene-bibel.de/wiki/Psalm_22" \l "note_c"</w:instrText>
      </w:r>
      <w:r>
        <w:rPr>
          <w:rStyle w:val="Internetverknpfung"/>
        </w:rPr>
        <w:fldChar w:fldCharType="separate"/>
      </w:r>
      <w:r>
        <w:rPr>
          <w:rStyle w:val="Internetverknpfung"/>
        </w:rPr>
        <w:t>FN c</w:t>
      </w:r>
      <w:r>
        <w:rPr>
          <w:rStyle w:val="Internetverknpfung"/>
        </w:rPr>
        <w:fldChar w:fldCharType="end"/>
      </w:r>
      <w:r>
        <w:rPr/>
        <w:t>.</w:t>
      </w:r>
    </w:p>
  </w:footnote>
  <w:footnote w:id="909">
    <w:p>
      <w:pPr>
        <w:pStyle w:val="Funote"/>
        <w:rPr/>
      </w:pPr>
      <w:r>
        <w:rPr>
          <w:rStyle w:val="Funotenzeichen"/>
        </w:rPr>
        <w:footnoteRef/>
      </w:r>
      <w:r>
        <w:rPr/>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910">
    <w:p>
      <w:pPr>
        <w:pStyle w:val="Funote"/>
        <w:rPr/>
      </w:pPr>
      <w:r>
        <w:rPr>
          <w:rStyle w:val="Funotenzeichen"/>
        </w:rPr>
        <w:footnoteRef/>
      </w:r>
      <w:r>
        <w:rPr>
          <w:i/>
        </w:rPr>
        <w:tab/>
        <w:t>der Hunde</w:t>
      </w:r>
      <w:r>
        <w:rPr/>
        <w:t xml:space="preserve"> - W. „des Hundes“, kollektiver Sg. mit Pl.-Bed.</w:t>
      </w:r>
    </w:p>
  </w:footnote>
  <w:footnote w:id="911">
    <w:p>
      <w:pPr>
        <w:pStyle w:val="Funote"/>
        <w:rPr/>
      </w:pPr>
      <w:r>
        <w:rPr>
          <w:rStyle w:val="Funotenzeichen"/>
        </w:rPr>
        <w:footnoteRef/>
      </w:r>
      <w:r>
        <w:rPr>
          <w:i/>
        </w:rPr>
        <w:tab/>
        <w:t>Einzige</w:t>
      </w:r>
      <w:r>
        <w:rPr/>
        <w:t xml:space="preserve"> - wohl poet. Wechselbegriff für „Leben“, s. ebenso </w:t>
      </w:r>
      <w:hyperlink r:id="rId135">
        <w:r>
          <w:rPr>
            <w:rStyle w:val="Internetverknpfung"/>
          </w:rPr>
          <w:t>Ps 35,17</w:t>
        </w:r>
      </w:hyperlink>
      <w:r>
        <w:rPr/>
        <w:t>.</w:t>
      </w:r>
    </w:p>
  </w:footnote>
  <w:footnote w:id="912">
    <w:p>
      <w:pPr>
        <w:pStyle w:val="Funote"/>
        <w:rPr/>
      </w:pPr>
      <w:r>
        <w:rPr>
          <w:rStyle w:val="Funotenzeichen"/>
        </w:rPr>
        <w:footnoteRef/>
      </w:r>
      <w:r>
        <w:rPr>
          <w:i/>
        </w:rPr>
        <w:tab/>
        <w:t>der Löwen</w:t>
      </w:r>
      <w:r>
        <w:rPr/>
        <w:t xml:space="preserve"> - W. „des Löwen“, kollektiver Sg. mit Pl.-Bed.</w:t>
      </w:r>
    </w:p>
  </w:footnote>
  <w:footnote w:id="913">
    <w:p>
      <w:pPr>
        <w:pStyle w:val="Funote"/>
        <w:rPr/>
      </w:pPr>
      <w:r>
        <w:rPr>
          <w:rStyle w:val="Funotenzeichen"/>
        </w:rPr>
        <w:footnoteRef/>
      </w:r>
      <w:r>
        <w:rPr/>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914">
    <w:p>
      <w:pPr>
        <w:pStyle w:val="Funote"/>
        <w:rPr/>
      </w:pPr>
      <w:r>
        <w:rPr>
          <w:rStyle w:val="Funotenzeichen"/>
        </w:rPr>
        <w:footnoteRef/>
      </w:r>
      <w:r>
        <w:rPr/>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915">
    <w:p>
      <w:pPr>
        <w:pStyle w:val="Funote"/>
        <w:rPr/>
      </w:pPr>
      <w:r>
        <w:rPr>
          <w:rStyle w:val="Funotenzeichen"/>
        </w:rPr>
        <w:footnoteRef/>
      </w:r>
      <w:r>
        <w:rPr/>
        <w:tab/>
        <w:t>Es folgt eine „Probe der Rede, ... welche der Dichter nach V. 23 zum Ruhme JHVHes im Verein seiner Gesinnungsgenossen halten will, wenn er ihn aus seiner Not gerettet hat.“ (Ehrlich 1905, S. 47)</w:t>
      </w:r>
    </w:p>
  </w:footnote>
  <w:footnote w:id="916">
    <w:p>
      <w:pPr>
        <w:pStyle w:val="Funote"/>
        <w:rPr/>
      </w:pPr>
      <w:r>
        <w:rPr>
          <w:rStyle w:val="Funotenzeichen"/>
        </w:rPr>
        <w:footnoteRef/>
      </w:r>
      <w:r>
        <w:rPr>
          <w:i/>
        </w:rPr>
        <w:tab/>
        <w:t>Nachkommen Jakobs</w:t>
      </w:r>
      <w:r>
        <w:rPr/>
        <w:t xml:space="preserve"> - Häufiger Wechselbegriff für die „Israeliten“, die Nachfahren ihres Stammvaters Jakob/Israel (vgl. </w:t>
      </w:r>
      <w:r>
        <w:fldChar w:fldCharType="begin"/>
      </w:r>
      <w:r>
        <w:rPr>
          <w:rStyle w:val="Internetverknpfung"/>
        </w:rPr>
        <w:instrText> HYPERLINK "https://www.bibelwissenschaft.de/stichwort/22151/" \l "h3"</w:instrText>
      </w:r>
      <w:r>
        <w:rPr>
          <w:rStyle w:val="Internetverknpfung"/>
        </w:rPr>
        <w:fldChar w:fldCharType="separate"/>
      </w:r>
      <w:r>
        <w:rPr>
          <w:rStyle w:val="Internetverknpfung"/>
        </w:rPr>
        <w:t>Jakob (WiBiLex)</w:t>
      </w:r>
      <w:r>
        <w:rPr>
          <w:rStyle w:val="Internetverknpfung"/>
        </w:rPr>
        <w:fldChar w:fldCharType="end"/>
      </w:r>
      <w:r>
        <w:rPr/>
        <w:t>).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917">
    <w:p>
      <w:pPr>
        <w:pStyle w:val="Funote"/>
        <w:rPr/>
      </w:pPr>
      <w:r>
        <w:rPr>
          <w:rStyle w:val="Funotenzeichen"/>
        </w:rPr>
        <w:footnoteRef/>
      </w:r>
      <w:r>
        <w:rPr>
          <w:i/>
        </w:rPr>
        <w:tab/>
        <w:t>Erschauert</w:t>
      </w:r>
      <w:r>
        <w:rPr/>
        <w:t>, nämlich in Ehrfurcht.</w:t>
      </w:r>
    </w:p>
  </w:footnote>
  <w:footnote w:id="918">
    <w:p>
      <w:pPr>
        <w:pStyle w:val="Funote"/>
        <w:rPr/>
      </w:pPr>
      <w:r>
        <w:rPr>
          <w:rStyle w:val="Funotenzeichen"/>
        </w:rPr>
        <w:footnoteRef/>
      </w:r>
      <w:r>
        <w:rPr/>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919">
    <w:p>
      <w:pPr>
        <w:pStyle w:val="Funote"/>
        <w:rPr/>
      </w:pPr>
      <w:r>
        <w:rPr>
          <w:rStyle w:val="Funotenzeichen"/>
        </w:rPr>
        <w:footnoteRef/>
      </w:r>
      <w:r>
        <w:rPr/>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920">
    <w:p>
      <w:pPr>
        <w:pStyle w:val="Funote"/>
        <w:rPr/>
      </w:pPr>
      <w:r>
        <w:rPr>
          <w:rStyle w:val="Funotenzeichen"/>
        </w:rPr>
        <w:footnoteRef/>
      </w:r>
      <w:r>
        <w:rPr/>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921">
    <w:p>
      <w:pPr>
        <w:pStyle w:val="Funote"/>
        <w:rPr/>
      </w:pPr>
      <w:r>
        <w:rPr>
          <w:rStyle w:val="Funotenzeichen"/>
        </w:rPr>
        <w:footnoteRef/>
      </w:r>
      <w:r>
        <w:rPr/>
        <w:tab/>
        <w:t>Elende - urspr. Bed. d. Wortes: »elend, arm«; in späteren bib. Texten auch ein terminus technicus für JHWH-Verehrer. Diese beiden Bedd. lassen sich oft nicht völlig trennen; auch hier ist wohl beides gemeint.</w:t>
      </w:r>
    </w:p>
  </w:footnote>
  <w:footnote w:id="922">
    <w:p>
      <w:pPr>
        <w:pStyle w:val="Funote"/>
        <w:rPr/>
      </w:pPr>
      <w:r>
        <w:rPr>
          <w:rStyle w:val="Funotenzeichen"/>
        </w:rPr>
        <w:footnoteRef/>
      </w:r>
      <w:r>
        <w:rPr/>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923">
    <w:p>
      <w:pPr>
        <w:pStyle w:val="Funote"/>
        <w:rPr/>
      </w:pPr>
      <w:r>
        <w:rPr>
          <w:rStyle w:val="Funotenzeichen"/>
        </w:rPr>
        <w:footnoteRef/>
      </w:r>
      <w:r>
        <w:rPr/>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924">
    <w:p>
      <w:pPr>
        <w:pStyle w:val="Funote"/>
        <w:rPr/>
      </w:pPr>
      <w:r>
        <w:rPr>
          <w:rStyle w:val="Funotenzeichen"/>
        </w:rPr>
        <w:footnoteRef/>
      </w:r>
      <w:r>
        <w:rPr/>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925">
    <w:p>
      <w:pPr>
        <w:pStyle w:val="Funote"/>
        <w:rPr/>
      </w:pPr>
      <w:r>
        <w:rPr>
          <w:rStyle w:val="Funotenzeichen"/>
        </w:rPr>
        <w:footnoteRef/>
      </w:r>
      <w:r>
        <w:rPr>
          <w:i/>
        </w:rPr>
        <w:tab/>
        <w:t>Alle Enden der Erde</w:t>
      </w:r>
      <w:r>
        <w:rPr/>
        <w:t xml:space="preserve"> = „die ganze Welt“.</w:t>
      </w:r>
    </w:p>
  </w:footnote>
  <w:footnote w:id="926">
    <w:p>
      <w:pPr>
        <w:pStyle w:val="Funote"/>
        <w:rPr/>
      </w:pPr>
      <w:r>
        <w:rPr>
          <w:rStyle w:val="Funotenzeichen"/>
        </w:rPr>
        <w:footnoteRef/>
      </w:r>
      <w:r>
        <w:rPr/>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927">
    <w:p>
      <w:pPr>
        <w:pStyle w:val="Funote"/>
        <w:rPr/>
      </w:pPr>
      <w:r>
        <w:rPr>
          <w:rStyle w:val="Funotenzeichen"/>
        </w:rPr>
        <w:footnoteRef/>
      </w:r>
      <w:r>
        <w:rPr>
          <w:i/>
        </w:rPr>
        <w:tab/>
        <w:t>[mit den Worten]</w:t>
      </w:r>
      <w:r>
        <w:rPr/>
        <w:t xml:space="preserve"> - Auch V. 29 ist wahrscheinlich ein Zitat; hier das Zitat von „allen Sippen der Völker“, die damit Gott als rechtmäßigen Herrscher über die Völker anerkennen. Das </w:t>
      </w:r>
      <w:r>
        <w:rPr>
          <w:i/>
        </w:rPr>
        <w:t>ki</w:t>
      </w:r>
      <w:r>
        <w:rPr/>
        <w:t xml:space="preserve"> („Ja!“, „denn“) ist dann wohl ein sog. „</w:t>
      </w:r>
      <w:r>
        <w:rPr>
          <w:i/>
        </w:rPr>
        <w:t>ki</w:t>
      </w:r>
      <w:r>
        <w:rPr/>
        <w:t xml:space="preserve"> recitativum“ und dient genau dem Zweck, das folgende als wörtliche Rede zu markieren.</w:t>
      </w:r>
    </w:p>
  </w:footnote>
  <w:footnote w:id="928">
    <w:p>
      <w:pPr>
        <w:pStyle w:val="Funote"/>
        <w:rPr/>
      </w:pPr>
      <w:r>
        <w:rPr>
          <w:rStyle w:val="Funotenzeichen"/>
        </w:rPr>
        <w:footnoteRef/>
      </w:r>
      <w:r>
        <w:rPr/>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929">
    <w:p>
      <w:pPr>
        <w:pStyle w:val="Funote"/>
        <w:rPr/>
      </w:pPr>
      <w:r>
        <w:rPr>
          <w:rStyle w:val="Funotenzeichen"/>
        </w:rPr>
        <w:footnoteRef/>
      </w:r>
      <w:r>
        <w:rPr>
          <w:i/>
        </w:rPr>
        <w:tab/>
        <w:t>seinem Gesicht</w:t>
      </w:r>
      <w:r>
        <w:rPr/>
        <w:t xml:space="preserve"> - d.h. „vor ihm“.</w:t>
      </w:r>
    </w:p>
  </w:footnote>
  <w:footnote w:id="930">
    <w:p>
      <w:pPr>
        <w:pStyle w:val="Funote"/>
        <w:rPr/>
      </w:pPr>
      <w:r>
        <w:rPr>
          <w:rStyle w:val="Funotenzeichen"/>
        </w:rPr>
        <w:footnoteRef/>
      </w:r>
      <w:r>
        <w:rPr/>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931">
    <w:p>
      <w:pPr>
        <w:pStyle w:val="Funote"/>
        <w:rPr/>
      </w:pPr>
      <w:r>
        <w:rPr>
          <w:rStyle w:val="Funotenzeichen"/>
        </w:rPr>
        <w:footnoteRef/>
      </w:r>
      <w:r>
        <w:rPr/>
        <w:tab/>
        <w:t>Textkritik: W. „sie werden kommen“; das Wort gehört wie in der LXX noch zum letzten Vers („der Generation, [die noch kommen wird]“); so fast alle Exegeten; eine neuere Ausnahme z.B. Houston/Waltke 2010, S. 396.</w:t>
      </w:r>
    </w:p>
  </w:footnote>
  <w:footnote w:id="932">
    <w:p>
      <w:pPr>
        <w:pStyle w:val="Funote"/>
        <w:rPr/>
      </w:pPr>
      <w:r>
        <w:rPr>
          <w:rStyle w:val="Funotenzeichen"/>
        </w:rPr>
        <w:footnoteRef/>
      </w:r>
      <w:r>
        <w:rPr/>
        <w:tab/>
        <w:t>[Status: Sehr gut]</w:t>
      </w:r>
    </w:p>
  </w:footnote>
  <w:footnote w:id="933">
    <w:p>
      <w:pPr>
        <w:pStyle w:val="Funote"/>
        <w:rPr/>
      </w:pPr>
      <w:r>
        <w:rPr>
          <w:rStyle w:val="Funotenzeichen"/>
        </w:rPr>
        <w:footnoteRef/>
      </w:r>
      <w:r>
        <w:rPr/>
        <w:tab/>
        <w:t>E. Zenger übersetzt in seinem Kommentar: „»Mein Hirte ist der Herr« (und niemand sonst)“ (Hossfeld/Zenger 1993, 153). Psalm 23 vergleicht Gottes Fürsorge mit der eines Hirten für seine Schafe.</w:t>
      </w:r>
    </w:p>
  </w:footnote>
  <w:footnote w:id="934">
    <w:p>
      <w:pPr>
        <w:pStyle w:val="Funote"/>
        <w:rPr/>
      </w:pPr>
      <w:r>
        <w:rPr>
          <w:rStyle w:val="Funotenzeichen"/>
        </w:rPr>
        <w:footnoteRef/>
      </w:r>
      <w:r>
        <w:rPr/>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935">
    <w:p>
      <w:pPr>
        <w:pStyle w:val="Funote"/>
        <w:rPr/>
      </w:pPr>
      <w:r>
        <w:rPr>
          <w:rStyle w:val="Funotenzeichen"/>
        </w:rPr>
        <w:footnoteRef/>
      </w:r>
      <w:r>
        <w:rPr/>
        <w:tab/>
        <w:t>so Waltke 2010, S. 434</w:t>
      </w:r>
    </w:p>
  </w:footnote>
  <w:footnote w:id="936">
    <w:p>
      <w:pPr>
        <w:pStyle w:val="Funote"/>
        <w:rPr/>
      </w:pPr>
      <w:r>
        <w:rPr>
          <w:rStyle w:val="Funotenzeichen"/>
        </w:rPr>
        <w:footnoteRef/>
      </w:r>
      <w:r>
        <w:rPr/>
        <w:tab/>
        <w:t>Die Constructus-Verbindung hier kann verschieden aufgelöst werden. Diese Übersetzung ist wörtlicher; s.a. NGÜ, GNB.</w:t>
      </w:r>
    </w:p>
  </w:footnote>
  <w:footnote w:id="937">
    <w:p>
      <w:pPr>
        <w:pStyle w:val="Funote"/>
        <w:rPr/>
      </w:pPr>
      <w:r>
        <w:rPr>
          <w:rStyle w:val="Funotenzeichen"/>
        </w:rPr>
        <w:footnoteRef/>
      </w:r>
      <w:r>
        <w:rPr/>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938">
    <w:p>
      <w:pPr>
        <w:pStyle w:val="Funote"/>
        <w:rPr/>
      </w:pPr>
      <w:r>
        <w:rPr>
          <w:rStyle w:val="Funotenzeichen"/>
        </w:rPr>
        <w:footnoteRef/>
      </w:r>
      <w:r>
        <w:rPr/>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939">
    <w:p>
      <w:pPr>
        <w:pStyle w:val="Funote"/>
        <w:rPr/>
      </w:pPr>
      <w:r>
        <w:rPr>
          <w:rStyle w:val="Funotenzeichen"/>
        </w:rPr>
        <w:footnoteRef/>
      </w:r>
      <w:r>
        <w:rPr/>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t>
      </w:r>
      <w:hyperlink r:id="rId136">
        <w:r>
          <w:rPr>
            <w:rStyle w:val="Internetverknpfung"/>
          </w:rPr>
          <w:t>Wibilex.de, Art. „Leben“</w:t>
        </w:r>
      </w:hyperlink>
      <w:r>
        <w:rPr/>
        <w:t xml:space="preserve">,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940">
    <w:p>
      <w:pPr>
        <w:pStyle w:val="Funote"/>
        <w:rPr/>
      </w:pPr>
      <w:r>
        <w:rPr>
          <w:rStyle w:val="Funotenzeichen"/>
        </w:rPr>
        <w:footnoteRef/>
      </w:r>
      <w:r>
        <w:rPr/>
        <w:tab/>
        <w:t>Die Einheitsübersetzung hat: „Er stillt mein Verlangen.“ E. Zenger schlägt in seinem Kommentar als Alternative hierzu vor: „Er stellt meine Lebenskraft wieder her.“ (Hossfeld/Zenger 1993, 153)</w:t>
      </w:r>
    </w:p>
  </w:footnote>
  <w:footnote w:id="941">
    <w:p>
      <w:pPr>
        <w:pStyle w:val="Funote"/>
        <w:rPr/>
      </w:pPr>
      <w:r>
        <w:rPr>
          <w:rStyle w:val="Funotenzeichen"/>
        </w:rPr>
        <w:footnoteRef/>
      </w:r>
      <w:r>
        <w:rPr/>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942">
    <w:p>
      <w:pPr>
        <w:pStyle w:val="Funote"/>
        <w:rPr/>
      </w:pPr>
      <w:r>
        <w:rPr>
          <w:rStyle w:val="Funotenzeichen"/>
        </w:rPr>
        <w:footnoteRef/>
      </w:r>
      <w:r>
        <w:rPr/>
        <w:tab/>
        <w:t>vgl. Ehrlich 1905, S. 60: „</w:t>
      </w:r>
      <w:r>
        <w:rPr>
          <w:rtl w:val="true"/>
          <w:lang w:bidi="he-IL"/>
        </w:rPr>
        <w:t>ילך</w:t>
      </w:r>
      <w:r>
        <w:rPr/>
        <w:t xml:space="preserve"> </w:t>
      </w:r>
      <w:r>
        <w:rPr/>
        <w:t>kann nur ein Hingehen oder Hineingehen, nicht aber eine Bewegung innerhalb gegebener Grenzen bezeichnen.“</w:t>
      </w:r>
    </w:p>
  </w:footnote>
  <w:footnote w:id="943">
    <w:p>
      <w:pPr>
        <w:pStyle w:val="Funote"/>
        <w:rPr/>
      </w:pPr>
      <w:r>
        <w:rPr>
          <w:rStyle w:val="Funotenzeichen"/>
        </w:rPr>
        <w:footnoteRef/>
      </w:r>
      <w:r>
        <w:rPr/>
        <w:tab/>
        <w:t>vgl. Sabottka 1972, S. 129</w:t>
      </w:r>
    </w:p>
  </w:footnote>
  <w:footnote w:id="944">
    <w:p>
      <w:pPr>
        <w:pStyle w:val="Funote"/>
        <w:rPr/>
      </w:pPr>
      <w:r>
        <w:rPr>
          <w:rStyle w:val="Funotenzeichen"/>
        </w:rPr>
        <w:footnoteRef/>
      </w:r>
      <w:r>
        <w:rPr>
          <w:rtl w:val="true"/>
          <w:lang w:bidi="he-IL"/>
        </w:rPr>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945">
    <w:p>
      <w:pPr>
        <w:pStyle w:val="Funote"/>
        <w:rPr/>
      </w:pPr>
      <w:r>
        <w:rPr>
          <w:rStyle w:val="Funotenzeichen"/>
        </w:rPr>
        <w:footnoteRef/>
      </w:r>
      <w:r>
        <w:rPr/>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946">
    <w:p>
      <w:pPr>
        <w:pStyle w:val="Funote"/>
        <w:rPr/>
      </w:pPr>
      <w:r>
        <w:rPr>
          <w:rStyle w:val="Funotenzeichen"/>
        </w:rPr>
        <w:footnoteRef/>
      </w:r>
      <w:r>
        <w:rPr/>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947">
    <w:p>
      <w:pPr>
        <w:pStyle w:val="Funote"/>
        <w:rPr/>
      </w:pPr>
      <w:r>
        <w:rPr>
          <w:rStyle w:val="Funotenzeichen"/>
        </w:rPr>
        <w:footnoteRef/>
      </w:r>
      <w:r>
        <w:rPr/>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948">
    <w:p>
      <w:pPr>
        <w:pStyle w:val="Funote"/>
        <w:rPr/>
      </w:pPr>
      <w:r>
        <w:rPr>
          <w:rStyle w:val="Funotenzeichen"/>
        </w:rPr>
        <w:footnoteRef/>
      </w:r>
      <w:r>
        <w:rPr/>
        <w:tab/>
        <w:t>pluralis maiestatis / intensitatis; so Sabottka 1972, S. 129</w:t>
      </w:r>
    </w:p>
  </w:footnote>
  <w:footnote w:id="949">
    <w:p>
      <w:pPr>
        <w:pStyle w:val="Funote"/>
        <w:rPr/>
      </w:pPr>
      <w:r>
        <w:rPr>
          <w:rStyle w:val="Funotenzeichen"/>
        </w:rPr>
        <w:footnoteRef/>
      </w:r>
      <w:r>
        <w:rPr/>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950">
    <w:p>
      <w:pPr>
        <w:pStyle w:val="Funote"/>
        <w:rPr/>
      </w:pPr>
      <w:r>
        <w:rPr>
          <w:rStyle w:val="Funotenzeichen"/>
        </w:rPr>
        <w:footnoteRef/>
      </w:r>
      <w:r>
        <w:rPr/>
        <w:tab/>
        <w:t>„</w:t>
      </w:r>
      <w:r>
        <w:rPr/>
        <w:t xml:space="preserve">randvoll (fließt über)“ ist wörtlich eigentlich ein Substantiv: „Mein Becher [ist] Überfluss“; der Einsatz von Substantiven als Adjektiven ist aber ganz gewöhnlich im Hebräischen; s. z.B. </w:t>
      </w:r>
      <w:r>
        <w:fldChar w:fldCharType="begin"/>
      </w:r>
      <w:r>
        <w:rPr>
          <w:rStyle w:val="Internetverknpfung"/>
        </w:rPr>
        <w:instrText> HYPERLINK "http://en.wikisource.org/wiki/Gesenius'_Hebrew_Grammar/141._The_Noun-clause" \l "GHGpar-141-c"</w:instrText>
      </w:r>
      <w:r>
        <w:rPr>
          <w:rStyle w:val="Internetverknpfung"/>
        </w:rPr>
        <w:fldChar w:fldCharType="separate"/>
      </w:r>
      <w:r>
        <w:rPr>
          <w:rStyle w:val="Internetverknpfung"/>
        </w:rPr>
        <w:t>GKC §141c</w:t>
      </w:r>
      <w:r>
        <w:rPr>
          <w:rStyle w:val="Internetverknpfung"/>
        </w:rPr>
        <w:fldChar w:fldCharType="end"/>
      </w:r>
      <w:r>
        <w:rPr/>
        <w:t>.</w:t>
      </w:r>
    </w:p>
  </w:footnote>
  <w:footnote w:id="951">
    <w:p>
      <w:pPr>
        <w:pStyle w:val="Funote"/>
        <w:rPr/>
      </w:pPr>
      <w:r>
        <w:rPr>
          <w:rStyle w:val="Funotenzeichen"/>
        </w:rPr>
        <w:footnoteRef/>
      </w:r>
      <w:r>
        <w:rPr/>
        <w:tab/>
        <w:t>An dieser Stelle kann das Wort sowohl bekräftigend als auch einschränkend verstanden werden.</w:t>
      </w:r>
    </w:p>
  </w:footnote>
  <w:footnote w:id="952">
    <w:p>
      <w:pPr>
        <w:pStyle w:val="Funote"/>
        <w:rPr/>
      </w:pPr>
      <w:r>
        <w:rPr>
          <w:rStyle w:val="Funotenzeichen"/>
        </w:rPr>
        <w:footnoteRef/>
      </w:r>
      <w:r>
        <w:rPr/>
        <w:tab/>
        <w:t>nach Knauf 2001, S. 556.</w:t>
      </w:r>
    </w:p>
  </w:footnote>
  <w:footnote w:id="953">
    <w:p>
      <w:pPr>
        <w:pStyle w:val="Funote"/>
        <w:rPr/>
      </w:pPr>
      <w:r>
        <w:rPr>
          <w:rStyle w:val="Funotenzeichen"/>
        </w:rPr>
        <w:footnoteRef/>
      </w:r>
      <w:r>
        <w:rPr/>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954">
    <w:p>
      <w:pPr>
        <w:pStyle w:val="Funote"/>
        <w:rPr/>
      </w:pPr>
      <w:r>
        <w:rPr>
          <w:rStyle w:val="Funotenzeichen"/>
        </w:rPr>
        <w:footnoteRef/>
      </w:r>
      <w:r>
        <w:rPr/>
        <w:tab/>
        <w:t>[Status: Zuverlässig]</w:t>
      </w:r>
    </w:p>
  </w:footnote>
  <w:footnote w:id="955">
    <w:p>
      <w:pPr>
        <w:pStyle w:val="Funote"/>
        <w:rPr/>
      </w:pPr>
      <w:r>
        <w:rPr>
          <w:rStyle w:val="Funotenzeichen"/>
        </w:rPr>
        <w:footnoteRef/>
      </w:r>
      <w:r>
        <w:rPr/>
        <w:tab/>
        <w:t xml:space="preserve">Die „Tempelweihe“ ist das seit 165 v. Chr. begangene Fest der Wiederherstellung des Tempels (vgl. </w:t>
      </w:r>
      <w:hyperlink r:id="rId137">
        <w:r>
          <w:rPr>
            <w:rStyle w:val="Internetverknpfung"/>
          </w:rPr>
          <w:t>1Makk 4,52ff</w:t>
        </w:r>
      </w:hyperlink>
      <w:r>
        <w:rPr/>
        <w:t xml:space="preserve">; </w:t>
      </w:r>
      <w:hyperlink r:id="rId138">
        <w:r>
          <w:rPr>
            <w:rStyle w:val="Internetverknpfung"/>
          </w:rPr>
          <w:t>2Makk 10,5ff</w:t>
        </w:r>
      </w:hyperlink>
      <w:r>
        <w:rPr/>
        <w:t xml:space="preserve">; </w:t>
      </w:r>
      <w:r>
        <w:fldChar w:fldCharType="begin"/>
      </w:r>
      <w:r>
        <w:rPr>
          <w:rStyle w:val="Internetverknpfung"/>
        </w:rPr>
        <w:instrText> HYPERLINK "../../../../../../../../../wiki/Johannes_10" \l "s22"</w:instrText>
      </w:r>
      <w:r>
        <w:rPr>
          <w:rStyle w:val="Internetverknpfung"/>
        </w:rPr>
        <w:fldChar w:fldCharType="separate"/>
      </w:r>
      <w:r>
        <w:rPr>
          <w:rStyle w:val="Internetverknpfung"/>
        </w:rPr>
        <w:t>Joh 10,22</w:t>
      </w:r>
      <w:r>
        <w:rPr>
          <w:rStyle w:val="Internetverknpfung"/>
        </w:rPr>
        <w:fldChar w:fldCharType="end"/>
      </w:r>
      <w:r>
        <w:rPr/>
        <w:t>). Nach Sopherim 18,2 wurde der Psalm in der Tat zu dieser Gelegenheit gesungen.</w:t>
      </w:r>
    </w:p>
  </w:footnote>
  <w:footnote w:id="956">
    <w:p>
      <w:pPr>
        <w:pStyle w:val="Funote"/>
        <w:rPr/>
      </w:pPr>
      <w:r>
        <w:rPr>
          <w:rStyle w:val="Funotenzeichen"/>
        </w:rPr>
        <w:footnoteRef/>
      </w:r>
      <w:r>
        <w:rPr/>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957">
    <w:p>
      <w:pPr>
        <w:pStyle w:val="Funote"/>
        <w:rPr/>
      </w:pPr>
      <w:r>
        <w:rPr>
          <w:rStyle w:val="Funotenzeichen"/>
        </w:rPr>
        <w:footnoteRef/>
      </w:r>
      <w:r>
        <w:rPr/>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958">
    <w:p>
      <w:pPr>
        <w:pStyle w:val="Funote"/>
        <w:rPr/>
      </w:pPr>
      <w:r>
        <w:rPr>
          <w:rStyle w:val="Funotenzeichen"/>
        </w:rPr>
        <w:footnoteRef/>
      </w:r>
      <w:r>
        <w:rPr/>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959">
    <w:p>
      <w:pPr>
        <w:pStyle w:val="Funote"/>
        <w:rPr/>
      </w:pPr>
      <w:r>
        <w:rPr>
          <w:rStyle w:val="Funotenzeichen"/>
        </w:rPr>
        <w:footnoteRef/>
      </w:r>
      <w:r>
        <w:rPr/>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960">
    <w:p>
      <w:pPr>
        <w:pStyle w:val="Funote"/>
        <w:rPr/>
      </w:pPr>
      <w:r>
        <w:rPr>
          <w:rStyle w:val="Funotenzeichen"/>
        </w:rPr>
        <w:footnoteRef/>
      </w:r>
      <w:r>
        <w:rPr/>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961">
    <w:p>
      <w:pPr>
        <w:pStyle w:val="Funote"/>
        <w:rPr/>
      </w:pPr>
      <w:r>
        <w:rPr>
          <w:rStyle w:val="Funotenzeichen"/>
        </w:rPr>
        <w:footnoteRef/>
      </w:r>
      <w:r>
        <w:rPr/>
        <w:tab/>
        <w:t>W. „meine Seele“, doch im Hebräischen dient dies fast stets als Wechselbegriff für „mich“ (vgl. ad loc. Briggs 1906, S. 262; Terrien 2003, S. 282); übersetze durchaus wie vorgeschlagen.</w:t>
      </w:r>
    </w:p>
  </w:footnote>
  <w:footnote w:id="962">
    <w:p>
      <w:pPr>
        <w:pStyle w:val="Funote"/>
        <w:rPr/>
      </w:pPr>
      <w:r>
        <w:rPr>
          <w:rStyle w:val="Funotenzeichen"/>
        </w:rPr>
        <w:footnoteRef/>
      </w:r>
      <w:r>
        <w:rPr/>
        <w:tab/>
        <w:t>gut verständlich ALB, HfA: „du hast mich dem Tode entrissen“</w:t>
      </w:r>
    </w:p>
  </w:footnote>
  <w:footnote w:id="963">
    <w:p>
      <w:pPr>
        <w:pStyle w:val="Funote"/>
        <w:rPr/>
      </w:pPr>
      <w:r>
        <w:rPr>
          <w:rStyle w:val="Funotenzeichen"/>
        </w:rPr>
        <w:footnoteRef/>
      </w:r>
      <w:r>
        <w:rPr/>
        <w:tab/>
        <w:t xml:space="preserve">zu „Grube“ als Metapher für die Unterwelt vgl. </w:t>
      </w:r>
      <w:r>
        <w:fldChar w:fldCharType="begin"/>
      </w:r>
      <w:r>
        <w:rPr>
          <w:rStyle w:val="Internetverknpfung"/>
        </w:rPr>
        <w:instrText> HYPERLINK "http://www.offene-bibel.de/wiki/index.php5?title=Psalm_30" \l "note_c"</w:instrText>
      </w:r>
      <w:r>
        <w:rPr>
          <w:rStyle w:val="Internetverknpfung"/>
        </w:rPr>
        <w:fldChar w:fldCharType="separate"/>
      </w:r>
      <w:r>
        <w:rPr>
          <w:rStyle w:val="Internetverknpfung"/>
        </w:rPr>
        <w:t>FN c</w:t>
      </w:r>
      <w:r>
        <w:rPr>
          <w:rStyle w:val="Internetverknpfung"/>
        </w:rPr>
        <w:fldChar w:fldCharType="end"/>
      </w:r>
    </w:p>
  </w:footnote>
  <w:footnote w:id="964">
    <w:p>
      <w:pPr>
        <w:pStyle w:val="Funote"/>
        <w:rPr/>
      </w:pPr>
      <w:r>
        <w:rPr>
          <w:rStyle w:val="Funotenzeichen"/>
        </w:rPr>
        <w:footnoteRef/>
      </w:r>
      <w:r>
        <w:rPr/>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965">
    <w:p>
      <w:pPr>
        <w:pStyle w:val="Funote"/>
        <w:rPr/>
      </w:pPr>
      <w:r>
        <w:rPr>
          <w:rStyle w:val="Funotenzeichen"/>
        </w:rPr>
        <w:footnoteRef/>
      </w:r>
      <w:r>
        <w:rPr/>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966">
    <w:p>
      <w:pPr>
        <w:pStyle w:val="Funote"/>
        <w:rPr/>
      </w:pPr>
      <w:r>
        <w:rPr>
          <w:rStyle w:val="Funotenzeichen"/>
        </w:rPr>
        <w:footnoteRef/>
      </w:r>
      <w:r>
        <w:rPr/>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967">
    <w:p>
      <w:pPr>
        <w:pStyle w:val="Funote"/>
        <w:rPr/>
      </w:pPr>
      <w:r>
        <w:rPr>
          <w:rStyle w:val="Funotenzeichen"/>
        </w:rPr>
        <w:footnoteRef/>
      </w:r>
      <w:r>
        <w:rPr/>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968">
    <w:p>
      <w:pPr>
        <w:pStyle w:val="Funote"/>
        <w:rPr/>
      </w:pPr>
      <w:r>
        <w:rPr>
          <w:rStyle w:val="Funotenzeichen"/>
        </w:rPr>
        <w:footnoteRef/>
      </w:r>
      <w:r>
        <w:rPr/>
        <w:tab/>
        <w:t xml:space="preserve">emphatisches </w:t>
      </w:r>
      <w:r>
        <w:rPr>
          <w:rtl w:val="true"/>
          <w:lang w:bidi="he-IL"/>
        </w:rPr>
        <w:t>כי</w:t>
      </w:r>
      <w:r>
        <w:rPr/>
        <w:t>, so auch Deissler 1989; Kraus 1961. Im Deutschen nicht zu übersetzen.</w:t>
      </w:r>
    </w:p>
  </w:footnote>
  <w:footnote w:id="969">
    <w:p>
      <w:pPr>
        <w:pStyle w:val="Funote"/>
        <w:rPr/>
      </w:pPr>
      <w:r>
        <w:rPr>
          <w:rStyle w:val="Funotenzeichen"/>
        </w:rPr>
        <w:footnoteRef/>
      </w:r>
      <w:r>
        <w:rPr/>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970">
    <w:p>
      <w:pPr>
        <w:pStyle w:val="Funote"/>
        <w:rPr/>
      </w:pPr>
      <w:r>
        <w:rPr>
          <w:rStyle w:val="Funotenzeichen"/>
        </w:rPr>
        <w:footnoteRef/>
      </w:r>
      <w:r>
        <w:rPr/>
        <w:tab/>
        <w:t>verbringt man die Nacht auch weinend - so sinnvoll Buttenwieser 1938. Wegen des Parallelismus ist aber doch die Standard-Deutung vorzuziehen.</w:t>
      </w:r>
    </w:p>
  </w:footnote>
  <w:footnote w:id="971">
    <w:p>
      <w:pPr>
        <w:pStyle w:val="Funote"/>
        <w:rPr/>
      </w:pPr>
      <w:r>
        <w:rPr>
          <w:rStyle w:val="Funotenzeichen"/>
        </w:rPr>
        <w:footnoteRef/>
      </w:r>
      <w:r>
        <w:rPr/>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972">
    <w:p>
      <w:pPr>
        <w:pStyle w:val="Funote"/>
        <w:rPr/>
      </w:pPr>
      <w:r>
        <w:rPr>
          <w:rStyle w:val="Funotenzeichen"/>
        </w:rPr>
        <w:footnoteRef/>
      </w:r>
      <w:r>
        <w:rPr/>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973">
    <w:p>
      <w:pPr>
        <w:pStyle w:val="Funote"/>
        <w:rPr/>
      </w:pPr>
      <w:r>
        <w:rPr>
          <w:rStyle w:val="Funotenzeichen"/>
        </w:rPr>
        <w:footnoteRef/>
      </w:r>
      <w:r>
        <w:rPr/>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974">
    <w:p>
      <w:pPr>
        <w:pStyle w:val="Funote"/>
        <w:rPr/>
      </w:pPr>
      <w:r>
        <w:rPr>
          <w:rStyle w:val="Funotenzeichen"/>
        </w:rPr>
        <w:footnoteRef/>
      </w:r>
      <w:r>
        <w:rPr/>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975">
    <w:p>
      <w:pPr>
        <w:pStyle w:val="Funote"/>
        <w:rPr/>
      </w:pPr>
      <w:r>
        <w:rPr>
          <w:rStyle w:val="Funotenzeichen"/>
        </w:rPr>
        <w:footnoteRef/>
      </w:r>
      <w:r>
        <w:rPr/>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976">
    <w:p>
      <w:pPr>
        <w:pStyle w:val="Funote"/>
        <w:rPr/>
      </w:pPr>
      <w:r>
        <w:rPr>
          <w:rStyle w:val="Funotenzeichen"/>
        </w:rPr>
        <w:footnoteRef/>
      </w:r>
      <w:r>
        <w:rPr/>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977">
    <w:p>
      <w:pPr>
        <w:pStyle w:val="Funote"/>
        <w:rPr/>
      </w:pPr>
      <w:r>
        <w:rPr>
          <w:rStyle w:val="Funotenzeichen"/>
        </w:rPr>
        <w:footnoteRef/>
      </w:r>
      <w:r>
        <w:rPr/>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978">
    <w:p>
      <w:pPr>
        <w:pStyle w:val="Funote"/>
        <w:rPr/>
      </w:pPr>
      <w:r>
        <w:rPr>
          <w:rStyle w:val="Funotenzeichen"/>
        </w:rPr>
        <w:footnoteRef/>
      </w:r>
      <w:r>
        <w:rPr/>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979">
    <w:p>
      <w:pPr>
        <w:pStyle w:val="Funote"/>
        <w:rPr/>
      </w:pPr>
      <w:r>
        <w:rPr>
          <w:rStyle w:val="Funotenzeichen"/>
        </w:rPr>
        <w:footnoteRef/>
      </w:r>
      <w:r>
        <w:rPr/>
        <w:tab/>
        <w:t xml:space="preserve">zu „Schacht“ als Metapher für die Unterwelt vgl. </w:t>
      </w:r>
      <w:r>
        <w:fldChar w:fldCharType="begin"/>
      </w:r>
      <w:r>
        <w:rPr>
          <w:rStyle w:val="Internetverknpfung"/>
        </w:rPr>
        <w:instrText> HYPERLINK "http://www.offene-bibel.de/wiki/index.php5?title=Psalm_30" \l "note_c"</w:instrText>
      </w:r>
      <w:r>
        <w:rPr>
          <w:rStyle w:val="Internetverknpfung"/>
        </w:rPr>
        <w:fldChar w:fldCharType="separate"/>
      </w:r>
      <w:r>
        <w:rPr>
          <w:rStyle w:val="Internetverknpfung"/>
        </w:rPr>
        <w:t>FN c</w:t>
      </w:r>
      <w:r>
        <w:rPr>
          <w:rStyle w:val="Internetverknpfung"/>
        </w:rPr>
        <w:fldChar w:fldCharType="end"/>
      </w:r>
      <w:r>
        <w:rPr/>
        <w:t>.</w:t>
      </w:r>
    </w:p>
  </w:footnote>
  <w:footnote w:id="980">
    <w:p>
      <w:pPr>
        <w:pStyle w:val="Funote"/>
        <w:rPr/>
      </w:pPr>
      <w:r>
        <w:rPr>
          <w:rStyle w:val="Funotenzeichen"/>
        </w:rPr>
        <w:footnoteRef/>
      </w:r>
      <w:r>
        <w:rPr/>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981">
    <w:p>
      <w:pPr>
        <w:pStyle w:val="Funote"/>
        <w:rPr/>
      </w:pPr>
      <w:r>
        <w:rPr>
          <w:rStyle w:val="Funotenzeichen"/>
        </w:rPr>
        <w:footnoteRef/>
      </w:r>
      <w:r>
        <w:rPr/>
        <w:tab/>
        <w:t xml:space="preserve">W. </w:t>
      </w:r>
      <w:r>
        <w:rPr>
          <w:i/>
        </w:rPr>
        <w:t>hören</w:t>
      </w:r>
      <w:r>
        <w:rPr/>
        <w:t xml:space="preserve">, ein häufiger </w:t>
      </w:r>
      <w:r>
        <w:rPr>
          <w:i/>
        </w:rPr>
        <w:t>term. tech.</w:t>
      </w:r>
      <w:r>
        <w:rPr/>
        <w:t xml:space="preserve"> für die Gebetserhörung; so wohl auch hier.</w:t>
      </w:r>
    </w:p>
  </w:footnote>
  <w:footnote w:id="982">
    <w:p>
      <w:pPr>
        <w:pStyle w:val="Funote"/>
        <w:rPr/>
      </w:pPr>
      <w:r>
        <w:rPr>
          <w:rStyle w:val="Funotenzeichen"/>
        </w:rPr>
        <w:footnoteRef/>
      </w:r>
      <w:r>
        <w:rPr/>
        <w:tab/>
        <w:t>Da hast du gut nach EÜ; Gerstenberger 1972; GUAR; Schmidt 1934; Zenger 1987; ZÜR: V. 12 schildert die Reaktion Gottes auf den Flehruf des Psalmisten.</w:t>
      </w:r>
    </w:p>
  </w:footnote>
  <w:footnote w:id="983">
    <w:p>
      <w:pPr>
        <w:pStyle w:val="Funote"/>
        <w:rPr/>
      </w:pPr>
      <w:r>
        <w:rPr>
          <w:rStyle w:val="Funotenzeichen"/>
        </w:rPr>
        <w:footnoteRef/>
      </w:r>
      <w:r>
        <w:rPr/>
        <w:tab/>
        <w:t xml:space="preserve">meist: „gegürtet“, aber </w:t>
      </w:r>
      <w:r>
        <w:rPr>
          <w:rtl w:val="true"/>
          <w:lang w:bidi="he-IL"/>
        </w:rPr>
        <w:t>אור</w:t>
      </w:r>
      <w:r>
        <w:rPr/>
        <w:t xml:space="preserve"> </w:t>
      </w:r>
      <w:r>
        <w:rPr/>
        <w:t>kann auch allgemein „Kleiden“ bedeuten, was hier sehr viel besser passt.</w:t>
      </w:r>
    </w:p>
  </w:footnote>
  <w:footnote w:id="984">
    <w:p>
      <w:pPr>
        <w:pStyle w:val="Funote"/>
        <w:rPr/>
      </w:pPr>
      <w:r>
        <w:rPr>
          <w:rStyle w:val="Funotenzeichen"/>
        </w:rPr>
        <w:footnoteRef/>
      </w:r>
      <w:r>
        <w:rPr/>
        <w:tab/>
        <w:t xml:space="preserve">zu kausalem </w:t>
      </w:r>
      <w:r>
        <w:rPr>
          <w:rtl w:val="true"/>
          <w:lang w:bidi="he-IL"/>
        </w:rPr>
        <w:t>לְמַעַן</w:t>
      </w:r>
      <w:r>
        <w:rPr/>
        <w:t xml:space="preserve"> </w:t>
      </w:r>
      <w:r>
        <w:rPr/>
        <w:t>vgl. Fürst 847; Ges18 713; Kön 237.</w:t>
      </w:r>
    </w:p>
  </w:footnote>
  <w:footnote w:id="985">
    <w:p>
      <w:pPr>
        <w:pStyle w:val="Funote"/>
        <w:rPr/>
      </w:pPr>
      <w:r>
        <w:rPr>
          <w:rStyle w:val="Funotenzeichen"/>
        </w:rPr>
        <w:footnoteRef/>
      </w:r>
      <w:r>
        <w:rPr/>
        <w:tab/>
        <w:t>Textkritik: Leber (Herrlichkeit, Seele) - „Leber“ und „Herrlichkeit“ waren ursprünglich gleich geschrieben worden. Sehr nah verwandt ist diese Stelle mit Ps 16,9; 57,9; 108,2: An allen vier Stellen wird Gott entweder von der „Leber“ oder von der „Herrlichkeit“ des Beters besungen und die Masoreten haben sich jedes Mal für „Herrlichkeit“ entschieden. Einige Hebraisten glauben deshalb, dass „Herrlichkeit“ auch „Seele“ bedeuten und als solche Gott besingen kann. Dass es auch im Akkadischen stets entweder das Herz oder eben die „Leber“ ist, die sich freut und jubelt (vgl. Dhorme 1922, S. 509f.), spricht aber stark dafür, dass auch im Heb. md. an diesen vier Stellen „Leber“ zu lesen ist.W.: „Darum will Leber dich besingen“; wohl mit double duty-Suffix (-&gt;Brachylogie) aus V. 12: „[meine] Leber“ (alternativ ergänzen fast alle Exegeten ein Suffix).</w:t>
      </w:r>
    </w:p>
  </w:footnote>
  <w:footnote w:id="986">
    <w:p>
      <w:pPr>
        <w:pStyle w:val="Funote"/>
        <w:rPr/>
      </w:pPr>
      <w:r>
        <w:rPr>
          <w:rStyle w:val="Funotenzeichen"/>
        </w:rPr>
        <w:footnoteRef/>
      </w:r>
      <w:r>
        <w:rPr/>
        <w:tab/>
        <w:t>JHWH</w:t>
      </w:r>
    </w:p>
  </w:footnote>
  <w:footnote w:id="987">
    <w:p>
      <w:pPr>
        <w:pStyle w:val="Funote"/>
        <w:rPr/>
      </w:pPr>
      <w:r>
        <w:rPr>
          <w:rStyle w:val="Funotenzeichen"/>
        </w:rPr>
        <w:footnoteRef/>
      </w:r>
      <w:r>
        <w:rPr/>
        <w:tab/>
        <w:t>[Status: Zuverlässig]</w:t>
      </w:r>
    </w:p>
  </w:footnote>
  <w:footnote w:id="988">
    <w:p>
      <w:pPr>
        <w:pStyle w:val="Funote"/>
        <w:rPr/>
      </w:pPr>
      <w:r>
        <w:rPr>
          <w:rStyle w:val="Funotenzeichen"/>
        </w:rPr>
        <w:footnoteRef/>
      </w:r>
      <w:r>
        <w:rPr>
          <w:i/>
        </w:rPr>
        <w:tab/>
        <w:t>Chorleiter</w:t>
      </w:r>
      <w:r>
        <w:rPr/>
        <w:t xml:space="preserve"> - Heb. </w:t>
      </w:r>
      <w:r>
        <w:rPr>
          <w:i/>
        </w:rPr>
        <w:t>menatseach</w:t>
      </w:r>
      <w:r>
        <w:rPr/>
        <w:t>; genaue Bedeutung unklar. Die Primärübersetzung „Chorleiter“ ist mehr oder weniger Konvention. S. noch nächste FN.</w:t>
      </w:r>
    </w:p>
  </w:footnote>
  <w:footnote w:id="989">
    <w:p>
      <w:pPr>
        <w:pStyle w:val="Funote"/>
        <w:rPr/>
      </w:pPr>
      <w:r>
        <w:rPr>
          <w:rStyle w:val="Funotenzeichen"/>
        </w:rPr>
        <w:footnoteRef/>
      </w:r>
      <w:r>
        <w:rPr/>
        <w:tab/>
        <w:t>`al-machalat - Unklarer Begriff. Für einen guten Vorschlag zur Deutung der ersten beiden Zeilen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„machalat“, bei dem der Psalm vorzuträgen war. Doch ist auch dies nur ein „educated guess“ und „Chorleiter“ ist in dt. Üss. so etabliert, dass die LF doch besser dieser Konvention folgen sollte.</w:t>
      </w:r>
    </w:p>
  </w:footnote>
  <w:footnote w:id="990">
    <w:p>
      <w:pPr>
        <w:pStyle w:val="Funote"/>
        <w:rPr/>
      </w:pPr>
      <w:r>
        <w:rPr>
          <w:rStyle w:val="Funotenzeichen"/>
        </w:rPr>
        <w:footnoteRef/>
      </w:r>
      <w:r>
        <w:rPr>
          <w:i/>
        </w:rPr>
        <w:tab/>
        <w:t>Es gibt keinen Gott</w:t>
      </w:r>
      <w:r>
        <w:rPr/>
        <w:t xml:space="preserve"> - Gemeint ist kein theoretischer Atheismus, der im Alten Israel schwerlich vorstellbar ist. Der „Narr“ vertritt einen </w:t>
      </w:r>
      <w:r>
        <w:rPr>
          <w:i/>
        </w:rPr>
        <w:t>praktischen</w:t>
      </w:r>
      <w:r>
        <w:rPr/>
        <w:t xml:space="preserve"> Atheismus: Er lebt und handelt so, als gäbe es keinen Gott, wie dann auch in den nächsten Zeilen näher ausgeführt wird.</w:t>
      </w:r>
    </w:p>
  </w:footnote>
  <w:footnote w:id="991">
    <w:p>
      <w:pPr>
        <w:pStyle w:val="Funote"/>
        <w:rPr/>
      </w:pPr>
      <w:r>
        <w:rPr>
          <w:rStyle w:val="Funotenzeichen"/>
        </w:rPr>
        <w:footnoteRef/>
      </w:r>
      <w:r>
        <w:rPr/>
        <w:tab/>
        <w:t>begehen und verbrechen Untat - Die beiden Verben benötigen eigentlich kein Objekt; das erste bedeutet schon allein „verderblich handeln“, das zweite „abscheulich handeln“. Die eigentlich unnötige Hinzufügung des Substantivs soll den Ausdruck noch intensiver machen.Sinnvoll daher NL: „Sie sind durch und durch schlecht, und ihre Taten sind böse“.</w:t>
      </w:r>
    </w:p>
  </w:footnote>
  <w:footnote w:id="992">
    <w:p>
      <w:pPr>
        <w:pStyle w:val="Funote"/>
        <w:rPr/>
      </w:pPr>
      <w:r>
        <w:rPr>
          <w:rStyle w:val="Funotenzeichen"/>
        </w:rPr>
        <w:footnoteRef/>
      </w:r>
      <w:r>
        <w:rPr/>
        <w:tab/>
        <w:t>: - Vv. 3-4 schildern das Ergebnis von Gottes Prüfung: Die gesamte Menschheit hat sie nicht bestanden.Dass Gott in V. 4 von sich selbst in der 3. Pers. spricht, kommt häufiger vor (vgl. dazu z.B. Malone 2009). Zu ähnlichen nicht durch ein Verb des Sagens eingeleiteten Zitaten vgl. z.B. Gordis 1949, S. 167-173.</w:t>
      </w:r>
    </w:p>
  </w:footnote>
  <w:footnote w:id="993">
    <w:p>
      <w:pPr>
        <w:pStyle w:val="Funote"/>
        <w:rPr/>
      </w:pPr>
      <w:r>
        <w:rPr>
          <w:rStyle w:val="Funotenzeichen"/>
        </w:rPr>
        <w:footnoteRef/>
      </w:r>
      <w:r>
        <w:rPr/>
        <w:tab/>
        <w:t>[Die] mein Volk fressen? / Sie fressen Brot - Oft übersetzt als »Die mein Volk fressen, wie man Brot isst«, aber dann wären die beiden unterschiedlichen Verbformen (Zeile 2: Partizip, Zeile 3: Qatal) unerklärlich (richtig Eerdmans 1947, S. 135). Unsere Üs. folgt daher deClaissé-Walford/Jacobson/Tanner 2014, S. 165; Eerdmans 1947, S. 134; vgl. auch schon Olshausen 1853, S. 79. Charakterisiert werden die Übeltäter hier also erstens darüber, dass sie »mein Volk fressen« (d.h. ausbeuten, s. ähnlich Spr 30,14; Jer 10,25; Mi 3,3; Hab 3,14), obwohl sie das nicht mal nötig hätten, da sie ja Brot zu fressen haben (d.h. keine Not leiden müssen), und zweitens darüber, dass sie Brot zu essen haben - dass es ihnen also gut geht -, aber nicht einmal dafür JHWH anrufen, also danken. Sowohl in ihrem Verhalten ihren Mitmenschen als auch Gott gegenüber sind sie durch und durch schlecht. Die Üs. von EÜ (»Sie verschlingen mein Volk. Sie essen das Brot JHWHs, doch seinen Namen rufen sie nicht an«) folgt einem unnötigen Textkorrekturvorschlag von Kissane 1953 (s. auch schon Duhm, Gunkel).</w:t>
      </w:r>
    </w:p>
  </w:footnote>
  <w:footnote w:id="994">
    <w:p>
      <w:pPr>
        <w:pStyle w:val="Funote"/>
        <w:rPr/>
      </w:pPr>
      <w:r>
        <w:rPr>
          <w:rStyle w:val="Funotenzeichen"/>
        </w:rPr>
        <w:footnoteRef/>
      </w:r>
      <w:r>
        <w:rPr/>
        <w:tab/>
        <w:t>Vv. 6ab - W.: „Da erschraken sie einen Schrecken / nicht war Schrecken.“ Unsere Üs. folgt Buttenwieser 1938, S. 478 (so auch Brueggemann/Bellinger 2014, S. 244; deClaissé-Walford/Jacobson/Tanner 2014, S. 465). Alternativ könnte man den zweiten Satz mit einigen alten Exegeten (z.B. Hitzig und Ewald) als eine sog. „Epanorthosis“ auffassen: als emphatische Ersetzung eines Textstücks durch ein anderes (z.B.: „Wenn du das tust, gebe ich dir hundert Euro. Ach was, hundert - tausend Euro geb ich dir!“): Da erschraken sie einen Schrecken. Doch nein, nicht nur Schrecken wars, [sondern]...So und so wäre der Sinn der zweiten Zeilen die erste Zeile noch zusätzlich zu intensivieren.</w:t>
      </w:r>
    </w:p>
  </w:footnote>
  <w:footnote w:id="995">
    <w:p>
      <w:pPr>
        <w:pStyle w:val="Funote"/>
        <w:rPr/>
      </w:pPr>
      <w:r>
        <w:rPr>
          <w:rStyle w:val="Funotenzeichen"/>
        </w:rPr>
        <w:footnoteRef/>
      </w:r>
      <w:r>
        <w:rPr/>
        <w:tab/>
        <w:t>des bei dir Lagernden - Sehr schwierige Stelle (Weiss 1968, S. 131: „completely meaningless“). Am besten wohl so zu verstehen: Der Psalmist wendet sich hier an die Israeliten und erinnert sie daran, wie sie mit Gottes Hilfe die Ausländer, die unrechtmäßig ihr Land okkupiert hatten (wie z.B. die Edomiter zur Zeit der babylonischen Gefangenschaft), zuschanden machen konnten. Der „bei dir Lagernde“ ist also „dein Okkupant“.</w:t>
      </w:r>
    </w:p>
  </w:footnote>
  <w:footnote w:id="996">
    <w:p>
      <w:pPr>
        <w:pStyle w:val="Funote"/>
        <w:rPr/>
      </w:pPr>
      <w:r>
        <w:rPr>
          <w:rStyle w:val="Funotenzeichen"/>
        </w:rPr>
        <w:footnoteRef/>
      </w:r>
      <w:r>
        <w:rPr>
          <w:i/>
        </w:rPr>
        <w:tab/>
        <w:t>Zion</w:t>
      </w:r>
      <w:r>
        <w:rPr/>
        <w:t xml:space="preserve"> - Der Berg in Jerusalem, auf dem Gott in seinem Tempel wohnt. Hilfe von Gott kommt daher „vom Zion“ (vgl. z.B. </w:t>
      </w:r>
      <w:r>
        <w:fldChar w:fldCharType="begin"/>
      </w:r>
      <w:r>
        <w:rPr>
          <w:rStyle w:val="Internetverknpfung"/>
        </w:rPr>
        <w:instrText> HYPERLINK "https://www.bibelwissenschaft.de/de/stichwort/35418/" \l "h8"</w:instrText>
      </w:r>
      <w:r>
        <w:rPr>
          <w:rStyle w:val="Internetverknpfung"/>
        </w:rPr>
        <w:fldChar w:fldCharType="separate"/>
      </w:r>
      <w:r>
        <w:rPr>
          <w:rStyle w:val="Internetverknpfung"/>
        </w:rPr>
        <w:t>Zion/Zionstheologie (WiBiLex)</w:t>
      </w:r>
      <w:r>
        <w:rPr>
          <w:rStyle w:val="Internetverknpfung"/>
        </w:rPr>
        <w:fldChar w:fldCharType="end"/>
      </w:r>
      <w:r>
        <w:rPr/>
        <w:t>.</w:t>
      </w:r>
    </w:p>
  </w:footnote>
  <w:footnote w:id="997">
    <w:p>
      <w:pPr>
        <w:pStyle w:val="Funote"/>
        <w:rPr/>
      </w:pPr>
      <w:r>
        <w:rPr>
          <w:rStyle w:val="Funotenzeichen"/>
        </w:rPr>
        <w:footnoteRef/>
      </w:r>
      <w:r>
        <w:rPr>
          <w:i/>
        </w:rPr>
        <w:tab/>
        <w:t>Möge es doch vom Zion Rettung für Israel geben!</w:t>
      </w:r>
      <w:r>
        <w:rPr/>
        <w:t xml:space="preserve"> - W.: „Wer wird geben vom Zion Rettung für Israel!?“, die heb. Wendung „Wer wird geben X“ ist ein Idiom für „Es möge sein, dass... X“.</w:t>
      </w:r>
    </w:p>
  </w:footnote>
  <w:footnote w:id="998">
    <w:p>
      <w:pPr>
        <w:pStyle w:val="Funote"/>
        <w:rPr/>
      </w:pPr>
      <w:r>
        <w:rPr>
          <w:rStyle w:val="Funotenzeichen"/>
        </w:rPr>
        <w:footnoteRef/>
      </w:r>
      <w:r>
        <w:rPr>
          <w:i/>
        </w:rPr>
        <w:tab/>
        <w:t>Jakob</w:t>
      </w:r>
      <w:r>
        <w:rPr/>
        <w:t xml:space="preserve"> - Alternativer Begriff für Israel, da Jakob nach </w:t>
      </w:r>
      <w:hyperlink r:id="rId139">
        <w:r>
          <w:rPr>
            <w:rStyle w:val="Internetverknpfung"/>
          </w:rPr>
          <w:t>Gen 25</w:t>
        </w:r>
      </w:hyperlink>
      <w:r>
        <w:rPr/>
        <w:t xml:space="preserve"> der Stammvater der Israeliten war.</w:t>
      </w:r>
    </w:p>
  </w:footnote>
  <w:footnote w:id="999">
    <w:p>
      <w:pPr>
        <w:pStyle w:val="Funote"/>
        <w:rPr/>
      </w:pPr>
      <w:r>
        <w:rPr>
          <w:rStyle w:val="Funotenzeichen"/>
        </w:rPr>
        <w:footnoteRef/>
      </w:r>
      <w:r>
        <w:rPr/>
        <w:tab/>
        <w:t>[Status: Sehr gut]</w:t>
      </w:r>
    </w:p>
  </w:footnote>
  <w:footnote w:id="1000">
    <w:p>
      <w:pPr>
        <w:pStyle w:val="Funote"/>
        <w:rPr/>
      </w:pPr>
      <w:r>
        <w:rPr>
          <w:rStyle w:val="Funotenzeichen"/>
        </w:rPr>
        <w:footnoteRef/>
      </w:r>
      <w:r>
        <w:rPr/>
        <w:tab/>
        <w:t>Für den obersten Musiker Manche Übersetzungen verstehen dieses Wort als Anweisung, den Psalm vorzusingen (LUT, GNB).</w:t>
      </w:r>
    </w:p>
  </w:footnote>
  <w:footnote w:id="1001">
    <w:p>
      <w:pPr>
        <w:pStyle w:val="Funote"/>
        <w:rPr/>
      </w:pPr>
      <w:r>
        <w:rPr>
          <w:rStyle w:val="Funotenzeichen"/>
        </w:rPr>
        <w:footnoteRef/>
      </w:r>
      <w:r>
        <w:rPr>
          <w:i/>
        </w:rPr>
        <w:tab/>
        <w:t>Mit Saiteninstrumenten (fröhlicher Musik, Zupfinstrumenten)</w:t>
      </w:r>
      <w:r>
        <w:rPr/>
        <w:t xml:space="preserve"> Das Wort heißt etwa „fröhliche (in anderen Kontexten: spottende) Musik, die auf zu zupfenden Saiteninstrumenten gespielt wird“, bezeichnet in Psalmentiteln aber die Instrumente an sich (BDB 618.3; TWOT 1292.1; DBLH 5593; Kraus </w:t>
      </w:r>
      <w:r>
        <w:rPr>
          <w:position w:val="7"/>
          <w:sz w:val="16"/>
        </w:rPr>
        <w:t>2</w:t>
      </w:r>
      <w:r>
        <w:rPr/>
        <w:t>1962, XXIV).</w:t>
      </w:r>
    </w:p>
  </w:footnote>
  <w:footnote w:id="1002">
    <w:p>
      <w:pPr>
        <w:pStyle w:val="Funote"/>
        <w:rPr/>
      </w:pPr>
      <w:r>
        <w:rPr>
          <w:rStyle w:val="Funotenzeichen"/>
        </w:rPr>
        <w:footnoteRef/>
      </w:r>
      <w:r>
        <w:rPr/>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1003">
    <w:p>
      <w:pPr>
        <w:pStyle w:val="Funote"/>
        <w:rPr/>
      </w:pPr>
      <w:r>
        <w:rPr>
          <w:rStyle w:val="Funotenzeichen"/>
        </w:rPr>
        <w:footnoteRef/>
      </w:r>
      <w:r>
        <w:rPr/>
        <w:tab/>
        <w:t xml:space="preserve">Vers 2 ist eine freie Wiedergabe des "aaronitischen Segens" aus </w:t>
      </w:r>
      <w:r>
        <w:fldChar w:fldCharType="begin"/>
      </w:r>
      <w:r>
        <w:rPr>
          <w:rStyle w:val="Internetverknpfung"/>
        </w:rPr>
        <w:instrText> HYPERLINK "../../../../../../../../../wiki/Numeri_6" \l "s24"</w:instrText>
      </w:r>
      <w:r>
        <w:rPr>
          <w:rStyle w:val="Internetverknpfung"/>
        </w:rPr>
        <w:fldChar w:fldCharType="separate"/>
      </w:r>
      <w:r>
        <w:rPr>
          <w:rStyle w:val="Internetverknpfung"/>
        </w:rPr>
        <w:t>Num 6,24-26</w:t>
      </w:r>
      <w:r>
        <w:rPr>
          <w:rStyle w:val="Internetverknpfung"/>
        </w:rPr>
        <w:fldChar w:fldCharType="end"/>
      </w:r>
      <w:r>
        <w:rPr/>
        <w:t xml:space="preserve">. Dieses bekannte Gebet wurde vermutlich beim Gottesdienst im Tempel häufig vorgetragen (Talstra/Bosma, </w:t>
      </w:r>
      <w:r>
        <w:rPr>
          <w:i/>
        </w:rPr>
        <w:t>Psalm 67. Blessing, Harvest and History</w:t>
      </w:r>
      <w:r>
        <w:rPr/>
        <w:t xml:space="preserve">, 311). Der Autor gibt hier nur die Teile des Gebets wieder, die Gottes Segen für den Betenden einfordern. </w:t>
      </w:r>
    </w:p>
  </w:footnote>
  <w:footnote w:id="1004">
    <w:p>
      <w:pPr>
        <w:pStyle w:val="Funote"/>
        <w:rPr/>
      </w:pPr>
      <w:r>
        <w:rPr>
          <w:rStyle w:val="Funotenzeichen"/>
        </w:rPr>
        <w:footnoteRef/>
      </w:r>
      <w:r>
        <w:rPr/>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1005">
    <w:p>
      <w:pPr>
        <w:pStyle w:val="Funote"/>
        <w:rPr/>
      </w:pPr>
      <w:r>
        <w:rPr>
          <w:rStyle w:val="Funotenzeichen"/>
        </w:rPr>
        <w:footnoteRef/>
      </w:r>
      <w:r>
        <w:rPr/>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1006">
    <w:p>
      <w:pPr>
        <w:pStyle w:val="Funote"/>
        <w:rPr/>
      </w:pPr>
      <w:r>
        <w:rPr>
          <w:rStyle w:val="Funotenzeichen"/>
        </w:rPr>
        <w:footnoteRef/>
      </w:r>
      <w:r>
        <w:rPr>
          <w:i/>
        </w:rPr>
        <w:tab/>
        <w:t>deine rettende Kraft (Hilfe, Rettung, dein Eingeifen, Heil)</w:t>
      </w:r>
      <w:r>
        <w:rPr/>
        <w:t xml:space="preserve"> So wie V. 5 Gottes „Weg“ (3a) genauer beschreibt, erklärt der Verfasser in V. 7-8 Aspekte von Gottes „rettender Kraft“. Sein Heilshandeln kommt einerseits in Form der ertragreichen Ernte zum Ausdruck. Sie war im Bund zwischen Gott und Israel ein konkretes Zeichen von Gottes Wohlwollen. In </w:t>
      </w:r>
      <w:r>
        <w:fldChar w:fldCharType="begin"/>
      </w:r>
      <w:r>
        <w:rPr>
          <w:rStyle w:val="Internetverknpfung"/>
        </w:rPr>
        <w:instrText> HYPERLINK "../../../../../../../../../wiki/Levitikus_26" \l "s4"</w:instrText>
      </w:r>
      <w:r>
        <w:rPr>
          <w:rStyle w:val="Internetverknpfung"/>
        </w:rPr>
        <w:fldChar w:fldCharType="separate"/>
      </w:r>
      <w:r>
        <w:rPr>
          <w:rStyle w:val="Internetverknpfung"/>
        </w:rPr>
        <w:t>Lev 26,4-5</w:t>
      </w:r>
      <w:r>
        <w:rPr>
          <w:rStyle w:val="Internetverknpfung"/>
        </w:rPr>
        <w:fldChar w:fldCharType="end"/>
      </w:r>
      <w:r>
        <w:rPr/>
        <w:t>.</w:t>
      </w:r>
      <w:r>
        <w:fldChar w:fldCharType="begin"/>
      </w:r>
      <w:r>
        <w:rPr>
          <w:rStyle w:val="Internetverknpfung"/>
        </w:rPr>
        <w:instrText> HYPERLINK "../../../../../../../../../wiki/Levitikus_26" \l "s10"</w:instrText>
      </w:r>
      <w:r>
        <w:rPr>
          <w:rStyle w:val="Internetverknpfung"/>
        </w:rPr>
        <w:fldChar w:fldCharType="separate"/>
      </w:r>
      <w:r>
        <w:rPr>
          <w:rStyle w:val="Internetverknpfung"/>
        </w:rPr>
        <w:t>10</w:t>
      </w:r>
      <w:r>
        <w:rPr>
          <w:rStyle w:val="Internetverknpfung"/>
        </w:rPr>
        <w:fldChar w:fldCharType="end"/>
      </w:r>
      <w:r>
        <w:rPr/>
        <w:t xml:space="preserve">; </w:t>
      </w:r>
      <w:hyperlink r:id="rId140">
        <w:r>
          <w:rPr>
            <w:rStyle w:val="Internetverknpfung"/>
          </w:rPr>
          <w:t>Dtn 28,4</w:t>
        </w:r>
      </w:hyperlink>
      <w:r>
        <w:rPr/>
        <w:t>.</w:t>
      </w:r>
      <w:hyperlink r:id="rId141">
        <w:r>
          <w:rPr>
            <w:rStyle w:val="Internetverknpfung"/>
          </w:rPr>
          <w:t>11-12</w:t>
        </w:r>
      </w:hyperlink>
      <w:r>
        <w:rPr/>
        <w:t xml:space="preserve"> ist sie Teil des Segens, den Gott für Israels Bundesgehorsam verspricht. Andererseits äußert sich Gottes Heilshandeln darin, dass auch die anderen Völker ihn erkennen werden. Israel </w:t>
      </w:r>
      <w:r>
        <w:rPr>
          <w:i/>
        </w:rPr>
        <w:t>als Folge</w:t>
      </w:r>
      <w:r>
        <w:rPr/>
        <w:t xml:space="preserve"> der Segnung Israels, als der höchsten Form des geistlichen Segens. </w:t>
      </w:r>
    </w:p>
  </w:footnote>
  <w:footnote w:id="1007">
    <w:p>
      <w:pPr>
        <w:pStyle w:val="Funote"/>
        <w:rPr/>
      </w:pPr>
      <w:r>
        <w:rPr>
          <w:rStyle w:val="Funotenzeichen"/>
        </w:rPr>
        <w:footnoteRef/>
      </w:r>
      <w:r>
        <w:rPr/>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1008">
    <w:p>
      <w:pPr>
        <w:pStyle w:val="Funote"/>
        <w:rPr/>
      </w:pPr>
      <w:r>
        <w:rPr>
          <w:rStyle w:val="Funotenzeichen"/>
        </w:rPr>
        <w:footnoteRef/>
      </w:r>
      <w:r>
        <w:rPr/>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1009">
    <w:p>
      <w:pPr>
        <w:pStyle w:val="Funote"/>
        <w:rPr/>
      </w:pPr>
      <w:r>
        <w:rPr>
          <w:rStyle w:val="Funotenzeichen"/>
        </w:rPr>
        <w:footnoteRef/>
      </w:r>
      <w:r>
        <w:rPr/>
        <w:tab/>
        <w:t>Die zweite und dritte Zeile des Verses (5bc) stellen zwei Aspekte von Gottes „Weg“ (</w:t>
      </w:r>
      <w:r>
        <w:fldChar w:fldCharType="begin"/>
      </w:r>
      <w:r>
        <w:rPr>
          <w:rStyle w:val="Internetverknpfung"/>
        </w:rPr>
        <w:instrText> HYPERLINK "../../../../../../../../../wiki/Psalm_67" \l "s3"</w:instrText>
      </w:r>
      <w:r>
        <w:rPr>
          <w:rStyle w:val="Internetverknpfung"/>
        </w:rPr>
        <w:fldChar w:fldCharType="separate"/>
      </w:r>
      <w:r>
        <w:rPr>
          <w:rStyle w:val="Internetverknpfung"/>
        </w:rPr>
        <w:t>3a</w:t>
      </w:r>
      <w:r>
        <w:rPr>
          <w:rStyle w:val="Internetverknpfung"/>
        </w:rPr>
        <w:fldChar w:fldCharType="end"/>
      </w:r>
      <w:r>
        <w:rPr/>
        <w:t xml:space="preserve">) dar – sie erklären also, warum Gott Lobpreis zusteht, nachdem die Völker seine Herrschaft erkannt haben. Dieses Anliegen durchzieht den ganzen Psalm. Vgl. </w:t>
      </w:r>
      <w:r>
        <w:fldChar w:fldCharType="begin"/>
      </w:r>
      <w:r>
        <w:rPr>
          <w:rStyle w:val="Internetverknpfung"/>
        </w:rPr>
        <w:instrText> HYPERLINK "../../../../../../../../../wiki/Psalm_67" \l "note_f"</w:instrText>
      </w:r>
      <w:r>
        <w:rPr>
          <w:rStyle w:val="Internetverknpfung"/>
        </w:rPr>
        <w:fldChar w:fldCharType="separate"/>
      </w:r>
      <w:r>
        <w:rPr>
          <w:rStyle w:val="Internetverknpfung"/>
        </w:rPr>
        <w:t>Fußnote f</w:t>
      </w:r>
      <w:r>
        <w:rPr>
          <w:rStyle w:val="Internetverknpfung"/>
        </w:rPr>
        <w:fldChar w:fldCharType="end"/>
      </w:r>
      <w:r>
        <w:rPr/>
        <w:t>.</w:t>
      </w:r>
    </w:p>
  </w:footnote>
  <w:footnote w:id="1010">
    <w:p>
      <w:pPr>
        <w:pStyle w:val="Funote"/>
        <w:rPr/>
      </w:pPr>
      <w:r>
        <w:rPr>
          <w:rStyle w:val="Funotenzeichen"/>
        </w:rPr>
        <w:footnoteRef/>
      </w:r>
      <w:r>
        <w:rPr/>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1011">
    <w:p>
      <w:pPr>
        <w:pStyle w:val="Funote"/>
        <w:rPr/>
      </w:pPr>
      <w:r>
        <w:rPr>
          <w:rStyle w:val="Funotenzeichen"/>
        </w:rPr>
        <w:footnoteRef/>
      </w:r>
      <w:r>
        <w:rPr>
          <w:i/>
        </w:rPr>
        <w:tab/>
        <w:t>fürchten</w:t>
      </w:r>
      <w:r>
        <w:rPr/>
        <w:t xml:space="preserve"> (Hebr. </w:t>
      </w:r>
      <w:r>
        <w:rPr>
          <w:rtl w:val="true"/>
          <w:lang w:bidi="he-IL"/>
        </w:rPr>
        <w:t>יָרֵא</w:t>
      </w:r>
      <w:r>
        <w:rPr/>
        <w:t xml:space="preserve"> </w:t>
      </w:r>
      <w:r>
        <w:rPr/>
        <w:t xml:space="preserve">steht hier für religiöse Verehrung (vgl. </w:t>
      </w:r>
      <w:r>
        <w:fldChar w:fldCharType="begin"/>
      </w:r>
      <w:r>
        <w:rPr>
          <w:rStyle w:val="Internetverknpfung"/>
        </w:rPr>
        <w:instrText> HYPERLINK "../../../../../../../../../wiki/Psalm_33" \l "s8"</w:instrText>
      </w:r>
      <w:r>
        <w:rPr>
          <w:rStyle w:val="Internetverknpfung"/>
        </w:rPr>
        <w:fldChar w:fldCharType="separate"/>
      </w:r>
      <w:r>
        <w:rPr>
          <w:rStyle w:val="Internetverknpfung"/>
        </w:rPr>
        <w:t>Ps 33,8</w:t>
      </w:r>
      <w:r>
        <w:rPr>
          <w:rStyle w:val="Internetverknpfung"/>
        </w:rPr>
        <w:fldChar w:fldCharType="end"/>
      </w:r>
      <w:r>
        <w:rPr/>
        <w:t xml:space="preserve">; </w:t>
      </w:r>
      <w:hyperlink r:id="rId142">
        <w:r>
          <w:rPr>
            <w:rStyle w:val="Internetverknpfung"/>
          </w:rPr>
          <w:t>34,10</w:t>
        </w:r>
      </w:hyperlink>
      <w:r>
        <w:rPr/>
        <w:t xml:space="preserve">; </w:t>
      </w:r>
      <w:hyperlink r:id="rId143">
        <w:r>
          <w:rPr>
            <w:rStyle w:val="Internetverknpfung"/>
          </w:rPr>
          <w:t>47,3</w:t>
        </w:r>
      </w:hyperlink>
      <w:r>
        <w:rPr/>
        <w:t xml:space="preserve">; </w:t>
      </w:r>
      <w:hyperlink r:id="rId144">
        <w:r>
          <w:rPr>
            <w:rStyle w:val="Internetverknpfung"/>
          </w:rPr>
          <w:t>64,10</w:t>
        </w:r>
      </w:hyperlink>
      <w:r>
        <w:rPr/>
        <w:t xml:space="preserve">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w:t>
        <w:br/>
        <w:t xml:space="preserve">Die zweite Zeile des Verses könnte man auch so übersetzen: „und alle Enden der Erde sollen (mögen, werden) ihn fürchten“ </w:t>
      </w:r>
    </w:p>
  </w:footnote>
  <w:footnote w:id="1012">
    <w:p>
      <w:pPr>
        <w:pStyle w:val="Funote"/>
        <w:rPr/>
      </w:pPr>
      <w:r>
        <w:rPr>
          <w:rStyle w:val="Funotenzeichen"/>
        </w:rPr>
        <w:footnoteRef/>
      </w:r>
      <w:r>
        <w:rPr/>
        <w:tab/>
        <w:t>[Status: Zuverlässig]</w:t>
      </w:r>
    </w:p>
  </w:footnote>
  <w:footnote w:id="1013">
    <w:p>
      <w:pPr>
        <w:pStyle w:val="Funote"/>
        <w:rPr/>
      </w:pPr>
      <w:r>
        <w:rPr>
          <w:rStyle w:val="Funotenzeichen"/>
        </w:rPr>
        <w:footnoteRef/>
      </w:r>
      <w:r>
        <w:rPr/>
        <w:tab/>
        <w:t>D.h. wahrscheinlich „in allen Generationen“</w:t>
      </w:r>
    </w:p>
  </w:footnote>
  <w:footnote w:id="1014">
    <w:p>
      <w:pPr>
        <w:pStyle w:val="Funote"/>
        <w:rPr/>
      </w:pPr>
      <w:r>
        <w:rPr>
          <w:rStyle w:val="Funotenzeichen"/>
        </w:rPr>
        <w:footnoteRef/>
      </w:r>
      <w:r>
        <w:rPr/>
        <w:tab/>
        <w:t xml:space="preserve">Dieses Wort hat keinen allumfassenden Sinn wie „Kosmos“, sondern ist i.d.R. mit „Erde“ Synonym – hier klar ein Hendiadyoin. </w:t>
      </w:r>
    </w:p>
  </w:footnote>
  <w:footnote w:id="1015">
    <w:p>
      <w:pPr>
        <w:pStyle w:val="Funote"/>
        <w:rPr/>
      </w:pPr>
      <w:r>
        <w:rPr>
          <w:rStyle w:val="Funotenzeichen"/>
        </w:rPr>
        <w:footnoteRef/>
      </w:r>
      <w:r>
        <w:rPr/>
        <w:tab/>
        <w:t xml:space="preserve">Das Verb heißt eigentlich „sich (in Schmerzen) winden“ und steht oft in Zusammenhang mit der Geburt. Hier wird es bildhaft verwendet. Die Grenzen der deutschen Sprache machen eine genauere Übersetzung nicht möglich. </w:t>
      </w:r>
    </w:p>
  </w:footnote>
  <w:footnote w:id="1016">
    <w:p>
      <w:pPr>
        <w:pStyle w:val="Funote"/>
        <w:rPr/>
      </w:pPr>
      <w:r>
        <w:rPr>
          <w:rStyle w:val="Funotenzeichen"/>
        </w:rPr>
        <w:footnoteRef/>
      </w:r>
      <w:r>
        <w:rPr/>
        <w:tab/>
        <w:t>Nach der LXX und anderen Zeugen kein Polel, sondern Polal → Passiv: „Bevor … die Erde und die Welt hervorgebracht waren“ (NET Ps 90,2 Fußnote 3)</w:t>
      </w:r>
    </w:p>
  </w:footnote>
  <w:footnote w:id="1017">
    <w:p>
      <w:pPr>
        <w:pStyle w:val="Funote"/>
        <w:rPr/>
      </w:pPr>
      <w:r>
        <w:rPr>
          <w:rStyle w:val="Funotenzeichen"/>
        </w:rPr>
        <w:footnoteRef/>
      </w:r>
      <w:r>
        <w:rPr/>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1018">
    <w:p>
      <w:pPr>
        <w:pStyle w:val="Funote"/>
        <w:rPr/>
      </w:pPr>
      <w:r>
        <w:rPr>
          <w:rStyle w:val="Funotenzeichen"/>
        </w:rPr>
        <w:footnoteRef/>
      </w:r>
      <w:r>
        <w:rPr/>
        <w:tab/>
        <w:t>LXX: „Du lässt nicht zurückkehren“ (vgl. letzte Fußnote V. 5)</w:t>
      </w:r>
    </w:p>
  </w:footnote>
  <w:footnote w:id="1019">
    <w:p>
      <w:pPr>
        <w:pStyle w:val="Funote"/>
        <w:rPr/>
      </w:pPr>
      <w:r>
        <w:rPr>
          <w:rStyle w:val="Funotenzeichen"/>
        </w:rPr>
        <w:footnoteRef/>
      </w:r>
      <w:r>
        <w:rPr/>
        <w:tab/>
        <w:t>Kehrt zurück wird meistens als Wiederholung und Verstärkung der ersten Vershälfte verstanden: Keht zurück [zu Staub]! = Werdet wieder zu Staub! (vgl. Hossfeld/Zenger 2000, S. 608). Denkbar ist aber auch die Deutung: Kehrt zurück ins Leben!</w:t>
      </w:r>
    </w:p>
  </w:footnote>
  <w:footnote w:id="1020">
    <w:p>
      <w:pPr>
        <w:pStyle w:val="Funote"/>
        <w:rPr/>
      </w:pPr>
      <w:r>
        <w:rPr>
          <w:rStyle w:val="Funotenzeichen"/>
        </w:rPr>
        <w:footnoteRef/>
      </w:r>
      <w:r>
        <w:rPr/>
        <w:tab/>
        <w:t xml:space="preserve">Eigentlich ein (zeitloses) Imperfekt. Im Kontext des gestrigen Tages als Vergangenheit übersetzt. </w:t>
      </w:r>
    </w:p>
  </w:footnote>
  <w:footnote w:id="1021">
    <w:p>
      <w:pPr>
        <w:pStyle w:val="Funote"/>
        <w:rPr/>
      </w:pPr>
      <w:r>
        <w:rPr>
          <w:rStyle w:val="Funotenzeichen"/>
        </w:rPr>
        <w:footnoteRef/>
      </w:r>
      <w:r>
        <w:rPr/>
        <w:tab/>
        <w:t>Kann sich auf die israelitische Nachtzeiteinheit „Nachtwache“ beziehen (NET Ps 90,4 Fußnote 8).</w:t>
      </w:r>
    </w:p>
  </w:footnote>
  <w:footnote w:id="1022">
    <w:p>
      <w:pPr>
        <w:pStyle w:val="Funote"/>
        <w:rPr/>
      </w:pPr>
      <w:r>
        <w:rPr>
          <w:rStyle w:val="Funotenzeichen"/>
        </w:rPr>
        <w:footnoteRef/>
      </w:r>
      <w:r>
        <w:rPr/>
        <w:tab/>
        <w:t>Die genaue Bedeutung des Verbs ist unklar. NET: „beendest ihr Leben“</w:t>
      </w:r>
    </w:p>
  </w:footnote>
  <w:footnote w:id="1023">
    <w:p>
      <w:pPr>
        <w:pStyle w:val="Funote"/>
        <w:rPr/>
      </w:pPr>
      <w:r>
        <w:rPr>
          <w:rStyle w:val="Funotenzeichen"/>
        </w:rPr>
        <w:footnoteRef/>
      </w:r>
      <w:r>
        <w:rPr/>
        <w:tab/>
        <w:t>Oder: „[wie] Schlaf am Morgen, wie Gras“</w:t>
      </w:r>
    </w:p>
  </w:footnote>
  <w:footnote w:id="1024">
    <w:p>
      <w:pPr>
        <w:pStyle w:val="Funote"/>
        <w:rPr/>
      </w:pPr>
      <w:r>
        <w:rPr>
          <w:rStyle w:val="Funotenzeichen"/>
        </w:rPr>
        <w:footnoteRef/>
      </w:r>
      <w:r>
        <w:rPr/>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1025">
    <w:p>
      <w:pPr>
        <w:pStyle w:val="Funote"/>
        <w:rPr/>
      </w:pPr>
      <w:r>
        <w:rPr>
          <w:rStyle w:val="Funotenzeichen"/>
        </w:rPr>
        <w:footnoteRef/>
      </w:r>
      <w:r>
        <w:rPr/>
        <w:tab/>
        <w:t>EÜ: „wird es geschnitten“</w:t>
      </w:r>
    </w:p>
  </w:footnote>
  <w:footnote w:id="1026">
    <w:p>
      <w:pPr>
        <w:pStyle w:val="Funote"/>
        <w:rPr/>
      </w:pPr>
      <w:r>
        <w:rPr>
          <w:rStyle w:val="Funotenzeichen"/>
        </w:rPr>
        <w:footnoteRef/>
      </w:r>
      <w:r>
        <w:rPr/>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1027">
    <w:p>
      <w:pPr>
        <w:pStyle w:val="Funote"/>
        <w:rPr/>
      </w:pPr>
      <w:r>
        <w:rPr>
          <w:rStyle w:val="Funotenzeichen"/>
        </w:rPr>
        <w:footnoteRef/>
      </w:r>
      <w:r>
        <w:rPr/>
        <w:tab/>
        <w:t>So Hossfeld/Zenger 2000, S. 602. Die meisten deutschen Übersetzungen halten es hier mit Luther: „wenn es hoch kommt“</w:t>
      </w:r>
    </w:p>
  </w:footnote>
  <w:footnote w:id="1028">
    <w:p>
      <w:pPr>
        <w:pStyle w:val="Funote"/>
        <w:rPr/>
      </w:pPr>
      <w:r>
        <w:rPr>
          <w:rStyle w:val="Funotenzeichen"/>
        </w:rPr>
        <w:footnoteRef/>
      </w:r>
      <w:r>
        <w:rPr/>
        <w:tab/>
        <w:t>D.h. der Stolz der Jahre → die Blüte des Lebens.</w:t>
      </w:r>
    </w:p>
  </w:footnote>
  <w:footnote w:id="1029">
    <w:p>
      <w:pPr>
        <w:pStyle w:val="Funote"/>
        <w:rPr/>
      </w:pPr>
      <w:r>
        <w:rPr>
          <w:rStyle w:val="Funotenzeichen"/>
        </w:rPr>
        <w:footnoteRef/>
      </w:r>
      <w:r>
        <w:rPr/>
        <w:tab/>
        <w:t>Die parallele Satzstruktur weist darauf hin, dass aus der einen vergleichenden Präposition (vor „Tage“) weitere ergänzt werden müssen. In hebräischer Dichtung ist das nicht ungewöhnlich (vgl. V. 5).</w:t>
      </w:r>
    </w:p>
  </w:footnote>
  <w:footnote w:id="1030">
    <w:p>
      <w:pPr>
        <w:pStyle w:val="Funote"/>
        <w:rPr/>
      </w:pPr>
      <w:r>
        <w:rPr>
          <w:rStyle w:val="Funotenzeichen"/>
        </w:rPr>
        <w:footnoteRef/>
      </w:r>
      <w:r>
        <w:rPr/>
        <w:tab/>
        <w:t>REB: „Lass an deinen Knechten sichtbar werden“</w:t>
      </w:r>
    </w:p>
  </w:footnote>
  <w:footnote w:id="1031">
    <w:p>
      <w:pPr>
        <w:pStyle w:val="Funote"/>
        <w:rPr/>
      </w:pPr>
      <w:r>
        <w:rPr>
          <w:rStyle w:val="Funotenzeichen"/>
        </w:rPr>
        <w:footnoteRef/>
      </w:r>
      <w:r>
        <w:rPr/>
        <w:tab/>
        <w:t>SLT: „fördere“, EÜ: „lass gedeihen“</w:t>
      </w:r>
    </w:p>
  </w:footnote>
  <w:footnote w:id="1032">
    <w:p>
      <w:pPr>
        <w:pStyle w:val="Funote"/>
        <w:rPr/>
      </w:pPr>
      <w:r>
        <w:rPr>
          <w:rStyle w:val="Funotenzeichen"/>
        </w:rPr>
        <w:footnoteRef/>
      </w:r>
      <w:r>
        <w:rPr/>
        <w:tab/>
        <w:t>[Status: Zuverlässig]</w:t>
      </w:r>
    </w:p>
  </w:footnote>
  <w:footnote w:id="1033">
    <w:p>
      <w:pPr>
        <w:pStyle w:val="Funote"/>
        <w:rPr/>
      </w:pPr>
      <w:r>
        <w:rPr>
          <w:rStyle w:val="Funotenzeichen"/>
        </w:rPr>
        <w:footnoteRef/>
      </w:r>
      <w:r>
        <w:rPr/>
        <w:tab/>
        <w:t>Wechselgesang - so kürzlich Amzallag 2014, doch ist das eher unwahrscheinlich.</w:t>
      </w:r>
    </w:p>
  </w:footnote>
  <w:footnote w:id="1034">
    <w:p>
      <w:pPr>
        <w:pStyle w:val="Funote"/>
        <w:rPr/>
      </w:pPr>
      <w:r>
        <w:rPr>
          <w:rStyle w:val="Funotenzeichen"/>
        </w:rPr>
        <w:footnoteRef/>
      </w:r>
      <w:r>
        <w:rPr>
          <w:rtl w:val="true"/>
          <w:lang w:bidi="he-IL"/>
        </w:rPr>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1035">
    <w:p>
      <w:pPr>
        <w:pStyle w:val="Funote"/>
        <w:rPr/>
      </w:pPr>
      <w:r>
        <w:rPr>
          <w:rStyle w:val="Funotenzeichen"/>
        </w:rPr>
        <w:footnoteRef/>
      </w:r>
      <w:r>
        <w:rPr/>
        <w:tab/>
        <w:t xml:space="preserve">Im Hebräischen Plural, da natürlich „ganze Erde“ - gleich, wie es genau zu deuten ist (s. nächste FN) - auf die </w:t>
      </w:r>
      <w:r>
        <w:rPr>
          <w:i/>
        </w:rPr>
        <w:t>Bewohner</w:t>
      </w:r>
      <w:r>
        <w:rPr/>
        <w:t xml:space="preserve"> dieser Erde zu beziehen ist.</w:t>
      </w:r>
    </w:p>
  </w:footnote>
  <w:footnote w:id="1036">
    <w:p>
      <w:pPr>
        <w:pStyle w:val="Funote"/>
        <w:rPr/>
      </w:pPr>
      <w:r>
        <w:rPr>
          <w:rStyle w:val="Funotenzeichen"/>
        </w:rPr>
        <w:footnoteRef/>
      </w:r>
      <w:r>
        <w:rPr/>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1037">
    <w:p>
      <w:pPr>
        <w:pStyle w:val="Funote"/>
        <w:rPr/>
      </w:pPr>
      <w:r>
        <w:rPr>
          <w:rStyle w:val="Funotenzeichen"/>
        </w:rPr>
        <w:footnoteRef/>
      </w:r>
      <w:r>
        <w:rPr>
          <w:rtl w:val="true"/>
          <w:lang w:bidi="he-IL"/>
        </w:rPr>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1038">
    <w:p>
      <w:pPr>
        <w:pStyle w:val="Funote"/>
        <w:rPr/>
      </w:pPr>
      <w:r>
        <w:rPr>
          <w:rStyle w:val="Funotenzeichen"/>
        </w:rPr>
        <w:footnoteRef/>
      </w:r>
      <w:r>
        <w:rPr>
          <w:rtl w:val="true"/>
          <w:lang w:bidi="he-IL"/>
        </w:rPr>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1039">
    <w:p>
      <w:pPr>
        <w:pStyle w:val="Funote"/>
        <w:rPr/>
      </w:pPr>
      <w:r>
        <w:rPr>
          <w:rStyle w:val="Funotenzeichen"/>
        </w:rPr>
        <w:footnoteRef/>
      </w:r>
      <w:r>
        <w:rPr>
          <w:rtl w:val="true"/>
          <w:lang w:bidi="he-IL"/>
        </w:rPr>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1040">
    <w:p>
      <w:pPr>
        <w:pStyle w:val="Funote"/>
        <w:rPr/>
      </w:pPr>
      <w:r>
        <w:rPr>
          <w:rStyle w:val="Funotenzeichen"/>
        </w:rPr>
        <w:footnoteRef/>
      </w:r>
      <w:r>
        <w:rPr/>
        <w:tab/>
        <w:t xml:space="preserve">Nicht: JHWH, er [ist] Gott - </w:t>
      </w:r>
      <w:r>
        <w:rPr>
          <w:rtl w:val="true"/>
          <w:lang w:bidi="he-IL"/>
        </w:rPr>
        <w:t>הוּא</w:t>
      </w:r>
      <w:r>
        <w:rPr/>
        <w:t xml:space="preserve"> </w:t>
      </w:r>
      <w:r>
        <w:rPr/>
        <w:t>verwendet als Pro-Kopula; vgl. dazu z.B. zuletzt wieder Holmstedt/Jones 2013.</w:t>
      </w:r>
    </w:p>
  </w:footnote>
  <w:footnote w:id="1041">
    <w:p>
      <w:pPr>
        <w:pStyle w:val="Funote"/>
        <w:rPr/>
      </w:pPr>
      <w:r>
        <w:rPr>
          <w:rStyle w:val="Funotenzeichen"/>
        </w:rPr>
        <w:footnoteRef/>
      </w:r>
      <w:r>
        <w:rPr/>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1042">
    <w:p>
      <w:pPr>
        <w:pStyle w:val="Funote"/>
        <w:rPr/>
      </w:pPr>
      <w:r>
        <w:rPr>
          <w:rStyle w:val="Funotenzeichen"/>
        </w:rPr>
        <w:footnoteRef/>
      </w:r>
      <w:r>
        <w:rPr/>
        <w:tab/>
        <w:t>Zu ergänzen aus Sticho 3b (-&gt;Brachylogie).</w:t>
      </w:r>
    </w:p>
  </w:footnote>
  <w:footnote w:id="1043">
    <w:p>
      <w:pPr>
        <w:pStyle w:val="Funote"/>
        <w:rPr/>
      </w:pPr>
      <w:r>
        <w:rPr>
          <w:rStyle w:val="Funotenzeichen"/>
        </w:rPr>
        <w:footnoteRef/>
      </w:r>
      <w:r>
        <w:rPr/>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1044">
    <w:p>
      <w:pPr>
        <w:pStyle w:val="Funote"/>
        <w:rPr/>
      </w:pPr>
      <w:r>
        <w:rPr>
          <w:rStyle w:val="Funotenzeichen"/>
        </w:rPr>
        <w:footnoteRef/>
      </w:r>
      <w:r>
        <w:rPr/>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1045">
    <w:p>
      <w:pPr>
        <w:pStyle w:val="Funote"/>
        <w:rPr/>
      </w:pPr>
      <w:r>
        <w:rPr>
          <w:rStyle w:val="Funotenzeichen"/>
        </w:rPr>
        <w:footnoteRef/>
      </w:r>
      <w:r>
        <w:rPr/>
        <w:tab/>
        <w:t xml:space="preserve">s. zur Alternative </w:t>
      </w:r>
      <w:r>
        <w:fldChar w:fldCharType="begin"/>
      </w:r>
      <w:r>
        <w:rPr>
          <w:rStyle w:val="Internetverknpfung"/>
        </w:rPr>
        <w:instrText> HYPERLINK "http://www.offene-bibel.de/wiki/index.php5?title=Psalm_100" \l "note_f"</w:instrText>
      </w:r>
      <w:r>
        <w:rPr>
          <w:rStyle w:val="Internetverknpfung"/>
        </w:rPr>
        <w:fldChar w:fldCharType="separate"/>
      </w:r>
      <w:r>
        <w:rPr>
          <w:rStyle w:val="Internetverknpfung"/>
        </w:rPr>
        <w:t>FN f</w:t>
      </w:r>
      <w:r>
        <w:rPr>
          <w:rStyle w:val="Internetverknpfung"/>
        </w:rPr>
        <w:fldChar w:fldCharType="end"/>
      </w:r>
    </w:p>
  </w:footnote>
  <w:footnote w:id="1046">
    <w:p>
      <w:pPr>
        <w:pStyle w:val="Funote"/>
        <w:rPr/>
      </w:pPr>
      <w:r>
        <w:rPr>
          <w:rStyle w:val="Funotenzeichen"/>
        </w:rPr>
        <w:footnoteRef/>
      </w:r>
      <w:r>
        <w:rPr/>
        <w:tab/>
        <w:t>Hier wird das selbe Wort wie in der Überschrift wiederholt; zu den Übersetzungsvarianten vgl. die erste FN.</w:t>
      </w:r>
    </w:p>
  </w:footnote>
  <w:footnote w:id="1047">
    <w:p>
      <w:pPr>
        <w:pStyle w:val="Funote"/>
        <w:rPr/>
      </w:pPr>
      <w:r>
        <w:rPr>
          <w:rStyle w:val="Funotenzeichen"/>
        </w:rPr>
        <w:footnoteRef/>
      </w:r>
      <w:r>
        <w:rPr/>
        <w:tab/>
        <w:t>Zu ergänzen aus Sticho 4a (-&gt;Brachylogie).</w:t>
      </w:r>
    </w:p>
  </w:footnote>
  <w:footnote w:id="1048">
    <w:p>
      <w:pPr>
        <w:pStyle w:val="Funote"/>
        <w:rPr/>
      </w:pPr>
      <w:r>
        <w:rPr>
          <w:rStyle w:val="Funotenzeichen"/>
        </w:rPr>
        <w:footnoteRef/>
      </w:r>
      <w:r>
        <w:rPr/>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1049">
    <w:p>
      <w:pPr>
        <w:pStyle w:val="Funote"/>
        <w:rPr/>
      </w:pPr>
      <w:r>
        <w:rPr>
          <w:rStyle w:val="Funotenzeichen"/>
        </w:rPr>
        <w:footnoteRef/>
      </w:r>
      <w:r>
        <w:rPr/>
        <w:tab/>
        <w:t>Besonders im Kontext von Aussagen über JHWH steht sein „Name“ meist metonymisch für JHWH selbst; man bezeichnet so JHWH „im Menschenmund“.</w:t>
      </w:r>
    </w:p>
  </w:footnote>
  <w:footnote w:id="1050">
    <w:p>
      <w:pPr>
        <w:pStyle w:val="Funote"/>
        <w:rPr/>
      </w:pPr>
      <w:r>
        <w:rPr>
          <w:rStyle w:val="Funotenzeichen"/>
        </w:rPr>
        <w:footnoteRef/>
      </w:r>
      <w:r>
        <w:rPr/>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1051">
    <w:p>
      <w:pPr>
        <w:pStyle w:val="Funote"/>
        <w:rPr/>
      </w:pPr>
      <w:r>
        <w:rPr>
          <w:rStyle w:val="Funotenzeichen"/>
        </w:rPr>
        <w:footnoteRef/>
      </w:r>
      <w:r>
        <w:rPr/>
        <w:tab/>
        <w:t>[Status: Zuverlässig]</w:t>
      </w:r>
    </w:p>
  </w:footnote>
  <w:footnote w:id="1052">
    <w:p>
      <w:pPr>
        <w:pStyle w:val="Funote"/>
        <w:rPr/>
      </w:pPr>
      <w:r>
        <w:rPr>
          <w:rStyle w:val="Funotenzeichen"/>
        </w:rPr>
        <w:footnoteRef/>
      </w:r>
      <w:r>
        <w:rPr/>
        <w:tab/>
        <w:t>Textkritik: Die in Psalmen häufige, den angeblichen Verfasser angebende Überschrift „von David“ findet sich nicht in allen Überlieferungen des Textes – u.a. nicht Grundtext der BHS / BHQ –, dafür aber gerade in den sehr alten Textzeugen 11QPsa, LXX, Aq und evt. (vgl. Flint 1997, S. 96) in 4QPse. Das ist eine sehr starke Bezeugung; Goldingay 2008, S. 178 etwa sieht diese Überschrift daher als ursprünglich an. Die unterschiedliche Überlieferung lässt sich aber leichter erklären als Ergänzung (statt Streichung) zwecks einer Angleichung der sog. „anonymen“ Psalmen an die häufigeren Psalmen mit Autorenangabe. LXX allein hat wohl aus diesem Grund bei 13 anonymen Psalmen eine solche Angabe, wo der Codex Leningradensis sie nicht hat.</w:t>
      </w:r>
    </w:p>
  </w:footnote>
  <w:footnote w:id="1053">
    <w:p>
      <w:pPr>
        <w:pStyle w:val="Funote"/>
        <w:rPr/>
      </w:pPr>
      <w:r>
        <w:rPr>
          <w:rStyle w:val="Funotenzeichen"/>
        </w:rPr>
        <w:footnoteRef/>
      </w:r>
      <w:r>
        <w:rPr/>
        <w:tab/>
        <w:t>Preise, meine Seele, JHWH - Eine Selbtermunterung zum Gebet; ähnliches findet sich z.B. auch in Ps 34,2; Ps 42,5.11; 43,5; 103,1.22; 116,7; 145,21. Zur wohl dahinterstehenden Vorstellung vgl. am besten Ps 77,2 („Meine Seele weigerte sich, sich trösten zu lassen“); 131,2 („Ich habe meine Seele besänftigt und beruhigt“): Wie jeder Beter weiß, hat das Herz manchmal seine eigene Dynamik und ist nicht von vornherein dazu bereit(et), beten zu können - daher muss der Beter bewusst Einfluss auf die Stimmung seines Herzens nehmen. Das selbe Motiv findet sich übrigens auch in deutschen Kirchenliedern; man vergleiche etwa Paul Gerhards Lieder „Du meine Seele, singe“ und „Auf, auf, mein Herz, mit Freuden / nimm wahr, was heut geschieht“.</w:t>
      </w:r>
    </w:p>
  </w:footnote>
  <w:footnote w:id="1054">
    <w:p>
      <w:pPr>
        <w:pStyle w:val="Funote"/>
        <w:rPr/>
      </w:pPr>
      <w:r>
        <w:rPr>
          <w:rStyle w:val="Funotenzeichen"/>
        </w:rPr>
        <w:footnoteRef/>
      </w:r>
      <w:r>
        <w:rPr/>
        <w:tab/>
        <w:t>Textkritik - Die auffällige Aneinanderreihung dreier Gottesbezeichnungen (2x JHWH, 1x mein-Gott) hat in der Textüberlieferung für etwas Verwirrung gesorgt: In einigen heb. Handschriften fehlt eines der beiden JHWH, in einer Handschrift der LXX finden sich drei davon. 11QPsa hat statt „mein Gott“ die Variante „unser Gott“, 4QPsd die Variante „Gott“. Ursprünglich ist sicher die Variante im Fließtext.</w:t>
      </w:r>
    </w:p>
  </w:footnote>
  <w:footnote w:id="1055">
    <w:p>
      <w:pPr>
        <w:pStyle w:val="Funote"/>
        <w:rPr/>
      </w:pPr>
      <w:r>
        <w:rPr>
          <w:rStyle w:val="Funotenzeichen"/>
        </w:rPr>
        <w:footnoteRef/>
      </w:r>
      <w:r>
        <w:rPr>
          <w:i/>
        </w:rPr>
        <w:tab/>
        <w:t>Majestät und Herrlichkeit</w:t>
      </w:r>
      <w:r>
        <w:rPr/>
        <w:t xml:space="preserve"> - Zwei häufigere Züge bei der Beschreibung Gottes: „Bei ihm“ ist Majestät und Herrlichkeit und er selbst ist majestätisch und herrlich (vgl. </w:t>
      </w:r>
      <w:hyperlink r:id="rId145">
        <w:r>
          <w:rPr>
            <w:rStyle w:val="Internetverknpfung"/>
          </w:rPr>
          <w:t>1 Chr 16,27</w:t>
        </w:r>
      </w:hyperlink>
      <w:r>
        <w:rPr/>
        <w:t xml:space="preserve">; </w:t>
      </w:r>
      <w:hyperlink r:id="rId146">
        <w:r>
          <w:rPr>
            <w:rStyle w:val="Internetverknpfung"/>
          </w:rPr>
          <w:t>96,6</w:t>
        </w:r>
      </w:hyperlink>
      <w:r>
        <w:rPr/>
        <w:t xml:space="preserve">; </w:t>
      </w:r>
      <w:hyperlink r:id="rId147">
        <w:r>
          <w:rPr>
            <w:rStyle w:val="Internetverknpfung"/>
          </w:rPr>
          <w:t>111,3</w:t>
        </w:r>
      </w:hyperlink>
      <w:r>
        <w:rPr/>
        <w:t xml:space="preserve">; </w:t>
      </w:r>
      <w:r>
        <w:fldChar w:fldCharType="begin"/>
      </w:r>
      <w:r>
        <w:rPr>
          <w:rStyle w:val="Internetverknpfung"/>
        </w:rPr>
        <w:instrText> HYPERLINK "../../../../../../../../../wiki/Psalm_145" \l "s5"</w:instrText>
      </w:r>
      <w:r>
        <w:rPr>
          <w:rStyle w:val="Internetverknpfung"/>
        </w:rPr>
        <w:fldChar w:fldCharType="separate"/>
      </w:r>
      <w:r>
        <w:rPr>
          <w:rStyle w:val="Internetverknpfung"/>
        </w:rPr>
        <w:t>145,5</w:t>
      </w:r>
      <w:r>
        <w:rPr>
          <w:rStyle w:val="Internetverknpfung"/>
        </w:rPr>
        <w:fldChar w:fldCharType="end"/>
      </w:r>
      <w:r>
        <w:rPr/>
        <w:t xml:space="preserve">), daher kann auch einzig er einzelnen Menschen diese Eigenschaften gewähren (vgl. </w:t>
      </w:r>
      <w:hyperlink r:id="rId148">
        <w:r>
          <w:rPr>
            <w:rStyle w:val="Internetverknpfung"/>
          </w:rPr>
          <w:t>Ps 21,5</w:t>
        </w:r>
      </w:hyperlink>
      <w:r>
        <w:rPr/>
        <w:t xml:space="preserve">; </w:t>
      </w:r>
      <w:hyperlink r:id="rId149">
        <w:r>
          <w:rPr>
            <w:rStyle w:val="Internetverknpfung"/>
          </w:rPr>
          <w:t>45,2f.</w:t>
        </w:r>
      </w:hyperlink>
      <w:r>
        <w:rPr/>
        <w:t xml:space="preserve">; sarkastisch in </w:t>
      </w:r>
      <w:hyperlink r:id="rId150">
        <w:r>
          <w:rPr>
            <w:rStyle w:val="Internetverknpfung"/>
          </w:rPr>
          <w:t>Ijob 40,10</w:t>
        </w:r>
      </w:hyperlink>
      <w:r>
        <w:rPr/>
        <w:t xml:space="preserve">). Das zweite Wort, </w:t>
      </w:r>
      <w:r>
        <w:rPr>
          <w:i/>
        </w:rPr>
        <w:t>hadar</w:t>
      </w:r>
      <w:r>
        <w:rPr/>
        <w:t xml:space="preserve">, kann auch konkret den Schmuck bezeichnen; entsprechend ist es auch in </w:t>
      </w:r>
      <w:hyperlink r:id="rId151">
        <w:r>
          <w:rPr>
            <w:rStyle w:val="Internetverknpfung"/>
          </w:rPr>
          <w:t>Ijob 40,10</w:t>
        </w:r>
      </w:hyperlink>
      <w:r>
        <w:rPr/>
        <w:t xml:space="preserve">; </w:t>
      </w:r>
      <w:hyperlink r:id="rId152">
        <w:r>
          <w:rPr>
            <w:rStyle w:val="Internetverknpfung"/>
          </w:rPr>
          <w:t>Spr 31,25</w:t>
        </w:r>
      </w:hyperlink>
      <w:r>
        <w:rPr/>
        <w:t xml:space="preserve">; </w:t>
      </w:r>
      <w:hyperlink r:id="rId153">
        <w:r>
          <w:rPr>
            <w:rStyle w:val="Internetverknpfung"/>
          </w:rPr>
          <w:t>Jes 63,1</w:t>
        </w:r>
      </w:hyperlink>
      <w:r>
        <w:rPr/>
        <w:t xml:space="preserve">; </w:t>
      </w:r>
      <w:r>
        <w:fldChar w:fldCharType="begin"/>
      </w:r>
      <w:r>
        <w:rPr>
          <w:rStyle w:val="Internetverknpfung"/>
        </w:rPr>
        <w:instrText> HYPERLINK "../../../../../../../../../wiki/Ezechiel_16" \l "s14"</w:instrText>
      </w:r>
      <w:r>
        <w:rPr>
          <w:rStyle w:val="Internetverknpfung"/>
        </w:rPr>
        <w:fldChar w:fldCharType="separate"/>
      </w:r>
      <w:r>
        <w:rPr>
          <w:rStyle w:val="Internetverknpfung"/>
        </w:rPr>
        <w:t>Ez 16,14</w:t>
      </w:r>
      <w:r>
        <w:rPr>
          <w:rStyle w:val="Internetverknpfung"/>
        </w:rPr>
        <w:fldChar w:fldCharType="end"/>
      </w:r>
      <w:r>
        <w:rPr/>
        <w:t xml:space="preserve"> (vgl. ähnlich </w:t>
      </w:r>
      <w:r>
        <w:fldChar w:fldCharType="begin"/>
      </w:r>
      <w:r>
        <w:rPr>
          <w:rStyle w:val="Internetverknpfung"/>
        </w:rPr>
        <w:instrText> HYPERLINK "../../../../../../../../../wiki/Psalm_93" \l "s1"</w:instrText>
      </w:r>
      <w:r>
        <w:rPr>
          <w:rStyle w:val="Internetverknpfung"/>
        </w:rPr>
        <w:fldChar w:fldCharType="separate"/>
      </w:r>
      <w:r>
        <w:rPr>
          <w:rStyle w:val="Internetverknpfung"/>
        </w:rPr>
        <w:t>Ps 93,1</w:t>
      </w:r>
      <w:r>
        <w:rPr>
          <w:rStyle w:val="Internetverknpfung"/>
        </w:rPr>
        <w:fldChar w:fldCharType="end"/>
      </w:r>
      <w:r>
        <w:rPr/>
        <w:t>) etwas, womit man sich „kleiden“ kann.</w:t>
      </w:r>
    </w:p>
  </w:footnote>
  <w:footnote w:id="1056">
    <w:p>
      <w:pPr>
        <w:pStyle w:val="Funote"/>
        <w:rPr/>
      </w:pPr>
      <w:r>
        <w:rPr>
          <w:rStyle w:val="Funotenzeichen"/>
        </w:rPr>
        <w:footnoteRef/>
      </w:r>
      <w:r>
        <w:rPr>
          <w:i/>
        </w:rPr>
        <w:tab/>
        <w:t>Mit Licht umhüllt</w:t>
      </w:r>
      <w:r>
        <w:rPr/>
        <w:t xml:space="preserve"> + </w:t>
      </w:r>
      <w:r>
        <w:rPr>
          <w:i/>
        </w:rPr>
        <w:t>Himmel ausgespannt</w:t>
      </w:r>
      <w:r>
        <w:rPr/>
        <w:t xml:space="preserve"> - Binnenreim der beiden Partizipien: </w:t>
      </w:r>
      <w:r>
        <w:rPr>
          <w:b/>
          <w:i/>
        </w:rPr>
        <w:t>`oteh</w:t>
      </w:r>
      <w:r>
        <w:rPr>
          <w:i/>
        </w:rPr>
        <w:t>-´or</w:t>
      </w:r>
      <w:r>
        <w:rPr/>
        <w:t xml:space="preserve"> + </w:t>
      </w:r>
      <w:r>
        <w:rPr>
          <w:b/>
          <w:i/>
        </w:rPr>
        <w:t>noteh</w:t>
      </w:r>
      <w:r>
        <w:rPr>
          <w:i/>
        </w:rPr>
        <w:t xml:space="preserve"> schamajim</w:t>
      </w:r>
      <w:r>
        <w:rPr/>
        <w:t>.</w:t>
      </w:r>
    </w:p>
  </w:footnote>
  <w:footnote w:id="1057">
    <w:p>
      <w:pPr>
        <w:pStyle w:val="Funote"/>
        <w:rPr/>
      </w:pPr>
      <w:r>
        <w:rPr>
          <w:rStyle w:val="Funotenzeichen"/>
        </w:rPr>
        <w:footnoteRef/>
      </w:r>
      <w:r>
        <w:rPr>
          <w:i/>
        </w:rPr>
        <w:tab/>
        <w:t>mit Licht umhüllt</w:t>
      </w:r>
      <w:r>
        <w:rPr/>
        <w:t xml:space="preserve"> - Ps 104 hat viele Anklänge an die Schöpfungserzählung in </w:t>
      </w:r>
      <w:hyperlink r:id="rId154">
        <w:r>
          <w:rPr>
            <w:rStyle w:val="Internetverknpfung"/>
          </w:rPr>
          <w:t>Genesis 1</w:t>
        </w:r>
      </w:hyperlink>
      <w:r>
        <w:rPr/>
        <w:t>; die Rede vom „sich mit Licht umhüllen“ spielt daher wohl auf die auch dort geschilderte Schöpfung des Lichts an.</w:t>
      </w:r>
    </w:p>
  </w:footnote>
  <w:footnote w:id="1058">
    <w:p>
      <w:pPr>
        <w:pStyle w:val="Funote"/>
        <w:rPr/>
      </w:pPr>
      <w:r>
        <w:rPr>
          <w:rStyle w:val="Funotenzeichen"/>
        </w:rPr>
        <w:footnoteRef/>
      </w:r>
      <w:r>
        <w:rPr/>
        <w:tab/>
        <w:t>[Oh, du] - rein funktionale Übersetzung: Die folgenden Verben stehen im Partizip und es ist nicht einmal offensichtlich, dass Gott hier tatsächlich angesprochen ist. Derartige Aneinanderreihungen von Partizipien finden sich aber häufig in hymnischen Psalmen; ihre Funktion ist es, Wesenszüge Gottes aufzuzählen, um ihn damit zu preisen (vgl. z.B. Seybold 1990, S. 114).</w:t>
      </w:r>
    </w:p>
  </w:footnote>
  <w:footnote w:id="1059">
    <w:p>
      <w:pPr>
        <w:pStyle w:val="Funote"/>
        <w:rPr/>
      </w:pPr>
      <w:r>
        <w:rPr>
          <w:rStyle w:val="Funotenzeichen"/>
        </w:rPr>
        <w:footnoteRef/>
      </w:r>
      <w:r>
        <w:rPr>
          <w:i/>
        </w:rPr>
        <w:tab/>
        <w:t>Himmel wie eine Zeltdecke ausspannte</w:t>
      </w:r>
      <w:r>
        <w:rPr/>
        <w:t xml:space="preserve"> - Nach biblischer Vorstellung ist der Himmel ein festes Gebilde (vgl. z.B. </w:t>
      </w:r>
      <w:hyperlink r:id="rId155">
        <w:r>
          <w:rPr>
            <w:rStyle w:val="Internetverknpfung"/>
          </w:rPr>
          <w:t>Ijob 37,18</w:t>
        </w:r>
      </w:hyperlink>
      <w:r>
        <w:rPr/>
        <w:t xml:space="preserve">; </w:t>
      </w:r>
      <w:hyperlink r:id="rId156">
        <w:r>
          <w:rPr>
            <w:rStyle w:val="Internetverknpfung"/>
          </w:rPr>
          <w:t>Ez 1,22</w:t>
        </w:r>
      </w:hyperlink>
      <w:r>
        <w:rPr/>
        <w:t xml:space="preserve">), das „ausgebreitet“ oder „ausgespannt“ (vgl. </w:t>
      </w:r>
      <w:hyperlink r:id="rId157">
        <w:r>
          <w:rPr>
            <w:rStyle w:val="Internetverknpfung"/>
          </w:rPr>
          <w:t>Ijob 9,8</w:t>
        </w:r>
      </w:hyperlink>
      <w:r>
        <w:rPr/>
        <w:t xml:space="preserve">; </w:t>
      </w:r>
      <w:hyperlink r:id="rId158">
        <w:r>
          <w:rPr>
            <w:rStyle w:val="Internetverknpfung"/>
          </w:rPr>
          <w:t>42,5</w:t>
        </w:r>
      </w:hyperlink>
      <w:r>
        <w:rPr/>
        <w:t xml:space="preserve">; </w:t>
      </w:r>
      <w:r>
        <w:fldChar w:fldCharType="begin"/>
      </w:r>
      <w:r>
        <w:rPr>
          <w:rStyle w:val="Internetverknpfung"/>
        </w:rPr>
        <w:instrText> HYPERLINK "../../../../../../../../../wiki/Jesaja_44" \l "s24"</w:instrText>
      </w:r>
      <w:r>
        <w:rPr>
          <w:rStyle w:val="Internetverknpfung"/>
        </w:rPr>
        <w:fldChar w:fldCharType="separate"/>
      </w:r>
      <w:r>
        <w:rPr>
          <w:rStyle w:val="Internetverknpfung"/>
        </w:rPr>
        <w:t>44,24</w:t>
      </w:r>
      <w:r>
        <w:rPr>
          <w:rStyle w:val="Internetverknpfung"/>
        </w:rPr>
        <w:fldChar w:fldCharType="end"/>
      </w:r>
      <w:r>
        <w:rPr/>
        <w:t xml:space="preserve">) wurde, um die Wasser über der Erde vom Überfluten der Erde zurückzuhalten (vgl. z.B. </w:t>
      </w:r>
      <w:hyperlink r:id="rId159">
        <w:r>
          <w:rPr>
            <w:rStyle w:val="Internetverknpfung"/>
          </w:rPr>
          <w:t>Ijob 37,11</w:t>
        </w:r>
      </w:hyperlink>
      <w:r>
        <w:rPr/>
        <w:t>). Sehr häufig ist er außerdem vorgestellt als die „Wohnstatt Gottes“. Beides wird hier kombiniert zur Vorstellung des Himmels als dem „Zelt Gottes“, das nach seinem ausgespannt-Werden dann in V. 3 noch weiter ausgebaut wird.</w:t>
      </w:r>
    </w:p>
  </w:footnote>
  <w:footnote w:id="1060">
    <w:p>
      <w:pPr>
        <w:pStyle w:val="Funote"/>
        <w:rPr/>
      </w:pPr>
      <w:r>
        <w:rPr>
          <w:rStyle w:val="Funotenzeichen"/>
        </w:rPr>
        <w:footnoteRef/>
      </w:r>
      <w:r>
        <w:rPr/>
        <w:tab/>
        <w:t>im Wasser bälkte - D.h. JHWH hat im Himmel sein Obergemach errichtet, indem er im oder mit Wasser - nämlich dem, aus dem der Himmel besteht und das vom Firmament davon zurückgehalten wird, die Erde zu überfluten - seine Wohnung „zimmert“. Die Rede vom Himmel als „Obergemach“ ist schön und sehr treffend - impliziert sie doch, dass Gott zu diesem Obergemach auch ein „Erdgeschoss“ hat, was den Rest des Psalms vorbereitet.</w:t>
      </w:r>
    </w:p>
  </w:footnote>
  <w:footnote w:id="1061">
    <w:p>
      <w:pPr>
        <w:pStyle w:val="Funote"/>
        <w:rPr/>
      </w:pPr>
      <w:r>
        <w:rPr>
          <w:rStyle w:val="Funotenzeichen"/>
        </w:rPr>
        <w:footnoteRef/>
      </w:r>
      <w:r>
        <w:rPr>
          <w:i/>
        </w:rPr>
        <w:tab/>
        <w:t>Dort</w:t>
      </w:r>
      <w:r>
        <w:rPr/>
        <w:t xml:space="preserve"> - nämlich im himmlischen Obergemach.</w:t>
      </w:r>
    </w:p>
  </w:footnote>
  <w:footnote w:id="1062">
    <w:p>
      <w:pPr>
        <w:pStyle w:val="Funote"/>
        <w:rPr/>
      </w:pPr>
      <w:r>
        <w:rPr>
          <w:rStyle w:val="Funotenzeichen"/>
        </w:rPr>
        <w:footnoteRef/>
      </w:r>
      <w:r>
        <w:rPr>
          <w:i/>
        </w:rPr>
        <w:tab/>
        <w:t>Wolken [als] seinen Wagen</w:t>
      </w:r>
      <w:r>
        <w:rPr/>
        <w:t xml:space="preserve"> - Eine alte Vorstellung; auch der altorientalische Gott Baal wird häufig als „Wolkenreiter“ bezeichnet (vgl. z.B. DDD, S. 704).</w:t>
      </w:r>
    </w:p>
  </w:footnote>
  <w:footnote w:id="1063">
    <w:p>
      <w:pPr>
        <w:pStyle w:val="Funote"/>
        <w:rPr/>
      </w:pPr>
      <w:r>
        <w:rPr>
          <w:rStyle w:val="Funotenzeichen"/>
        </w:rPr>
        <w:footnoteRef/>
      </w:r>
      <w:r>
        <w:rPr/>
        <w:tab/>
        <w:t>Wind (Vv. 3f.); Feuer (V. 4); fliehendes Wasser (Vv. 6f.) - man beachte, wie hier der Wind etwas Reitbares (s. nächste FN), das Feuer etwas Dienstbares und das Wasser etwas zur Flucht Fähiges ist - die Natur wird durchgehend personifiziert oder wenigstens „semi-personal“ (Andersen 1972, S. 720) gedacht. Von einer „Entmythisierung der Natur“ kann ins Ps 104 nicht die Rede sein.</w:t>
      </w:r>
    </w:p>
  </w:footnote>
  <w:footnote w:id="1064">
    <w:p>
      <w:pPr>
        <w:pStyle w:val="Funote"/>
        <w:rPr/>
      </w:pPr>
      <w:r>
        <w:rPr>
          <w:rStyle w:val="Funotenzeichen"/>
        </w:rPr>
        <w:footnoteRef/>
      </w:r>
      <w:r>
        <w:rPr/>
        <w:tab/>
        <w:t>&lt;center&gt;miniatur&lt;/center&gt;Flügel des Windes - Die Winde werden in vielen alten Kulturen als geflügelte Gestalten vorgestellt. Im babylonischen Adapa-mythos etwa bricht der Held Adapa die Flügel des Südwindes Šûtu. Zusammen mit einem ihrer drei Brüdern ist sie oben links zu sehen; auf dem ganzen Siegel (s. Wiggermann 2007, S. 142; hier auch weitere Darstellungen der personifizierten vier Winde im Alten Orient) sind auch die anderen beiden Brüder abgebildet. In der ägyptischen Bilderwelt sind die personifizierten Winde mal als geflügelte Humanoide, mal als geflügelte Tierwesen dargestellt; in den beiden unteren Bildausschnitten (zu finden an der Decke des Hathor-Tempels in Dendera; Foto: Olaf Tausch) etwa ist der Südwind ein geflügelter Widder und der Westwind ein widderköpfiger Sperber. Eine schöne Rekonstruktion einer weiteren ägyptischen Darstellung mit allen vier Winden lässt sich hier betrachten. Sehr bekannt sind auch die griechischen personifizierten Winde Boreas, Apheliotes, Notos und Zephyros; oben rechts z.B. ein Bronzerelief von Boreas (Grafik aus Richter 1915, S. 30).In der Bibel scheinen die Winde personifiziert durch die geflügelten Cheruben gedacht zu sein (vgl. Offb 7,1 („Danach sah ich vier Engel, die auf den vier Ecken der Erde standen und die vier Winde der Erde festhielten...“)), auf denen Gott gelegentlich auch reitet (vgl. Ps 18,11 („Er ritt auf einem Cherub und flog und schwebte auf den Flügeln des Windes“) und die anderen Parallelstellen). Die beiden Zeilen sprechen also von zwei unterschiedlichen Fortbewegungsmitteln: JHWH ist sowohl Wolken- als auch Wind-/Cherubenreiter.</w:t>
      </w:r>
    </w:p>
  </w:footnote>
  <w:footnote w:id="1065">
    <w:p>
      <w:pPr>
        <w:pStyle w:val="Funote"/>
        <w:rPr/>
      </w:pPr>
      <w:r>
        <w:rPr>
          <w:rStyle w:val="Funotenzeichen"/>
        </w:rPr>
        <w:footnoteRef/>
      </w:r>
      <w:r>
        <w:rPr/>
        <w:tab/>
        <w:t>Winde - Das selbe Wort findet sich in der Zeile zuvor im Sg., hier im Pl. Eine solche Sg-Pl-Variation ist ein häufigeres Stilmittel in der heb. Lyrik (ad loc. vgl. Yona 2005, S. 157).</w:t>
      </w:r>
    </w:p>
  </w:footnote>
  <w:footnote w:id="1066">
    <w:p>
      <w:pPr>
        <w:pStyle w:val="Funote"/>
        <w:rPr/>
      </w:pPr>
      <w:r>
        <w:rPr>
          <w:rStyle w:val="Funotenzeichen"/>
        </w:rPr>
        <w:footnoteRef/>
      </w:r>
      <w:r>
        <w:rPr/>
        <w:tab/>
        <w:t>Zu seinen Boten Winde (seine Boten zu Winden) - Diese und die nächste Zeile lässt sich auf vier verschiedene Weisen verstehen; wegen V. 3 ist die wahrscheinlichste Deutung die vierte. # „Er macht seine Boten zu Winden (und Flammen)“, d.h. er lässt seine Engel unter anderem in der Gestalt dieser Elementen erscheinen. Von der Wortstellung liegt diese Auflösung am nächsten; es ist dies auch die Deutung des Verses in Heb 1,7 und es finden sich dafür auch deutliche Parallelen in der frühjüdischen Literatur; s. etwa 4 Esr 8,21f.: „[...] das Heer der Engel [...], deren dienende Schar sich in Wind und Feuer wandelt [...]“. So ist unser Vers auch klar im Midrasch Exodus Rabba verstanden worden: „[JHWH heißt] ‚Der Gott der Heerschaaren,‘ denn er thut den Willen an seinen Engeln. Wenn er will, lässt er sie sitzen, s. Ri 7,11 [...] und zuweilen lässt er sie stehen, s. Jes 6,2 [...], zuweilen lässt er sie in weiblicher Gestalt erscheinen, s. [Sach] 5,9 [...], zuweilen aber in männlicher Gestalt s. Gen 18,2 [...], zuweilen macht er sie zu Winden, wie es heisst Ps 104,4 [...], zuweilen aber auch zu Feuer, s. das. [...].“ (ExR 25,2; Üs.: Wünsche 1882, S. 188f.). So heute noch z.B. Loretz 1979, S. 105: „Der seine Boten zu Winden macht...“ # „Er macht seine Boten zu Winden (und Flammen)“ als Metapher für „schnell wie Wind“ und „gefährlich (?) wie Feuer“. So übersetzt den Vers z.B. der Targum; es ist auch die Deutung des Kirchenvaters Athanasius in seinen Expositiones in Psalmos und noch Edel 1966, S. 139 schlägt diese Deutung vor. # „Er macht zu seinen Boten Winde (und Flammen)“, d.h. er erschafft sie aus Wind und Feuer (entsprechend den arabischen Dschinn, die ebenfalls aus Feuer erschaffen sind; ähnlich vgl. z.B. ApkAbr 19,6, wo die „Feuerengel“ die höchste und über die „geistigen Engel“ gebietende Engelgattung ist.). Auch hierfür gibt es Parallelen in der frühjüdischen Literatur; vgl. z.B. 2 Hen 29,3: „Aus dem Fels schnitt ich [= Gott] ein großes Feuer, und aus dem Feuer schuf ich die Reihen der körperlosen Armeen - zehn Myriaden Engel - und ihre Waffen sind feuerig und ihre Kleider brennende Flammen.“ (Üs. nach Kaduri 2015, S. 140; ähnlich versteht unseren Vers z.B. noch Delitzsch 1894: „Machend seine Boten aus Winden...“). # „Er macht zu seinen Boten Winde (und Flammen)“, d.h.: Gott ist Herr auch über Wind und Feuer, die er daher „in seinen Dienst“ nehmen und über die er gebieten kann: Winde sind seine „Dienstboten“, Feuerflammen seine „Diener“. Das ist hier durchaus die wahrscheinlichste Deutung, denn inwiefern Gott z.B. die (Personifikationen der) Winde „in Dienst nehmen“ kann, sieht man ja exemplarisch im vorigen Vers: Als Reittiere.</w:t>
      </w:r>
    </w:p>
  </w:footnote>
  <w:footnote w:id="1067">
    <w:p>
      <w:pPr>
        <w:pStyle w:val="Funote"/>
        <w:rPr/>
      </w:pPr>
      <w:r>
        <w:rPr>
          <w:rStyle w:val="Funotenzeichen"/>
        </w:rPr>
        <w:footnoteRef/>
      </w:r>
      <w:r>
        <w:rPr/>
        <w:tab/>
        <w:t>tFN: zu Dienern flammendes Feuer (Flamme [und] Feuer) - Etwas schwierige Stelle. Der heb. Text wirkt auf den ersten Blick so, als müsste er klar wie im Fließtext übersetzt werden. Im Heb. wäre dann aber zu erwarten, dass Diener, flammend und Feuer alle im selben Numerus und Genus stünden. Hier allerdings ist „Diener“ Maskulin Plural, „Feuer“ Feminin Singular und „flammend“ Maskulin Singular (4QPsa verändert daher das letzte Wort nach Feminin). Gunkel 1926, S. 454; Herkenne 1936, S. 334 und Kraus 1966, S. 708 wollen daher korrigieren von „flammendes Feuer“ zu „Flamme und Feuer“, so dass das vorangehende Pluralpartizip „Diener“ sich auf beide beziehen würde und damit Plural und auch Maskulin sein könnte.Vermutlich ist dies aber gar nicht nötig: ´esch findet sich bisweilen auch als maskulines Nomen und gehört damit zu jenen, die beide Genera haben können. Es könnte also auch hier als maskulines Nomen aufgefasst werden, womit sich das „flammend“ problemlos auf es beziehen könnte. In der heb. Grammatik findet sich außerdem häufig der Fall, dass ein „kollektives“ Nomen (wie z.B. „Menschenmasse“, in dessen Wortsinn es liegt, dass mehrere Menschen damit bezeichnet werden) trotz grammatischem Singular ein Pluralprädikat erhält (vgl. z.B. JM §148a), was dann hier das Plural von „Diener“ erklären würde.</w:t>
      </w:r>
    </w:p>
  </w:footnote>
  <w:footnote w:id="1068">
    <w:p>
      <w:pPr>
        <w:pStyle w:val="Funote"/>
        <w:rPr/>
      </w:pPr>
      <w:r>
        <w:rPr>
          <w:rStyle w:val="Funotenzeichen"/>
        </w:rPr>
        <w:footnoteRef/>
      </w:r>
      <w:r>
        <w:rPr/>
        <w:tab/>
        <w:t>Textkritik: [Bists,] der gründete (er gründete) - Im MT und ähnlich bei 4QPsI&lt;span style="color:#FFFFFF"&gt;_&lt;/span&gt;jasad („Er gründete“) in der Verbform Qatal; in 4QPsd, nach einigen LXX-Handschriften, Hier, Tg und einigen MT-Handschriften aber als Partizip jo(w)sed („[bists,] der gründete“). Im ursprünglichen Text wären beide Varianten gleich geschrieben worden; 4QPsI hätte dann durch nicht-Einfügung des w und MT durch die Vokalisierung vereindeutigt zur Variante 1, die anderen Versionen durch Einfügung des w, durch Vokalisierung oder durch Übersetzung zu Variante 2. Der Wechsel von der zweiten Pers. in V. 2 zur dritten hier (und dann in V. 7 wieder zurück zur zweiten Pers.) ist so schwer erklärlich und so überflüssig , dass die zweite Deutung des ursprünglichen Textes viel besser passt. So auch viele Exegeten (z.B. Clifford 1981, S. 87; deClaissé-Walford/Jacobson/Tanner 2014, S. 771; Kraus 1966, S. 225; anders aber z.B. Hossfeld/Zenger 2008, S. 70 und Krüger 2010, S. 33).</w:t>
      </w:r>
    </w:p>
  </w:footnote>
  <w:footnote w:id="1069">
    <w:p>
      <w:pPr>
        <w:pStyle w:val="Funote"/>
        <w:rPr/>
      </w:pPr>
      <w:r>
        <w:rPr>
          <w:rStyle w:val="Funotenzeichen"/>
        </w:rPr>
        <w:footnoteRef/>
      </w:r>
      <w:r>
        <w:rPr/>
        <w:tab/>
        <w:t>miniatur|Das biblische Weltbild (Grafik von www.religionsunterricht-pfalz.de)Fundamente - Gemeint sind die Säulen, auf denen nach biblischer Vorstellung die Erde über dem Urmeer aufruht; s. die Grafik rechts und vgl. z.B. noch Ijob 38,6; Ps 24,2. Dass die Erde „wankt“, ist ein häufigeres Motiv in der Bibel; vgl. z.B. Ps 46,2; 60,2; 82,5; Jes 24,19</w:t>
      </w:r>
    </w:p>
  </w:footnote>
  <w:footnote w:id="1070">
    <w:p>
      <w:pPr>
        <w:pStyle w:val="Funote"/>
        <w:rPr/>
      </w:pPr>
      <w:r>
        <w:rPr>
          <w:rStyle w:val="Funotenzeichen"/>
        </w:rPr>
        <w:footnoteRef/>
      </w:r>
      <w:r>
        <w:rPr>
          <w:i/>
        </w:rPr>
        <w:tab/>
        <w:t>wie mit einem</w:t>
      </w:r>
      <w:r>
        <w:rPr/>
        <w:t xml:space="preserve"> - W. „wie mit dem“; Vergleiche sind im Heb. oft determiniert, wo sie das im Dt. nicht wären. Vgl. ähnlich z.B. </w:t>
      </w:r>
      <w:r>
        <w:fldChar w:fldCharType="begin"/>
      </w:r>
      <w:r>
        <w:rPr>
          <w:rStyle w:val="Internetverknpfung"/>
        </w:rPr>
        <w:instrText> HYPERLINK "../../../../../../../../../wiki/Psalm_33" \l "s7"</w:instrText>
      </w:r>
      <w:r>
        <w:rPr>
          <w:rStyle w:val="Internetverknpfung"/>
        </w:rPr>
        <w:fldChar w:fldCharType="separate"/>
      </w:r>
      <w:r>
        <w:rPr>
          <w:rStyle w:val="Internetverknpfung"/>
        </w:rPr>
        <w:t>Ps 33,7</w:t>
      </w:r>
      <w:r>
        <w:rPr>
          <w:rStyle w:val="Internetverknpfung"/>
        </w:rPr>
        <w:fldChar w:fldCharType="end"/>
      </w:r>
      <w:r>
        <w:rPr/>
        <w:t xml:space="preserve">; </w:t>
      </w:r>
      <w:r>
        <w:fldChar w:fldCharType="begin"/>
      </w:r>
      <w:r>
        <w:rPr>
          <w:rStyle w:val="Internetverknpfung"/>
        </w:rPr>
        <w:instrText> HYPERLINK "../../../../../../../../../wiki/Obadja" \l "s4"</w:instrText>
      </w:r>
      <w:r>
        <w:rPr>
          <w:rStyle w:val="Internetverknpfung"/>
        </w:rPr>
        <w:fldChar w:fldCharType="separate"/>
      </w:r>
      <w:r>
        <w:rPr>
          <w:rStyle w:val="Internetverknpfung"/>
        </w:rPr>
        <w:t>Ob 4</w:t>
      </w:r>
      <w:r>
        <w:rPr>
          <w:rStyle w:val="Internetverknpfung"/>
        </w:rPr>
        <w:fldChar w:fldCharType="end"/>
      </w:r>
      <w:r>
        <w:rPr/>
        <w:t>.</w:t>
      </w:r>
    </w:p>
  </w:footnote>
  <w:footnote w:id="1071">
    <w:p>
      <w:pPr>
        <w:pStyle w:val="Funote"/>
        <w:rPr/>
      </w:pPr>
      <w:r>
        <w:rPr>
          <w:rStyle w:val="Funotenzeichen"/>
        </w:rPr>
        <w:footnoteRef/>
      </w:r>
      <w:r>
        <w:rPr/>
        <w:tab/>
        <w:t>Das Urmeer bedecktest du wie mit einem Gewand - nämlich eben mit dem Himmel, der wie ein Zelttuch über die Welt gebreitet ist (vgl. Ijob 38,9: „Als ich Wolken zu seinem (=des Meeres) Gewand machte...“). Ganz recht B-R: „Der Urwirbel, wie mit einem Kleid bedecktest du ihn“.Textkritik: Die verschiedenen alternativen Übersetzungsvarianten, die sich in fast allen Übersetzungen und Kommentaren finden, basieren sämtlich auf Korrekturen des heb. Textes, die aber nicht nötig sind (nämlich statt kisito („du bedecktest es“) meist kisita(h) („du bedecktest sie“, also die Erde; vgl. hierzu am besten Seidl 1984, S. 46f.), kisata(h) („es (=das Urmeer) bedeckte sie (=die Erde)“) oder kesuto („es (= das Urmeer) war seine (=JHWHs) Bedeckung“). Wie in Gen 1 ist also auch hier das Urmeer anders als Himmel und Erde keine der Schöpfungen Gottes, sondern seinem Schaffen schon vorgegeben (vgl. 2 Pet 3,5).</w:t>
      </w:r>
    </w:p>
  </w:footnote>
  <w:footnote w:id="1072">
    <w:p>
      <w:pPr>
        <w:pStyle w:val="Funote"/>
        <w:rPr/>
      </w:pPr>
      <w:r>
        <w:rPr>
          <w:rStyle w:val="Funotenzeichen"/>
        </w:rPr>
        <w:footnoteRef/>
      </w:r>
      <w:r>
        <w:rPr/>
        <w:tab/>
        <w:t>tFN: V. 6. Unsere Aufteilung von V. 6 und die Übersetzung des ersten Wortes von 6b mit „auf“ statt „über“ ist ungewöhnlich. Für gewöhnlich zieht man 6a und 6b zu einer Doppelzeile zusammen und übersetzt: „Mit dem Urmeer bedecktest du [die Erde] wie mit einem Gewand / Über den Bergen standen die Wasser“, die beiden Zeilen würden dann beide aussagen, dass Gott zu Beginn der Schöpfung die Erde und selbst die Berge komplett von Wasser bedeckt sein lassen habe. Dagegen spricht aber, dass dafür erstens eine Korrektur des heb. Textes in 6a nötig ist (s. vorige FN), dass zweitens 6a klar zu 2b-5 zu ziehen ist, da 5a.6a eine sehr deutliche Inclusio mit 2b.3a bilden: Gott spannt den Himmel wie eine Zeltdecke aus (2b) und bedeckt das Urmeer wie mit einem Gewand (6a); er bälkt den Himmel im (oberen) Wasser als sein Obergemach (3a) und gründet die Erde auf ihren Fundamenten (gemeint sind die Säulen der Erde im unteren Wasser, s. die Grafik oben). Drittens ist die nätürlichste Bedeutung von V. 8, dass die Wasser auf die Berge hinaufziehen sollen (s. dort), also in V. 6 eher nicht schon über den Bergen stehen. Viertens verwenden 6a und 6b unterschiedliche Verbformen, berichten also offenbar von unterschiedlichen zeitlichen Abschnitten im Handeln Gottes.V. 6 ist dann besser so aufzulösen: 6a ist wegen der Inclusio zu 1b-5 zu ziehen; 1b-6a berichten dann von der Errichtung der kosmischen Grundarchitektur. 6b-8 leiten dann mit Yiqtol-Verben ein, zu beschreiben, wie die Wasser, mit denen Strophe 1 schloss, dem Willen Gottes gemäß zu handeln hatten (vgl. Weber 2003, S. 182): Sie sollten auf den Bergen stehen (6b), darum sollten sie vor seinem Befehl (7) unter anderem auch dort hin (8a) fliehen, um von dort aus dann als Gebirgsbäche in die Täler fließen zu können (10).</w:t>
      </w:r>
    </w:p>
  </w:footnote>
  <w:footnote w:id="1073">
    <w:p>
      <w:pPr>
        <w:pStyle w:val="Funote"/>
        <w:rPr/>
      </w:pPr>
      <w:r>
        <w:rPr>
          <w:rStyle w:val="Funotenzeichen"/>
        </w:rPr>
        <w:footnoteRef/>
      </w:r>
      <w:r>
        <w:rPr/>
        <w:tab/>
        <w:t>hinaufziehen [auf] Berge, hinabsteigen [in] Täler - Gott verlagert also die Wasser von der „ganzen Erde“ an zwei Orte, nämlich auf die Berge, von wo sie dann als Gebirtsbäche wieder hinabfließen, und ins in „den Tälern“ gelegene Meer (vgl. Ehrlich 1905, S. 247; Sutcliffe 1952). Dass hier von zwei verschiedenen Zielorten die Rede ist, macht die alte Handschrift 2QPs deutlich, indem sie einfügt: „zu[ jede]m Ort“.tFN: Die häufige Übersetzung „Es hoben sich Berge, es senkten sich Täler“ ist klar falsch. „Täler“ ist im Heb. feminin, das Verb „sie stiegen hinab“ / „es senkten sich“ aber maskulin. Subjekt sind also sicher die Wasser (vgl. Spieckermann 1989, S. 22 FN 5).</w:t>
      </w:r>
    </w:p>
  </w:footnote>
  <w:footnote w:id="1074">
    <w:p>
      <w:pPr>
        <w:pStyle w:val="Funote"/>
        <w:rPr/>
      </w:pPr>
      <w:r>
        <w:rPr>
          <w:rStyle w:val="Funotenzeichen"/>
        </w:rPr>
        <w:footnoteRef/>
      </w:r>
      <w:r>
        <w:rPr/>
        <w:tab/>
        <w:t xml:space="preserve">Sie - Gemeint sind die „Quellen“, wobei das Wort wie in Joel 4,18 sowohl die Quelle der Bäche als auch ihren Verlauf bezeichnet (so richtig Alexander 1856, S. 35).Textkritik: LXX hält für das Subjekt immer noch die „Wasser“ aus V. 6b (da das Wort i.d.R. eben nur die tatsächliche Quelle bezeichnet) und erwähnt daher diese Wasser (heb.: </w:t>
      </w:r>
      <w:r>
        <w:rPr>
          <w:rtl w:val="true"/>
          <w:lang w:bidi="he-IL"/>
        </w:rPr>
        <w:t>מים</w:t>
      </w:r>
      <w:r>
        <w:rPr/>
        <w:t xml:space="preserve">) hier noch einmal explizit. Ursprünglich ist eher die Version ohne „Wasser“ (anders Kissane 1954 und Loretz 1979); ein Schreibfehler ließe sich auch grafisch leicht erlären (Haplographie wg. der Doppelung von </w:t>
      </w:r>
      <w:r>
        <w:rPr>
          <w:rtl w:val="true"/>
          <w:lang w:bidi="he-IL"/>
        </w:rPr>
        <w:t>ים</w:t>
      </w:r>
      <w:r>
        <w:rPr/>
        <w:t xml:space="preserve"> </w:t>
      </w:r>
      <w:r>
        <w:rPr/>
        <w:t xml:space="preserve">(jm) in </w:t>
      </w:r>
      <w:r>
        <w:rPr>
          <w:rtl w:val="true"/>
          <w:lang w:bidi="he-IL"/>
        </w:rPr>
        <w:t>הרים מים</w:t>
      </w:r>
      <w:r>
        <w:rPr/>
        <w:t xml:space="preserve"> </w:t>
      </w:r>
      <w:r>
        <w:rPr/>
        <w:t>(hrjm mjm).</w:t>
      </w:r>
    </w:p>
  </w:footnote>
  <w:footnote w:id="1075">
    <w:p>
      <w:pPr>
        <w:pStyle w:val="Funote"/>
        <w:rPr/>
      </w:pPr>
      <w:r>
        <w:rPr>
          <w:rStyle w:val="Funotenzeichen"/>
        </w:rPr>
        <w:footnoteRef/>
      </w:r>
      <w:r>
        <w:rPr/>
        <w:tab/>
        <w:t>Textkritik: + [den] nach 4QPsd, LXX: Die Rede ist von den Bergen aus V. 8.</w:t>
      </w:r>
    </w:p>
  </w:footnote>
  <w:footnote w:id="1076">
    <w:p>
      <w:pPr>
        <w:pStyle w:val="Funote"/>
        <w:rPr/>
      </w:pPr>
      <w:r>
        <w:rPr>
          <w:rStyle w:val="Funotenzeichen"/>
        </w:rPr>
        <w:footnoteRef/>
      </w:r>
      <w:r>
        <w:rPr/>
        <w:tab/>
        <w:t xml:space="preserve">Textkritik / tFN: alle wilden Tiere ist w. „alles Getier des Feldes“; das letzte Wort ist geschrieben mit der selteneren Schreibweise </w:t>
      </w:r>
      <w:r>
        <w:rPr>
          <w:rtl w:val="true"/>
          <w:lang w:bidi="he-IL"/>
        </w:rPr>
        <w:t>שדי</w:t>
      </w:r>
      <w:r>
        <w:rPr/>
        <w:t xml:space="preserve"> </w:t>
      </w:r>
      <w:r>
        <w:rPr/>
        <w:t xml:space="preserve">statt </w:t>
      </w:r>
      <w:r>
        <w:rPr>
          <w:rtl w:val="true"/>
          <w:lang w:bidi="he-IL"/>
        </w:rPr>
        <w:t>השדה</w:t>
      </w:r>
      <w:r>
        <w:rPr/>
        <w:t xml:space="preserve"> </w:t>
      </w:r>
      <w:r>
        <w:rPr/>
        <w:t>(wie in Jes 56,9; s. auch Dtn 32,13; Ps 8,8; 50,11; 80,14; 96,12; Jer 4,17; 18,14; Klg 4,9; Hos 10,4; 12,12; Joel 2,22). In der alten Handschrift 4QPsd findet sich stattdessen „alles Getier Ws (=JHWHs)“; statt „Feldes“ haben die Schreiber dieser Handschrift das Wort also wohl wegen der selteneren Schreibweise offenbar für die ebenso geschriebene Bezeichnung Gottes schaddaj („der vom Berge“) gehalten und durch den Gottesnamen JHWH ersetzt (vgl. Nebe 1981). Angezielt war sicher die Bedeutung „alles Getier des Feldes“.</w:t>
      </w:r>
    </w:p>
  </w:footnote>
  <w:footnote w:id="1077">
    <w:p>
      <w:pPr>
        <w:pStyle w:val="Funote"/>
        <w:rPr/>
      </w:pPr>
      <w:r>
        <w:rPr>
          <w:rStyle w:val="Funotenzeichen"/>
        </w:rPr>
        <w:footnoteRef/>
      </w:r>
      <w:r>
        <w:rPr>
          <w:i/>
        </w:rPr>
        <w:tab/>
        <w:t>sollen</w:t>
      </w:r>
      <w:r>
        <w:rPr/>
        <w:t xml:space="preserve"> - Assonanz der beiden ersten Worte in 11a und 11b: </w:t>
      </w:r>
      <w:r>
        <w:rPr>
          <w:i/>
        </w:rPr>
        <w:t>jischqu</w:t>
      </w:r>
      <w:r>
        <w:rPr/>
        <w:t xml:space="preserve"> und </w:t>
      </w:r>
      <w:r>
        <w:rPr>
          <w:i/>
        </w:rPr>
        <w:t>jischb</w:t>
      </w:r>
      <w:r>
        <w:rPr>
          <w:i/>
          <w:position w:val="7"/>
          <w:sz w:val="16"/>
        </w:rPr>
        <w:t>e</w:t>
      </w:r>
      <w:r>
        <w:rPr>
          <w:i/>
        </w:rPr>
        <w:t>ru</w:t>
      </w:r>
      <w:r>
        <w:rPr/>
        <w:t>.</w:t>
      </w:r>
    </w:p>
  </w:footnote>
  <w:footnote w:id="1078">
    <w:p>
      <w:pPr>
        <w:pStyle w:val="Funote"/>
        <w:rPr/>
      </w:pPr>
      <w:r>
        <w:rPr>
          <w:rStyle w:val="Funotenzeichen"/>
        </w:rPr>
        <w:footnoteRef/>
      </w:r>
      <w:r>
        <w:rPr/>
        <w:tab/>
        <w:t>[Selbst] - Fokuspartikel wie „nur“, „selbst“ usw. werden im Heb. oft nicht gesetzt, wo das Dt. sie setzen würde; im Dt. muss man sie sich daher dazudenken. Ähnlich z.B. Rut 1,17; Ps 9,21; Ps 13,3; Ob 5.6. Die Wildesel sind deshalb ein Sonderfall, weil diese in den 30er Jahren ausgestorbenen Tiere Einzelgänger in der israelitischen Wüste waren (s. Ijob 24,5; Jes 32,14; Jer 2,24; Hos 8,9) und im Alten Orient daher für ungezügelte Freiheit stehen konnten (Mustafa 1983, S. 64 und vgl. Krüger 2010, S. 168-70).</w:t>
      </w:r>
    </w:p>
  </w:footnote>
  <w:footnote w:id="1079">
    <w:p>
      <w:pPr>
        <w:pStyle w:val="Funote"/>
        <w:rPr/>
      </w:pPr>
      <w:r>
        <w:rPr>
          <w:rStyle w:val="Funotenzeichen"/>
        </w:rPr>
        <w:footnoteRef/>
      </w:r>
      <w:r>
        <w:rPr/>
        <w:tab/>
        <w:t>brechen - d.h. „stillen“; das Idiom „den Durst brechen“ als „dem Durst seinen Stachel nehmen“, d.h. „ihn stillen“ findet sich auch im Lateinischen (frangere sitim) und im Arabischen (vgl. Driver 1943, S. 19). Der in der Bibel einmalige Ausdruck wird gestützt durch die Handschrift 2QPs; 4QPsd allerdings hat statt jšbrw die Konsonanten jškjrw („sie betranken sich“); Syr setzt voraus: jßb`w („sie wurden satt“; dem folgen deClaissé-Walford/Jacobson/Tanner 2014, S. 771).</w:t>
      </w:r>
    </w:p>
  </w:footnote>
  <w:footnote w:id="1080">
    <w:p>
      <w:pPr>
        <w:pStyle w:val="Funote"/>
        <w:rPr/>
      </w:pPr>
      <w:r>
        <w:rPr>
          <w:rStyle w:val="Funotenzeichen"/>
        </w:rPr>
        <w:footnoteRef/>
      </w:r>
      <w:r>
        <w:rPr/>
        <w:tab/>
        <w:t>miniatur|Felsenbrütende Tauben in einem sog. "Columbarium"Textkritik: Felsen (Zweigen) - Heb. `opha´im (</w:t>
      </w:r>
      <w:r>
        <w:rPr>
          <w:rtl w:val="true"/>
          <w:lang w:bidi="he-IL"/>
        </w:rPr>
        <w:t>עפאים</w:t>
      </w:r>
      <w:r>
        <w:rPr/>
        <w:t>). Ursprünglich wäre dies geschrieben worden als `ophaim (</w:t>
      </w:r>
      <w:r>
        <w:rPr>
          <w:rtl w:val="true"/>
          <w:lang w:bidi="he-IL"/>
        </w:rPr>
        <w:t>עפים</w:t>
      </w:r>
      <w:r>
        <w:rPr/>
        <w:t>); Qere punktiert auch so, als stünden im Ketiv nur diese Buchstaben. LXX, Syr und VUL übersetzen alle mit „Felsen“, setzen also für den ursprünglichen Text das grafisch sehr ähnlliche kephim (</w:t>
      </w:r>
      <w:r>
        <w:rPr>
          <w:rtl w:val="true"/>
          <w:lang w:bidi="he-IL"/>
        </w:rPr>
        <w:t>כפים</w:t>
      </w:r>
      <w:r>
        <w:rPr/>
        <w:t>; s. in der Bibel noch in Ijob 30,6; Jer 4,29. Das Wort im MT dagegen findet sich in der Bibel nur noch dreimal in Dan 4 und ist damit aramäisch, nicht hebräisch, vgl. Wagner 1966, s. 92f.) voraus. Viele Vögel in Israel bauen ihre Nester nicht in Bäume, sondern sind Felsenbrüter. Rechts etwa ein Bild von Tauben, für die wegen ihres „Felsenbrütertums“ eigene Niststationen namens „Columbarien“ erbaut wurden. Die vorgestellte Szenerie ist also die, dass Gebirgsbäche auf Bergen entspringen und zwischen Felsen, in deren Klüften Vögel brüten, in die Täler hinabfließen.</w:t>
      </w:r>
    </w:p>
  </w:footnote>
  <w:footnote w:id="1081">
    <w:p>
      <w:pPr>
        <w:pStyle w:val="Funote"/>
        <w:rPr/>
      </w:pPr>
      <w:r>
        <w:rPr>
          <w:rStyle w:val="Funotenzeichen"/>
        </w:rPr>
        <w:footnoteRef/>
      </w:r>
      <w:r>
        <w:rPr/>
        <w:tab/>
        <w:t>geben sie - Plural, da das Kollektivnomen `oph („Gevögel“) in Zeile 1 Sg. ist, aber als Kollektivnomen auch mehrere Tiere bezeichnen kann. Die Variation von Sg. mit Pl. in zwei aufeinanderfolgenden Zeilen ist ein häufiges Stilmittel in heb. Texten („N-Shift“).</w:t>
      </w:r>
    </w:p>
  </w:footnote>
  <w:footnote w:id="1082">
    <w:p>
      <w:pPr>
        <w:pStyle w:val="Funote"/>
        <w:rPr/>
      </w:pPr>
      <w:r>
        <w:rPr>
          <w:rStyle w:val="Funotenzeichen"/>
        </w:rPr>
        <w:footnoteRef/>
      </w:r>
      <w:r>
        <w:rPr/>
        <w:tab/>
        <w:t>Textkritik: Lies mit einer MT-Handschrift und einigen alten Üss. qolam („ihre Stimme“) statt qol („Stimme“) (so z.B. Alter 2007, S. 364; König 1927, S. 159). Grafisch ist der Schreibfehler leicht erklärlich: Haplographie des Mem am Ende dieses und am Anfang des nächsten Wortes (vgl. ähnlich Dahood 1970, S. 39).</w:t>
      </w:r>
    </w:p>
  </w:footnote>
  <w:footnote w:id="1083">
    <w:p>
      <w:pPr>
        <w:pStyle w:val="Funote"/>
        <w:rPr/>
      </w:pPr>
      <w:r>
        <w:rPr>
          <w:rStyle w:val="Funotenzeichen"/>
        </w:rPr>
        <w:footnoteRef/>
      </w:r>
      <w:r>
        <w:rPr/>
        <w:tab/>
        <w:t xml:space="preserve">Frucht deiner Werke - Sehr umstrittener Ausdruck; viele verschiedene Korrekturen des heb. Textes sind vorgeschlagen worden (s.u.). Vermutlich sind sie aber nicht notwendig. Die Frucht von Gottes Arbeit (s. nächster Absatz) ist wohl der Regen, der hier die Berge „tränkt“ und die Erde „sitt macht“, wie er in V. 16 die Bäume „sitt macht“ (das Wort im Heb. kann sowohl „sitt machen/werden“ als auch „satt machen/werden“ bedeuten; zu „sitt werden“ vgl. z.B. noch Sir 12,16). Der Parallelismus mit „du tränkst die Berge“ macht das sehr wahrscheinlich; alternativ müsste man als die Frucht seiner Regenmacher-Arbeit die Pflanzen betrachten, von denen im Folgenden die Rede sein wird (so z.B. Allen 1983; Delitzsch 1894; Kissane 1954; vgl. die ähnliche Parallelisierung von Regen und Sättigung der Lebewesen in PsSal 5,9 („Du sättigst die Vögel und die Fische, / indem du der Steppe Regen giebst, damit das Gras sprossen kann.“) und den Parallelstellen zu 13b). „Die Erde“ stünde dann metonymisch für alle Bewohner der Erde. Auch V. 16 lässt sich so verstehen, dass nicht die Bäume „sitt werden“, sondern „sättigen“, nämlich die Vögel in ihren Zweigen.Gottes „Arbeit“ ist wahrscheinlich mehr als ein bloßes Befehlen und Gebieten. Nach Ijob 38,37 lässt Gott es etwa regnen, indem er „die im Himmel [gelagerten Wasser-]schläuche ausleert“. Nach b.Taan 9b z.B. muss das (Salz-)Wasser des Urmeeres, das Gott wieder herabregnen lässt, in den Wolken erst noch „gesüßt“ werden. In b.Taan 2ab ist außerdem zu lesen vom „Schlüssel des Regens“, über den (mit Ausnahme Elijas, b.San 113a) einzig Gott gebietet und mit dem er die Schleusen seiner in Dtn 28,12 erwähnten himmlischen Speicher öffnen muss, um es regnen zu lassen (vgl. auch Gen 8,2; Sir 43,14). Gottes Arbeit am Regen wird also häufiger als tatsächliche Handarbeit vorgestellt.Textkritik: Weil sie sämtlich grafisch nicht sehr nahe am heb. Text sind und auch nicht von alten Handschriften oder Üss. gedeckt werden, seien die wichtigeren Korrekturvorschläge hier bloß aus Gründen der Vollständigkeit angeführt. Das zweite Wort von </w:t>
      </w:r>
      <w:r>
        <w:rPr>
          <w:rtl w:val="true"/>
          <w:lang w:bidi="he-IL"/>
        </w:rPr>
        <w:t>מפרי מעשיך</w:t>
      </w:r>
      <w:r>
        <w:rPr/>
        <w:t xml:space="preserve"> </w:t>
      </w:r>
      <w:r>
        <w:rPr/>
        <w:t xml:space="preserve">wollen Nötscher 1953 nach </w:t>
      </w:r>
      <w:r>
        <w:rPr>
          <w:rtl w:val="true"/>
          <w:lang w:bidi="he-IL"/>
        </w:rPr>
        <w:t>נשאיך</w:t>
      </w:r>
      <w:r>
        <w:rPr/>
        <w:t xml:space="preserve"> </w:t>
      </w:r>
      <w:r>
        <w:rPr/>
        <w:t xml:space="preserve">(„von der Frucht deiner Wolken“) und Weiser 1959 nach </w:t>
      </w:r>
      <w:r>
        <w:rPr>
          <w:rtl w:val="true"/>
          <w:lang w:bidi="he-IL"/>
        </w:rPr>
        <w:t>שמיך</w:t>
      </w:r>
      <w:r>
        <w:rPr/>
        <w:t xml:space="preserve"> </w:t>
      </w:r>
      <w:r>
        <w:rPr/>
        <w:t xml:space="preserve">(„von der Frucht deines Himmels“) korrigieren. Als Alternativen für den ganzen Ausdruck schlägt mit Kraus 1966 </w:t>
      </w:r>
      <w:r>
        <w:rPr>
          <w:rtl w:val="true"/>
          <w:lang w:bidi="he-IL"/>
        </w:rPr>
        <w:t>מרי אסמיך</w:t>
      </w:r>
      <w:r>
        <w:rPr/>
        <w:t xml:space="preserve"> </w:t>
      </w:r>
      <w:r>
        <w:rPr/>
        <w:t xml:space="preserve">(„Vom Nass deiner Kammern“) vor; ähnlich Loretz 1979 mit </w:t>
      </w:r>
      <w:r>
        <w:rPr>
          <w:rtl w:val="true"/>
          <w:lang w:bidi="he-IL"/>
        </w:rPr>
        <w:t>מרי אסמיו</w:t>
      </w:r>
      <w:r>
        <w:rPr/>
        <w:t xml:space="preserve"> </w:t>
      </w:r>
      <w:r>
        <w:rPr/>
        <w:t xml:space="preserve">(„Vom Nass seiner Speicher“). EÜ ersetzt den ganzen Ausdruck durch </w:t>
      </w:r>
      <w:r>
        <w:rPr>
          <w:rtl w:val="true"/>
          <w:lang w:bidi="he-IL"/>
        </w:rPr>
        <w:t>מנשאיך</w:t>
      </w:r>
      <w:r>
        <w:rPr/>
        <w:t xml:space="preserve"> </w:t>
      </w:r>
      <w:r>
        <w:rPr/>
        <w:t>(„aus deinen Wolken“); dem folgt wohl ASTADLER. Nach jeder dieser Korrekturen wäre also auch in Zeile 2 vom Regen die Rede.</w:t>
      </w:r>
    </w:p>
  </w:footnote>
  <w:footnote w:id="1084">
    <w:p>
      <w:pPr>
        <w:pStyle w:val="Funote"/>
        <w:rPr/>
      </w:pPr>
      <w:r>
        <w:rPr>
          <w:rStyle w:val="Funotenzeichen"/>
        </w:rPr>
        <w:footnoteRef/>
      </w:r>
      <w:r>
        <w:rPr>
          <w:i/>
        </w:rPr>
        <w:tab/>
        <w:t>sitt werden (sättigen)</w:t>
      </w:r>
      <w:r>
        <w:rPr/>
        <w:t xml:space="preserve"> - s. zu den beiden verschiedenen möglichen Üss. s. </w:t>
      </w:r>
      <w:r>
        <w:fldChar w:fldCharType="begin"/>
      </w:r>
      <w:r>
        <w:rPr>
          <w:rStyle w:val="Internetverknpfung"/>
        </w:rPr>
        <w:instrText> HYPERLINK "https://offene-bibel.de/mediawiki/index.php?title=Psalm_104&amp;action=submit" \l "note_af"</w:instrText>
      </w:r>
      <w:r>
        <w:rPr>
          <w:rStyle w:val="Internetverknpfung"/>
        </w:rPr>
        <w:fldChar w:fldCharType="separate"/>
      </w:r>
      <w:r>
        <w:rPr>
          <w:rStyle w:val="Internetverknpfung"/>
        </w:rPr>
        <w:t>FN af</w:t>
      </w:r>
      <w:r>
        <w:rPr>
          <w:rStyle w:val="Internetverknpfung"/>
        </w:rPr>
        <w:fldChar w:fldCharType="end"/>
      </w:r>
      <w:r>
        <w:rPr/>
        <w:t>.</w:t>
      </w:r>
    </w:p>
  </w:footnote>
  <w:footnote w:id="1085">
    <w:p>
      <w:pPr>
        <w:pStyle w:val="Funote"/>
        <w:rPr/>
      </w:pPr>
      <w:r>
        <w:rPr>
          <w:rStyle w:val="Funotenzeichen"/>
        </w:rPr>
        <w:footnoteRef/>
      </w:r>
      <w:r>
        <w:rPr/>
        <w:tab/>
        <w:t xml:space="preserve">Textkritik: des Feldes (JHWHs) - Im MT: „JHWHs“. LXX hat hier „Bäume des Feldes“ (wie es sich z.B. auch in Lev 26,4; Dtn 20,19; Jes 55,12 u.ö. findet; zur Schreibweise s. zu V. 11). Wahrscheinlich liegt also die selbe Textgeschichte vor wie in V. 11 (s. FN y): Im ursprünglichen Text war die Rede vom „Feld“, ein alter Schreiber verwechselte dies wegen der seltenen Schreibweise </w:t>
      </w:r>
      <w:r>
        <w:rPr>
          <w:rtl w:val="true"/>
          <w:lang w:bidi="he-IL"/>
        </w:rPr>
        <w:t>שדי</w:t>
      </w:r>
      <w:r>
        <w:rPr/>
        <w:t xml:space="preserve"> </w:t>
      </w:r>
      <w:r>
        <w:rPr/>
        <w:t>mit der ebenso geschriebenen Gottesbezeichnung schaddaj („der vom Berge“) und ersetzte dies durch den Gottesnamen JHWH (zur Stelle vgl. Sparks 1947, S. 57).</w:t>
      </w:r>
    </w:p>
  </w:footnote>
  <w:footnote w:id="1086">
    <w:p>
      <w:pPr>
        <w:pStyle w:val="Funote"/>
        <w:rPr/>
      </w:pPr>
      <w:r>
        <w:rPr>
          <w:rStyle w:val="Funotenzeichen"/>
        </w:rPr>
        <w:footnoteRef/>
      </w:r>
      <w:r>
        <w:rPr>
          <w:i/>
        </w:rPr>
        <w:tab/>
        <w:t>Libanon-zedern</w:t>
      </w:r>
      <w:r>
        <w:rPr/>
        <w:t xml:space="preserve"> - Bäume, sprichwörtlich für ihre Größe und Majestät. S. z.B. bes. klar </w:t>
      </w:r>
      <w:hyperlink r:id="rId160">
        <w:r>
          <w:rPr>
            <w:rStyle w:val="Internetverknpfung"/>
          </w:rPr>
          <w:t>Ez 31,3</w:t>
        </w:r>
      </w:hyperlink>
      <w:r>
        <w:rPr/>
        <w:t xml:space="preserve">, auch </w:t>
      </w:r>
      <w:hyperlink r:id="rId161">
        <w:r>
          <w:rPr>
            <w:rStyle w:val="Internetverknpfung"/>
          </w:rPr>
          <w:t>1 Kön 4,33</w:t>
        </w:r>
      </w:hyperlink>
      <w:r>
        <w:rPr/>
        <w:t xml:space="preserve">; </w:t>
      </w:r>
      <w:hyperlink r:id="rId162">
        <w:r>
          <w:rPr>
            <w:rStyle w:val="Internetverknpfung"/>
          </w:rPr>
          <w:t>Jes 2,13</w:t>
        </w:r>
      </w:hyperlink>
      <w:r>
        <w:rPr/>
        <w:t xml:space="preserve">; </w:t>
      </w:r>
      <w:hyperlink r:id="rId163">
        <w:r>
          <w:rPr>
            <w:rStyle w:val="Internetverknpfung"/>
          </w:rPr>
          <w:t>37,24</w:t>
        </w:r>
      </w:hyperlink>
      <w:r>
        <w:rPr/>
        <w:t>.</w:t>
      </w:r>
    </w:p>
  </w:footnote>
  <w:footnote w:id="1087">
    <w:p>
      <w:pPr>
        <w:pStyle w:val="Funote"/>
        <w:rPr/>
      </w:pPr>
      <w:r>
        <w:rPr>
          <w:rStyle w:val="Funotenzeichen"/>
        </w:rPr>
        <w:footnoteRef/>
      </w:r>
      <w:r>
        <w:rPr/>
        <w:tab/>
        <w:t>Textkritik: Dort (, auf denen) - Im Heb. mit Relativpartikel ´ascher eingeleiteter Relativsatz. Diese Relativpartikel wird gestützt von Tg und Sym, nicht aber von LXX, Aq, Syr, Hier und VUL. Am einfachsten ließe sich das damit erklären, dass die Relativpartikel, die auch schon das vorletzte Wort in V. 16 ist, hier von einem Schreiber fälschlicherweise ein zweites Mal geschrieben worden ist. So z.B. EÜ, H-R, HER05, PAT, TAF.</w:t>
      </w:r>
    </w:p>
  </w:footnote>
  <w:footnote w:id="1088">
    <w:p>
      <w:pPr>
        <w:pStyle w:val="Funote"/>
        <w:rPr/>
      </w:pPr>
      <w:r>
        <w:rPr>
          <w:rStyle w:val="Funotenzeichen"/>
        </w:rPr>
        <w:footnoteRef/>
      </w:r>
      <w:r>
        <w:rPr/>
        <w:tab/>
        <w:t>miniatur|Storch, Reiher und GleitaarHabicht (Storch?, Reiher?) - Trad. übersetzt mit „Storch“, und in der Tat können Störche trotz ihrer bis zu zwei Tonnen schwerer Horste sowohl in weniger stabilen Bäumen wie „Zypressen“ als auch auf „Wipfeln“, also den schwächsten Stellen von Bäumen, nisten; s. das linke Bild. Für die Übersetzung des Wortes mit „Storch“ gibt es aber fast keine Indizien. Syr übersetzt mit chorba´, was sowohl den Storch als auch den Reiher bezeichnen kann (so an jeder Stelle; s. noch Lev 11,19; Dtn 14,18; Ijob 39,13; Jer 8,7). Mit „Reiher“ übersetzen auch Sym, Theod und VUL bisweilen; wenn, sollte man von diesen Üss. also eher auf Reiher schließen.Sein Name (chasidah) leitet sich außerdem her von chesed („Treue“). Aristoteles berichtet in HA VIII 615b einmal davon, dass alte Störche von den jungen gefüttert würden, und deshalb (!) denken einige, dieser Name passe besonders gut zum Storch. Diese Parallele ist jedoch sehr weit hergeholt. Viel näher ist die talmudische Parallelstelle b.Chul 63a: „Die ‚chasidah‘ ist eine weiße dajjah. Warum lautet ihr Name chasidah? Weil sie Treue (‚chasidot‘) gegenüber ihren Gefährten zeigt.“ dajjah nun bezeichnet, wie Dalman in AuS VI, S. 97 richtig anmerkt, einen kleinen Greifvogel (in b.Mez 24b z.B. raubt eine dajjah Fleisch vom Marktplatz und verspeist es auf einem Baum), und entsprechend ist dies die zweite verbreitete alte Üs.: „Habicht“ (so nämlich bisweilen Tg, Hier, VUL, Sym, Sexta). Weitere Indizien sind dann die weiße Farbe (s. eben b.Chul 63a; ebenso TgO Dtn 14,18; TgPsJ Lev 11,19; TgN Lev 11,19; TgPs 104,17: „weiße dajjah“ u.Ä.), die Tatsache, dass er ein Zugvogel ist (vgl. Jer 8,7) und seine Nennung zusammen mit Taube, Schwalbe, Drossel (Jer 8,7), Wiedehopf, Fledermaus und ´anapah (TgPsJ, TgN, FTV, b.Chul 63a: „schwarze dajjah“, also wohl Mohrenweihe, Schieferfalke o.Ä.) (Lev 11,19; Dtn 14,18), sämtlich also eher kleinen Vögeln. Gemeint sein könnte also zum Beispiel der habichtartige Gleitaar, s. rechtes Bild. Dahin weist auch Folgendes: Auf diesen Vogelabschnitt folgt ein Abschnitt über Landtiere (Vv. 18-22) und einer über Meerestiere (Vv. 25f.); in beiden Abschnitten steht an zweiter Stelle ein gefährliches Tier: Auf Steinbock und Klippdachs (Vv. 18-20) folgt der Löwe (Vv. 20f.), auf die kleinen und großen Meerestiere (V. 25) der Leviathan (V. 26). Es machte Sinn, wenn auch hier auf die Vögel (tsipporim, also speziell „kleine Vögel“, statt allgemein `oph, „Vögel“!) eine für dese gefährliche Tierart folgte.</w:t>
      </w:r>
    </w:p>
  </w:footnote>
  <w:footnote w:id="1089">
    <w:p>
      <w:pPr>
        <w:pStyle w:val="Funote"/>
        <w:rPr/>
      </w:pPr>
      <w:r>
        <w:rPr>
          <w:rStyle w:val="Funotenzeichen"/>
        </w:rPr>
        <w:footnoteRef/>
      </w:r>
      <w:r>
        <w:rPr/>
        <w:tab/>
        <w:t>Textkritik: in ihren Wipfeln (auf Zypressen) - Im Heb. beroschim („auf den Zedern“). LXX setzt aber sinnvoller voraus, dass der Urtext beroscham („auf ihrem Haupt“, d.h. „in ihren Wipfeln“) lautete. Dem folgen z.B. auch CTAT; Deissler 1989, S. 407; Kissane 1954, S. 154; Krüger 2010, S. 26: Die Einführung einer zweiten speziellen Baumart liegt poetisch nicht sehr nahe und eine Verlesung der beiden (ursprünglich wohl ohnehin gleich geschriebenen) Worte ließe sich leicht damit erklären, dass „Zedern“ und „Zypressen“ als zwei Edelhölzer häufig in Kombination erwähnt werden, s. etwa 1 Kön 5,8.10; Jes 14,8; Jes 37,24; Ez 27,5 u.ö.</w:t>
      </w:r>
    </w:p>
  </w:footnote>
  <w:footnote w:id="1090">
    <w:p>
      <w:pPr>
        <w:pStyle w:val="Funote"/>
        <w:rPr/>
      </w:pPr>
      <w:r>
        <w:rPr>
          <w:rStyle w:val="Funotenzeichen"/>
        </w:rPr>
        <w:footnoteRef/>
      </w:r>
      <w:r>
        <w:rPr/>
        <w:tab/>
        <w:t>für Festzeiten - nämlich zum Anzeigen derselben: Noch heute orientiert man sich im Judentum zur Bestimmung der Festzeiten an einem Mondkalender. Zur Bed. „Festzeiten“ vgl. Rudolph 2003.</w:t>
      </w:r>
    </w:p>
  </w:footnote>
  <w:footnote w:id="1091">
    <w:p>
      <w:pPr>
        <w:pStyle w:val="Funote"/>
        <w:rPr/>
      </w:pPr>
      <w:r>
        <w:rPr>
          <w:rStyle w:val="Funotenzeichen"/>
        </w:rPr>
        <w:footnoteRef/>
      </w:r>
      <w:r>
        <w:rPr>
          <w:i/>
        </w:rPr>
        <w:tab/>
        <w:t>kennt ihren Untergang</w:t>
      </w:r>
      <w:r>
        <w:rPr/>
        <w:t xml:space="preserve"> - d.h. sie weiß, wann oder wo sie unterzugehen hat.</w:t>
      </w:r>
    </w:p>
  </w:footnote>
  <w:footnote w:id="1092">
    <w:p>
      <w:pPr>
        <w:pStyle w:val="Funote"/>
        <w:rPr/>
      </w:pPr>
      <w:r>
        <w:rPr>
          <w:rStyle w:val="Funotenzeichen"/>
        </w:rPr>
        <w:footnoteRef/>
      </w:r>
      <w:r>
        <w:rPr/>
        <w:tab/>
        <w:t>tFN: 20ab - Häufig nach JM §167a als temporales Satzgefüge übersetzt: „Setzt du Finsternis, wird es Nacht“; „und es soll werden“ für „dann wird es“ soll eine „seltene und poetische“ Konstruktion für solche Satzgefüge sein (ebd.). Das ist aber bei keiner von Joüons Parallelen (notwendig) so: Mic 7,10; Sach 9,5 sprechen klar üble Wünsche aus; ähnlich Ps 146,4. In Ijob 19,18; Ps 40,6; Ps 139,8f. sollen die Kohortativ nur ähnlich wie ein historisches Präsens die Dramatik stärken, z.B.: „Ich will mir die Unterwelt betten - doch du bist da!“Auch das Jussiv lässt sich aber ja problemlos so verstehen wie die vorigen Yiqtols: Sie sollen anzeigen, dass auch die Nacht (ebenso wie der Tag, V. 22) und das Wimmeln von Waldtieren Gottes Willen unterliegt. Von 20a auf 20b liegt dann zusätzlich zum P-Shift also auch ein D(iathesen)-Shift vor.</w:t>
      </w:r>
    </w:p>
  </w:footnote>
  <w:footnote w:id="1093">
    <w:p>
      <w:pPr>
        <w:pStyle w:val="Funote"/>
        <w:rPr/>
      </w:pPr>
      <w:r>
        <w:rPr>
          <w:rStyle w:val="Funotenzeichen"/>
        </w:rPr>
        <w:footnoteRef/>
      </w:r>
      <w:r>
        <w:rPr/>
        <w:tab/>
        <w:t>Löwen sind in der Antike noch häufiger als nachtaktive, in (Gebirgs-)höhlen wohnende Tiere vorgestellt; vgl. für die Bibel noch Ijob 38,40; Hld 4,8; Am 3,4; Nah 2,13. Auch in einem ägyptischen Spruch zum Schutz des Horus heißt es: „Der Schutz des Horus ist der Löwe in der Nacht, der im Westgebirge umherzieht“ (TUAT II/3, S. 369). Ähnlich auch in Griechenland, z.B. bei Herodot (Hdt 7.125f: „Nachts [vom Gebirge] herabkommend und ihr Reich zurücklassend fielen sie (=die Löwen) weder Mensch noch Vieh an; nur die Kamele raubten sie).“ und in der Sage vom nemeischen Löwen, der nach Diod 4.11.3f. in einer Höhle haust. Jensen 2016, S. 79 erwägt daher gar, ob zu dieser Zeit der schon lange ausgestorbene Höhlenlöwe vielleicht noch lebte. Zur Verortung des Löwen in den Wald vgl. noch Jer 5,6; Am 3,4.</w:t>
      </w:r>
    </w:p>
  </w:footnote>
  <w:footnote w:id="1094">
    <w:p>
      <w:pPr>
        <w:pStyle w:val="Funote"/>
        <w:rPr/>
      </w:pPr>
      <w:r>
        <w:rPr>
          <w:rStyle w:val="Funotenzeichen"/>
        </w:rPr>
        <w:footnoteRef/>
      </w:r>
      <w:r>
        <w:rPr/>
        <w:tab/>
        <w:t>tFN: So auch (Dies – das, dort [ist]) - schwer erklärliche Verwendung des Demonstrativpronomens zeh. LXX, Syr, Hier, VUL und Tg übersetzen schlicht mit „Dieses Meer (ist)...“ (wofür im Heb. der Artikel ganz ausgereicht hätte), eine rein automatische Übersetzungen des Pronomens. 11QPsa streicht das Pronomen; vielleicht ein Indiz dafür, dass es dem Schreiber ebenfalls überflüssig schien.Zur Üs. mit „dort“ vgl. Ges18, S. 294; so die meisten Üss., z.B. EÜ, LUT17. Warum hier aber ein Deiktikum kommen sollte, ist ebenso wenig erklärlich. Zu „so [auch]“ vgl. HALOT, S. 264; Berlin 2005, S. 81; z.B. auch Zorell 1928, S. 181 („item mare magnum...“); ähnlich offenbar die Verwendung z.B. in Ps 24,6. Trotz der wenigen Belege für diese Verwendung wird man sich hier notgedrungen wohl hieran anschließen müssen.</w:t>
      </w:r>
    </w:p>
  </w:footnote>
  <w:footnote w:id="1095">
    <w:p>
      <w:pPr>
        <w:pStyle w:val="Funote"/>
        <w:rPr/>
      </w:pPr>
      <w:r>
        <w:rPr>
          <w:rStyle w:val="Funotenzeichen"/>
        </w:rPr>
        <w:footnoteRef/>
      </w:r>
      <w:r>
        <w:rPr/>
        <w:tab/>
        <w:t>groß und weit {die Seiten} - d.h. „groß und weit [nach allen] Seiten“, vgl. Ges18, S. 438. Das selbe Idiom findet sich auch in Gen 34,21; Jes 22,18; Jes 33,21.</w:t>
      </w:r>
    </w:p>
  </w:footnote>
  <w:footnote w:id="1096">
    <w:p>
      <w:pPr>
        <w:pStyle w:val="Funote"/>
        <w:rPr/>
      </w:pPr>
      <w:r>
        <w:rPr>
          <w:rStyle w:val="Funotenzeichen"/>
        </w:rPr>
        <w:footnoteRef/>
      </w:r>
      <w:r>
        <w:rPr>
          <w:i/>
        </w:rPr>
        <w:tab/>
        <w:t>Gewürm</w:t>
      </w:r>
      <w:r>
        <w:rPr/>
        <w:t xml:space="preserve"> - Heb. </w:t>
      </w:r>
      <w:r>
        <w:rPr>
          <w:i/>
        </w:rPr>
        <w:t>remeß</w:t>
      </w:r>
      <w:r>
        <w:rPr/>
        <w:t xml:space="preserve">. Das Nomen und das dazugehörige Verb bezeichnen eigentlich speziell Kriechtiere und Gewürm auf der Erde; von Wassertieren aber auch in </w:t>
      </w:r>
      <w:r>
        <w:fldChar w:fldCharType="begin"/>
      </w:r>
      <w:r>
        <w:rPr>
          <w:rStyle w:val="Internetverknpfung"/>
        </w:rPr>
        <w:instrText> HYPERLINK "../../../../../../../../../wiki/Genesis_1" \l "s21"</w:instrText>
      </w:r>
      <w:r>
        <w:rPr>
          <w:rStyle w:val="Internetverknpfung"/>
        </w:rPr>
        <w:fldChar w:fldCharType="separate"/>
      </w:r>
      <w:r>
        <w:rPr>
          <w:rStyle w:val="Internetverknpfung"/>
        </w:rPr>
        <w:t>Gen 1,21</w:t>
      </w:r>
      <w:r>
        <w:rPr>
          <w:rStyle w:val="Internetverknpfung"/>
        </w:rPr>
        <w:fldChar w:fldCharType="end"/>
      </w:r>
      <w:r>
        <w:rPr/>
        <w:t xml:space="preserve">; </w:t>
      </w:r>
      <w:hyperlink r:id="rId164">
        <w:r>
          <w:rPr>
            <w:rStyle w:val="Internetverknpfung"/>
          </w:rPr>
          <w:t>Lev 11,46</w:t>
        </w:r>
      </w:hyperlink>
      <w:r>
        <w:rPr/>
        <w:t xml:space="preserve">; </w:t>
      </w:r>
      <w:hyperlink r:id="rId165">
        <w:r>
          <w:rPr>
            <w:rStyle w:val="Internetverknpfung"/>
          </w:rPr>
          <w:t>Ps 69,35</w:t>
        </w:r>
      </w:hyperlink>
      <w:r>
        <w:rPr/>
        <w:t xml:space="preserve">. Gemeint sind hier also wohl Meerwürmer, Seeschnecken etc. und in Vv. 25f. steigert sich derart nach und nach die Größe der genannten Tiere: Gewürm - kleine Tiere - große Tiere - Leviathan. </w:t>
      </w:r>
    </w:p>
  </w:footnote>
  <w:footnote w:id="1097">
    <w:p>
      <w:pPr>
        <w:pStyle w:val="Funote"/>
        <w:rPr/>
      </w:pPr>
      <w:r>
        <w:rPr>
          <w:rStyle w:val="Funotenzeichen"/>
        </w:rPr>
        <w:footnoteRef/>
      </w:r>
      <w:r>
        <w:rPr/>
        <w:tab/>
        <w:t>schwimmen Schiffe (schwimmen dort gleich Schiffen.) - die umstrittenste Stelle des Psalms. Auf den ersten Blick scheint wegen dieser Zeile in Vv. 27f. gesagt zu werden, dass Gott Schiffe füttere, und in V. 29, dass Gott nicht nur Lebewesen, sondern auch den Schiffen den Atem geben und auch nehmen könne, in welchem Falle dann die Schiffe erschrecken und sterben würden. Hinzu kommt die grammatische Schwierigkeit, dass „Schiffe“ Feminin Plural ist, das Verb „schwimmen“ aber Maskulin Plural. Die einfachste Erklärung ist die, dass die Schiffe hier metonymisch für die (vielen) Menschen auf diesen Schiffen stehen, was sich auch im Maskulinum des Verbs niederschlägt. Vermöge seiner Schiffe ist der Mensch auch ein „Wassertier“, vermöge der Größe seiner Schiffe nach dem Leviathan sogar das größte von ihnen.Alternativ ließen sich die „Schiffe“ mit Ehrlich 1905, S. 251f. als adverbialer Akkusativ des Vergleichs erklären (vgl. GKC §118r; z.B. auch Psalm 11,1; Ps 21,8; mit ähnlicher Syntax Ijob 24,4: „[Wie] Wildesel in der Wüste arbeiten [sie] in der Früh“): „Die kleinen Tiere und die großen schwimmen dort [wie] Schiffe“. Einige ältere Exegeten haben außerdem unwahrscheinliche Textkorrekturen vorgeschlagen, nämlich für onijot („Schiffe“) entweder emoth („Schrecknisse“, so z.B. Gunkel 1926; Herkenne 1936) oder taninim („Tiefe“; so z.B. Schlögl 1915; Weiser 1959), zwei Bezeichnungen für weitere Meeresungeheuer neben dem Leviathan.</w:t>
      </w:r>
    </w:p>
  </w:footnote>
  <w:footnote w:id="1098">
    <w:p>
      <w:pPr>
        <w:pStyle w:val="Funote"/>
        <w:rPr/>
      </w:pPr>
      <w:r>
        <w:rPr>
          <w:rStyle w:val="Funotenzeichen"/>
        </w:rPr>
        <w:footnoteRef/>
      </w:r>
      <w:r>
        <w:rPr/>
        <w:tab/>
        <w:t>um mit ihm Spaß zu haben (damit er darinnen Spaß habe) - Das mythische Meeresungeheuer Leviathan (vgl. Jer 27,1) wird hier degradiert zum Schoßhündchen Gottes.Grammatisch sind beide Auflösungen möglich; nach der Parallelstelle Ijob 40,29 liegt aber die Deutung im Fließtext wesentlich näher. Vgl. auch b.AZ 3b, wo Rabbi Aricha Gottes zwölfstündiger Tagesablauf schildert: Die ersten drei Stunden studiert er die Torah, die zweiten drei Stunden beurteilt er die Welt (und weil er dabei stets erkennt, dass er sie eigentlich zerstören müsste, entscheidet er jeden Tag von Neuem, gnädig zu sein), die dritten drei Stunden ernährt er sie und die vierten drei Stunden vergnügt er sich mit dem Leviathan.Gemeint ist nicht „um ihn zu verspotten“ (Grill 1959, S. 102; so schon Athanasius); vgl. richtig Kwakkel 2017, S. 83. Ohnehin stünde dafür im Heb. das Verb im Qal statt im Piel.</w:t>
      </w:r>
    </w:p>
  </w:footnote>
  <w:footnote w:id="1099">
    <w:p>
      <w:pPr>
        <w:pStyle w:val="Funote"/>
        <w:rPr/>
      </w:pPr>
      <w:r>
        <w:rPr>
          <w:rStyle w:val="Funotenzeichen"/>
        </w:rPr>
        <w:footnoteRef/>
      </w:r>
      <w:r>
        <w:rPr/>
        <w:tab/>
        <w:t>Textkritik: [ihnen] (wie in V. 28) findet sich zusätzlich in 11QPsa und LXX. Dass „sie“ es sind, die gesättigt werden sollen, ist aber auch so klar und das „ihnen“ aus V. 28 wirkt auch im MT zurück auf V. 27 („backward gapping“); 11QPsa und LXX explizieren also wohl nur das „ihnen“ aus V. 28 und man muss nicht von zwei unterschiedlichen Textversionen ausgehen.</w:t>
      </w:r>
    </w:p>
  </w:footnote>
  <w:footnote w:id="1100">
    <w:p>
      <w:pPr>
        <w:pStyle w:val="Funote"/>
        <w:rPr/>
      </w:pPr>
      <w:r>
        <w:rPr>
          <w:rStyle w:val="Funotenzeichen"/>
        </w:rPr>
        <w:footnoteRef/>
      </w:r>
      <w:r>
        <w:rPr>
          <w:i/>
        </w:rPr>
        <w:tab/>
        <w:t>zur rechten Zeit</w:t>
      </w:r>
      <w:r>
        <w:rPr/>
        <w:t xml:space="preserve"> - W. „zu ihrer (d.i. der Nahrung) Zeit“; ähnlich in </w:t>
      </w:r>
      <w:r>
        <w:fldChar w:fldCharType="begin"/>
      </w:r>
      <w:r>
        <w:rPr>
          <w:rStyle w:val="Internetverknpfung"/>
        </w:rPr>
        <w:instrText> HYPERLINK "../../../../../../../../../wiki/Psalm_1" \l "s3"</w:instrText>
      </w:r>
      <w:r>
        <w:rPr>
          <w:rStyle w:val="Internetverknpfung"/>
        </w:rPr>
        <w:fldChar w:fldCharType="separate"/>
      </w:r>
      <w:r>
        <w:rPr>
          <w:rStyle w:val="Internetverknpfung"/>
        </w:rPr>
        <w:t>Ps 1,3</w:t>
      </w:r>
      <w:r>
        <w:rPr>
          <w:rStyle w:val="Internetverknpfung"/>
        </w:rPr>
        <w:fldChar w:fldCharType="end"/>
      </w:r>
    </w:p>
  </w:footnote>
  <w:footnote w:id="1101">
    <w:p>
      <w:pPr>
        <w:pStyle w:val="Funote"/>
        <w:rPr/>
      </w:pPr>
      <w:r>
        <w:rPr>
          <w:rStyle w:val="Funotenzeichen"/>
        </w:rPr>
        <w:footnoteRef/>
      </w:r>
      <w:r>
        <w:rPr>
          <w:i/>
        </w:rPr>
        <w:tab/>
        <w:t>Nahrung</w:t>
      </w:r>
      <w:r>
        <w:rPr/>
        <w:t xml:space="preserve"> / </w:t>
      </w:r>
      <w:r>
        <w:rPr>
          <w:i/>
        </w:rPr>
        <w:t>sie</w:t>
      </w:r>
      <w:r>
        <w:rPr/>
        <w:t xml:space="preserve"> aus V. 27 steht hier nicht mehr explizit, ist aber klar mitgemeint. Eine ähnliche Verschränkung von backward gapping und forward gapping findet sich z.B. auch in </w:t>
      </w:r>
      <w:r>
        <w:fldChar w:fldCharType="begin"/>
      </w:r>
      <w:r>
        <w:rPr>
          <w:rStyle w:val="Internetverknpfung"/>
        </w:rPr>
        <w:instrText> HYPERLINK "../../../../../../../../../wiki/Obadja" \l "s18"</w:instrText>
      </w:r>
      <w:r>
        <w:rPr>
          <w:rStyle w:val="Internetverknpfung"/>
        </w:rPr>
        <w:fldChar w:fldCharType="separate"/>
      </w:r>
      <w:r>
        <w:rPr>
          <w:rStyle w:val="Internetverknpfung"/>
        </w:rPr>
        <w:t>Ob 18</w:t>
      </w:r>
      <w:r>
        <w:rPr>
          <w:rStyle w:val="Internetverknpfung"/>
        </w:rPr>
        <w:fldChar w:fldCharType="end"/>
      </w:r>
      <w:r>
        <w:rPr/>
        <w:t>.</w:t>
      </w:r>
    </w:p>
  </w:footnote>
  <w:footnote w:id="1102">
    <w:p>
      <w:pPr>
        <w:pStyle w:val="Funote"/>
        <w:rPr/>
      </w:pPr>
      <w:r>
        <w:rPr>
          <w:rStyle w:val="Funotenzeichen"/>
        </w:rPr>
        <w:footnoteRef/>
      </w:r>
      <w:r>
        <w:rPr>
          <w:i/>
        </w:rPr>
        <w:tab/>
        <w:t>sie werden gesättigt mit Gutem</w:t>
      </w:r>
      <w:r>
        <w:rPr/>
        <w:t>, wie in Vv. 13.16 die Erde von Gott „gesättigt“ wird. Eine ähnliche Gedankenverbindung findet sich explizit in PsSal 5,9f.: „Vögel und Fische sättigst du, indem du der Wüste Regen gibst, so dass grünes Gras wächst, um in der Wüste Futter für alles Lebendige zu bereiten.“</w:t>
      </w:r>
    </w:p>
  </w:footnote>
  <w:footnote w:id="1103">
    <w:p>
      <w:pPr>
        <w:pStyle w:val="Funote"/>
        <w:rPr/>
      </w:pPr>
      <w:r>
        <w:rPr>
          <w:rStyle w:val="Funotenzeichen"/>
        </w:rPr>
        <w:footnoteRef/>
      </w:r>
      <w:r>
        <w:rPr/>
        <w:tab/>
        <w:t>verbirgst dein Gesicht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30,8; 44,25; 69,18; 88,15; 102,3; 143,7; Jes 8,17; 54,8; 59,2; 64,6; Jer 33,5; Ez 39,23f.29; Mic 3,4): JHWH verbirgt sein Gesicht vor jemandem = JHWH schaut jemanden nicht mehr gnädig an (und lässt so zu, dass Unheil über ihn hereinbricht).</w:t>
      </w:r>
    </w:p>
  </w:footnote>
  <w:footnote w:id="1104">
    <w:p>
      <w:pPr>
        <w:pStyle w:val="Funote"/>
        <w:rPr/>
      </w:pPr>
      <w:r>
        <w:rPr>
          <w:rStyle w:val="Funotenzeichen"/>
        </w:rPr>
        <w:footnoteRef/>
      </w:r>
      <w:r>
        <w:rPr/>
        <w:tab/>
        <w:t>Zu Zeilen 2 und 3 vgl. Gen 2,7: Der Mensch ist aus Erde/Staub gebildet (Gen 3,19, 18,27; Ps 103,14) und wird erst durch die Einhauchung von Gottes Atem zum lebendigen Wesen (Pred 12,7; Jes 57,16; Jer 38,16; LXX hat daher hier wie in V. 30 „deinen Atem“ statt „ihren Atem“). Stirbt er, wird er daher nach dem Tod wieder zu „Staub“ (Gen 3,19, Ijob 10,9; 34,15; Pred 3,20), aus dem dann wieder andere Menschen entstehen können (Ijob 8,19) – der alttestamentliche „Circle of Life“, der auch in der Ringkomposition von Vv. 29f. (vgl. Renaud 1981, S. 16) zum Ausdruck kommt: „Du verbirgst dein Gesicht, sie erschrecken; : Du nimmst ihren Atem, sie sterben :: Und zu ihrem Staub kehren sie zurück. : Du sendest deinen Atem, sie werden geschaffen; Du erneuerst das Gesicht der Erde.“</w:t>
      </w:r>
    </w:p>
  </w:footnote>
  <w:footnote w:id="1105">
    <w:p>
      <w:pPr>
        <w:pStyle w:val="Funote"/>
        <w:rPr/>
      </w:pPr>
      <w:r>
        <w:rPr>
          <w:rStyle w:val="Funotenzeichen"/>
        </w:rPr>
        <w:footnoteRef/>
      </w:r>
      <w:r>
        <w:rPr/>
        <w:tab/>
        <w:t>Der auf die Erde blickt, so dass sie bebt – Das Heb. hat in 32a andere Verbformen als sonst in 27-30.32b, nämlich ein Partizip („anblicken“) und ein Wayyiqtol („beben“). 32 gehört daher nicht in die Reihung in diesen Versen, wie die meisten Üss. übersetzen, sondern ist eine Umschreibung Gottes (Er ist „der, der auf die Erde blickt“) und das Wayyiqtol gibt die logische Folge dieses Blickens an („so dass sie bebt“; vgl. JM §118h). Richtig daher FREE: „Der die Erde anschaut, und sie bebt; er rührt die Berge an, und sie rauchen.“ V. 32 ist damit der exakte Gegenvers zu V. 5.</w:t>
      </w:r>
    </w:p>
  </w:footnote>
  <w:footnote w:id="1106">
    <w:p>
      <w:pPr>
        <w:pStyle w:val="Funote"/>
        <w:rPr/>
      </w:pPr>
      <w:r>
        <w:rPr>
          <w:rStyle w:val="Funotenzeichen"/>
        </w:rPr>
        <w:footnoteRef/>
      </w:r>
      <w:r>
        <w:rPr/>
        <w:tab/>
        <w:t>Das bekannte Hallelujah findet sich hier das erste Mal in der Bibel und auch sonst nur im Psalter. Es kann sowohl am Ende vom Psalmen stehen (z.B. Ps 106,48) als auch am Anfang (z.B. Ps 111,1). LXX verschiebt es an den Anfang von Ps 105; dem folgen grundlos z.B. Dahood 1970; deClaissé-Walford/Jacobson/Tanner 2014; Herkenne 1936.</w:t>
      </w:r>
    </w:p>
  </w:footnote>
  <w:footnote w:id="1107">
    <w:p>
      <w:pPr>
        <w:pStyle w:val="Funote"/>
        <w:rPr/>
      </w:pPr>
      <w:r>
        <w:rPr>
          <w:rStyle w:val="Funotenzeichen"/>
        </w:rPr>
        <w:footnoteRef/>
      </w:r>
      <w:r>
        <w:rPr/>
        <w:tab/>
        <w:t>[Status: Zuverlässig]</w:t>
      </w:r>
    </w:p>
  </w:footnote>
  <w:footnote w:id="1108">
    <w:p>
      <w:pPr>
        <w:pStyle w:val="Funote"/>
        <w:rPr/>
      </w:pPr>
      <w:r>
        <w:rPr>
          <w:rStyle w:val="Funotenzeichen"/>
        </w:rPr>
        <w:footnoteRef/>
      </w:r>
      <w:r>
        <w:rPr/>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1109">
    <w:p>
      <w:pPr>
        <w:pStyle w:val="Funote"/>
        <w:rPr/>
      </w:pPr>
      <w:r>
        <w:rPr>
          <w:rStyle w:val="Funotenzeichen"/>
        </w:rPr>
        <w:footnoteRef/>
      </w:r>
      <w:r>
        <w:rPr/>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1110">
    <w:p>
      <w:pPr>
        <w:pStyle w:val="Funote"/>
        <w:rPr/>
      </w:pPr>
      <w:r>
        <w:rPr>
          <w:rStyle w:val="Funotenzeichen"/>
        </w:rPr>
        <w:footnoteRef/>
      </w:r>
      <w:r>
        <w:rPr/>
        <w:tab/>
        <w:t>W. „Mein Herz ist“, aber übersetze „Ich bin“ (so auch HfA, GN): das „Herz“ ist in der Bibel häufig Wechselbegriff für das Ich; bes. in Zhgg., in denen dieses Ich als „fühlende, gestimmte Person“ vorgestellt wird (s. z.B. Wolff 1973, S. 74f).</w:t>
      </w:r>
    </w:p>
  </w:footnote>
  <w:footnote w:id="1111">
    <w:p>
      <w:pPr>
        <w:pStyle w:val="Funote"/>
        <w:rPr/>
      </w:pPr>
      <w:r>
        <w:rPr>
          <w:rStyle w:val="Funotenzeichen"/>
        </w:rPr>
        <w:footnoteRef/>
      </w:r>
      <w:r>
        <w:rPr/>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1112">
    <w:p>
      <w:pPr>
        <w:pStyle w:val="Funote"/>
        <w:rPr/>
      </w:pPr>
      <w:r>
        <w:rPr>
          <w:rStyle w:val="Funotenzeichen"/>
        </w:rPr>
        <w:footnoteRef/>
      </w:r>
      <w:r>
        <w:rPr/>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1113">
    <w:p>
      <w:pPr>
        <w:pStyle w:val="Funote"/>
        <w:rPr/>
      </w:pPr>
      <w:r>
        <w:rPr>
          <w:rStyle w:val="Funotenzeichen"/>
        </w:rPr>
        <w:footnoteRef/>
      </w:r>
      <w:r>
        <w:rPr/>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1114">
    <w:p>
      <w:pPr>
        <w:pStyle w:val="Funote"/>
        <w:rPr/>
      </w:pPr>
      <w:r>
        <w:rPr>
          <w:rStyle w:val="Funotenzeichen"/>
        </w:rPr>
        <w:footnoteRef/>
      </w:r>
      <w:r>
        <w:rPr>
          <w:rtl w:val="true"/>
          <w:lang w:bidi="he-IL"/>
        </w:rPr>
        <w:tab/>
        <w:t>מִמֶּֽנִּי</w:t>
      </w:r>
      <w:r>
        <w:rPr/>
        <w:t xml:space="preserve"> </w:t>
      </w:r>
      <w:r>
        <w:rPr>
          <w:i/>
        </w:rPr>
        <w:t>zu ... für mich</w:t>
      </w:r>
      <w:r>
        <w:rPr/>
        <w:t xml:space="preserve">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1115">
    <w:p>
      <w:pPr>
        <w:pStyle w:val="Funote"/>
        <w:rPr/>
      </w:pPr>
      <w:r>
        <w:rPr>
          <w:rStyle w:val="Funotenzeichen"/>
        </w:rPr>
        <w:footnoteRef/>
      </w:r>
      <w:r>
        <w:rPr/>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1116">
    <w:p>
      <w:pPr>
        <w:pStyle w:val="Funote"/>
        <w:rPr/>
      </w:pPr>
      <w:r>
        <w:rPr>
          <w:rStyle w:val="Funotenzeichen"/>
        </w:rPr>
        <w:footnoteRef/>
      </w:r>
      <w:r>
        <w:rPr/>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1117">
    <w:p>
      <w:pPr>
        <w:pStyle w:val="Funote"/>
        <w:rPr/>
      </w:pPr>
      <w:r>
        <w:rPr>
          <w:rStyle w:val="Funotenzeichen"/>
        </w:rPr>
        <w:footnoteRef/>
      </w:r>
      <w:r>
        <w:rPr/>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1118">
    <w:p>
      <w:pPr>
        <w:pStyle w:val="Funote"/>
        <w:rPr/>
      </w:pPr>
      <w:r>
        <w:rPr>
          <w:rStyle w:val="Funotenzeichen"/>
        </w:rPr>
        <w:footnoteRef/>
      </w:r>
      <w:r>
        <w:rPr/>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1119">
    <w:p>
      <w:pPr>
        <w:pStyle w:val="Funote"/>
        <w:rPr/>
      </w:pPr>
      <w:r>
        <w:rPr>
          <w:rStyle w:val="Funotenzeichen"/>
        </w:rPr>
        <w:footnoteRef/>
      </w:r>
      <w:r>
        <w:rPr/>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1120">
    <w:p>
      <w:pPr>
        <w:pStyle w:val="Funote"/>
        <w:rPr/>
      </w:pPr>
      <w:r>
        <w:rPr>
          <w:rStyle w:val="Funotenzeichen"/>
        </w:rPr>
        <w:footnoteRef/>
      </w:r>
      <w:r>
        <w:rPr/>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1121">
    <w:p>
      <w:pPr>
        <w:pStyle w:val="Funote"/>
        <w:rPr/>
      </w:pPr>
      <w:r>
        <w:rPr>
          <w:rStyle w:val="Funotenzeichen"/>
        </w:rPr>
        <w:footnoteRef/>
      </w:r>
      <w:r>
        <w:rPr/>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1122">
    <w:p>
      <w:pPr>
        <w:pStyle w:val="Funote"/>
        <w:rPr/>
      </w:pPr>
      <w:r>
        <w:rPr>
          <w:rStyle w:val="Funotenzeichen"/>
        </w:rPr>
        <w:footnoteRef/>
      </w:r>
      <w:r>
        <w:rPr/>
        <w:tab/>
        <w:t>[Status: Zuverlässig]</w:t>
      </w:r>
    </w:p>
  </w:footnote>
  <w:footnote w:id="1123">
    <w:p>
      <w:pPr>
        <w:pStyle w:val="Funote"/>
        <w:rPr/>
      </w:pPr>
      <w:r>
        <w:rPr>
          <w:rStyle w:val="Funotenzeichen"/>
        </w:rPr>
        <w:footnoteRef/>
      </w:r>
      <w:r>
        <w:rPr/>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1124">
    <w:p>
      <w:pPr>
        <w:pStyle w:val="Funote"/>
        <w:rPr/>
      </w:pPr>
      <w:r>
        <w:rPr>
          <w:rStyle w:val="Funotenzeichen"/>
        </w:rPr>
        <w:footnoteRef/>
      </w:r>
      <w:r>
        <w:rPr>
          <w:rtl w:val="true"/>
          <w:lang w:bidi="he-IL"/>
        </w:rPr>
        <w:tab/>
        <w:t>אֶל</w:t>
      </w:r>
      <w:r>
        <w:rPr/>
        <w:t xml:space="preserve"> </w:t>
      </w:r>
      <w:r>
        <w:rPr/>
        <w:t>hat nicht nur direktionale, sondern auch lokale Bedeutung; vgl. z.B. CDCH, S. 18; ad loc. auch Buttenwieser 1938, S. 686; Ehrlich 1905, S. 359; Grünewalder</w:t>
      </w:r>
    </w:p>
  </w:footnote>
  <w:footnote w:id="1125">
    <w:p>
      <w:pPr>
        <w:pStyle w:val="Funote"/>
        <w:rPr/>
      </w:pPr>
      <w:r>
        <w:rPr>
          <w:rStyle w:val="Funotenzeichen"/>
        </w:rPr>
        <w:footnoteRef/>
      </w:r>
      <w:r>
        <w:rPr/>
        <w:tab/>
        <w:t>Besonders im Kontext von Aussagen über JHWH steht sein „Name“ meist metonymisch für JHWH selbst; man bezeichnet so JHWH „im Menschenmund“.</w:t>
      </w:r>
    </w:p>
  </w:footnote>
  <w:footnote w:id="1126">
    <w:p>
      <w:pPr>
        <w:pStyle w:val="Funote"/>
        <w:rPr/>
      </w:pPr>
      <w:r>
        <w:rPr>
          <w:rStyle w:val="Funotenzeichen"/>
        </w:rPr>
        <w:footnoteRef/>
      </w:r>
      <w:r>
        <w:rPr/>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1127">
    <w:p>
      <w:pPr>
        <w:pStyle w:val="Funote"/>
        <w:rPr/>
      </w:pPr>
      <w:r>
        <w:rPr>
          <w:rStyle w:val="Funotenzeichen"/>
        </w:rPr>
        <w:footnoteRef/>
      </w:r>
      <w:r>
        <w:rPr/>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1128">
    <w:p>
      <w:pPr>
        <w:pStyle w:val="Funote"/>
        <w:rPr/>
      </w:pPr>
      <w:r>
        <w:rPr>
          <w:rStyle w:val="Funotenzeichen"/>
        </w:rPr>
        <w:footnoteRef/>
      </w:r>
      <w:r>
        <w:rPr>
          <w:i/>
        </w:rPr>
        <w:tab/>
        <w:t>Als</w:t>
      </w:r>
      <w:r>
        <w:rPr/>
        <w:t xml:space="preserve"> W. eher </w:t>
      </w:r>
      <w:r>
        <w:rPr>
          <w:i/>
        </w:rPr>
        <w:t>An [dem] Tag, [an dem]</w:t>
      </w:r>
      <w:r>
        <w:rPr/>
        <w:t xml:space="preserve">. </w:t>
      </w:r>
      <w:r>
        <w:rPr>
          <w:rtl w:val="true"/>
          <w:lang w:bidi="he-IL"/>
        </w:rPr>
        <w:t>בּיוֹם</w:t>
      </w:r>
      <w:r>
        <w:rPr/>
        <w:t xml:space="preserve"> </w:t>
      </w:r>
      <w:r>
        <w:rPr/>
        <w:t>bezieht sich meist nicht auf einen tatsächlichen „Tag“, sondern fungiert als unbestimmte Zeitangabe.</w:t>
      </w:r>
    </w:p>
  </w:footnote>
  <w:footnote w:id="1129">
    <w:p>
      <w:pPr>
        <w:pStyle w:val="Funote"/>
        <w:rPr/>
      </w:pPr>
      <w:r>
        <w:rPr>
          <w:rStyle w:val="Funotenzeichen"/>
        </w:rPr>
        <w:footnoteRef/>
      </w:r>
      <w:r>
        <w:rPr/>
        <w:tab/>
        <w:t>Wenn von JHWH's „Antworten“ in Folge auf ein „Anrufen“ die Rede ist, hat es fast durchgehend die Bedeutung „erhören“.</w:t>
      </w:r>
    </w:p>
  </w:footnote>
  <w:footnote w:id="1130">
    <w:p>
      <w:pPr>
        <w:pStyle w:val="Funote"/>
        <w:rPr/>
      </w:pPr>
      <w:r>
        <w:rPr>
          <w:rStyle w:val="Funotenzeichen"/>
        </w:rPr>
        <w:footnoteRef/>
      </w:r>
      <w:r>
        <w:rPr/>
        <w:tab/>
        <w:t xml:space="preserve">hast mich ermutigt mit Seelenkraft (hast mir in meiner Seele Kraft gegeben)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1131">
    <w:p>
      <w:pPr>
        <w:pStyle w:val="Funote"/>
        <w:rPr/>
      </w:pPr>
      <w:r>
        <w:rPr>
          <w:rStyle w:val="Funotenzeichen"/>
        </w:rPr>
        <w:footnoteRef/>
      </w:r>
      <w:r>
        <w:rPr/>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1132">
    <w:p>
      <w:pPr>
        <w:pStyle w:val="Funote"/>
        <w:rPr/>
      </w:pPr>
      <w:r>
        <w:rPr>
          <w:rStyle w:val="Funotenzeichen"/>
        </w:rPr>
        <w:footnoteRef/>
      </w:r>
      <w:r>
        <w:rPr>
          <w:i/>
        </w:rPr>
        <w:tab/>
        <w:t>Walten (Wegen)</w:t>
      </w:r>
      <w:r>
        <w:rPr/>
        <w:t xml:space="preserve"> Dass JHWHs „Wege“ sein herrschendes Walten bezeichnen, geht nicht nur aus ähnlichen Formulierungen im AT hervor. Dahood (1970, 278) sieht diese Deutung auch aus ugaritischen Texten (einer dem Hebräischen verwandten Sprache) bestätigt, dort im Zusammenhang mit Königen. </w:t>
      </w:r>
    </w:p>
  </w:footnote>
  <w:footnote w:id="1133">
    <w:p>
      <w:pPr>
        <w:pStyle w:val="Funote"/>
        <w:rPr/>
      </w:pPr>
      <w:r>
        <w:rPr>
          <w:rStyle w:val="Funotenzeichen"/>
        </w:rPr>
        <w:footnoteRef/>
      </w:r>
      <w:r>
        <w:rPr/>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1134">
    <w:p>
      <w:pPr>
        <w:pStyle w:val="Funote"/>
        <w:rPr/>
      </w:pPr>
      <w:r>
        <w:rPr>
          <w:rStyle w:val="Funotenzeichen"/>
        </w:rPr>
        <w:footnoteRef/>
      </w:r>
      <w:r>
        <w:rPr>
          <w:i/>
        </w:rPr>
        <w:tab/>
        <w:t>Waw apodoseos</w:t>
      </w:r>
      <w:r>
        <w:rPr/>
        <w:t xml:space="preserve">, es dient nur dazu, den Hauptsatz nach einem Vordersatz zu markieren und muss im Deutschen gestrichen werden; vgl. vgl. Lexikon / </w:t>
      </w:r>
      <w:hyperlink r:id="rId166">
        <w:r>
          <w:rPr>
            <w:rStyle w:val="Internetverknpfung"/>
          </w:rPr>
          <w:t xml:space="preserve">Lemma </w:t>
        </w:r>
        <w:r>
          <w:rPr>
            <w:rStyle w:val="Internetverknpfung"/>
            <w:rtl w:val="true"/>
            <w:lang w:bidi="he-IL"/>
          </w:rPr>
          <w:t>וְ</w:t>
        </w:r>
      </w:hyperlink>
      <w:r>
        <w:rPr/>
        <w:t>.</w:t>
      </w:r>
    </w:p>
  </w:footnote>
  <w:footnote w:id="1135">
    <w:p>
      <w:pPr>
        <w:pStyle w:val="Funote"/>
        <w:rPr/>
      </w:pPr>
      <w:r>
        <w:rPr>
          <w:rStyle w:val="Funotenzeichen"/>
        </w:rPr>
        <w:footnoteRef/>
      </w:r>
      <w:r>
        <w:rPr/>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1136">
    <w:p>
      <w:pPr>
        <w:pStyle w:val="Funote"/>
        <w:rPr/>
      </w:pPr>
      <w:r>
        <w:rPr>
          <w:rStyle w:val="Funotenzeichen"/>
        </w:rPr>
        <w:footnoteRef/>
      </w:r>
      <w:r>
        <w:rPr/>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1137">
    <w:p>
      <w:pPr>
        <w:pStyle w:val="Funote"/>
        <w:rPr/>
      </w:pPr>
      <w:r>
        <w:rPr>
          <w:rStyle w:val="Funotenzeichen"/>
        </w:rPr>
        <w:footnoteRef/>
      </w:r>
      <w:r>
        <w:rPr/>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1138">
    <w:p>
      <w:pPr>
        <w:pStyle w:val="Funote"/>
        <w:rPr/>
      </w:pPr>
      <w:r>
        <w:rPr>
          <w:rStyle w:val="Funotenzeichen"/>
        </w:rPr>
        <w:footnoteRef/>
      </w:r>
      <w:r>
        <w:rPr/>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1139">
    <w:p>
      <w:pPr>
        <w:pStyle w:val="Funote"/>
        <w:rPr/>
      </w:pPr>
      <w:r>
        <w:rPr>
          <w:rStyle w:val="Funotenzeichen"/>
        </w:rPr>
        <w:footnoteRef/>
      </w:r>
      <w:r>
        <w:rPr/>
        <w:tab/>
        <w:t>meine Sache führen Nach Hossfeld 2008, 704. es für mich vollbringen nach SLT, mich rächen nach NET/HALAT. Dahood 1970, 282 punktiert das etwas um und übersetzt „möge mich rächen, solange ich lebe“.</w:t>
      </w:r>
    </w:p>
  </w:footnote>
  <w:footnote w:id="1140">
    <w:p>
      <w:pPr>
        <w:pStyle w:val="Funote"/>
        <w:rPr/>
      </w:pPr>
      <w:r>
        <w:rPr>
          <w:rStyle w:val="Funotenzeichen"/>
        </w:rPr>
        <w:footnoteRef/>
      </w:r>
      <w:r>
        <w:rPr/>
        <w:tab/>
        <w:t>Gib niemals auf Hossfeld 2008, 704: lass nicht ab. SLT: Lass niemals im Stich. An dieser Stelle wäre statt der modal-imperativischen Deutung des Yiqtol auch die futurische Übersetzung du wirst niemals aufgeben sehr gut denkbar.</w:t>
      </w:r>
    </w:p>
  </w:footnote>
  <w:footnote w:id="1141">
    <w:p>
      <w:pPr>
        <w:pStyle w:val="Funote"/>
        <w:rPr/>
      </w:pPr>
      <w:r>
        <w:rPr>
          <w:rStyle w:val="Funotenzeichen"/>
        </w:rPr>
        <w:footnoteRef/>
      </w:r>
      <w:r>
        <w:rPr/>
        <w:tab/>
        <w:t>[Status: Zuverlässig]</w:t>
      </w:r>
    </w:p>
  </w:footnote>
  <w:footnote w:id="1142">
    <w:p>
      <w:pPr>
        <w:pStyle w:val="Funote"/>
        <w:rPr/>
      </w:pPr>
      <w:r>
        <w:rPr>
          <w:rStyle w:val="Funotenzeichen"/>
        </w:rPr>
        <w:footnoteRef/>
      </w:r>
      <w:r>
        <w:rPr/>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1143">
    <w:p>
      <w:pPr>
        <w:pStyle w:val="Funote"/>
        <w:rPr/>
      </w:pPr>
      <w:r>
        <w:rPr>
          <w:rStyle w:val="Funotenzeichen"/>
        </w:rPr>
        <w:footnoteRef/>
      </w:r>
      <w:r>
        <w:rPr>
          <w:rtl w:val="true"/>
          <w:lang w:bidi="he-IL"/>
        </w:rPr>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1144">
    <w:p>
      <w:pPr>
        <w:pStyle w:val="Funote"/>
        <w:rPr/>
      </w:pPr>
      <w:r>
        <w:rPr>
          <w:rStyle w:val="Funotenzeichen"/>
        </w:rPr>
        <w:footnoteRef/>
      </w:r>
      <w:r>
        <w:rPr/>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1145">
    <w:p>
      <w:pPr>
        <w:pStyle w:val="Funote"/>
        <w:rPr/>
      </w:pPr>
      <w:r>
        <w:rPr>
          <w:rStyle w:val="Funotenzeichen"/>
        </w:rPr>
        <w:footnoteRef/>
      </w:r>
      <w:r>
        <w:rPr/>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1146">
    <w:p>
      <w:pPr>
        <w:pStyle w:val="Funote"/>
        <w:rPr/>
      </w:pPr>
      <w:r>
        <w:rPr>
          <w:rStyle w:val="Funotenzeichen"/>
        </w:rPr>
        <w:footnoteRef/>
      </w:r>
      <w:r>
        <w:rPr/>
        <w:tab/>
        <w:t xml:space="preserve">Der „Name Gottes“ steht in der Bibel fast stets metonymisch für Gott selbst; man bezeichnet damit „Gott im Menschenmund“. Übersetze daher: „Sie sollen </w:t>
      </w:r>
      <w:r>
        <w:rPr>
          <w:i/>
        </w:rPr>
        <w:t>ihn</w:t>
      </w:r>
      <w:r>
        <w:rPr/>
        <w:t xml:space="preserve"> preisen“.</w:t>
      </w:r>
    </w:p>
  </w:footnote>
  <w:footnote w:id="1147">
    <w:p>
      <w:pPr>
        <w:pStyle w:val="Funote"/>
        <w:rPr/>
      </w:pPr>
      <w:r>
        <w:rPr>
          <w:rStyle w:val="Funotenzeichen"/>
        </w:rPr>
        <w:footnoteRef/>
      </w:r>
      <w:r>
        <w:rPr/>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1148">
    <w:p>
      <w:pPr>
        <w:pStyle w:val="Funote"/>
        <w:rPr/>
      </w:pPr>
      <w:r>
        <w:rPr>
          <w:rStyle w:val="Funotenzeichen"/>
        </w:rPr>
        <w:footnoteRef/>
      </w:r>
      <w:r>
        <w:rPr/>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1149">
    <w:p>
      <w:pPr>
        <w:pStyle w:val="Funote"/>
        <w:rPr/>
      </w:pPr>
      <w:r>
        <w:rPr>
          <w:rStyle w:val="Funotenzeichen"/>
        </w:rPr>
        <w:footnoteRef/>
      </w:r>
      <w:r>
        <w:rPr/>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1150">
    <w:p>
      <w:pPr>
        <w:pStyle w:val="Funote"/>
        <w:rPr/>
      </w:pPr>
      <w:r>
        <w:rPr>
          <w:rStyle w:val="Funotenzeichen"/>
        </w:rPr>
        <w:footnoteRef/>
      </w:r>
      <w:r>
        <w:rPr/>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1151">
    <w:p>
      <w:pPr>
        <w:pStyle w:val="Funote"/>
        <w:rPr/>
      </w:pPr>
      <w:r>
        <w:rPr>
          <w:rStyle w:val="Funotenzeichen"/>
        </w:rPr>
        <w:footnoteRef/>
      </w:r>
      <w:r>
        <w:rPr/>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1152">
    <w:p>
      <w:pPr>
        <w:pStyle w:val="Funote"/>
        <w:rPr/>
      </w:pPr>
      <w:r>
        <w:rPr>
          <w:rStyle w:val="Funotenzeichen"/>
        </w:rPr>
        <w:footnoteRef/>
      </w:r>
      <w:r>
        <w:rPr/>
        <w:tab/>
        <w:t xml:space="preserve">[seinem] evt. als double duty-Suffix (-&gt; Brachylogie) von </w:t>
      </w:r>
      <w:r>
        <w:rPr>
          <w:rtl w:val="true"/>
          <w:lang w:bidi="he-IL"/>
        </w:rPr>
        <w:t>בְעַמוֹ</w:t>
      </w:r>
      <w:r>
        <w:rPr/>
        <w:t xml:space="preserve"> </w:t>
      </w:r>
      <w:r>
        <w:rPr/>
        <w:t>zu ergänzen; vgl. FN t.</w:t>
      </w:r>
    </w:p>
  </w:footnote>
  <w:footnote w:id="1153">
    <w:p>
      <w:pPr>
        <w:pStyle w:val="Funote"/>
        <w:rPr/>
      </w:pPr>
      <w:r>
        <w:rPr>
          <w:rStyle w:val="Funotenzeichen"/>
        </w:rPr>
        <w:footnoteRef/>
      </w:r>
      <w:r>
        <w:rPr/>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1154">
    <w:p>
      <w:pPr>
        <w:pStyle w:val="Funote"/>
        <w:rPr/>
      </w:pPr>
      <w:r>
        <w:rPr>
          <w:rStyle w:val="Funotenzeichen"/>
        </w:rPr>
        <w:footnoteRef/>
      </w:r>
      <w:r>
        <w:rPr/>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1155">
    <w:p>
      <w:pPr>
        <w:pStyle w:val="Funote"/>
        <w:rPr/>
      </w:pPr>
      <w:r>
        <w:rPr>
          <w:rStyle w:val="Funotenzeichen"/>
        </w:rPr>
        <w:footnoteRef/>
      </w:r>
      <w:r>
        <w:rPr/>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1156">
    <w:p>
      <w:pPr>
        <w:pStyle w:val="Funote"/>
        <w:rPr/>
      </w:pPr>
      <w:r>
        <w:rPr>
          <w:rStyle w:val="Funotenzeichen"/>
        </w:rPr>
        <w:footnoteRef/>
      </w:r>
      <w:r>
        <w:rPr/>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1157">
    <w:p>
      <w:pPr>
        <w:pStyle w:val="Funote"/>
        <w:rPr/>
      </w:pPr>
      <w:r>
        <w:rPr>
          <w:rStyle w:val="Funotenzeichen"/>
        </w:rPr>
        <w:footnoteRef/>
      </w:r>
      <w:r>
        <w:rPr/>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1158">
    <w:p>
      <w:pPr>
        <w:pStyle w:val="Funote"/>
        <w:rPr/>
      </w:pPr>
      <w:r>
        <w:rPr>
          <w:rStyle w:val="Funotenzeichen"/>
        </w:rPr>
        <w:footnoteRef/>
      </w:r>
      <w:r>
        <w:rPr/>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1159">
    <w:p>
      <w:pPr>
        <w:pStyle w:val="Funote"/>
        <w:rPr/>
      </w:pPr>
      <w:r>
        <w:rPr>
          <w:rStyle w:val="Funotenzeichen"/>
        </w:rPr>
        <w:footnoteRef/>
      </w:r>
      <w:r>
        <w:rPr/>
        <w:tab/>
        <w:t>Übersetzungsalternativen nach Hossfeld/Zenger 2008, S. 857.</w:t>
      </w:r>
    </w:p>
  </w:footnote>
  <w:footnote w:id="1160">
    <w:p>
      <w:pPr>
        <w:pStyle w:val="Funote"/>
        <w:rPr/>
      </w:pPr>
      <w:r>
        <w:rPr>
          <w:rStyle w:val="Funotenzeichen"/>
        </w:rPr>
        <w:footnoteRef/>
      </w:r>
      <w:r>
        <w:rPr/>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1161">
    <w:p>
      <w:pPr>
        <w:pStyle w:val="Funote"/>
        <w:rPr/>
      </w:pPr>
      <w:r>
        <w:rPr>
          <w:rStyle w:val="Funotenzeichen"/>
        </w:rPr>
        <w:footnoteRef/>
      </w:r>
      <w:r>
        <w:rPr/>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1162">
    <w:p>
      <w:pPr>
        <w:pStyle w:val="Funote"/>
        <w:rPr/>
      </w:pPr>
      <w:r>
        <w:rPr>
          <w:rStyle w:val="Funotenzeichen"/>
        </w:rPr>
        <w:footnoteRef/>
      </w:r>
      <w:r>
        <w:rPr/>
        <w:tab/>
        <w:t>[Status: Zuverlässig]</w:t>
      </w:r>
    </w:p>
  </w:footnote>
  <w:footnote w:id="1163">
    <w:p>
      <w:pPr>
        <w:pStyle w:val="Funote"/>
        <w:rPr/>
      </w:pPr>
      <w:r>
        <w:rPr>
          <w:rStyle w:val="Funotenzeichen"/>
        </w:rPr>
        <w:footnoteRef/>
      </w:r>
      <w:r>
        <w:rPr/>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1164">
    <w:p>
      <w:pPr>
        <w:pStyle w:val="Funote"/>
        <w:rPr/>
      </w:pPr>
      <w:r>
        <w:rPr>
          <w:rStyle w:val="Funotenzeichen"/>
        </w:rPr>
        <w:footnoteRef/>
      </w:r>
      <w:r>
        <w:rPr/>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1165">
    <w:p>
      <w:pPr>
        <w:pStyle w:val="Funote"/>
        <w:rPr/>
      </w:pPr>
      <w:r>
        <w:rPr>
          <w:rStyle w:val="Funotenzeichen"/>
        </w:rPr>
        <w:footnoteRef/>
      </w:r>
      <w:r>
        <w:rPr/>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1166">
    <w:p>
      <w:pPr>
        <w:pStyle w:val="Funote"/>
        <w:rPr/>
      </w:pPr>
      <w:r>
        <w:rPr>
          <w:rStyle w:val="Funotenzeichen"/>
        </w:rPr>
        <w:footnoteRef/>
      </w:r>
      <w:hyperlink r:id="rId167">
        <w:r>
          <w:rPr>
            <w:rStyle w:val="Internetverknpfung"/>
          </w:rPr>
          <w:tab/>
          <w:t>generisches Maskulinum</w:t>
        </w:r>
      </w:hyperlink>
    </w:p>
  </w:footnote>
  <w:footnote w:id="1167">
    <w:p>
      <w:pPr>
        <w:pStyle w:val="Funote"/>
        <w:rPr/>
      </w:pPr>
      <w:r>
        <w:rPr>
          <w:rStyle w:val="Funotenzeichen"/>
        </w:rPr>
        <w:footnoteRef/>
      </w:r>
      <w:r>
        <w:rPr/>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1168">
    <w:p>
      <w:pPr>
        <w:pStyle w:val="Funote"/>
        <w:rPr/>
      </w:pPr>
      <w:r>
        <w:rPr>
          <w:rStyle w:val="Funotenzeichen"/>
        </w:rPr>
        <w:footnoteRef/>
      </w:r>
      <w:r>
        <w:rPr/>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1169">
    <w:p>
      <w:pPr>
        <w:pStyle w:val="Funote"/>
        <w:rPr/>
      </w:pPr>
      <w:r>
        <w:rPr>
          <w:rStyle w:val="Funotenzeichen"/>
        </w:rPr>
        <w:footnoteRef/>
      </w:r>
      <w:r>
        <w:rPr/>
        <w:tab/>
        <w:t>„</w:t>
      </w:r>
      <w:r>
        <w:rPr/>
        <w:t xml:space="preserve">Den Mund verschließen“ ist wohl als Geste der Verehrung zu verstehen; vgl. </w:t>
      </w:r>
      <w:hyperlink r:id="rId168">
        <w:r>
          <w:rPr>
            <w:rStyle w:val="Internetverknpfung"/>
          </w:rPr>
          <w:t>Ijob 29,9</w:t>
        </w:r>
      </w:hyperlink>
      <w:r>
        <w:rPr/>
        <w:t xml:space="preserve">; </w:t>
      </w:r>
      <w:hyperlink r:id="rId169">
        <w:r>
          <w:rPr>
            <w:rStyle w:val="Internetverknpfung"/>
          </w:rPr>
          <w:t>40,4</w:t>
        </w:r>
      </w:hyperlink>
      <w:r>
        <w:rPr/>
        <w:t xml:space="preserve"> (; </w:t>
      </w:r>
      <w:hyperlink r:id="rId170">
        <w:r>
          <w:rPr>
            <w:rStyle w:val="Internetverknpfung"/>
          </w:rPr>
          <w:t>Mic 7,16</w:t>
        </w:r>
      </w:hyperlink>
      <w:r>
        <w:rPr/>
        <w:t>).</w:t>
      </w:r>
    </w:p>
  </w:footnote>
  <w:footnote w:id="1170">
    <w:p>
      <w:pPr>
        <w:pStyle w:val="Funote"/>
        <w:rPr/>
      </w:pPr>
      <w:r>
        <w:rPr>
          <w:rStyle w:val="Funotenzeichen"/>
        </w:rPr>
        <w:footnoteRef/>
      </w:r>
      <w:r>
        <w:rPr/>
        <w:tab/>
        <w:t>Vers 15 ist hier als prophetisches Perfekt übersetzt (vgl. Childs 2001, S. 407); alternativ möglich: Futur II. Eine weitere Übersetzungmöglichkeit ist: „so sehr schreckt er [nun] … auf, denn … sie haben es gesehen … sie haben es verstanden“.</w:t>
      </w:r>
    </w:p>
  </w:footnote>
  <w:footnote w:id="1171">
    <w:p>
      <w:pPr>
        <w:pStyle w:val="Funote"/>
        <w:rPr/>
      </w:pPr>
      <w:r>
        <w:rPr>
          <w:rStyle w:val="Funotenzeichen"/>
        </w:rPr>
        <w:footnoteRef/>
      </w:r>
      <w:r>
        <w:rPr/>
        <w:tab/>
        <w:t>[Status: Zuverlässig]</w:t>
      </w:r>
    </w:p>
  </w:footnote>
  <w:footnote w:id="1172">
    <w:p>
      <w:pPr>
        <w:pStyle w:val="Funote"/>
        <w:rPr/>
      </w:pPr>
      <w:r>
        <w:rPr>
          <w:rStyle w:val="Funotenzeichen"/>
        </w:rPr>
        <w:footnoteRef/>
      </w:r>
      <w:r>
        <w:rPr/>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1173">
    <w:p>
      <w:pPr>
        <w:pStyle w:val="Funote"/>
        <w:rPr/>
      </w:pPr>
      <w:r>
        <w:rPr>
          <w:rStyle w:val="Funotenzeichen"/>
        </w:rPr>
        <w:footnoteRef/>
      </w:r>
      <w:r>
        <w:rPr/>
        <w:tab/>
        <w:t>Die Identität des »wir« in Vers 1–6 ist unklar. Zwei mögliche Deutungen sind Identifizierungen mit dem Volk Israel oder mit benachbarten Völkern. (Vgl. Berlin/Brettler 2005, S. 891.) Siehe auch die Fußnote zu »Diener« in Jes52,13.</w:t>
      </w:r>
    </w:p>
  </w:footnote>
  <w:footnote w:id="1174">
    <w:p>
      <w:pPr>
        <w:pStyle w:val="Funote"/>
        <w:rPr/>
      </w:pPr>
      <w:r>
        <w:rPr>
          <w:rStyle w:val="Funotenzeichen"/>
        </w:rPr>
        <w:footnoteRef/>
      </w:r>
      <w:r>
        <w:rPr/>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1175">
    <w:p>
      <w:pPr>
        <w:pStyle w:val="Funote"/>
        <w:rPr/>
      </w:pPr>
      <w:r>
        <w:rPr>
          <w:rStyle w:val="Funotenzeichen"/>
        </w:rPr>
        <w:footnoteRef/>
      </w:r>
      <w:r>
        <w:rPr/>
        <w:tab/>
        <w:t>»Schössling« nach Baltzer 1999; Blenkinsopp 2002; Edel 1964; Niccacci 2005; vgl. auch ZLH, S. 882 ad loc..</w:t>
      </w:r>
    </w:p>
  </w:footnote>
  <w:footnote w:id="1176">
    <w:p>
      <w:pPr>
        <w:pStyle w:val="Funote"/>
        <w:rPr/>
      </w:pPr>
      <w:r>
        <w:rPr>
          <w:rStyle w:val="Funotenzeichen"/>
        </w:rPr>
        <w:footnoteRef/>
      </w:r>
      <w:r>
        <w:rPr>
          <w:i/>
        </w:rPr>
        <w:tab/>
        <w:t>keine Gestalt und keine Schönheit</w:t>
      </w:r>
      <w:r>
        <w:rPr/>
        <w:t xml:space="preserve">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1177">
    <w:p>
      <w:pPr>
        <w:pStyle w:val="Funote"/>
        <w:rPr/>
      </w:pPr>
      <w:r>
        <w:rPr>
          <w:rStyle w:val="Funotenzeichen"/>
        </w:rPr>
        <w:footnoteRef/>
      </w:r>
      <w:hyperlink r:id="rId171">
        <w:r>
          <w:rPr>
            <w:rStyle w:val="Internetverknpfung"/>
          </w:rPr>
          <w:tab/>
          <w:t>Generisches Maskulinum</w:t>
        </w:r>
      </w:hyperlink>
    </w:p>
  </w:footnote>
  <w:footnote w:id="1178">
    <w:p>
      <w:pPr>
        <w:pStyle w:val="Funote"/>
        <w:rPr/>
      </w:pPr>
      <w:r>
        <w:rPr>
          <w:rStyle w:val="Funotenzeichen"/>
        </w:rPr>
        <w:footnoteRef/>
      </w:r>
      <w:r>
        <w:rPr/>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1179">
    <w:p>
      <w:pPr>
        <w:pStyle w:val="Funote"/>
        <w:rPr/>
      </w:pPr>
      <w:r>
        <w:rPr>
          <w:rStyle w:val="Funotenzeichen"/>
        </w:rPr>
        <w:footnoteRef/>
      </w:r>
      <w:r>
        <w:rPr/>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1180">
    <w:p>
      <w:pPr>
        <w:pStyle w:val="Funote"/>
        <w:rPr/>
      </w:pPr>
      <w:r>
        <w:rPr>
          <w:rStyle w:val="Funotenzeichen"/>
        </w:rPr>
        <w:footnoteRef/>
      </w:r>
      <w:r>
        <w:rPr/>
        <w:tab/>
        <w:t>Textkritik: eine Handschrift: »und wir haben ihn ausgeplündert«</w:t>
      </w:r>
    </w:p>
  </w:footnote>
  <w:footnote w:id="1181">
    <w:p>
      <w:pPr>
        <w:pStyle w:val="Funote"/>
        <w:rPr/>
      </w:pPr>
      <w:r>
        <w:rPr>
          <w:rStyle w:val="Funotenzeichen"/>
        </w:rPr>
        <w:footnoteRef/>
      </w:r>
      <w:r>
        <w:rPr/>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1182">
    <w:p>
      <w:pPr>
        <w:pStyle w:val="Funote"/>
        <w:rPr/>
      </w:pPr>
      <w:r>
        <w:rPr>
          <w:rStyle w:val="Funotenzeichen"/>
        </w:rPr>
        <w:footnoteRef/>
      </w:r>
      <w:r>
        <w:rPr/>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1183">
    <w:p>
      <w:pPr>
        <w:pStyle w:val="Funote"/>
        <w:rPr/>
      </w:pPr>
      <w:r>
        <w:rPr>
          <w:rStyle w:val="Funotenzeichen"/>
        </w:rPr>
        <w:footnoteRef/>
      </w:r>
      <w:r>
        <w:rPr/>
        <w:tab/>
        <w:t>»verletzt« nach Joachimsen 2011; Watts 1987; »zerrüttet« nach ZLH, S. 172.</w:t>
      </w:r>
    </w:p>
  </w:footnote>
  <w:footnote w:id="1184">
    <w:p>
      <w:pPr>
        <w:pStyle w:val="Funote"/>
        <w:rPr/>
      </w:pPr>
      <w:r>
        <w:rPr>
          <w:rStyle w:val="Funotenzeichen"/>
        </w:rPr>
        <w:footnoteRef/>
      </w:r>
      <w:r>
        <w:rPr/>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1185">
    <w:p>
      <w:pPr>
        <w:pStyle w:val="Funote"/>
        <w:rPr/>
      </w:pPr>
      <w:r>
        <w:rPr>
          <w:rStyle w:val="Funotenzeichen"/>
        </w:rPr>
        <w:footnoteRef/>
      </w:r>
      <w:r>
        <w:rPr/>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1186">
    <w:p>
      <w:pPr>
        <w:pStyle w:val="Funote"/>
        <w:rPr/>
      </w:pPr>
      <w:r>
        <w:rPr>
          <w:rStyle w:val="Funotenzeichen"/>
        </w:rPr>
        <w:footnoteRef/>
      </w:r>
      <w:r>
        <w:rPr/>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1187">
    <w:p>
      <w:pPr>
        <w:pStyle w:val="Funote"/>
        <w:rPr/>
      </w:pPr>
      <w:r>
        <w:rPr>
          <w:rStyle w:val="Funotenzeichen"/>
        </w:rPr>
        <w:footnoteRef/>
      </w:r>
      <w:r>
        <w:rPr/>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1188">
    <w:p>
      <w:pPr>
        <w:pStyle w:val="Funote"/>
        <w:rPr/>
      </w:pPr>
      <w:r>
        <w:rPr>
          <w:rStyle w:val="Funotenzeichen"/>
        </w:rPr>
        <w:footnoteRef/>
      </w:r>
      <w:r>
        <w:rPr/>
        <w:tab/>
        <w:t>Vgl. Vers 12.</w:t>
      </w:r>
    </w:p>
  </w:footnote>
  <w:footnote w:id="1189">
    <w:p>
      <w:pPr>
        <w:pStyle w:val="Funote"/>
        <w:rPr/>
      </w:pPr>
      <w:r>
        <w:rPr>
          <w:rStyle w:val="Funotenzeichen"/>
        </w:rPr>
        <w:footnoteRef/>
      </w:r>
      <w:r>
        <w:rPr/>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1190">
    <w:p>
      <w:pPr>
        <w:pStyle w:val="Funote"/>
        <w:rPr/>
      </w:pPr>
      <w:r>
        <w:rPr>
          <w:rStyle w:val="Funotenzeichen"/>
        </w:rPr>
        <w:footnoteRef/>
      </w:r>
      <w:r>
        <w:rPr/>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1191">
    <w:p>
      <w:pPr>
        <w:pStyle w:val="Funote"/>
        <w:rPr/>
      </w:pPr>
      <w:r>
        <w:rPr>
          <w:rStyle w:val="Funotenzeichen"/>
        </w:rPr>
        <w:footnoteRef/>
      </w:r>
      <w:r>
        <w:rPr/>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1192">
    <w:p>
      <w:pPr>
        <w:pStyle w:val="Funote"/>
        <w:rPr/>
      </w:pPr>
      <w:r>
        <w:rPr>
          <w:rStyle w:val="Funotenzeichen"/>
        </w:rPr>
        <w:footnoteRef/>
      </w:r>
      <w:r>
        <w:rPr/>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1193">
    <w:p>
      <w:pPr>
        <w:pStyle w:val="Funote"/>
        <w:rPr/>
      </w:pPr>
      <w:r>
        <w:rPr>
          <w:rStyle w:val="Funotenzeichen"/>
        </w:rPr>
        <w:footnoteRef/>
      </w:r>
      <w:r>
        <w:rPr/>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194">
    <w:p>
      <w:pPr>
        <w:pStyle w:val="Funote"/>
        <w:rPr/>
      </w:pPr>
      <w:r>
        <w:rPr>
          <w:rStyle w:val="Funotenzeichen"/>
        </w:rPr>
        <w:footnoteRef/>
      </w:r>
      <w:r>
        <w:rPr/>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195">
    <w:p>
      <w:pPr>
        <w:pStyle w:val="Funote"/>
        <w:rPr/>
      </w:pPr>
      <w:r>
        <w:rPr>
          <w:rStyle w:val="Funotenzeichen"/>
        </w:rPr>
        <w:footnoteRef/>
      </w:r>
      <w:r>
        <w:rPr/>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196">
    <w:p>
      <w:pPr>
        <w:pStyle w:val="Funote"/>
        <w:rPr/>
      </w:pPr>
      <w:r>
        <w:rPr>
          <w:rStyle w:val="Funotenzeichen"/>
        </w:rPr>
        <w:footnoteRef/>
      </w:r>
      <w:r>
        <w:rPr/>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197">
    <w:p>
      <w:pPr>
        <w:pStyle w:val="Funote"/>
        <w:rPr/>
      </w:pPr>
      <w:r>
        <w:rPr>
          <w:rStyle w:val="Funotenzeichen"/>
        </w:rPr>
        <w:footnoteRef/>
      </w:r>
      <w:r>
        <w:rPr/>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198">
    <w:p>
      <w:pPr>
        <w:pStyle w:val="Funote"/>
        <w:rPr/>
      </w:pPr>
      <w:r>
        <w:rPr>
          <w:rStyle w:val="Funotenzeichen"/>
        </w:rPr>
        <w:footnoteRef/>
      </w:r>
      <w:r>
        <w:rPr/>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199">
    <w:p>
      <w:pPr>
        <w:pStyle w:val="Funote"/>
        <w:rPr/>
      </w:pPr>
      <w:r>
        <w:rPr>
          <w:rStyle w:val="Funotenzeichen"/>
        </w:rPr>
        <w:footnoteRef/>
      </w:r>
      <w:r>
        <w:rPr/>
        <w:tab/>
        <w:t xml:space="preserve">Zu </w:t>
      </w:r>
      <w:r>
        <w:rPr>
          <w:rtl w:val="true"/>
          <w:lang w:bidi="he-IL"/>
        </w:rPr>
        <w:t>על</w:t>
      </w:r>
      <w:r>
        <w:rPr/>
        <w:t xml:space="preserve"> </w:t>
      </w:r>
      <w:r>
        <w:rPr/>
        <w:t>mit dem Sinn »obwohl« vgl. noch Ijob 16,17 (North 1964, S. 231); Esra 10,2 (Paul 2012, S. 409); so fast alle Üss.</w:t>
      </w:r>
    </w:p>
  </w:footnote>
  <w:footnote w:id="1200">
    <w:p>
      <w:pPr>
        <w:pStyle w:val="Funote"/>
        <w:rPr/>
      </w:pPr>
      <w:r>
        <w:rPr>
          <w:rStyle w:val="Funotenzeichen"/>
        </w:rPr>
        <w:footnoteRef/>
      </w:r>
      <w:r>
        <w:rPr/>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201">
    <w:p>
      <w:pPr>
        <w:pStyle w:val="Funote"/>
        <w:rPr/>
      </w:pPr>
      <w:r>
        <w:rPr>
          <w:rStyle w:val="Funotenzeichen"/>
        </w:rPr>
        <w:footnoteRef/>
      </w:r>
      <w:r>
        <w:rPr/>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202">
    <w:p>
      <w:pPr>
        <w:pStyle w:val="Funote"/>
        <w:rPr/>
      </w:pPr>
      <w:r>
        <w:rPr>
          <w:rStyle w:val="Funotenzeichen"/>
        </w:rPr>
        <w:footnoteRef/>
      </w:r>
      <w:r>
        <w:rPr/>
        <w:tab/>
        <w:t>Die meisten Exegeten ergänzen nach 1QJesab, 4QJesd und LXX das Objekt »Licht«, einige aber nicht (z.B. Childs 2001, 409; Schmidt 2013, 227; Seeligmann 2004).</w:t>
      </w:r>
    </w:p>
  </w:footnote>
  <w:footnote w:id="1203">
    <w:p>
      <w:pPr>
        <w:pStyle w:val="Funote"/>
        <w:rPr/>
      </w:pPr>
      <w:r>
        <w:rPr>
          <w:rStyle w:val="Funotenzeichen"/>
        </w:rPr>
        <w:footnoteRef/>
      </w:r>
      <w:r>
        <w:rPr/>
        <w:tab/>
        <w:t>Oder: „Er wird satt. In seiner Erkenntnis macht er gerecht, der Gerechte, mein Getreuer, für die Vielen.“</w:t>
        <w:br/>
        <w:t xml:space="preserve">Zu </w:t>
      </w:r>
      <w:r>
        <w:rPr>
          <w:rtl w:val="true"/>
          <w:lang w:bidi="he-IL"/>
        </w:rPr>
        <w:t>עַבְדִּי</w:t>
      </w:r>
      <w:r>
        <w:rPr/>
        <w:t xml:space="preserve"> </w:t>
      </w:r>
      <w:r>
        <w:rPr/>
        <w:t xml:space="preserve">(mein Getreuer/Diener/Knecht) siehe die Fußnote in </w:t>
      </w:r>
      <w:r>
        <w:fldChar w:fldCharType="begin"/>
      </w:r>
      <w:r>
        <w:rPr>
          <w:rStyle w:val="Internetverknpfung"/>
        </w:rPr>
        <w:instrText> HYPERLINK "../../../../../../../../../wiki/Jesaja_52" \l "s13"</w:instrText>
      </w:r>
      <w:r>
        <w:rPr>
          <w:rStyle w:val="Internetverknpfung"/>
        </w:rPr>
        <w:fldChar w:fldCharType="separate"/>
      </w:r>
      <w:r>
        <w:rPr>
          <w:rStyle w:val="Internetverknpfung"/>
        </w:rPr>
        <w:t>Jes52,13</w:t>
      </w:r>
      <w:r>
        <w:rPr>
          <w:rStyle w:val="Internetverknpfung"/>
        </w:rPr>
        <w:fldChar w:fldCharType="end"/>
      </w:r>
      <w:r>
        <w:rPr/>
        <w:t>.</w:t>
      </w:r>
    </w:p>
  </w:footnote>
  <w:footnote w:id="1204">
    <w:p>
      <w:pPr>
        <w:pStyle w:val="Funote"/>
        <w:rPr/>
      </w:pPr>
      <w:r>
        <w:rPr>
          <w:rStyle w:val="Funotenzeichen"/>
        </w:rPr>
        <w:footnoteRef/>
      </w:r>
      <w:r>
        <w:rPr/>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205">
    <w:p>
      <w:pPr>
        <w:pStyle w:val="Funote"/>
        <w:rPr/>
      </w:pPr>
      <w:r>
        <w:rPr>
          <w:rStyle w:val="Funotenzeichen"/>
        </w:rPr>
        <w:footnoteRef/>
      </w:r>
      <w:r>
        <w:rPr/>
        <w:tab/>
        <w:t>[Beute] - double-duty-Objekt (-&gt;Brachylogie) aus Sticho b; vgl. z.B. Dillmann 1898, S. 457</w:t>
      </w:r>
    </w:p>
  </w:footnote>
  <w:footnote w:id="1206">
    <w:p>
      <w:pPr>
        <w:pStyle w:val="Funote"/>
        <w:rPr/>
      </w:pPr>
      <w:r>
        <w:rPr>
          <w:rStyle w:val="Funotenzeichen"/>
        </w:rPr>
        <w:footnoteRef/>
      </w:r>
      <w:r>
        <w:rPr/>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207">
    <w:p>
      <w:pPr>
        <w:pStyle w:val="Funote"/>
        <w:rPr/>
      </w:pPr>
      <w:r>
        <w:rPr>
          <w:rStyle w:val="Funotenzeichen"/>
        </w:rPr>
        <w:footnoteRef/>
      </w:r>
      <w:r>
        <w:rPr/>
        <w:tab/>
        <w:t>»Leben ausgießen« ist ein hebräisches (auch: akkadisches) Idiom für »sterben« (vgl. Ps 141,8; Ges18, S. 1012; hier ist es zusätzlich erweitert durch »in den Tod«; sinngemäß also einfach: »Dafür, dass er den Tod auf sich genommen hat«</w:t>
      </w:r>
    </w:p>
  </w:footnote>
  <w:footnote w:id="1208">
    <w:p>
      <w:pPr>
        <w:pStyle w:val="Funote"/>
        <w:rPr/>
      </w:pPr>
      <w:r>
        <w:rPr>
          <w:rStyle w:val="Funotenzeichen"/>
        </w:rPr>
        <w:footnoteRef/>
      </w:r>
      <w:r>
        <w:rPr/>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209">
    <w:p>
      <w:pPr>
        <w:pStyle w:val="Funote"/>
        <w:rPr/>
      </w:pPr>
      <w:r>
        <w:rPr>
          <w:rStyle w:val="Funotenzeichen"/>
        </w:rPr>
        <w:footnoteRef/>
      </w:r>
      <w:r>
        <w:rPr/>
        <w:tab/>
        <w:t>[Status: Zuverlässig]</w:t>
      </w:r>
    </w:p>
  </w:footnote>
  <w:footnote w:id="1210">
    <w:p>
      <w:pPr>
        <w:pStyle w:val="Funote"/>
        <w:rPr/>
      </w:pPr>
      <w:r>
        <w:rPr>
          <w:rStyle w:val="Funotenzeichen"/>
        </w:rPr>
        <w:footnoteRef/>
      </w:r>
      <w:r>
        <w:rPr>
          <w:i/>
        </w:rPr>
        <w:tab/>
        <w:t>Jona</w:t>
      </w:r>
      <w:r>
        <w:rPr/>
        <w:t xml:space="preserve"> wird sonst nur in </w:t>
      </w:r>
      <w:hyperlink r:id="rId172">
        <w:r>
          <w:rPr>
            <w:rStyle w:val="Internetverknpfung"/>
          </w:rPr>
          <w:t>2. Könige 14,25</w:t>
        </w:r>
      </w:hyperlink>
      <w:r>
        <w:rPr/>
        <w:t xml:space="preserve"> erwähnt und dort als Prophet bezeichnet. Er lebte im 8. Jahrhundert v. Chr. (Price 1978, 50). Die Sprache des Jonabuchs deutet darauf hin, dass es wesentlich später (6.–4. Jh. v. Chr.) geschrieben wurde (Golka </w:t>
      </w:r>
      <w:r>
        <w:rPr>
          <w:position w:val="7"/>
          <w:sz w:val="16"/>
        </w:rPr>
        <w:t>2</w:t>
      </w:r>
      <w:r>
        <w:rPr/>
        <w:t xml:space="preserve">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w:t>
      </w:r>
      <w:r>
        <w:rPr>
          <w:position w:val="7"/>
          <w:sz w:val="16"/>
        </w:rPr>
        <w:t>2</w:t>
      </w:r>
      <w:r>
        <w:rPr/>
        <w:t>2007, 48)</w:t>
        <w:br/>
      </w:r>
      <w:r>
        <w:rPr>
          <w:i/>
        </w:rPr>
        <w:t>Und das Wort Gottes kam</w:t>
      </w:r>
      <w:r>
        <w:rPr/>
        <w:t xml:space="preserve"> kann daher im Sinne von „Es war einmal …“ verstanden werden (Golka </w:t>
      </w:r>
      <w:r>
        <w:rPr>
          <w:position w:val="7"/>
          <w:sz w:val="16"/>
        </w:rPr>
        <w:t>2</w:t>
      </w:r>
      <w:r>
        <w:rPr/>
        <w:t>2007, 48). Eine noch bessere deutsche Übertragung wäre vielleicht: „Eines Tages...“ oder „Einmal...“ (Price 1978, 48). So erklärt sich der Anfang mit „und“.</w:t>
      </w:r>
    </w:p>
  </w:footnote>
  <w:footnote w:id="1211">
    <w:p>
      <w:pPr>
        <w:pStyle w:val="Funote"/>
        <w:rPr/>
      </w:pPr>
      <w:r>
        <w:rPr>
          <w:rStyle w:val="Funotenzeichen"/>
        </w:rPr>
        <w:footnoteRef/>
      </w:r>
      <w:r>
        <w:rPr>
          <w:i/>
        </w:rPr>
        <w:tab/>
        <w:t>rufe [die Anklage] gegen sie</w:t>
      </w:r>
      <w:r>
        <w:rPr/>
        <w:t xml:space="preserve"> Die Formulierung „rufen gegen“ (</w:t>
      </w:r>
      <w:r>
        <w:rPr>
          <w:rtl w:val="true"/>
          <w:lang w:bidi="he-IL"/>
        </w:rPr>
        <w:t>קרא על</w:t>
      </w:r>
      <w:r>
        <w:rPr/>
        <w:t>) wird an anderen Stellen der hebräischen Bibel zur Bezeichnung von Anklagen (</w:t>
      </w:r>
      <w:hyperlink r:id="rId173">
        <w:r>
          <w:rPr>
            <w:rStyle w:val="Internetverknpfung"/>
          </w:rPr>
          <w:t>Dtn 15,9</w:t>
        </w:r>
      </w:hyperlink>
      <w:r>
        <w:rPr/>
        <w:t xml:space="preserve">, </w:t>
      </w:r>
      <w:hyperlink r:id="rId174">
        <w:r>
          <w:rPr>
            <w:rStyle w:val="Internetverknpfung"/>
          </w:rPr>
          <w:t>Dtn 24,15</w:t>
        </w:r>
      </w:hyperlink>
      <w:r>
        <w:rPr/>
        <w:t xml:space="preserve">, </w:t>
      </w:r>
      <w:hyperlink r:id="rId175">
        <w:r>
          <w:rPr>
            <w:rStyle w:val="Internetverknpfung"/>
          </w:rPr>
          <w:t>1 Kön 13,2</w:t>
        </w:r>
      </w:hyperlink>
      <w:r>
        <w:rPr/>
        <w:t>) und Angriffsrufen (</w:t>
      </w:r>
      <w:r>
        <w:fldChar w:fldCharType="begin"/>
      </w:r>
      <w:r>
        <w:rPr>
          <w:rStyle w:val="Internetverknpfung"/>
        </w:rPr>
        <w:instrText> HYPERLINK "../../../../../../../../../wiki/Klagelieder_1" \l "S15"</w:instrText>
      </w:r>
      <w:r>
        <w:rPr>
          <w:rStyle w:val="Internetverknpfung"/>
        </w:rPr>
        <w:fldChar w:fldCharType="separate"/>
      </w:r>
      <w:r>
        <w:rPr>
          <w:rStyle w:val="Internetverknpfung"/>
        </w:rPr>
        <w:t>Klgl 1:15</w:t>
      </w:r>
      <w:r>
        <w:rPr>
          <w:rStyle w:val="Internetverknpfung"/>
        </w:rPr>
        <w:fldChar w:fldCharType="end"/>
      </w:r>
      <w:r>
        <w:rPr/>
        <w:t xml:space="preserve">, </w:t>
      </w:r>
      <w:hyperlink r:id="rId176">
        <w:r>
          <w:rPr>
            <w:rStyle w:val="Internetverknpfung"/>
          </w:rPr>
          <w:t>Ez 38,21</w:t>
        </w:r>
      </w:hyperlink>
      <w:r>
        <w:rPr/>
        <w:t>) verwendet.</w:t>
      </w:r>
    </w:p>
  </w:footnote>
  <w:footnote w:id="1212">
    <w:p>
      <w:pPr>
        <w:pStyle w:val="Funote"/>
        <w:rPr/>
      </w:pPr>
      <w:r>
        <w:rPr>
          <w:rStyle w:val="Funotenzeichen"/>
        </w:rPr>
        <w:footnoteRef/>
      </w:r>
      <w:r>
        <w:rPr>
          <w:i/>
        </w:rPr>
        <w:tab/>
        <w:t>ihre</w:t>
      </w:r>
      <w:r>
        <w:rPr/>
        <w:t xml:space="preserve"> bezieht sich im Hebräischen nicht auf die Stadt, sondern auf ein nicht genanntes Objekt in der dritten Person Plural, wahrscheinlich ihre Bewohner (Hebr. </w:t>
      </w:r>
      <w:r>
        <w:rPr>
          <w:rtl w:val="true"/>
          <w:lang w:bidi="he-IL"/>
        </w:rPr>
        <w:t>יֹשְׁבִים</w:t>
      </w:r>
      <w:r>
        <w:rPr/>
        <w:t xml:space="preserve">; </w:t>
      </w:r>
      <w:hyperlink r:id="rId177">
        <w:r>
          <w:rPr>
            <w:rStyle w:val="Internetverknpfung"/>
          </w:rPr>
          <w:t>Constructio ad sensum</w:t>
        </w:r>
      </w:hyperlink>
      <w:r>
        <w:rPr/>
        <w:t>). Am Sinn ändert das jedoch nichts.</w:t>
      </w:r>
    </w:p>
  </w:footnote>
  <w:footnote w:id="1213">
    <w:p>
      <w:pPr>
        <w:pStyle w:val="Funote"/>
        <w:rPr/>
      </w:pPr>
      <w:r>
        <w:rPr>
          <w:rStyle w:val="Funotenzeichen"/>
        </w:rPr>
        <w:footnoteRef/>
      </w:r>
      <w:r>
        <w:rPr>
          <w:i/>
        </w:rPr>
        <w:tab/>
        <w:t>Tarschisch</w:t>
      </w:r>
      <w:r>
        <w:rPr/>
        <w:t xml:space="preserve"> war vermutlich ein Ort an der spanischen Küste, also in entgegengesetzter Richtung und am anderen Ende des Mittelmeers (vgl. Price 1978, 52).</w:t>
      </w:r>
    </w:p>
  </w:footnote>
  <w:footnote w:id="1214">
    <w:p>
      <w:pPr>
        <w:pStyle w:val="Funote"/>
        <w:rPr/>
      </w:pPr>
      <w:r>
        <w:rPr>
          <w:rStyle w:val="Funotenzeichen"/>
        </w:rPr>
        <w:footnoteRef/>
      </w:r>
      <w:r>
        <w:rPr>
          <w:i/>
        </w:rPr>
        <w:tab/>
        <w:t>traf auf</w:t>
      </w:r>
      <w:r>
        <w:rPr/>
        <w:t xml:space="preserve"> Oder „fand“. Gemeint ist jedoch nicht das Ergebnis einer Suche, sondern ein Finden im Sinne des zufälligen Antreffens (Price 1978, 52). </w:t>
      </w:r>
    </w:p>
  </w:footnote>
  <w:footnote w:id="1215">
    <w:p>
      <w:pPr>
        <w:pStyle w:val="Funote"/>
        <w:rPr/>
      </w:pPr>
      <w:r>
        <w:rPr>
          <w:rStyle w:val="Funotenzeichen"/>
        </w:rPr>
        <w:footnoteRef/>
      </w:r>
      <w:r>
        <w:rPr>
          <w:i/>
        </w:rPr>
        <w:tab/>
        <w:t>das im Begriff war ... zu fahren</w:t>
      </w:r>
      <w:r>
        <w:rPr/>
        <w:t xml:space="preserve"> ist die freie Wiedergabe eines Partizips, das etwa so zu verstehen ist. </w:t>
      </w:r>
    </w:p>
  </w:footnote>
  <w:footnote w:id="1216">
    <w:p>
      <w:pPr>
        <w:pStyle w:val="Funote"/>
        <w:rPr/>
      </w:pPr>
      <w:r>
        <w:rPr>
          <w:rStyle w:val="Funotenzeichen"/>
        </w:rPr>
        <w:footnoteRef/>
      </w:r>
      <w:r>
        <w:rPr>
          <w:i/>
        </w:rPr>
        <w:tab/>
        <w:t>mit ihnen</w:t>
      </w:r>
      <w:r>
        <w:rPr/>
        <w:t xml:space="preserve"> D.h. mit der Besatzung. Aus dieser Wendung lässt sich vielleicht schließen, dass Jona Teil der Besatzung wurde (Price 1978, 52). </w:t>
      </w:r>
    </w:p>
  </w:footnote>
  <w:footnote w:id="1217">
    <w:p>
      <w:pPr>
        <w:pStyle w:val="Funote"/>
        <w:rPr/>
      </w:pPr>
      <w:r>
        <w:rPr>
          <w:rStyle w:val="Funotenzeichen"/>
        </w:rPr>
        <w:footnoteRef/>
      </w:r>
      <w:r>
        <w:rPr/>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218">
    <w:p>
      <w:pPr>
        <w:pStyle w:val="Funote"/>
        <w:rPr/>
      </w:pPr>
      <w:r>
        <w:rPr>
          <w:rStyle w:val="Funotenzeichen"/>
        </w:rPr>
        <w:footnoteRef/>
      </w:r>
      <w:r>
        <w:rPr>
          <w:i/>
        </w:rPr>
        <w:tab/>
        <w:t>ließ ... los</w:t>
      </w:r>
      <w:r>
        <w:rPr/>
        <w:t xml:space="preserve"> W. etwa „schleuderte“. </w:t>
      </w:r>
    </w:p>
  </w:footnote>
  <w:footnote w:id="1219">
    <w:p>
      <w:pPr>
        <w:pStyle w:val="Funote"/>
        <w:rPr/>
      </w:pPr>
      <w:r>
        <w:rPr>
          <w:rStyle w:val="Funotenzeichen"/>
        </w:rPr>
        <w:footnoteRef/>
      </w:r>
      <w:r>
        <w:rPr/>
        <w:tab/>
        <w:t>Im Hebräischen ist hier ein Anklang oder Wortspiel, der sich auf Deutsch am ehesten mit einem Reim wiedergeben ließe, z.B.: „so kam das Boot in große Not“</w:t>
      </w:r>
    </w:p>
  </w:footnote>
  <w:footnote w:id="1220">
    <w:p>
      <w:pPr>
        <w:pStyle w:val="Funote"/>
        <w:rPr/>
      </w:pPr>
      <w:r>
        <w:rPr>
          <w:rStyle w:val="Funotenzeichen"/>
        </w:rPr>
        <w:footnoteRef/>
      </w:r>
      <w:r>
        <w:rPr>
          <w:i/>
        </w:rPr>
        <w:tab/>
        <w:t>Gegenstände (Ladung, Ausrüstung)</w:t>
      </w:r>
      <w:r>
        <w:rPr/>
        <w:t xml:space="preserve"> Viele Übersetzungen entscheiden sich für „Ladung“, aber das zugrunde liegende hebräische Wort bezeichnet recht allgemein </w:t>
      </w:r>
      <w:r>
        <w:rPr>
          <w:i/>
        </w:rPr>
        <w:t>Gegenstände</w:t>
      </w:r>
      <w:r>
        <w:rPr/>
        <w:t xml:space="preserve">, bei denen es sich hier sowohl (aber nicht nur) um die Ladung als auch um die Ausrüstung handeln könnte (vgl. Price 1978, 56. </w:t>
      </w:r>
    </w:p>
  </w:footnote>
  <w:footnote w:id="1221">
    <w:p>
      <w:pPr>
        <w:pStyle w:val="Funote"/>
        <w:rPr/>
      </w:pPr>
      <w:r>
        <w:rPr>
          <w:rStyle w:val="Funotenzeichen"/>
        </w:rPr>
        <w:footnoteRef/>
      </w:r>
      <w:r>
        <w:rPr/>
        <w:tab/>
        <w:t>um [das Schiff] {von ihnen} leichter zu machen W. „um [sich/das Schiff] von ihnen (d.h. ihrer) zu erleichtern“. Einige Übersetzungen: „um die Gefahr zu verringern“ (z.B. GNB).</w:t>
      </w:r>
    </w:p>
  </w:footnote>
  <w:footnote w:id="1222">
    <w:p>
      <w:pPr>
        <w:pStyle w:val="Funote"/>
        <w:rPr/>
      </w:pPr>
      <w:r>
        <w:rPr>
          <w:rStyle w:val="Funotenzeichen"/>
        </w:rPr>
        <w:footnoteRef/>
      </w:r>
      <w:r>
        <w:rPr/>
        <w:tab/>
        <w:t>in den Rumpf (unter Deck) Das Wort bezeichnet quasi die hinterste Ecke oder den untersten Raum (so EÜ, ELB) des Schiffs, wo Jona seine Ruhe hatte. Wie groß das Schiff war, ist schwer abzuschätzen. GNB: „nach unten“.</w:t>
      </w:r>
    </w:p>
  </w:footnote>
  <w:footnote w:id="1223">
    <w:p>
      <w:pPr>
        <w:pStyle w:val="Funote"/>
        <w:rPr/>
      </w:pPr>
      <w:r>
        <w:rPr>
          <w:rStyle w:val="Funotenzeichen"/>
        </w:rPr>
        <w:footnoteRef/>
      </w:r>
      <w:r>
        <w:rPr>
          <w:i/>
        </w:rPr>
        <w:tab/>
        <w:t>der Oberste der Seeleute</w:t>
      </w:r>
      <w:r>
        <w:rPr/>
        <w:t xml:space="preserve"> D.h. wohl der Kapitän. </w:t>
      </w:r>
    </w:p>
  </w:footnote>
  <w:footnote w:id="1224">
    <w:p>
      <w:pPr>
        <w:pStyle w:val="Funote"/>
        <w:rPr/>
      </w:pPr>
      <w:r>
        <w:rPr>
          <w:rStyle w:val="Funotenzeichen"/>
        </w:rPr>
        <w:footnoteRef/>
      </w:r>
      <w:r>
        <w:rPr>
          <w:i/>
        </w:rPr>
        <w:tab/>
        <w:t>kam ... in seine Nähe</w:t>
      </w:r>
      <w:r>
        <w:rPr/>
        <w:t xml:space="preserve"> Das Verb heißt eigentlich „näherkommen“ oder „zu jmdm. kommen“. Hier ist es offenbar so zu verstehen, dass der Mann zufällig auf Jona stieß (Price 1978, 58). </w:t>
      </w:r>
    </w:p>
  </w:footnote>
  <w:footnote w:id="1225">
    <w:p>
      <w:pPr>
        <w:pStyle w:val="Funote"/>
        <w:rPr/>
      </w:pPr>
      <w:r>
        <w:rPr>
          <w:rStyle w:val="Funotenzeichen"/>
        </w:rPr>
        <w:footnoteRef/>
      </w:r>
      <w:r>
        <w:rPr>
          <w:i/>
        </w:rPr>
        <w:tab/>
        <w:t>Warum schläfst du?</w:t>
      </w:r>
      <w:r>
        <w:rPr/>
        <w:t xml:space="preserve"> Wörtlich: </w:t>
      </w:r>
      <w:r>
        <w:rPr>
          <w:i/>
        </w:rPr>
        <w:t>Was [ist mit] dir, (fest) Schlafender?</w:t>
      </w:r>
      <w:r>
        <w:rPr/>
        <w:t xml:space="preserve"> Die Frage hat einen zurechtweisenden Tonfall (Preice 1978, 58). </w:t>
      </w:r>
    </w:p>
  </w:footnote>
  <w:footnote w:id="1226">
    <w:p>
      <w:pPr>
        <w:pStyle w:val="Funote"/>
        <w:rPr/>
      </w:pPr>
      <w:r>
        <w:rPr>
          <w:rStyle w:val="Funotenzeichen"/>
        </w:rPr>
        <w:footnoteRef/>
      </w:r>
      <w:r>
        <w:rPr>
          <w:i/>
        </w:rPr>
        <w:tab/>
        <w:t>zueinander</w:t>
      </w:r>
      <w:r>
        <w:rPr/>
        <w:t xml:space="preserve"> W. „einer/ein jeder zu seinem Nachbarn/Nächsten“.</w:t>
      </w:r>
    </w:p>
  </w:footnote>
  <w:footnote w:id="1227">
    <w:p>
      <w:pPr>
        <w:pStyle w:val="Funote"/>
        <w:rPr/>
      </w:pPr>
      <w:r>
        <w:rPr>
          <w:rStyle w:val="Funotenzeichen"/>
        </w:rPr>
        <w:footnoteRef/>
      </w:r>
      <w:r>
        <w:rPr>
          <w:i/>
        </w:rPr>
        <w:tab/>
        <w:t>wie es kommt, dass</w:t>
      </w:r>
      <w:r>
        <w:rPr/>
        <w:t xml:space="preserve"> (V. 7 und 8) bzw. </w:t>
      </w:r>
      <w:r>
        <w:rPr>
          <w:i/>
        </w:rPr>
        <w:t>wer daran schuld ist, dass</w:t>
      </w:r>
      <w:r>
        <w:rPr/>
        <w:t xml:space="preserve"> (Alternative in V. 7) gibt eine Anhäufung von Partikeln wieder, die sich nicht wörtlich übersetzen lässt. Sie fragt im Grunde nach der Verantwortlichkeit (vgl. GK §150k). </w:t>
      </w:r>
    </w:p>
  </w:footnote>
  <w:footnote w:id="1228">
    <w:p>
      <w:pPr>
        <w:pStyle w:val="Funote"/>
        <w:rPr/>
      </w:pPr>
      <w:r>
        <w:rPr>
          <w:rStyle w:val="Funotenzeichen"/>
        </w:rPr>
        <w:footnoteRef/>
      </w:r>
      <w:r>
        <w:rPr>
          <w:i/>
        </w:rPr>
        <w:tab/>
        <w:t>Was [ist] dein Beruf</w:t>
      </w:r>
      <w:r>
        <w:rPr/>
        <w:t xml:space="preserve"> oder vielleicht „Was ist deine Mission“ im Sinne von „Was machst du eigentlich auf diesem Schiff?“ (Price 1978, 61). </w:t>
      </w:r>
    </w:p>
  </w:footnote>
  <w:footnote w:id="1229">
    <w:p>
      <w:pPr>
        <w:pStyle w:val="Funote"/>
        <w:rPr/>
      </w:pPr>
      <w:r>
        <w:rPr>
          <w:rStyle w:val="Funotenzeichen"/>
        </w:rPr>
        <w:footnoteRef/>
      </w:r>
      <w:r>
        <w:rPr/>
        <w:tab/>
        <w:t>„</w:t>
      </w:r>
      <w:r>
        <w:rPr/>
        <w:t xml:space="preserve">Himmelsgott“ ist in der persischen Verwaltungssprache die amtliche Bezeichung für den Gott der Juden (Golka </w:t>
      </w:r>
      <w:r>
        <w:rPr>
          <w:position w:val="7"/>
          <w:sz w:val="16"/>
        </w:rPr>
        <w:t>2</w:t>
      </w:r>
      <w:r>
        <w:rPr/>
        <w:t>2007, 56).</w:t>
      </w:r>
    </w:p>
  </w:footnote>
  <w:footnote w:id="1230">
    <w:p>
      <w:pPr>
        <w:pStyle w:val="Funote"/>
        <w:rPr/>
      </w:pPr>
      <w:r>
        <w:rPr>
          <w:rStyle w:val="Funotenzeichen"/>
        </w:rPr>
        <w:footnoteRef/>
      </w:r>
      <w:r>
        <w:rPr/>
        <w:tab/>
        <w:t xml:space="preserve">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 </w:t>
      </w:r>
    </w:p>
  </w:footnote>
  <w:footnote w:id="1231">
    <w:p>
      <w:pPr>
        <w:pStyle w:val="Funote"/>
        <w:rPr/>
      </w:pPr>
      <w:r>
        <w:rPr>
          <w:rStyle w:val="Funotenzeichen"/>
        </w:rPr>
        <w:footnoteRef/>
      </w:r>
      <w:r>
        <w:rPr/>
        <w:tab/>
        <w:t>vor JHWH Die Betonung (Kursivschreibung) ist auf die hebräische Satzstellung zurückzuführen. Dieser Zusammenhang ist also der Grund für das Erschrecken der Seeleute.</w:t>
      </w:r>
    </w:p>
  </w:footnote>
  <w:footnote w:id="1232">
    <w:p>
      <w:pPr>
        <w:pStyle w:val="Funote"/>
        <w:rPr/>
      </w:pPr>
      <w:r>
        <w:rPr>
          <w:rStyle w:val="Funotenzeichen"/>
        </w:rPr>
        <w:footnoteRef/>
      </w:r>
      <w:r>
        <w:rPr/>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233">
    <w:p>
      <w:pPr>
        <w:pStyle w:val="Funote"/>
        <w:rPr/>
      </w:pPr>
      <w:r>
        <w:rPr>
          <w:rStyle w:val="Funotenzeichen"/>
        </w:rPr>
        <w:footnoteRef/>
      </w:r>
      <w:r>
        <w:rPr>
          <w:i/>
        </w:rPr>
        <w:tab/>
        <w:t>stürmte immer heftiger</w:t>
      </w:r>
      <w:r>
        <w:rPr/>
        <w:t xml:space="preserve"> den(V. 11 und V. 13) Hier stehen im Hebräischen zwei Partizipien nebeneinander: „gehend und stürmend“. Das Ptz. „gehend“ von </w:t>
      </w:r>
      <w:r>
        <w:rPr>
          <w:rtl w:val="true"/>
          <w:lang w:bidi="he-IL"/>
        </w:rPr>
        <w:t>הלך</w:t>
      </w:r>
      <w:r>
        <w:rPr/>
        <w:t xml:space="preserve"> </w:t>
      </w:r>
      <w:r>
        <w:rPr/>
        <w:t xml:space="preserve">mit einem anderen Ptz. drückt (sich steigernde) Fortdauer aus (GK §113u; Price 1978, 65f.). </w:t>
      </w:r>
    </w:p>
  </w:footnote>
  <w:footnote w:id="1234">
    <w:p>
      <w:pPr>
        <w:pStyle w:val="Funote"/>
        <w:rPr/>
      </w:pPr>
      <w:r>
        <w:rPr>
          <w:rStyle w:val="Funotenzeichen"/>
        </w:rPr>
        <w:footnoteRef/>
      </w:r>
      <w:r>
        <w:rPr/>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235">
    <w:p>
      <w:pPr>
        <w:pStyle w:val="Funote"/>
        <w:rPr/>
      </w:pPr>
      <w:r>
        <w:rPr>
          <w:rStyle w:val="Funotenzeichen"/>
        </w:rPr>
        <w:footnoteRef/>
      </w:r>
      <w:r>
        <w:rPr>
          <w:i/>
        </w:rPr>
        <w:tab/>
        <w:t>Blut</w:t>
      </w:r>
      <w:r>
        <w:rPr/>
        <w:t xml:space="preserve"> steht stellvertretend für das genommene Leben, für den Tod Jonas, den die Seeleute für sicher halten, wenn sie ihn ins Meer werfen. Das Stilmittel ist wohl eine Metonymie (Konkretes für Abstraktes; Wirkung für Ursache) oder Synekdoche (Generelles für Spezifisches). </w:t>
      </w:r>
    </w:p>
  </w:footnote>
  <w:footnote w:id="1236">
    <w:p>
      <w:pPr>
        <w:pStyle w:val="Funote"/>
        <w:rPr/>
      </w:pPr>
      <w:r>
        <w:rPr>
          <w:rStyle w:val="Funotenzeichen"/>
        </w:rPr>
        <w:footnoteRef/>
      </w:r>
      <w:r>
        <w:rPr/>
        <w:tab/>
        <w:t xml:space="preserve">Dieser Vers enthält gleich drei figurae etymologicae. W. etwa „Da fürchteten sie große Furcht und da opferten sie Opfer und da gelobten sie Gelübde.“ </w:t>
      </w:r>
      <w:r>
        <w:rPr>
          <w:i/>
        </w:rPr>
        <w:t>Opfer</w:t>
      </w:r>
      <w:r>
        <w:rPr/>
        <w:t xml:space="preserve"> und </w:t>
      </w:r>
      <w:r>
        <w:rPr>
          <w:i/>
        </w:rPr>
        <w:t>Gelübde</w:t>
      </w:r>
      <w:r>
        <w:rPr/>
        <w:t xml:space="preserv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 </w:t>
      </w:r>
    </w:p>
  </w:footnote>
  <w:footnote w:id="1237">
    <w:p>
      <w:pPr>
        <w:pStyle w:val="Funote"/>
        <w:rPr/>
      </w:pPr>
      <w:r>
        <w:rPr>
          <w:rStyle w:val="Funotenzeichen"/>
        </w:rPr>
        <w:footnoteRef/>
      </w:r>
      <w:r>
        <w:rPr/>
        <w:tab/>
        <w:t>[Status: Zuverlässig]</w:t>
      </w:r>
    </w:p>
  </w:footnote>
  <w:footnote w:id="1238">
    <w:p>
      <w:pPr>
        <w:pStyle w:val="Funote"/>
        <w:rPr/>
      </w:pPr>
      <w:r>
        <w:rPr>
          <w:rStyle w:val="Funotenzeichen"/>
        </w:rPr>
        <w:footnoteRef/>
      </w:r>
      <w:r>
        <w:rPr>
          <w:i/>
        </w:rPr>
        <w:tab/>
        <w:t>in zukünftigen (späteren, letzten) Tagen (zu einer späteren Zeit, am Ende der Zeit)</w:t>
      </w:r>
      <w:r>
        <w:rPr/>
        <w:t xml:space="preserve"> Die so übersetzte Phrase </w:t>
      </w:r>
      <w:r>
        <w:rPr>
          <w:rtl w:val="true"/>
          <w:lang w:bidi="he-IL"/>
        </w:rPr>
        <w:t>בְּאַחֲרִ֣ית הַיָּמִ֗ים</w:t>
      </w:r>
      <w:r>
        <w:rPr/>
        <w:t xml:space="preserve"> </w:t>
      </w:r>
      <w:r>
        <w:rPr/>
        <w:t xml:space="preserve">kommt im AT 13 mal vor. Entgegen der aus der </w:t>
      </w:r>
      <w:hyperlink r:id="rId178">
        <w:r>
          <w:rPr>
            <w:rStyle w:val="Internetverknpfung"/>
          </w:rPr>
          <w:t>LXX</w:t>
        </w:r>
      </w:hyperlink>
      <w:r>
        <w:rPr/>
        <w:t xml:space="preserve">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 </w:t>
      </w:r>
    </w:p>
  </w:footnote>
  <w:footnote w:id="1239">
    <w:p>
      <w:pPr>
        <w:pStyle w:val="Funote"/>
        <w:rPr/>
      </w:pPr>
      <w:r>
        <w:rPr>
          <w:rStyle w:val="Funotenzeichen"/>
        </w:rPr>
        <w:footnoteRef/>
      </w:r>
      <w:r>
        <w:rPr>
          <w:i/>
        </w:rPr>
        <w:tab/>
        <w:t>Berg [mit dem] Haus</w:t>
      </w:r>
      <w:r>
        <w:rPr/>
        <w:t xml:space="preserve"> Appositiver Genitiv, der das Objekt näher identifiziert. </w:t>
      </w:r>
    </w:p>
  </w:footnote>
  <w:footnote w:id="1240">
    <w:p>
      <w:pPr>
        <w:pStyle w:val="Funote"/>
        <w:rPr/>
      </w:pPr>
      <w:r>
        <w:rPr>
          <w:rStyle w:val="Funotenzeichen"/>
        </w:rPr>
        <w:footnoteRef/>
      </w:r>
      <w:r>
        <w:rPr>
          <w:i/>
        </w:rPr>
        <w:tab/>
        <w:t>als Herausragender (Wichtigster, Höchster, Gipfel, Anführer) der Berge</w:t>
      </w:r>
      <w:r>
        <w:rPr/>
        <w:t xml:space="preserv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 xml:space="preserve">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w:t>
      </w:r>
      <w:r>
        <w:rPr>
          <w:i/>
        </w:rPr>
        <w:t>höher</w:t>
      </w:r>
      <w:r>
        <w:rPr/>
        <w:t xml:space="preserve">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 </w:t>
      </w:r>
    </w:p>
  </w:footnote>
  <w:footnote w:id="1241">
    <w:p>
      <w:pPr>
        <w:pStyle w:val="Funote"/>
        <w:rPr/>
      </w:pPr>
      <w:r>
        <w:rPr>
          <w:rStyle w:val="Funotenzeichen"/>
        </w:rPr>
        <w:footnoteRef/>
      </w:r>
      <w:r>
        <w:rPr/>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242">
    <w:p>
      <w:pPr>
        <w:pStyle w:val="Funote"/>
        <w:rPr/>
      </w:pPr>
      <w:r>
        <w:rPr>
          <w:rStyle w:val="Funotenzeichen"/>
        </w:rPr>
        <w:footnoteRef/>
      </w:r>
      <w:r>
        <w:rPr>
          <w:i/>
        </w:rPr>
        <w:tab/>
        <w:t>anhand seiner Wege</w:t>
      </w:r>
      <w:r>
        <w:rPr/>
        <w:t xml:space="preserve"> und </w:t>
      </w:r>
      <w:r>
        <w:rPr>
          <w:i/>
        </w:rPr>
        <w:t>nach seiner Art leben/auf seinen Pfaden wandeln</w:t>
      </w:r>
      <w:r>
        <w:rPr/>
        <w:t xml:space="preserve"> sind parallel und sagen mit anderen Worten das gleiche aus. Die beiden Zeilen sind wiederum parallel zu den beiden folgenden Zeilen, wo (wiederum mit gleicher Aussage in anderen Worten) von </w:t>
      </w:r>
      <w:r>
        <w:rPr>
          <w:i/>
        </w:rPr>
        <w:t>Weisung/Torah</w:t>
      </w:r>
      <w:r>
        <w:rPr/>
        <w:t xml:space="preserve"> und </w:t>
      </w:r>
      <w:r>
        <w:rPr>
          <w:i/>
        </w:rPr>
        <w:t>JHWHs Botschaft aus Jerusalem</w:t>
      </w:r>
      <w:r>
        <w:rPr/>
        <w:t xml:space="preserve">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w:t>
      </w:r>
      <w:r>
        <w:fldChar w:fldCharType="begin"/>
      </w:r>
      <w:r>
        <w:rPr>
          <w:rStyle w:val="Internetverknpfung"/>
        </w:rPr>
        <w:instrText> HYPERLINK "../../../../../../../../../wiki/Lukas_24" \l "s47"</w:instrText>
      </w:r>
      <w:r>
        <w:rPr>
          <w:rStyle w:val="Internetverknpfung"/>
        </w:rPr>
        <w:fldChar w:fldCharType="separate"/>
      </w:r>
      <w:r>
        <w:rPr>
          <w:rStyle w:val="Internetverknpfung"/>
        </w:rPr>
        <w:t>Lk 24,47</w:t>
      </w:r>
      <w:r>
        <w:rPr>
          <w:rStyle w:val="Internetverknpfung"/>
        </w:rPr>
        <w:fldChar w:fldCharType="end"/>
      </w:r>
      <w:r>
        <w:rPr/>
        <w:t xml:space="preserve">). </w:t>
      </w:r>
    </w:p>
  </w:footnote>
  <w:footnote w:id="1243">
    <w:p>
      <w:pPr>
        <w:pStyle w:val="Funote"/>
        <w:rPr/>
      </w:pPr>
      <w:r>
        <w:rPr>
          <w:rStyle w:val="Funotenzeichen"/>
        </w:rPr>
        <w:footnoteRef/>
      </w:r>
      <w:r>
        <w:rPr/>
        <w:tab/>
        <w:t xml:space="preserve">Zum Schlusszeichen: Ob die Aussage der Pilger vor oder hinter die letzten beiden Zeilen von V. 2 endet, ist inhaltlich unerheblich. Sie liefern (mit </w:t>
      </w:r>
      <w:r>
        <w:rPr>
          <w:rtl w:val="true"/>
          <w:lang w:bidi="he-IL"/>
        </w:rPr>
        <w:t>כִּי</w:t>
      </w:r>
      <w:r>
        <w:rPr/>
        <w:t xml:space="preserve"> </w:t>
      </w:r>
      <w:r>
        <w:rPr>
          <w:i/>
        </w:rPr>
        <w:t>denn</w:t>
      </w:r>
      <w:r>
        <w:rPr/>
        <w:t xml:space="preserve">) die Grundlage für den in so großen Worten beschriebenen prophetischen Völkerzug zum Zion. Beide Möglichkeiten sind denkbar: dass die Angehörigen der anderen Völker sich auch diese Begründung zurufen, oder dass der Prophet sie als Erklärung für ihr Verhalten festhält. </w:t>
      </w:r>
    </w:p>
  </w:footnote>
  <w:footnote w:id="1244">
    <w:p>
      <w:pPr>
        <w:pStyle w:val="Funote"/>
        <w:rPr/>
      </w:pPr>
      <w:r>
        <w:rPr>
          <w:rStyle w:val="Funotenzeichen"/>
        </w:rPr>
        <w:footnoteRef/>
      </w:r>
      <w:r>
        <w:rPr>
          <w:i/>
        </w:rPr>
        <w:tab/>
        <w:t>[das] Schwert erheben</w:t>
      </w:r>
      <w:r>
        <w:rPr/>
        <w:t xml:space="preserve"> Es handelt sich um eine Metonymie der Adjunktion für die Provokation oder das Führen eines Kriegs. Dazu passt der parallele zweite Versteil. </w:t>
      </w:r>
    </w:p>
  </w:footnote>
  <w:footnote w:id="1245">
    <w:p>
      <w:pPr>
        <w:pStyle w:val="Funote"/>
        <w:rPr/>
      </w:pPr>
      <w:r>
        <w:rPr>
          <w:rStyle w:val="Funotenzeichen"/>
        </w:rPr>
        <w:footnoteRef/>
      </w:r>
      <w:r>
        <w:rPr>
          <w:i/>
        </w:rPr>
        <w:tab/>
        <w:t>niemanden, der [ihnen] Angst einflößt ([sie] aufstört, zum Zittern bringt)</w:t>
      </w:r>
      <w:r>
        <w:rPr/>
        <w:t xml:space="preserve">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 </w:t>
      </w:r>
    </w:p>
  </w:footnote>
  <w:footnote w:id="1246">
    <w:p>
      <w:pPr>
        <w:pStyle w:val="Funote"/>
        <w:rPr/>
      </w:pPr>
      <w:r>
        <w:rPr>
          <w:rStyle w:val="Funotenzeichen"/>
        </w:rPr>
        <w:footnoteRef/>
      </w:r>
      <w:r>
        <w:rPr>
          <w:i/>
        </w:rPr>
        <w:tab/>
        <w:t>die Hinkenden</w:t>
      </w:r>
      <w:r>
        <w:rPr/>
        <w:t xml:space="preserve"> und </w:t>
      </w:r>
      <w:r>
        <w:rPr>
          <w:i/>
        </w:rPr>
        <w:t>die Vertriebenen</w:t>
      </w:r>
      <w:r>
        <w:rPr/>
        <w:t xml:space="preserve">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 </w:t>
      </w:r>
    </w:p>
  </w:footnote>
  <w:footnote w:id="1247">
    <w:p>
      <w:pPr>
        <w:pStyle w:val="Funote"/>
        <w:rPr/>
      </w:pPr>
      <w:r>
        <w:rPr>
          <w:rStyle w:val="Funotenzeichen"/>
        </w:rPr>
        <w:footnoteRef/>
      </w:r>
      <w:r>
        <w:rPr>
          <w:i/>
        </w:rPr>
        <w:tab/>
        <w:t>will ich zusammenführen … sammeln</w:t>
      </w:r>
      <w:r>
        <w:rPr/>
        <w:t xml:space="preserve"> Kohortativ (Imperativ der 1. Person), hier modal übersetzt. </w:t>
      </w:r>
    </w:p>
  </w:footnote>
  <w:footnote w:id="1248">
    <w:p>
      <w:pPr>
        <w:pStyle w:val="Funote"/>
        <w:rPr/>
      </w:pPr>
      <w:r>
        <w:rPr>
          <w:rStyle w:val="Funotenzeichen"/>
        </w:rPr>
        <w:footnoteRef/>
      </w:r>
      <w:r>
        <w:rPr/>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249">
    <w:p>
      <w:pPr>
        <w:pStyle w:val="Funote"/>
        <w:rPr/>
      </w:pPr>
      <w:r>
        <w:rPr>
          <w:rStyle w:val="Funotenzeichen"/>
        </w:rPr>
        <w:footnoteRef/>
      </w:r>
      <w:r>
        <w:rPr>
          <w:i/>
        </w:rPr>
        <w:tab/>
        <w:t>mächtigen Nation</w:t>
      </w:r>
      <w:r>
        <w:rPr/>
        <w:t xml:space="preserve"> Hier wird die Formulierung aus V. 3 aufgegriffen. </w:t>
      </w:r>
    </w:p>
  </w:footnote>
  <w:footnote w:id="1250">
    <w:p>
      <w:pPr>
        <w:pStyle w:val="Funote"/>
        <w:spacing w:before="0" w:after="283"/>
        <w:rPr/>
      </w:pPr>
      <w:r>
        <w:rPr>
          <w:rStyle w:val="Funotenzeichen"/>
        </w:rPr>
        <w:footnoteRef/>
      </w:r>
      <w:r>
        <w:rPr>
          <w:i/>
        </w:rPr>
        <w:tab/>
        <w:t>Turm der Herde (Migdal Eder)</w:t>
      </w:r>
      <w:r>
        <w:rPr/>
        <w:t xml:space="preserve">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w:t>
      </w:r>
      <w:r>
        <w:rPr>
          <w:i/>
        </w:rPr>
        <w:t>Tochter Zions</w:t>
      </w:r>
      <w:r>
        <w:rPr/>
        <w:t xml:space="preserve"> auch </w:t>
      </w:r>
      <w:r>
        <w:rPr>
          <w:i/>
        </w:rPr>
        <w:t>Turm der Herde</w:t>
      </w:r>
      <w:r>
        <w:rPr/>
        <w:t xml:space="preserve"> und </w:t>
      </w:r>
      <w:r>
        <w:rPr>
          <w:i/>
        </w:rPr>
        <w:t>Ophel</w:t>
      </w:r>
      <w:r>
        <w:rPr/>
        <w:t xml:space="preserve"> auf Jerusalem beziehen (bzw. metonymisch auf den israelitischen König; so Waltke, Micah, S. 229-31; Kessler, Micha, S. 199; Andersen, Micah, S. 439). Das AT bezeichnet den König häufiger als Hirten seines Volkes. Der Turm Davids aus Hld 4,4 könnte </w:t>
      </w:r>
    </w:p>
    <w:p>
      <w:pPr>
        <w:pStyle w:val="Textkrper"/>
        <w:rPr/>
      </w:pPr>
      <w:r>
        <w:rPr>
          <w:i/>
        </w:rPr>
        <w:tab/>
        <w:t>Ophel</w:t>
      </w:r>
      <w:r>
        <w:rPr/>
        <w:t xml:space="preserve"> (Hebr. </w:t>
      </w:r>
      <w:r>
        <w:rPr>
          <w:rtl w:val="true"/>
          <w:lang w:bidi="he-IL"/>
        </w:rPr>
        <w:t>עֹפֶל</w:t>
      </w:r>
      <w:r>
        <w:rPr/>
        <w:t xml:space="preserve">) kommt im AT achtmal vor und bezeichnet einen Ort in Jerusalem, nämlich eine Hügelfestung in der alten Davidsstadt (Wolff, Micha, S. 96). Obwohl der Bezug nicht ganz sicher ist, ist er der am besten belegte. </w:t>
      </w:r>
    </w:p>
    <w:p>
      <w:pPr>
        <w:pStyle w:val="Textkrper"/>
        <w:spacing w:before="0" w:after="283"/>
        <w:rPr/>
      </w:pPr>
      <w:r>
        <w:rPr>
          <w:i/>
        </w:rPr>
        <w:tab/>
        <w:t>Tochter Zions</w:t>
      </w:r>
      <w:r>
        <w:rPr/>
        <w:t xml:space="preserve"> Eine im AT häufige poetische Bezeichnung Jerusalems. </w:t>
      </w:r>
      <w:r>
        <w:rPr>
          <w:i/>
        </w:rPr>
        <w:t>Zion</w:t>
      </w:r>
      <w:r>
        <w:rPr/>
        <w:t xml:space="preserve"> ist der Tempelhügel. </w:t>
      </w:r>
    </w:p>
  </w:footnote>
  <w:footnote w:id="1251">
    <w:p>
      <w:pPr>
        <w:pStyle w:val="Funote"/>
        <w:rPr/>
      </w:pPr>
      <w:r>
        <w:rPr>
          <w:rStyle w:val="Funotenzeichen"/>
        </w:rPr>
        <w:footnoteRef/>
      </w:r>
      <w:r>
        <w:rPr>
          <w:i/>
        </w:rPr>
        <w:tab/>
        <w:t>Tochter Jerusalems</w:t>
      </w:r>
      <w:r>
        <w:rPr/>
        <w:t xml:space="preserve"> Wie </w:t>
      </w:r>
      <w:r>
        <w:rPr>
          <w:i/>
        </w:rPr>
        <w:t>Tochter Zions</w:t>
      </w:r>
      <w:r>
        <w:rPr/>
        <w:t xml:space="preserve"> eine poetische Bezeichnung Jerusalems (s. vorige Fußnote). </w:t>
      </w:r>
    </w:p>
  </w:footnote>
  <w:footnote w:id="1252">
    <w:p>
      <w:pPr>
        <w:pStyle w:val="Funote"/>
        <w:rPr/>
      </w:pPr>
      <w:r>
        <w:rPr>
          <w:rStyle w:val="Funotenzeichen"/>
        </w:rPr>
        <w:footnoteRef/>
      </w:r>
      <w:r>
        <w:rPr/>
        <w:tab/>
        <w:t>[Status: Zuverlässig]</w:t>
      </w:r>
    </w:p>
  </w:footnote>
  <w:footnote w:id="1253">
    <w:p>
      <w:pPr>
        <w:pStyle w:val="Funote"/>
        <w:rPr/>
      </w:pPr>
      <w:r>
        <w:rPr>
          <w:rStyle w:val="Funotenzeichen"/>
        </w:rPr>
        <w:footnoteRef/>
      </w:r>
      <w:r>
        <w:rPr/>
        <w:tab/>
        <w:t>Kann auch „worfeln“ bedeuten; vgl. Koh 20,8.</w:t>
      </w:r>
    </w:p>
  </w:footnote>
  <w:footnote w:id="1254">
    <w:p>
      <w:pPr>
        <w:pStyle w:val="Funote"/>
        <w:rPr/>
      </w:pPr>
      <w:r>
        <w:rPr>
          <w:rStyle w:val="Funotenzeichen"/>
        </w:rPr>
        <w:footnoteRef/>
      </w:r>
      <w:r>
        <w:rPr/>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255">
    <w:p>
      <w:pPr>
        <w:pStyle w:val="Funote"/>
        <w:rPr/>
      </w:pPr>
      <w:r>
        <w:rPr>
          <w:rStyle w:val="Funotenzeichen"/>
        </w:rPr>
        <w:footnoteRef/>
      </w:r>
      <w:r>
        <w:rPr/>
        <w:tab/>
        <w:t>Auch: mit Steinen beschmeißen.</w:t>
      </w:r>
    </w:p>
  </w:footnote>
  <w:footnote w:id="1256">
    <w:p>
      <w:pPr>
        <w:pStyle w:val="Funote"/>
        <w:rPr/>
      </w:pPr>
      <w:r>
        <w:rPr>
          <w:rStyle w:val="Funotenzeichen"/>
        </w:rPr>
        <w:footnoteRef/>
      </w:r>
      <w:r>
        <w:rPr>
          <w:rtl w:val="true"/>
          <w:lang w:bidi="he-IL"/>
        </w:rPr>
        <w:tab/>
        <w:t>הַגֹּויִם</w:t>
      </w:r>
      <w:r>
        <w:rPr/>
        <w:t xml:space="preserve"> </w:t>
      </w:r>
      <w:r>
        <w:rPr/>
        <w:t>meint die fremden, nicht jüdischen Völker.</w:t>
      </w:r>
    </w:p>
  </w:footnote>
  <w:footnote w:id="1257">
    <w:p>
      <w:pPr>
        <w:pStyle w:val="Funote"/>
        <w:rPr/>
      </w:pPr>
      <w:r>
        <w:rPr>
          <w:rStyle w:val="Funotenzeichen"/>
        </w:rPr>
        <w:footnoteRef/>
      </w:r>
      <w:r>
        <w:rPr/>
        <w:tab/>
        <w:t>Die anderen dt. Übersetzungen sagen: „zu messen“; die hier verwendete Übersetzung folgt Gesenius</w:t>
      </w:r>
      <w:r>
        <w:rPr>
          <w:position w:val="7"/>
          <w:sz w:val="16"/>
        </w:rPr>
        <w:t>17</w:t>
      </w:r>
      <w:r>
        <w:rPr/>
        <w:t>, S. 387.</w:t>
      </w:r>
    </w:p>
  </w:footnote>
  <w:footnote w:id="1258">
    <w:p>
      <w:pPr>
        <w:pStyle w:val="Funote"/>
        <w:rPr/>
      </w:pPr>
      <w:r>
        <w:rPr>
          <w:rStyle w:val="Funotenzeichen"/>
        </w:rPr>
        <w:footnoteRef/>
      </w:r>
      <w:r>
        <w:rPr/>
        <w:tab/>
        <w:t>Also für Jerusalem.</w:t>
      </w:r>
    </w:p>
  </w:footnote>
  <w:footnote w:id="1259">
    <w:p>
      <w:pPr>
        <w:pStyle w:val="Funote"/>
        <w:rPr/>
      </w:pPr>
      <w:r>
        <w:rPr>
          <w:rStyle w:val="Funotenzeichen"/>
        </w:rPr>
        <w:footnoteRef/>
      </w:r>
      <w:r>
        <w:rPr/>
        <w:tab/>
        <w:t xml:space="preserve">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 </w:t>
      </w:r>
    </w:p>
  </w:footnote>
  <w:footnote w:id="1260">
    <w:p>
      <w:pPr>
        <w:pStyle w:val="Funote"/>
        <w:rPr/>
      </w:pPr>
      <w:r>
        <w:rPr>
          <w:rStyle w:val="Funotenzeichen"/>
        </w:rPr>
        <w:footnoteRef/>
      </w:r>
      <w:r>
        <w:rPr/>
        <w:tab/>
        <w:t>Alternativübersetzung: »[nach] Zion entkomme« (Menge, GNB, ESV, NRSV).</w:t>
      </w:r>
    </w:p>
  </w:footnote>
  <w:footnote w:id="1261">
    <w:p>
      <w:pPr>
        <w:pStyle w:val="Funote"/>
        <w:rPr/>
      </w:pPr>
      <w:r>
        <w:rPr>
          <w:rStyle w:val="Funotenzeichen"/>
        </w:rPr>
        <w:footnoteRef/>
      </w:r>
      <w:r>
        <w:rPr/>
        <w:tab/>
        <w:t xml:space="preserve">Attributives </w:t>
      </w:r>
      <w:hyperlink r:id="rId179">
        <w:r>
          <w:rPr>
            <w:rStyle w:val="Internetverknpfung"/>
          </w:rPr>
          <w:t>Ptz.</w:t>
        </w:r>
      </w:hyperlink>
      <w:r>
        <w:rPr/>
        <w:t>.</w:t>
      </w:r>
    </w:p>
  </w:footnote>
  <w:footnote w:id="1262">
    <w:p>
      <w:pPr>
        <w:pStyle w:val="Funote"/>
        <w:rPr/>
      </w:pPr>
      <w:r>
        <w:rPr>
          <w:rStyle w:val="Funotenzeichen"/>
        </w:rPr>
        <w:footnoteRef/>
      </w:r>
      <w:r>
        <w:rPr/>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263">
    <w:p>
      <w:pPr>
        <w:pStyle w:val="Funote"/>
        <w:rPr/>
      </w:pPr>
      <w:r>
        <w:rPr>
          <w:rStyle w:val="Funotenzeichen"/>
        </w:rPr>
        <w:footnoteRef/>
      </w:r>
      <w:r>
        <w:rPr/>
        <w:tab/>
        <w:t xml:space="preserve">Subst. </w:t>
      </w:r>
      <w:hyperlink r:id="rId180">
        <w:r>
          <w:rPr>
            <w:rStyle w:val="Internetverknpfung"/>
          </w:rPr>
          <w:t>Ptz.</w:t>
        </w:r>
      </w:hyperlink>
      <w:r>
        <w:rPr/>
        <w:t xml:space="preserve"> Pl.</w:t>
      </w:r>
    </w:p>
  </w:footnote>
  <w:footnote w:id="1264">
    <w:p>
      <w:pPr>
        <w:pStyle w:val="Funote"/>
        <w:rPr/>
      </w:pPr>
      <w:r>
        <w:rPr>
          <w:rStyle w:val="Funotenzeichen"/>
        </w:rPr>
        <w:footnoteRef/>
      </w:r>
      <w:r>
        <w:rPr/>
        <w:tab/>
        <w:t xml:space="preserve">Attributives </w:t>
      </w:r>
      <w:hyperlink r:id="rId181">
        <w:r>
          <w:rPr>
            <w:rStyle w:val="Internetverknpfung"/>
          </w:rPr>
          <w:t>Ptz.</w:t>
        </w:r>
      </w:hyperlink>
      <w:r>
        <w:rPr/>
        <w:t>.</w:t>
      </w:r>
    </w:p>
  </w:footnote>
  <w:footnote w:id="1265">
    <w:p>
      <w:pPr>
        <w:pStyle w:val="Funote"/>
        <w:rPr/>
      </w:pPr>
      <w:r>
        <w:rPr>
          <w:rStyle w:val="Funotenzeichen"/>
        </w:rPr>
        <w:footnoteRef/>
      </w:r>
      <w:r>
        <w:rPr/>
        <w:tab/>
        <w:t>Wörtlich: „Zentrum/Pupille seines Auges“.</w:t>
      </w:r>
    </w:p>
  </w:footnote>
  <w:footnote w:id="1266">
    <w:p>
      <w:pPr>
        <w:pStyle w:val="Funote"/>
        <w:rPr/>
      </w:pPr>
      <w:r>
        <w:rPr>
          <w:rStyle w:val="Funotenzeichen"/>
        </w:rPr>
        <w:footnoteRef/>
      </w:r>
      <w:r>
        <w:rPr/>
        <w:tab/>
        <w:t>„</w:t>
      </w:r>
      <w:r>
        <w:rPr/>
        <w:t xml:space="preserve">Siehe“ wirkt hier als Marker einer Ankündigung. Könnte den Aspekt der Unmittelbarkeit der angekündigten Handlung ausdrücken, steht hier wohl hauptsächlich zwecks Nachdruck. </w:t>
      </w:r>
    </w:p>
  </w:footnote>
  <w:footnote w:id="1267">
    <w:p>
      <w:pPr>
        <w:pStyle w:val="Funote"/>
        <w:rPr/>
      </w:pPr>
      <w:r>
        <w:rPr>
          <w:rStyle w:val="Funotenzeichen"/>
        </w:rPr>
        <w:footnoteRef/>
      </w:r>
      <w:r>
        <w:rPr/>
        <w:tab/>
        <w:t xml:space="preserve">Prädikatives </w:t>
      </w:r>
      <w:hyperlink r:id="rId182">
        <w:r>
          <w:rPr>
            <w:rStyle w:val="Internetverknpfung"/>
          </w:rPr>
          <w:t>Ptz.</w:t>
        </w:r>
      </w:hyperlink>
      <w:r>
        <w:rPr/>
        <w:t>; auch futurisch „werde schütteln“.</w:t>
      </w:r>
    </w:p>
  </w:footnote>
  <w:footnote w:id="1268">
    <w:p>
      <w:pPr>
        <w:pStyle w:val="Funote"/>
        <w:rPr/>
      </w:pPr>
      <w:r>
        <w:rPr>
          <w:rStyle w:val="Funotenzeichen"/>
        </w:rPr>
        <w:footnoteRef/>
      </w:r>
      <w:r>
        <w:rPr/>
        <w:tab/>
        <w:t>D.h. „ich werde sie bestrafen“ (s. NET Sach 2,9 Fußnote 12).</w:t>
      </w:r>
    </w:p>
  </w:footnote>
  <w:footnote w:id="1269">
    <w:p>
      <w:pPr>
        <w:pStyle w:val="Funote"/>
        <w:rPr/>
      </w:pPr>
      <w:r>
        <w:rPr>
          <w:rStyle w:val="Funotenzeichen"/>
        </w:rPr>
        <w:footnoteRef/>
      </w:r>
      <w:r>
        <w:rPr/>
        <w:tab/>
        <w:t>Direkter Rückbezug zu „ausplündern“ in V. 12 durch Verwendung derselben Wurzel (</w:t>
      </w:r>
      <w:r>
        <w:rPr>
          <w:rtl w:val="true"/>
          <w:lang w:bidi="he-IL"/>
        </w:rPr>
        <w:t>שלל</w:t>
      </w:r>
      <w:r>
        <w:rPr/>
        <w:t>).</w:t>
      </w:r>
    </w:p>
  </w:footnote>
  <w:footnote w:id="1270">
    <w:p>
      <w:pPr>
        <w:pStyle w:val="Funote"/>
        <w:rPr/>
      </w:pPr>
      <w:r>
        <w:rPr>
          <w:rStyle w:val="Funotenzeichen"/>
        </w:rPr>
        <w:footnoteRef/>
      </w:r>
      <w:r>
        <w:rPr/>
        <w:tab/>
        <w:t>„</w:t>
      </w:r>
      <w:r>
        <w:rPr/>
        <w:t xml:space="preserve">Siehe“ wirkt hier als Marker einer Ankündigung. Könnte den Aspekt der Unmittelbarkeit der angekündigten Handlung ausdrücken, steht hier wohl hauptsächlich zwecks Nachdruck. </w:t>
      </w:r>
    </w:p>
  </w:footnote>
  <w:footnote w:id="1271">
    <w:p>
      <w:pPr>
        <w:pStyle w:val="Funote"/>
        <w:rPr/>
      </w:pPr>
      <w:r>
        <w:rPr>
          <w:rStyle w:val="Funotenzeichen"/>
        </w:rPr>
        <w:footnoteRef/>
      </w:r>
      <w:r>
        <w:rPr/>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272">
    <w:p>
      <w:pPr>
        <w:pStyle w:val="Funote"/>
        <w:rPr/>
      </w:pPr>
      <w:r>
        <w:rPr>
          <w:rStyle w:val="Funotenzeichen"/>
        </w:rPr>
        <w:footnoteRef/>
      </w:r>
      <w:r>
        <w:rPr/>
        <w:tab/>
        <w:t>Selbe Wendung wie in 1,17; wirkt als Klammer um die Kapitel 1-2.</w:t>
      </w:r>
    </w:p>
  </w:footnote>
  <w:footnote w:id="1273">
    <w:p>
      <w:pPr>
        <w:pStyle w:val="Funote"/>
        <w:rPr/>
      </w:pPr>
      <w:r>
        <w:rPr>
          <w:rStyle w:val="Funotenzeichen"/>
        </w:rPr>
        <w:footnoteRef/>
      </w:r>
      <w:r>
        <w:rPr/>
        <w:tab/>
        <w:t>[Status: Zuverlässig]</w:t>
      </w:r>
    </w:p>
  </w:footnote>
  <w:footnote w:id="1274">
    <w:p>
      <w:pPr>
        <w:pStyle w:val="Funote"/>
        <w:rPr/>
      </w:pPr>
      <w:r>
        <w:rPr>
          <w:rStyle w:val="Funotenzeichen"/>
        </w:rPr>
        <w:footnoteRef/>
      </w:r>
      <w:r>
        <w:rPr/>
        <w:tab/>
        <w:t>Ihr steht im Griechischen betont am Ende des Satzes und grenzt so die Jünger von den „plappernden Heuchlern“ ab (Hagner 1993, S. 147): Im Gegensatz zu diesen sollen die Jünger „folgendermaßen beten“.</w:t>
      </w:r>
    </w:p>
  </w:footnote>
  <w:footnote w:id="1275">
    <w:p>
      <w:pPr>
        <w:pStyle w:val="Funote"/>
        <w:rPr/>
      </w:pPr>
      <w:r>
        <w:rPr>
          <w:rStyle w:val="Funotenzeichen"/>
        </w:rPr>
        <w:footnoteRef/>
      </w:r>
      <w:r>
        <w:rPr>
          <w:i/>
        </w:rPr>
        <w:tab/>
        <w:t>im Himmel</w:t>
      </w:r>
      <w:r>
        <w:rPr/>
        <w:t xml:space="preserve"> - W. „in den Himmeln“; idiomatischer Plural, der sich häufiger im NT findet (wohl ein Semitismus). In der LF sollte mit Einzahl übersetzt werden.</w:t>
      </w:r>
    </w:p>
  </w:footnote>
  <w:footnote w:id="1276">
    <w:p>
      <w:pPr>
        <w:pStyle w:val="Funote"/>
        <w:rPr/>
      </w:pPr>
      <w:r>
        <w:rPr>
          <w:rStyle w:val="Funotenzeichen"/>
        </w:rPr>
        <w:footnoteRef/>
      </w:r>
      <w:r>
        <w:rPr/>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277">
    <w:p>
      <w:pPr>
        <w:pStyle w:val="Funote"/>
        <w:rPr/>
      </w:pPr>
      <w:r>
        <w:rPr>
          <w:rStyle w:val="Funotenzeichen"/>
        </w:rPr>
        <w:footnoteRef/>
      </w:r>
      <w:r>
        <w:rPr/>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278">
    <w:p>
      <w:pPr>
        <w:pStyle w:val="Funote"/>
        <w:rPr/>
      </w:pPr>
      <w:r>
        <w:rPr>
          <w:rStyle w:val="Funotenzeichen"/>
        </w:rPr>
        <w:footnoteRef/>
      </w:r>
      <w:r>
        <w:rPr/>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279">
    <w:p>
      <w:pPr>
        <w:pStyle w:val="Funote"/>
        <w:rPr/>
      </w:pPr>
      <w:r>
        <w:rPr>
          <w:rStyle w:val="Funotenzeichen"/>
        </w:rPr>
        <w:footnoteRef/>
      </w:r>
      <w:r>
        <w:rPr/>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280">
    <w:p>
      <w:pPr>
        <w:pStyle w:val="Funote"/>
        <w:rPr/>
      </w:pPr>
      <w:r>
        <w:rPr>
          <w:rStyle w:val="Funotenzeichen"/>
        </w:rPr>
        <w:footnoteRef/>
      </w:r>
      <w:r>
        <w:rPr>
          <w:i/>
        </w:rPr>
        <w:tab/>
        <w:t>kommen</w:t>
      </w:r>
      <w:r>
        <w:rPr/>
        <w:t xml:space="preserve">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281">
    <w:p>
      <w:pPr>
        <w:pStyle w:val="Funote"/>
        <w:rPr/>
      </w:pPr>
      <w:r>
        <w:rPr>
          <w:rStyle w:val="Funotenzeichen"/>
        </w:rPr>
        <w:footnoteRef/>
      </w:r>
      <w:r>
        <w:rPr/>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282">
    <w:p>
      <w:pPr>
        <w:pStyle w:val="Funote"/>
        <w:rPr/>
      </w:pPr>
      <w:r>
        <w:rPr>
          <w:rStyle w:val="Funotenzeichen"/>
        </w:rPr>
        <w:footnoteRef/>
      </w:r>
      <w:r>
        <w:rPr/>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283">
    <w:p>
      <w:pPr>
        <w:pStyle w:val="Funote"/>
        <w:rPr/>
      </w:pPr>
      <w:r>
        <w:rPr>
          <w:rStyle w:val="Funotenzeichen"/>
        </w:rPr>
        <w:footnoteRef/>
      </w:r>
      <w:r>
        <w:rPr/>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284">
    <w:p>
      <w:pPr>
        <w:pStyle w:val="Funote"/>
        <w:rPr/>
      </w:pPr>
      <w:r>
        <w:rPr>
          <w:rStyle w:val="Funotenzeichen"/>
        </w:rPr>
        <w:footnoteRef/>
      </w:r>
      <w:r>
        <w:rPr/>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285">
    <w:p>
      <w:pPr>
        <w:pStyle w:val="Funote"/>
        <w:rPr/>
      </w:pPr>
      <w:r>
        <w:rPr>
          <w:rStyle w:val="Funotenzeichen"/>
        </w:rPr>
        <w:footnoteRef/>
      </w:r>
      <w:r>
        <w:rPr/>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286">
    <w:p>
      <w:pPr>
        <w:pStyle w:val="Funote"/>
        <w:rPr/>
      </w:pPr>
      <w:r>
        <w:rPr>
          <w:rStyle w:val="Funotenzeichen"/>
        </w:rPr>
        <w:footnoteRef/>
      </w:r>
      <w:r>
        <w:rPr/>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287">
    <w:p>
      <w:pPr>
        <w:pStyle w:val="Funote"/>
        <w:rPr/>
      </w:pPr>
      <w:r>
        <w:rPr>
          <w:rStyle w:val="Funotenzeichen"/>
        </w:rPr>
        <w:footnoteRef/>
      </w:r>
      <w:r>
        <w:rPr/>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288">
    <w:p>
      <w:pPr>
        <w:pStyle w:val="Funote"/>
        <w:rPr/>
      </w:pPr>
      <w:r>
        <w:rPr>
          <w:rStyle w:val="Funotenzeichen"/>
        </w:rPr>
        <w:footnoteRef/>
      </w:r>
      <w:r>
        <w:rPr/>
        <w:tab/>
        <w:t>[Status: Zuverlässig]</w:t>
      </w:r>
    </w:p>
  </w:footnote>
  <w:footnote w:id="1289">
    <w:p>
      <w:pPr>
        <w:pStyle w:val="Funote"/>
        <w:rPr/>
      </w:pPr>
      <w:r>
        <w:rPr>
          <w:rStyle w:val="Funotenzeichen"/>
        </w:rPr>
        <w:footnoteRef/>
      </w:r>
      <w:r>
        <w:rPr>
          <w:i/>
        </w:rPr>
        <w:tab/>
        <w:t>{</w:t>
      </w:r>
      <w:r>
        <w:rPr>
          <w:i/>
          <w:strike/>
        </w:rPr>
        <w:t>Und</w:t>
      </w:r>
      <w:r>
        <w:rPr>
          <w:i/>
        </w:rPr>
        <w:t>}</w:t>
      </w:r>
      <w:r>
        <w:rPr/>
        <w:t xml:space="preserve"> - Übliche Markierung im Griechischen zur Eröffnung eines neuen Abschnittes. Im Dt. ist dies unüblich.</w:t>
      </w:r>
    </w:p>
  </w:footnote>
  <w:footnote w:id="1290">
    <w:p>
      <w:pPr>
        <w:pStyle w:val="Funote"/>
        <w:rPr/>
      </w:pPr>
      <w:r>
        <w:rPr>
          <w:rStyle w:val="Funotenzeichen"/>
        </w:rPr>
        <w:footnoteRef/>
      </w:r>
      <w:r>
        <w:rPr/>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291">
    <w:p>
      <w:pPr>
        <w:pStyle w:val="Funote"/>
        <w:rPr/>
      </w:pPr>
      <w:r>
        <w:rPr>
          <w:rStyle w:val="Funotenzeichen"/>
        </w:rPr>
        <w:footnoteRef/>
      </w:r>
      <w:r>
        <w:rPr>
          <w:i/>
        </w:rPr>
        <w:tab/>
        <w:t>Zeit</w:t>
      </w:r>
      <w:r>
        <w:rPr/>
        <w:t xml:space="preserve"> - W. „Zeiten“.</w:t>
      </w:r>
    </w:p>
  </w:footnote>
  <w:footnote w:id="1292">
    <w:p>
      <w:pPr>
        <w:pStyle w:val="Funote"/>
        <w:rPr/>
      </w:pPr>
      <w:r>
        <w:rPr>
          <w:rStyle w:val="Funotenzeichen"/>
        </w:rPr>
        <w:footnoteRef/>
      </w:r>
      <w:r>
        <w:rPr/>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293">
    <w:p>
      <w:pPr>
        <w:pStyle w:val="Funote"/>
        <w:rPr/>
      </w:pPr>
      <w:r>
        <w:rPr>
          <w:rStyle w:val="Funotenzeichen"/>
        </w:rPr>
        <w:footnoteRef/>
      </w:r>
      <w:r>
        <w:rPr/>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294">
    <w:p>
      <w:pPr>
        <w:pStyle w:val="Funote"/>
        <w:rPr/>
      </w:pPr>
      <w:r>
        <w:rPr>
          <w:rStyle w:val="Funotenzeichen"/>
        </w:rPr>
        <w:footnoteRef/>
      </w:r>
      <w:r>
        <w:rPr/>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295">
    <w:p>
      <w:pPr>
        <w:pStyle w:val="Funote"/>
        <w:rPr/>
      </w:pPr>
      <w:r>
        <w:rPr>
          <w:rStyle w:val="Funotenzeichen"/>
        </w:rPr>
        <w:footnoteRef/>
      </w:r>
      <w:r>
        <w:rPr>
          <w:i/>
        </w:rPr>
        <w:tab/>
        <w:t>an das jenseitige [Ufer]</w:t>
      </w:r>
      <w:r>
        <w:rPr/>
        <w:t xml:space="preserve"> - W. „an das Jenseitige“; stehende Formulierung für eine Überquerung des Sees Gennesaret.</w:t>
      </w:r>
    </w:p>
  </w:footnote>
  <w:footnote w:id="1296">
    <w:p>
      <w:pPr>
        <w:pStyle w:val="Funote"/>
        <w:rPr/>
      </w:pPr>
      <w:r>
        <w:rPr>
          <w:rStyle w:val="Funotenzeichen"/>
        </w:rPr>
        <w:footnoteRef/>
      </w:r>
      <w:r>
        <w:rPr/>
        <w:tab/>
        <w:t>Als die Jünger ... kamen - Nach der Darstellung des Mt ist offenbar Jesus in Mt 15,39 allein nach Magadan gefahren; die Jünger stoßen nun nachträglich zu ihm (vgl. z.B. Luz 1990, S. 447).</w:t>
      </w:r>
    </w:p>
  </w:footnote>
  <w:footnote w:id="1297">
    <w:p>
      <w:pPr>
        <w:pStyle w:val="Funote"/>
        <w:rPr/>
      </w:pPr>
      <w:r>
        <w:rPr>
          <w:rStyle w:val="Funotenzeichen"/>
        </w:rPr>
        <w:footnoteRef/>
      </w:r>
      <w:r>
        <w:rPr>
          <w:i/>
        </w:rPr>
        <w:tab/>
        <w:t>[gerade]</w:t>
      </w:r>
      <w:r>
        <w:rPr/>
        <w:t xml:space="preserve"> - Das Verb steht im Gr. im Imperfekt, um zu markieren, dass die Handlung gerade im Vollzug ist.</w:t>
      </w:r>
    </w:p>
  </w:footnote>
  <w:footnote w:id="1298">
    <w:p>
      <w:pPr>
        <w:pStyle w:val="Funote"/>
        <w:rPr/>
      </w:pPr>
      <w:r>
        <w:rPr>
          <w:rStyle w:val="Funotenzeichen"/>
        </w:rPr>
        <w:footnoteRef/>
      </w:r>
      <w:r>
        <w:rPr/>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299">
    <w:p>
      <w:pPr>
        <w:pStyle w:val="Funote"/>
        <w:rPr/>
      </w:pPr>
      <w:r>
        <w:rPr>
          <w:rStyle w:val="Funotenzeichen"/>
        </w:rPr>
        <w:footnoteRef/>
      </w:r>
      <w:r>
        <w:rPr>
          <w:i/>
        </w:rPr>
        <w:tab/>
        <w:t>dass (weil)</w:t>
      </w:r>
      <w:r>
        <w:rPr/>
        <w:t xml:space="preserve"> - Auch hier steht ein </w:t>
      </w:r>
      <w:r>
        <w:rPr>
          <w:i/>
        </w:rPr>
        <w:t>hoti</w:t>
      </w:r>
      <w:r>
        <w:rPr/>
        <w:t xml:space="preserve">; die Übersetzung hängt ab von der Deutung des </w:t>
      </w:r>
      <w:r>
        <w:rPr>
          <w:i/>
        </w:rPr>
        <w:t>hoti</w:t>
      </w:r>
      <w:r>
        <w:rPr/>
        <w:t xml:space="preserve"> in V. 7 (s. </w:t>
      </w:r>
      <w:r>
        <w:fldChar w:fldCharType="begin"/>
      </w:r>
      <w:r>
        <w:rPr>
          <w:rStyle w:val="Internetverknpfung"/>
        </w:rPr>
        <w:instrText> HYPERLINK "http://offene-bibel.de/mediawiki/index.php?title=Matthäus_16" \l "note_j"</w:instrText>
      </w:r>
      <w:r>
        <w:rPr>
          <w:rStyle w:val="Internetverknpfung"/>
        </w:rPr>
        <w:fldChar w:fldCharType="separate"/>
      </w:r>
      <w:r>
        <w:rPr>
          <w:rStyle w:val="Internetverknpfung"/>
        </w:rPr>
        <w:t>FN j</w:t>
      </w:r>
      <w:r>
        <w:rPr>
          <w:rStyle w:val="Internetverknpfung"/>
        </w:rPr>
        <w:fldChar w:fldCharType="end"/>
      </w:r>
      <w:r>
        <w:rPr/>
        <w:t>).</w:t>
      </w:r>
    </w:p>
  </w:footnote>
  <w:footnote w:id="1300">
    <w:p>
      <w:pPr>
        <w:pStyle w:val="Funote"/>
        <w:rPr/>
      </w:pPr>
      <w:r>
        <w:rPr>
          <w:rStyle w:val="Funotenzeichen"/>
        </w:rPr>
        <w:footnoteRef/>
      </w:r>
      <w:r>
        <w:rPr/>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301">
    <w:p>
      <w:pPr>
        <w:pStyle w:val="Funote"/>
        <w:rPr/>
      </w:pPr>
      <w:r>
        <w:rPr>
          <w:rStyle w:val="Funotenzeichen"/>
        </w:rPr>
        <w:footnoteRef/>
      </w:r>
      <w:r>
        <w:rPr/>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302">
    <w:p>
      <w:pPr>
        <w:pStyle w:val="Funote"/>
        <w:rPr/>
      </w:pPr>
      <w:r>
        <w:rPr>
          <w:rStyle w:val="Funotenzeichen"/>
        </w:rPr>
        <w:footnoteRef/>
      </w:r>
      <w:r>
        <w:rPr/>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303">
    <w:p>
      <w:pPr>
        <w:pStyle w:val="Funote"/>
        <w:rPr/>
      </w:pPr>
      <w:r>
        <w:rPr>
          <w:rStyle w:val="Funotenzeichen"/>
        </w:rPr>
        <w:footnoteRef/>
      </w:r>
      <w:r>
        <w:rPr/>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304">
    <w:p>
      <w:pPr>
        <w:pStyle w:val="Funote"/>
        <w:rPr/>
      </w:pPr>
      <w:r>
        <w:rPr>
          <w:rStyle w:val="Funotenzeichen"/>
        </w:rPr>
        <w:footnoteRef/>
      </w:r>
      <w:r>
        <w:rPr>
          <w:i/>
        </w:rPr>
        <w:tab/>
        <w:t>der Gesalbte</w:t>
      </w:r>
      <w:r>
        <w:rPr/>
        <w:t xml:space="preserve"> - Gr. </w:t>
      </w:r>
      <w:r>
        <w:rPr>
          <w:i/>
        </w:rPr>
        <w:t>christos</w:t>
      </w:r>
      <w:r>
        <w:rPr/>
        <w:t xml:space="preserve">. Im Alten Israel wurden Könige durch eine „Salbung“ eingesetzt. Zur Zeit Jesu war die Hoffnung verbreitet, dass dereinst ein endzeitlicher König erstehen und Israel retten werde (s. z.B. </w:t>
      </w:r>
      <w:r>
        <w:fldChar w:fldCharType="begin"/>
      </w:r>
      <w:r>
        <w:rPr>
          <w:rStyle w:val="Internetverknpfung"/>
        </w:rPr>
        <w:instrText> HYPERLINK "https://www.bibelwissenschaft.de/stichwort/51997/" \l "h1"</w:instrText>
      </w:r>
      <w:r>
        <w:rPr>
          <w:rStyle w:val="Internetverknpfung"/>
        </w:rPr>
        <w:fldChar w:fldCharType="separate"/>
      </w:r>
      <w:r>
        <w:rPr>
          <w:rStyle w:val="Internetverknpfung"/>
        </w:rPr>
        <w:t>Messias / Christus (WiBiLex)</w:t>
      </w:r>
      <w:r>
        <w:rPr>
          <w:rStyle w:val="Internetverknpfung"/>
        </w:rPr>
        <w:fldChar w:fldCharType="end"/>
      </w:r>
      <w:r>
        <w:rPr/>
        <w:t>). Als diesen endzeitlichen König identifiziert Petrus hier Jesus.</w:t>
      </w:r>
    </w:p>
  </w:footnote>
  <w:footnote w:id="1305">
    <w:p>
      <w:pPr>
        <w:pStyle w:val="Funote"/>
        <w:rPr/>
      </w:pPr>
      <w:r>
        <w:rPr>
          <w:rStyle w:val="Funotenzeichen"/>
        </w:rPr>
        <w:footnoteRef/>
      </w:r>
      <w:r>
        <w:rPr/>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306">
    <w:p>
      <w:pPr>
        <w:pStyle w:val="Funote"/>
        <w:rPr/>
      </w:pPr>
      <w:r>
        <w:rPr>
          <w:rStyle w:val="Funotenzeichen"/>
        </w:rPr>
        <w:footnoteRef/>
      </w:r>
      <w:r>
        <w:rPr>
          <w:i/>
        </w:rPr>
        <w:tab/>
        <w:t>bar Jona</w:t>
      </w:r>
      <w:r>
        <w:rPr/>
        <w:t xml:space="preserve"> - W. „Sohn des Jona“. Solche sog. „Patronyme“ waren im Alten Israel in etwa die Entsprechung eines Nachnamens.</w:t>
      </w:r>
    </w:p>
  </w:footnote>
  <w:footnote w:id="1307">
    <w:p>
      <w:pPr>
        <w:pStyle w:val="Funote"/>
        <w:rPr/>
      </w:pPr>
      <w:r>
        <w:rPr>
          <w:rStyle w:val="Funotenzeichen"/>
        </w:rPr>
        <w:footnoteRef/>
      </w:r>
      <w:r>
        <w:rPr/>
        <w:tab/>
        <w:t>Fleisch und Blut - d.h.: Menschen (vgl. Luz 1990, S. 461, FN 58) - was Petrus hier ausspricht, ist menschliches Wissen übersteigendes Wissen, das ihm daher nur von Gottvater offenbart worden sein konnte.</w:t>
      </w:r>
    </w:p>
  </w:footnote>
  <w:footnote w:id="1308">
    <w:p>
      <w:pPr>
        <w:pStyle w:val="Funote"/>
        <w:rPr/>
      </w:pPr>
      <w:r>
        <w:rPr>
          <w:rStyle w:val="Funotenzeichen"/>
        </w:rPr>
        <w:footnoteRef/>
      </w:r>
      <w:r>
        <w:rPr>
          <w:i/>
        </w:rPr>
        <w:tab/>
        <w:t>Himmel</w:t>
      </w:r>
      <w:r>
        <w:rPr/>
        <w:t xml:space="preserve"> - Im Gr. Plural; „Himmel“ steht im Gr. meist im Pl., wo das Dt. Sg. verwenden würde.</w:t>
      </w:r>
    </w:p>
  </w:footnote>
  <w:footnote w:id="1309">
    <w:p>
      <w:pPr>
        <w:pStyle w:val="Funote"/>
        <w:rPr/>
      </w:pPr>
      <w:r>
        <w:rPr>
          <w:rStyle w:val="Funotenzeichen"/>
        </w:rPr>
        <w:footnoteRef/>
      </w:r>
      <w:r>
        <w:rPr/>
        <w:tab/>
        <w:t>Petrus (Fels) ... Gefels - Wortspiel im Gr.: petros (»Fels«) - petra (»Gefels«). S. dazu und zum Rest von Vv. 18f. die Anmerkungen; zu den sprachlichen Aspekten des Wortspiels vgl. immer noch gut z.B. Lampe 1979.</w:t>
      </w:r>
    </w:p>
  </w:footnote>
  <w:footnote w:id="1310">
    <w:p>
      <w:pPr>
        <w:pStyle w:val="Funote"/>
        <w:rPr/>
      </w:pPr>
      <w:r>
        <w:rPr>
          <w:rStyle w:val="Funotenzeichen"/>
        </w:rPr>
        <w:footnoteRef/>
      </w:r>
      <w:r>
        <w:rPr/>
        <w:tab/>
        <w:t>Die Pforten des Hades sind im Weltbild des Alten Israel die Eingänge zur Unterwelt, dem »Hades«. S. auch dazu die Anmerkungen und vgl. zu Näherem z.B. Lewis 1995.</w:t>
      </w:r>
    </w:p>
  </w:footnote>
  <w:footnote w:id="1311">
    <w:p>
      <w:pPr>
        <w:pStyle w:val="Funote"/>
        <w:rPr/>
      </w:pPr>
      <w:r>
        <w:rPr>
          <w:rStyle w:val="Funotenzeichen"/>
        </w:rPr>
        <w:footnoteRef/>
      </w:r>
      <w:r>
        <w:rPr/>
        <w:tab/>
        <w:t>sie (es) - Gr. autäs könnte sich entweder beziehen auf petra (»Gefels«) oder, syntaktisch wahrscheinlicher, ekkläsia (»Gemeinde«); vgl. z.B. Luz 1990, S. 464.</w:t>
      </w:r>
    </w:p>
  </w:footnote>
  <w:footnote w:id="1312">
    <w:p>
      <w:pPr>
        <w:pStyle w:val="Funote"/>
        <w:rPr/>
      </w:pPr>
      <w:r>
        <w:rPr>
          <w:rStyle w:val="Funotenzeichen"/>
        </w:rPr>
        <w:footnoteRef/>
      </w:r>
      <w:r>
        <w:rPr/>
        <w:tab/>
        <w:t>Zu diesem Vers s. die Anmerkungen.</w:t>
      </w:r>
    </w:p>
  </w:footnote>
  <w:footnote w:id="1313">
    <w:p>
      <w:pPr>
        <w:pStyle w:val="Funote"/>
        <w:rPr/>
      </w:pPr>
      <w:r>
        <w:rPr>
          <w:rStyle w:val="Funotenzeichen"/>
        </w:rPr>
        <w:footnoteRef/>
      </w:r>
      <w:r>
        <w:rPr>
          <w:i/>
        </w:rPr>
        <w:tab/>
        <w:t>müsse</w:t>
      </w:r>
      <w:r>
        <w:rPr/>
        <w:t xml:space="preserve"> - Signalwort im NT: Was </w:t>
      </w:r>
      <w:r>
        <w:rPr>
          <w:i/>
        </w:rPr>
        <w:t>dei</w:t>
      </w:r>
      <w:r>
        <w:rPr/>
        <w:t xml:space="preserve"> („[sein] muss“), ist Teil des göttlichen Heilsplans: Gott hat die in V. 21 zusammengefassten Begebenheiten vorausgeplant und sie spielen eine wichtige Rolle in seinem Plan für seine Schöpfung.</w:t>
      </w:r>
    </w:p>
  </w:footnote>
  <w:footnote w:id="1314">
    <w:p>
      <w:pPr>
        <w:pStyle w:val="Funote"/>
        <w:rPr/>
      </w:pPr>
      <w:r>
        <w:rPr>
          <w:rStyle w:val="Funotenzeichen"/>
        </w:rPr>
        <w:footnoteRef/>
      </w:r>
      <w:r>
        <w:rPr/>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315">
    <w:p>
      <w:pPr>
        <w:pStyle w:val="Funote"/>
        <w:rPr/>
      </w:pPr>
      <w:r>
        <w:rPr>
          <w:rStyle w:val="Funotenzeichen"/>
        </w:rPr>
        <w:footnoteRef/>
      </w:r>
      <w:r>
        <w:rPr>
          <w:i/>
        </w:rPr>
        <w:tab/>
        <w:t>Geh hinter mich (geh weg von mir, lass mich in Ruhe)</w:t>
      </w:r>
      <w:r>
        <w:rPr/>
        <w:t xml:space="preserve"> - Gr. </w:t>
      </w:r>
      <w:r>
        <w:rPr>
          <w:i/>
        </w:rPr>
        <w:t>hupage opiso mou</w:t>
      </w:r>
      <w:r>
        <w:rPr/>
        <w:t xml:space="preserve">; mehrdeutiger Ausdruck: Er könnte sowohl eine eine entschiedene Zurückweisung sein („Weg von mir!“) als auch ein Aufruf zur Nachfolge, was v.a. die ganz ähnlich formulierte Rede von der Nachfolge im nächsten Vers nahelegt: </w:t>
      </w:r>
      <w:r>
        <w:rPr>
          <w:i/>
        </w:rPr>
        <w:t>ei tis thelei opiso mou elthein</w:t>
      </w:r>
      <w:r>
        <w:rPr/>
        <w:t xml:space="preserve"> („Wenn einer hinter mir gehen will“, d.h. „mir nachfolgen will“).</w:t>
      </w:r>
    </w:p>
  </w:footnote>
  <w:footnote w:id="1316">
    <w:p>
      <w:pPr>
        <w:pStyle w:val="Funote"/>
        <w:rPr/>
      </w:pPr>
      <w:r>
        <w:rPr>
          <w:rStyle w:val="Funotenzeichen"/>
        </w:rPr>
        <w:footnoteRef/>
      </w:r>
      <w:r>
        <w:rPr/>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317">
    <w:p>
      <w:pPr>
        <w:pStyle w:val="Funote"/>
        <w:rPr/>
      </w:pPr>
      <w:r>
        <w:rPr>
          <w:rStyle w:val="Funotenzeichen"/>
        </w:rPr>
        <w:footnoteRef/>
      </w:r>
      <w:r>
        <w:rPr/>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318">
    <w:p>
      <w:pPr>
        <w:pStyle w:val="Funote"/>
        <w:rPr/>
      </w:pPr>
      <w:r>
        <w:rPr>
          <w:rStyle w:val="Funotenzeichen"/>
        </w:rPr>
        <w:footnoteRef/>
      </w:r>
      <w:r>
        <w:rPr/>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319">
    <w:p>
      <w:pPr>
        <w:pStyle w:val="Funote"/>
        <w:rPr/>
      </w:pPr>
      <w:r>
        <w:rPr>
          <w:rStyle w:val="Funotenzeichen"/>
        </w:rPr>
        <w:footnoteRef/>
      </w:r>
      <w:r>
        <w:rPr/>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320">
    <w:p>
      <w:pPr>
        <w:pStyle w:val="Funote"/>
        <w:rPr/>
      </w:pPr>
      <w:r>
        <w:rPr>
          <w:rStyle w:val="Funotenzeichen"/>
        </w:rPr>
        <w:footnoteRef/>
      </w:r>
      <w:r>
        <w:rPr/>
        <w:tab/>
        <w:t>[Status: Zuverlässig]</w:t>
      </w:r>
    </w:p>
  </w:footnote>
  <w:footnote w:id="1321">
    <w:p>
      <w:pPr>
        <w:pStyle w:val="Funote"/>
        <w:rPr/>
      </w:pPr>
      <w:r>
        <w:rPr>
          <w:rStyle w:val="Funotenzeichen"/>
        </w:rPr>
        <w:footnoteRef/>
      </w:r>
      <w:r>
        <w:rPr/>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322">
    <w:p>
      <w:pPr>
        <w:pStyle w:val="Funote"/>
        <w:rPr/>
      </w:pPr>
      <w:r>
        <w:rPr>
          <w:rStyle w:val="Funotenzeichen"/>
        </w:rPr>
        <w:footnoteRef/>
      </w:r>
      <w:r>
        <w:rPr/>
        <w:tab/>
        <w:t xml:space="preserve">Die Formulierung </w:t>
      </w:r>
      <w:r>
        <w:rPr>
          <w:lang w:val="el-GR"/>
        </w:rPr>
        <w:t>ἄγγελος κύριου</w:t>
      </w:r>
      <w:r>
        <w:rPr/>
        <w:t xml:space="preserve"> („Bote des Herrn“) bezeichnet in der Septuaginta Gottes Engel (vgl. </w:t>
      </w:r>
      <w:hyperlink r:id="rId183">
        <w:r>
          <w:rPr>
            <w:rStyle w:val="Internetverknpfung"/>
          </w:rPr>
          <w:t>Exodus 3</w:t>
        </w:r>
      </w:hyperlink>
      <w:r>
        <w:rPr/>
        <w:t xml:space="preserve"> und </w:t>
      </w:r>
      <w:hyperlink r:id="rId184">
        <w:r>
          <w:rPr>
            <w:rStyle w:val="Internetverknpfung"/>
          </w:rPr>
          <w:t>Richter 6</w:t>
        </w:r>
      </w:hyperlink>
      <w:r>
        <w:rPr/>
        <w:t>). Hier im Neuen Testament bezieht sich „der Herr“ gleichzeitig auch auf Jesus.</w:t>
      </w:r>
    </w:p>
  </w:footnote>
  <w:footnote w:id="1323">
    <w:p>
      <w:pPr>
        <w:pStyle w:val="Funote"/>
        <w:rPr/>
      </w:pPr>
      <w:r>
        <w:rPr>
          <w:rStyle w:val="Funotenzeichen"/>
        </w:rPr>
        <w:footnoteRef/>
      </w:r>
      <w:r>
        <w:rPr/>
        <w:tab/>
        <w:t>Partizipien Aorist Aktiv</w:t>
      </w:r>
    </w:p>
  </w:footnote>
  <w:footnote w:id="1324">
    <w:p>
      <w:pPr>
        <w:pStyle w:val="Funote"/>
        <w:rPr/>
      </w:pPr>
      <w:r>
        <w:rPr>
          <w:rStyle w:val="Funotenzeichen"/>
        </w:rPr>
        <w:footnoteRef/>
      </w:r>
      <w:r>
        <w:rPr/>
        <w:tab/>
        <w:t>Einige Handschriften ergänzen: „vom Eingang“ oder „vom Eingang des Grabes“.</w:t>
      </w:r>
    </w:p>
  </w:footnote>
  <w:footnote w:id="1325">
    <w:p>
      <w:pPr>
        <w:pStyle w:val="Funote"/>
        <w:rPr/>
      </w:pPr>
      <w:r>
        <w:rPr>
          <w:rStyle w:val="Funotenzeichen"/>
        </w:rPr>
        <w:footnoteRef/>
      </w:r>
      <w:r>
        <w:rPr/>
        <w:tab/>
        <w:t>Partizip Aorist Deponens</w:t>
      </w:r>
    </w:p>
  </w:footnote>
  <w:footnote w:id="1326">
    <w:p>
      <w:pPr>
        <w:pStyle w:val="Funote"/>
        <w:rPr/>
      </w:pPr>
      <w:r>
        <w:rPr>
          <w:rStyle w:val="Funotenzeichen"/>
        </w:rPr>
        <w:footnoteRef/>
      </w:r>
      <w:r>
        <w:rPr/>
        <w:tab/>
        <w:t>Das »ihr« ist sprachlich betont. (Siehe die Übersetzung bei U.Luz 2002, 395).</w:t>
      </w:r>
    </w:p>
  </w:footnote>
  <w:footnote w:id="1327">
    <w:p>
      <w:pPr>
        <w:pStyle w:val="Funote"/>
        <w:rPr/>
      </w:pPr>
      <w:r>
        <w:rPr>
          <w:rStyle w:val="Funotenzeichen"/>
        </w:rPr>
        <w:footnoteRef/>
      </w:r>
      <w:r>
        <w:rPr/>
        <w:tab/>
        <w:t>Einige Handschriften: „wo der Herr“.</w:t>
      </w:r>
    </w:p>
  </w:footnote>
  <w:footnote w:id="1328">
    <w:p>
      <w:pPr>
        <w:pStyle w:val="Funote"/>
        <w:rPr/>
      </w:pPr>
      <w:r>
        <w:rPr>
          <w:rStyle w:val="Funotenzeichen"/>
        </w:rPr>
        <w:footnoteRef/>
      </w:r>
      <w:r>
        <w:rPr/>
        <w:tab/>
        <w:t>Partizip Aorist Deponens</w:t>
      </w:r>
    </w:p>
  </w:footnote>
  <w:footnote w:id="1329">
    <w:p>
      <w:pPr>
        <w:pStyle w:val="Funote"/>
        <w:rPr/>
      </w:pPr>
      <w:r>
        <w:rPr>
          <w:rStyle w:val="Funotenzeichen"/>
        </w:rPr>
        <w:footnoteRef/>
      </w:r>
      <w:hyperlink r:id="rId185">
        <w:r>
          <w:rPr>
            <w:rStyle w:val="Internetverknpfung"/>
          </w:rPr>
          <w:tab/>
          <w:t>Generisches Maskulinum</w:t>
        </w:r>
      </w:hyperlink>
      <w:r>
        <w:rPr/>
        <w:t>.</w:t>
      </w:r>
    </w:p>
  </w:footnote>
  <w:footnote w:id="1330">
    <w:p>
      <w:pPr>
        <w:pStyle w:val="Funote"/>
        <w:rPr/>
      </w:pPr>
      <w:r>
        <w:rPr>
          <w:rStyle w:val="Funotenzeichen"/>
        </w:rPr>
        <w:footnoteRef/>
      </w:r>
      <w:r>
        <w:rPr/>
        <w:tab/>
        <w:t>Partizip Aorist Aktiv</w:t>
      </w:r>
    </w:p>
  </w:footnote>
  <w:footnote w:id="1331">
    <w:p>
      <w:pPr>
        <w:pStyle w:val="Funote"/>
        <w:rPr/>
      </w:pPr>
      <w:r>
        <w:rPr>
          <w:rStyle w:val="Funotenzeichen"/>
        </w:rPr>
        <w:footnoteRef/>
      </w:r>
      <w:r>
        <w:rPr/>
        <w:tab/>
        <w:t>Viele Handschriften: „hinaus aus dem Grab“. Bei dem vermutlich ursprünglichen „hinaus“ bleibt offen, ob die Frauen ins Grab gehen oder nicht. (Vgl. U.Luz 2002, 395, Fußnote 5.)</w:t>
      </w:r>
    </w:p>
  </w:footnote>
  <w:footnote w:id="1332">
    <w:p>
      <w:pPr>
        <w:pStyle w:val="Funote"/>
        <w:rPr/>
      </w:pPr>
      <w:r>
        <w:rPr>
          <w:rStyle w:val="Funotenzeichen"/>
        </w:rPr>
        <w:footnoteRef/>
      </w:r>
      <w:r>
        <w:rPr/>
        <w:tab/>
        <w:t>Die Bibel in gerechter Sprache übersetzt: „mit Ehrfurcht“. Gegen diese Deutung spricht die Wortverwandtschaft mit „Fürchtet euch nicht“ (Vers 5).</w:t>
      </w:r>
    </w:p>
  </w:footnote>
  <w:footnote w:id="1333">
    <w:p>
      <w:pPr>
        <w:pStyle w:val="Funote"/>
        <w:rPr/>
      </w:pPr>
      <w:r>
        <w:rPr>
          <w:rStyle w:val="Funotenzeichen"/>
        </w:rPr>
        <w:footnoteRef/>
      </w:r>
      <w:r>
        <w:rPr/>
        <w:tab/>
        <w:t>Viele Handschriften ergänzen: „als (während, weil) sie gingen, um es seinen Jüngern (Jüngerinnen) zu berichten“.</w:t>
      </w:r>
    </w:p>
  </w:footnote>
  <w:footnote w:id="1334">
    <w:p>
      <w:pPr>
        <w:pStyle w:val="Funote"/>
        <w:rPr/>
      </w:pPr>
      <w:r>
        <w:rPr>
          <w:rStyle w:val="Funotenzeichen"/>
        </w:rPr>
        <w:footnoteRef/>
      </w:r>
      <w:r>
        <w:rPr/>
        <w:tab/>
        <w:t>Partizip Präsens Aktiv</w:t>
      </w:r>
    </w:p>
  </w:footnote>
  <w:footnote w:id="1335">
    <w:p>
      <w:pPr>
        <w:pStyle w:val="Funote"/>
        <w:rPr/>
      </w:pPr>
      <w:r>
        <w:rPr>
          <w:rStyle w:val="Funotenzeichen"/>
        </w:rPr>
        <w:footnoteRef/>
      </w:r>
      <w:r>
        <w:rPr/>
        <w:tab/>
        <w:t>„</w:t>
      </w:r>
      <w:r>
        <w:rPr/>
        <w:t>Freut euch“ ist eine griechische Grußformel (Bauer/Aland).</w:t>
      </w:r>
    </w:p>
  </w:footnote>
  <w:footnote w:id="1336">
    <w:p>
      <w:pPr>
        <w:pStyle w:val="Funote"/>
        <w:rPr/>
      </w:pPr>
      <w:r>
        <w:rPr>
          <w:rStyle w:val="Funotenzeichen"/>
        </w:rPr>
        <w:footnoteRef/>
      </w:r>
      <w:r>
        <w:rPr/>
        <w:tab/>
        <w:t>Partizip Aorist Aktiv</w:t>
      </w:r>
    </w:p>
  </w:footnote>
  <w:footnote w:id="1337">
    <w:p>
      <w:pPr>
        <w:pStyle w:val="Funote"/>
        <w:rPr/>
      </w:pPr>
      <w:r>
        <w:rPr>
          <w:rStyle w:val="Funotenzeichen"/>
        </w:rPr>
        <w:footnoteRef/>
      </w:r>
      <w:r>
        <w:rPr/>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338">
    <w:p>
      <w:pPr>
        <w:pStyle w:val="Funote"/>
        <w:rPr/>
      </w:pPr>
      <w:r>
        <w:rPr>
          <w:rStyle w:val="Funotenzeichen"/>
        </w:rPr>
        <w:footnoteRef/>
      </w:r>
      <w:r>
        <w:rPr/>
        <w:tab/>
        <w:t xml:space="preserve">Partizip Präsens Deponens im </w:t>
      </w:r>
      <w:hyperlink r:id="rId186">
        <w:r>
          <w:rPr>
            <w:rStyle w:val="Internetverknpfung"/>
          </w:rPr>
          <w:t>Genitivus absolutus</w:t>
        </w:r>
      </w:hyperlink>
    </w:p>
  </w:footnote>
  <w:footnote w:id="1339">
    <w:p>
      <w:pPr>
        <w:pStyle w:val="Funote"/>
        <w:rPr/>
      </w:pPr>
      <w:r>
        <w:rPr>
          <w:rStyle w:val="Funotenzeichen"/>
        </w:rPr>
        <w:footnoteRef/>
      </w:r>
      <w:r>
        <w:rPr/>
        <w:tab/>
        <w:t>Partizip Aorist Aktiv</w:t>
      </w:r>
    </w:p>
  </w:footnote>
  <w:footnote w:id="1340">
    <w:p>
      <w:pPr>
        <w:pStyle w:val="Funote"/>
        <w:rPr/>
      </w:pPr>
      <w:r>
        <w:rPr>
          <w:rStyle w:val="Funotenzeichen"/>
        </w:rPr>
        <w:footnoteRef/>
      </w:r>
      <w:r>
        <w:rPr/>
        <w:tab/>
        <w:t>Partizipien Aorist Passiv und Aorist Aktiv</w:t>
      </w:r>
    </w:p>
  </w:footnote>
  <w:footnote w:id="1341">
    <w:p>
      <w:pPr>
        <w:pStyle w:val="Funote"/>
        <w:rPr/>
      </w:pPr>
      <w:r>
        <w:rPr>
          <w:rStyle w:val="Funotenzeichen"/>
        </w:rPr>
        <w:footnoteRef/>
      </w:r>
      <w:r>
        <w:rPr/>
        <w:tab/>
        <w:t>Partizip Präsens Aktiv</w:t>
      </w:r>
    </w:p>
  </w:footnote>
  <w:footnote w:id="1342">
    <w:p>
      <w:pPr>
        <w:pStyle w:val="Funote"/>
        <w:rPr/>
      </w:pPr>
      <w:r>
        <w:rPr>
          <w:rStyle w:val="Funotenzeichen"/>
        </w:rPr>
        <w:footnoteRef/>
      </w:r>
      <w:hyperlink r:id="rId187">
        <w:r>
          <w:rPr>
            <w:rStyle w:val="Internetverknpfung"/>
          </w:rPr>
          <w:tab/>
          <w:t>Ὅτι recitativum"&gt;</w:t>
        </w:r>
        <w:r>
          <w:rPr>
            <w:rStyle w:val="Internetverknpfung"/>
            <w:lang w:val="el-GR"/>
          </w:rPr>
          <w:t>Ὅτι</w:t>
        </w:r>
        <w:r>
          <w:rPr>
            <w:rStyle w:val="Internetverknpfung"/>
          </w:rPr>
          <w:t xml:space="preserve"> recitativum</w:t>
        </w:r>
      </w:hyperlink>
    </w:p>
  </w:footnote>
  <w:footnote w:id="1343">
    <w:p>
      <w:pPr>
        <w:pStyle w:val="Funote"/>
        <w:rPr/>
      </w:pPr>
      <w:r>
        <w:rPr>
          <w:rStyle w:val="Funotenzeichen"/>
        </w:rPr>
        <w:footnoteRef/>
      </w:r>
      <w:r>
        <w:rPr/>
        <w:tab/>
        <w:t>Partizip Aorist Aktiv</w:t>
      </w:r>
    </w:p>
  </w:footnote>
  <w:footnote w:id="1344">
    <w:p>
      <w:pPr>
        <w:pStyle w:val="Funote"/>
        <w:rPr/>
      </w:pPr>
      <w:r>
        <w:rPr>
          <w:rStyle w:val="Funotenzeichen"/>
        </w:rPr>
        <w:footnoteRef/>
      </w:r>
      <w:r>
        <w:rPr/>
        <w:tab/>
        <w:t>Partizip Präsens Passiv</w:t>
      </w:r>
    </w:p>
  </w:footnote>
  <w:footnote w:id="1345">
    <w:p>
      <w:pPr>
        <w:pStyle w:val="Funote"/>
        <w:rPr/>
      </w:pPr>
      <w:r>
        <w:rPr>
          <w:rStyle w:val="Funotenzeichen"/>
        </w:rPr>
        <w:footnoteRef/>
      </w:r>
      <w:r>
        <w:rPr/>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346">
    <w:p>
      <w:pPr>
        <w:pStyle w:val="Funote"/>
        <w:rPr/>
      </w:pPr>
      <w:r>
        <w:rPr>
          <w:rStyle w:val="Funotenzeichen"/>
        </w:rPr>
        <w:footnoteRef/>
      </w:r>
      <w:r>
        <w:rPr/>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347">
    <w:p>
      <w:pPr>
        <w:pStyle w:val="Funote"/>
        <w:rPr/>
      </w:pPr>
      <w:r>
        <w:rPr>
          <w:rStyle w:val="Funotenzeichen"/>
        </w:rPr>
        <w:footnoteRef/>
      </w:r>
      <w:r>
        <w:rPr/>
        <w:tab/>
        <w:t>wörtlich: und euch sorgenfrei machen</w:t>
      </w:r>
    </w:p>
  </w:footnote>
  <w:footnote w:id="1348">
    <w:p>
      <w:pPr>
        <w:pStyle w:val="Funote"/>
        <w:rPr/>
      </w:pPr>
      <w:r>
        <w:rPr>
          <w:rStyle w:val="Funotenzeichen"/>
        </w:rPr>
        <w:footnoteRef/>
      </w:r>
      <w:r>
        <w:rPr/>
        <w:tab/>
        <w:t>Partizip Aorist Aktiv</w:t>
      </w:r>
    </w:p>
  </w:footnote>
  <w:footnote w:id="1349">
    <w:p>
      <w:pPr>
        <w:pStyle w:val="Funote"/>
        <w:rPr/>
      </w:pPr>
      <w:r>
        <w:rPr>
          <w:rStyle w:val="Funotenzeichen"/>
        </w:rPr>
        <w:footnoteRef/>
      </w:r>
      <w:r>
        <w:rPr/>
        <w:tab/>
        <w:t>andere Handschriften: erschien</w:t>
      </w:r>
    </w:p>
  </w:footnote>
  <w:footnote w:id="1350">
    <w:p>
      <w:pPr>
        <w:pStyle w:val="Funote"/>
        <w:rPr/>
      </w:pPr>
      <w:r>
        <w:rPr>
          <w:rStyle w:val="Funotenzeichen"/>
        </w:rPr>
        <w:footnoteRef/>
      </w:r>
      <w:r>
        <w:rPr/>
        <w:tab/>
        <w:t>Es handelt sich nicht um alle Juden, da im Text kein bestimmter Artikel steht (U.Luz 2002, 423–425).</w:t>
      </w:r>
    </w:p>
  </w:footnote>
  <w:footnote w:id="1351">
    <w:p>
      <w:pPr>
        <w:pStyle w:val="Funote"/>
        <w:rPr/>
      </w:pPr>
      <w:r>
        <w:rPr>
          <w:rStyle w:val="Funotenzeichen"/>
        </w:rPr>
        <w:footnoteRef/>
      </w:r>
      <w:r>
        <w:rPr/>
        <w:tab/>
        <w:t>Partizip Präsens Aktiv</w:t>
      </w:r>
    </w:p>
  </w:footnote>
  <w:footnote w:id="1352">
    <w:p>
      <w:pPr>
        <w:pStyle w:val="Funote"/>
        <w:rPr/>
      </w:pPr>
      <w:r>
        <w:rPr>
          <w:rStyle w:val="Funotenzeichen"/>
        </w:rPr>
        <w:footnoteRef/>
      </w:r>
      <w:r>
        <w:rPr/>
        <w:tab/>
        <w:t>Siehe Fußnote zu Vers 9.</w:t>
      </w:r>
    </w:p>
  </w:footnote>
  <w:footnote w:id="1353">
    <w:p>
      <w:pPr>
        <w:pStyle w:val="Funote"/>
        <w:rPr/>
      </w:pPr>
      <w:r>
        <w:rPr>
          <w:rStyle w:val="Funotenzeichen"/>
        </w:rPr>
        <w:footnoteRef/>
      </w:r>
      <w:r>
        <w:rPr/>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354">
    <w:p>
      <w:pPr>
        <w:pStyle w:val="Funote"/>
        <w:rPr/>
      </w:pPr>
      <w:r>
        <w:rPr>
          <w:rStyle w:val="Funotenzeichen"/>
        </w:rPr>
        <w:footnoteRef/>
      </w:r>
      <w:r>
        <w:rPr/>
        <w:tab/>
        <w:t>Partizip Präsens aktiv</w:t>
      </w:r>
    </w:p>
  </w:footnote>
  <w:footnote w:id="1355">
    <w:p>
      <w:pPr>
        <w:pStyle w:val="Funote"/>
        <w:rPr/>
      </w:pPr>
      <w:r>
        <w:rPr>
          <w:rStyle w:val="Funotenzeichen"/>
        </w:rPr>
        <w:footnoteRef/>
      </w:r>
      <w:hyperlink r:id="rId188">
        <w:r>
          <w:rPr>
            <w:rStyle w:val="Internetverknpfung"/>
          </w:rPr>
          <w:tab/>
          <w:t>Passivum divinum</w:t>
        </w:r>
      </w:hyperlink>
    </w:p>
  </w:footnote>
  <w:footnote w:id="1356">
    <w:p>
      <w:pPr>
        <w:pStyle w:val="Funote"/>
        <w:rPr/>
      </w:pPr>
      <w:r>
        <w:rPr>
          <w:rStyle w:val="Funotenzeichen"/>
        </w:rPr>
        <w:footnoteRef/>
      </w:r>
      <w:r>
        <w:rPr/>
        <w:tab/>
        <w:t>Der bestimmte Artikel fehlt in vielen wichtigen Handschriften.</w:t>
      </w:r>
    </w:p>
  </w:footnote>
  <w:footnote w:id="1357">
    <w:p>
      <w:pPr>
        <w:pStyle w:val="Funote"/>
        <w:rPr/>
      </w:pPr>
      <w:r>
        <w:rPr>
          <w:rStyle w:val="Funotenzeichen"/>
        </w:rPr>
        <w:footnoteRef/>
      </w:r>
      <w:r>
        <w:rPr/>
        <w:tab/>
        <w:t>Partizip Präsens aktiv</w:t>
      </w:r>
    </w:p>
  </w:footnote>
  <w:footnote w:id="1358">
    <w:p>
      <w:pPr>
        <w:pStyle w:val="Funote"/>
        <w:rPr/>
      </w:pPr>
      <w:r>
        <w:rPr>
          <w:rStyle w:val="Funotenzeichen"/>
        </w:rPr>
        <w:footnoteRef/>
      </w:r>
      <w:r>
        <w:rPr/>
        <w:tab/>
        <w:t>[Status: Sehr gut]</w:t>
      </w:r>
    </w:p>
  </w:footnote>
  <w:footnote w:id="1359">
    <w:p>
      <w:pPr>
        <w:pStyle w:val="Funote"/>
        <w:rPr/>
      </w:pPr>
      <w:r>
        <w:rPr>
          <w:rStyle w:val="Funotenzeichen"/>
        </w:rPr>
        <w:footnoteRef/>
      </w:r>
      <w:r>
        <w:rPr/>
        <w:tab/>
        <w:t xml:space="preserve">Das Wort Evangelium (gr. </w:t>
      </w:r>
      <w:r>
        <w:rPr>
          <w:lang w:val="el-GR"/>
        </w:rPr>
        <w:t>εὐαγγέλιον</w:t>
      </w:r>
      <w:r>
        <w:rPr/>
        <w:t>) steht hier noch nicht als literarische Bezeichnung, sondern für die christliche Heilsbotschaft von Jesus. frohe Botschaft von Jesus Christus Im Griechischen steht hier ein Genitiv, den man sowohl objektiv (ein Evangelium über Jesus / das von Jesus handelt) oder subjektiv (ein Evangelium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360">
    <w:p>
      <w:pPr>
        <w:pStyle w:val="Funote"/>
        <w:rPr/>
      </w:pPr>
      <w:r>
        <w:rPr>
          <w:rStyle w:val="Funotenzeichen"/>
        </w:rPr>
        <w:footnoteRef/>
      </w:r>
      <w:r>
        <w:rPr/>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1361">
    <w:p>
      <w:pPr>
        <w:pStyle w:val="Funote"/>
        <w:rPr/>
      </w:pPr>
      <w:r>
        <w:rPr>
          <w:rStyle w:val="Funotenzeichen"/>
        </w:rPr>
        <w:footnoteRef/>
      </w:r>
      <w:r>
        <w:rPr/>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362">
    <w:p>
      <w:pPr>
        <w:pStyle w:val="Funote"/>
        <w:rPr/>
      </w:pPr>
      <w:r>
        <w:rPr>
          <w:rStyle w:val="Funotenzeichen"/>
        </w:rPr>
        <w:footnoteRef/>
      </w:r>
      <w:r>
        <w:rPr/>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363">
    <w:p>
      <w:pPr>
        <w:pStyle w:val="Funote"/>
        <w:rPr/>
      </w:pPr>
      <w:r>
        <w:rPr>
          <w:rStyle w:val="Funotenzeichen"/>
        </w:rPr>
        <w:footnoteRef/>
      </w:r>
      <w:r>
        <w:rPr>
          <w:i/>
        </w:rPr>
        <w:tab/>
        <w:t>Stimme eines Rufenden in der Wüste</w:t>
      </w:r>
      <w:r>
        <w:rPr/>
        <w:t xml:space="preserve"> Dass hier kein Verb steht, liegt daran, dass der griechische AT-Text sehr wörtlich aus dem Hebräischen übersetzt ist, wo solche gerafften, verblosen Formulierungen nicht ungewöhnlich sind. </w:t>
      </w:r>
    </w:p>
  </w:footnote>
  <w:footnote w:id="1364">
    <w:p>
      <w:pPr>
        <w:pStyle w:val="Funote"/>
        <w:rPr/>
      </w:pPr>
      <w:r>
        <w:rPr>
          <w:rStyle w:val="Funotenzeichen"/>
        </w:rPr>
        <w:footnoteRef/>
      </w:r>
      <w:r>
        <w:rPr/>
        <w:tab/>
        <w:t>Anders als von Markus angeben ist das Zitat eine Zusammenstellung aus Jesaja (Jes 40,3 LXX) und Maleachi 3,1.</w:t>
      </w:r>
    </w:p>
  </w:footnote>
  <w:footnote w:id="1365">
    <w:p>
      <w:pPr>
        <w:pStyle w:val="Funote"/>
        <w:rPr/>
      </w:pPr>
      <w:r>
        <w:rPr>
          <w:rStyle w:val="Funotenzeichen"/>
        </w:rPr>
        <w:footnoteRef/>
      </w:r>
      <w:r>
        <w:rPr/>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366">
    <w:p>
      <w:pPr>
        <w:pStyle w:val="Funote"/>
        <w:rPr/>
      </w:pPr>
      <w:r>
        <w:rPr>
          <w:rStyle w:val="Funotenzeichen"/>
        </w:rPr>
        <w:footnoteRef/>
      </w:r>
      <w:r>
        <w:rPr>
          <w:i/>
        </w:rPr>
        <w:tab/>
        <w:t>Johannes der Täufer</w:t>
      </w:r>
      <w:r>
        <w:rPr/>
        <w:t xml:space="preserve"> und </w:t>
      </w:r>
      <w:r>
        <w:rPr>
          <w:i/>
        </w:rPr>
        <w:t>Johannes, der in der Wüste taufte</w:t>
      </w:r>
      <w:r>
        <w:rPr/>
        <w:t>: Es gibt an dieser Stelle leicht verschiedene Lesarten in den Handschriften.</w:t>
      </w:r>
    </w:p>
  </w:footnote>
  <w:footnote w:id="1367">
    <w:p>
      <w:pPr>
        <w:pStyle w:val="Funote"/>
        <w:rPr/>
      </w:pPr>
      <w:r>
        <w:rPr>
          <w:rStyle w:val="Funotenzeichen"/>
        </w:rPr>
        <w:footnoteRef/>
      </w:r>
      <w:r>
        <w:rPr/>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368">
    <w:p>
      <w:pPr>
        <w:pStyle w:val="Funote"/>
        <w:rPr/>
      </w:pPr>
      <w:r>
        <w:rPr>
          <w:rStyle w:val="Funotenzeichen"/>
        </w:rPr>
        <w:footnoteRef/>
      </w:r>
      <w:r>
        <w:rPr>
          <w:i/>
        </w:rPr>
        <w:tab/>
        <w:t>das gesamte judäische Gebiet</w:t>
      </w:r>
      <w:r>
        <w:rPr/>
        <w:t xml:space="preserve"> Hier sind zwei Stilmittel verflochten. Das </w:t>
      </w:r>
      <w:r>
        <w:rPr>
          <w:i/>
        </w:rPr>
        <w:t>judäische Gebiet</w:t>
      </w:r>
      <w:r>
        <w:rPr/>
        <w:t xml:space="preserve"> steht für dessen Bewohner (Metonymie des Subjekts). Und dass es alle waren, ist natürlich eine Übertreibung (Hyperbel).</w:t>
      </w:r>
    </w:p>
  </w:footnote>
  <w:footnote w:id="1369">
    <w:p>
      <w:pPr>
        <w:pStyle w:val="Funote"/>
        <w:rPr/>
      </w:pPr>
      <w:r>
        <w:rPr>
          <w:rStyle w:val="Funotenzeichen"/>
        </w:rPr>
        <w:footnoteRef/>
      </w:r>
      <w:r>
        <w:rPr>
          <w:i/>
        </w:rPr>
        <w:tab/>
        <w:t>begaben sich hinaus</w:t>
      </w:r>
      <w:r>
        <w:rPr/>
        <w:t xml:space="preserve"> Im Griechischen im Sg., als Prädikat zur „gesamten judäischen Region“.</w:t>
      </w:r>
    </w:p>
  </w:footnote>
  <w:footnote w:id="1370">
    <w:p>
      <w:pPr>
        <w:pStyle w:val="Funote"/>
        <w:rPr/>
      </w:pPr>
      <w:r>
        <w:rPr>
          <w:rStyle w:val="Funotenzeichen"/>
        </w:rPr>
        <w:footnoteRef/>
      </w:r>
      <w:r>
        <w:rPr/>
        <w:tab/>
        <w:t xml:space="preserve">Die beiden Imperfekte </w:t>
      </w:r>
      <w:r>
        <w:rPr>
          <w:i/>
        </w:rPr>
        <w:t>begaben sich hinaus</w:t>
      </w:r>
      <w:r>
        <w:rPr/>
        <w:t xml:space="preserve"> und </w:t>
      </w:r>
      <w:r>
        <w:rPr>
          <w:i/>
        </w:rPr>
        <w:t>ließen sich taufen</w:t>
      </w:r>
      <w:r>
        <w:rPr/>
        <w:t xml:space="preserve"> bringen in V. 5 zum Ausdruck, dass Johannes über einen längeren Zeitraum hinweg Menschenmengen anzog. </w:t>
      </w:r>
    </w:p>
  </w:footnote>
  <w:footnote w:id="1371">
    <w:p>
      <w:pPr>
        <w:pStyle w:val="Funote"/>
        <w:rPr/>
      </w:pPr>
      <w:r>
        <w:rPr>
          <w:rStyle w:val="Funotenzeichen"/>
        </w:rPr>
        <w:footnoteRef/>
      </w:r>
      <w:r>
        <w:rPr/>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372">
    <w:p>
      <w:pPr>
        <w:pStyle w:val="Funote"/>
        <w:rPr/>
      </w:pPr>
      <w:r>
        <w:rPr>
          <w:rStyle w:val="Funotenzeichen"/>
        </w:rPr>
        <w:footnoteRef/>
      </w:r>
      <w:r>
        <w:rPr/>
        <w:tab/>
        <w:t>Kamelhaar und Ledergürtel, w. „Haare [des] Kamels“ bzw. „ledernen Gürtel“. Durch seine Kleidung gibt sich Johannes als Prophet (Sach 13,4 LXX) und der wiedergekehrte Elia zu erkennen (2Kö 1,8 LXX).</w:t>
      </w:r>
    </w:p>
  </w:footnote>
  <w:footnote w:id="1373">
    <w:p>
      <w:pPr>
        <w:pStyle w:val="Funote"/>
        <w:rPr/>
      </w:pPr>
      <w:r>
        <w:rPr>
          <w:rStyle w:val="Funotenzeichen"/>
        </w:rPr>
        <w:footnoteRef/>
      </w:r>
      <w:r>
        <w:rPr/>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374">
    <w:p>
      <w:pPr>
        <w:pStyle w:val="Funote"/>
        <w:rPr/>
      </w:pPr>
      <w:r>
        <w:rPr>
          <w:rStyle w:val="Funotenzeichen"/>
        </w:rPr>
        <w:footnoteRef/>
      </w:r>
      <w:r>
        <w:rPr>
          <w:i/>
        </w:rPr>
        <w:tab/>
        <w:t>predigte</w:t>
      </w:r>
      <w:r>
        <w:rPr/>
        <w:t xml:space="preserve"> Das </w:t>
      </w:r>
      <w:hyperlink r:id="rId189">
        <w:r>
          <w:rPr>
            <w:rStyle w:val="Internetverknpfung"/>
          </w:rPr>
          <w:t>Imperfekt</w:t>
        </w:r>
      </w:hyperlink>
      <w:r>
        <w:rPr/>
        <w:t xml:space="preserve">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 </w:t>
      </w:r>
    </w:p>
  </w:footnote>
  <w:footnote w:id="1375">
    <w:p>
      <w:pPr>
        <w:pStyle w:val="Funote"/>
        <w:rPr/>
      </w:pPr>
      <w:r>
        <w:rPr>
          <w:rStyle w:val="Funotenzeichen"/>
        </w:rPr>
        <w:footnoteRef/>
      </w:r>
      <w:r>
        <w:rPr>
          <w:i/>
        </w:rPr>
        <w:tab/>
        <w:t>[einer], der mächtiger [ist] als ich</w:t>
      </w:r>
      <w:r>
        <w:rPr/>
        <w:t xml:space="preserve"> Gr. </w:t>
      </w:r>
      <w:r>
        <w:rPr>
          <w:lang w:val="el-GR"/>
        </w:rPr>
        <w:t>ὁ ἰσχυρότερός μου</w:t>
      </w:r>
      <w:r>
        <w:rPr/>
        <w:t xml:space="preserve">, W. „der Mächtigere als ich“. </w:t>
      </w:r>
    </w:p>
  </w:footnote>
  <w:footnote w:id="1376">
    <w:p>
      <w:pPr>
        <w:pStyle w:val="Funote"/>
        <w:rPr/>
      </w:pPr>
      <w:r>
        <w:rPr>
          <w:rStyle w:val="Funotenzeichen"/>
        </w:rPr>
        <w:footnoteRef/>
      </w:r>
      <w:r>
        <w:rPr/>
        <w:tab/>
        <w:t>mich zu bücken und Adverbiales Partizip Aorist aktiv, hier einmal gleichzeitig übersetzt (modal; vgl. NSS). In der Klammer ist das griechische mit dem deutschen Partizip 2 übersetzt.</w:t>
      </w:r>
    </w:p>
  </w:footnote>
  <w:footnote w:id="1377">
    <w:p>
      <w:pPr>
        <w:pStyle w:val="Funote"/>
        <w:rPr/>
      </w:pPr>
      <w:r>
        <w:rPr>
          <w:rStyle w:val="Funotenzeichen"/>
        </w:rPr>
        <w:footnoteRef/>
      </w:r>
      <w:r>
        <w:rPr>
          <w:i/>
        </w:rPr>
        <w:tab/>
        <w:t>ihm</w:t>
      </w:r>
      <w:r>
        <w:rPr/>
        <w:t xml:space="preserve"> Eigentlich ein Relativpronomen („dem“), das den Satz vom vorigen abhängig macht: „dem ich nicht würdig bin...“</w:t>
      </w:r>
    </w:p>
  </w:footnote>
  <w:footnote w:id="1378">
    <w:p>
      <w:pPr>
        <w:pStyle w:val="Funote"/>
        <w:rPr/>
      </w:pPr>
      <w:r>
        <w:rPr>
          <w:rStyle w:val="Funotenzeichen"/>
        </w:rPr>
        <w:footnoteRef/>
      </w:r>
      <w:r>
        <w:rPr/>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379">
    <w:p>
      <w:pPr>
        <w:pStyle w:val="Funote"/>
        <w:rPr/>
      </w:pPr>
      <w:r>
        <w:rPr>
          <w:rStyle w:val="Funotenzeichen"/>
        </w:rPr>
        <w:footnoteRef/>
      </w:r>
      <w:r>
        <w:rPr/>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380">
    <w:p>
      <w:pPr>
        <w:pStyle w:val="Funote"/>
        <w:rPr/>
      </w:pPr>
      <w:r>
        <w:rPr>
          <w:rStyle w:val="Funotenzeichen"/>
        </w:rPr>
        <w:footnoteRef/>
      </w:r>
      <w:r>
        <w:rPr>
          <w:i/>
        </w:rPr>
        <w:tab/>
        <w:t>als … stieg</w:t>
      </w:r>
      <w:r>
        <w:rPr/>
        <w:t xml:space="preserve"> </w:t>
      </w:r>
      <w:hyperlink r:id="rId190">
        <w:r>
          <w:rPr>
            <w:rStyle w:val="Internetverknpfung"/>
          </w:rPr>
          <w:t>Partizip</w:t>
        </w:r>
      </w:hyperlink>
      <w:r>
        <w:rPr/>
        <w:t xml:space="preserve"> Präsens aktiv (temporal übersetztes Ptz. conj.).</w:t>
      </w:r>
    </w:p>
  </w:footnote>
  <w:footnote w:id="1381">
    <w:p>
      <w:pPr>
        <w:pStyle w:val="Funote"/>
        <w:rPr/>
      </w:pPr>
      <w:r>
        <w:rPr>
          <w:rStyle w:val="Funotenzeichen"/>
        </w:rPr>
        <w:footnoteRef/>
      </w:r>
      <w:r>
        <w:rPr/>
        <w:tab/>
        <w:t>Gr. im Pl. „die Himmel“</w:t>
      </w:r>
    </w:p>
  </w:footnote>
  <w:footnote w:id="1382">
    <w:p>
      <w:pPr>
        <w:pStyle w:val="Funote"/>
        <w:rPr/>
      </w:pPr>
      <w:r>
        <w:rPr>
          <w:rStyle w:val="Funotenzeichen"/>
        </w:rPr>
        <w:footnoteRef/>
      </w:r>
      <w:r>
        <w:rPr/>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383">
    <w:p>
      <w:pPr>
        <w:pStyle w:val="Funote"/>
        <w:rPr/>
      </w:pPr>
      <w:r>
        <w:rPr>
          <w:rStyle w:val="Funotenzeichen"/>
        </w:rPr>
        <w:footnoteRef/>
      </w:r>
      <w:r>
        <w:rPr/>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384">
    <w:p>
      <w:pPr>
        <w:pStyle w:val="Funote"/>
        <w:rPr/>
      </w:pPr>
      <w:r>
        <w:rPr>
          <w:rStyle w:val="Funotenzeichen"/>
        </w:rPr>
        <w:footnoteRef/>
      </w:r>
      <w:r>
        <w:rPr/>
        <w:tab/>
        <w:t>kam (geschah) W. geschah Wieder drückt sich Markus sehr semitisch aus. Im Deutschen ist wieder eine sinngemäße Formulierung nötig. Textkritik: Andere Handschriften lesen „Und eine Stimme wurde gehört“ oder „Und eine Stimme“.</w:t>
      </w:r>
    </w:p>
  </w:footnote>
  <w:footnote w:id="1385">
    <w:p>
      <w:pPr>
        <w:pStyle w:val="Funote"/>
        <w:rPr/>
      </w:pPr>
      <w:r>
        <w:rPr>
          <w:rStyle w:val="Funotenzeichen"/>
        </w:rPr>
        <w:footnoteRef/>
      </w:r>
      <w:r>
        <w:rPr>
          <w:i/>
        </w:rPr>
        <w:tab/>
        <w:t>dem Himmel</w:t>
      </w:r>
      <w:r>
        <w:rPr/>
        <w:t xml:space="preserve"> Gr. Pl. „den Himmeln“</w:t>
      </w:r>
    </w:p>
  </w:footnote>
  <w:footnote w:id="1386">
    <w:p>
      <w:pPr>
        <w:pStyle w:val="Funote"/>
        <w:rPr/>
      </w:pPr>
      <w:r>
        <w:rPr>
          <w:rStyle w:val="Funotenzeichen"/>
        </w:rPr>
        <w:footnoteRef/>
      </w:r>
      <w:r>
        <w:rPr/>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387">
    <w:p>
      <w:pPr>
        <w:pStyle w:val="Funote"/>
        <w:rPr/>
      </w:pPr>
      <w:r>
        <w:rPr>
          <w:rStyle w:val="Funotenzeichen"/>
        </w:rPr>
        <w:footnoteRef/>
      </w:r>
      <w:r>
        <w:rPr/>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388">
    <w:p>
      <w:pPr>
        <w:pStyle w:val="Funote"/>
        <w:rPr/>
      </w:pPr>
      <w:r>
        <w:rPr>
          <w:rStyle w:val="Funotenzeichen"/>
        </w:rPr>
        <w:footnoteRef/>
      </w:r>
      <w:r>
        <w:rPr>
          <w:i/>
        </w:rPr>
        <w:tab/>
        <w:t>und (während/wobei) wurde auf die Probe gestellt</w:t>
      </w:r>
      <w:r>
        <w:rPr/>
        <w:t xml:space="preserve"> </w:t>
      </w:r>
      <w:hyperlink r:id="rId191">
        <w:r>
          <w:rPr>
            <w:rStyle w:val="Internetverknpfung"/>
          </w:rPr>
          <w:t>Ptz. coni.</w:t>
        </w:r>
      </w:hyperlink>
      <w:r>
        <w:rPr/>
        <w:t xml:space="preserve">, temporal-modal, als Nebensatz aufgelöst. </w:t>
      </w:r>
    </w:p>
  </w:footnote>
  <w:footnote w:id="1389">
    <w:p>
      <w:pPr>
        <w:pStyle w:val="Funote"/>
        <w:rPr/>
      </w:pPr>
      <w:r>
        <w:rPr>
          <w:rStyle w:val="Funotenzeichen"/>
        </w:rPr>
        <w:footnoteRef/>
      </w:r>
      <w:r>
        <w:rPr>
          <w:i/>
        </w:rPr>
        <w:tab/>
        <w:t>verhaftet</w:t>
      </w:r>
      <w:r>
        <w:rPr/>
        <w:t xml:space="preserve">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 </w:t>
      </w:r>
    </w:p>
  </w:footnote>
  <w:footnote w:id="1390">
    <w:p>
      <w:pPr>
        <w:pStyle w:val="Funote"/>
        <w:rPr/>
      </w:pPr>
      <w:r>
        <w:rPr>
          <w:rStyle w:val="Funotenzeichen"/>
        </w:rPr>
        <w:footnoteRef/>
      </w:r>
      <w:r>
        <w:rPr>
          <w:i/>
        </w:rPr>
        <w:tab/>
        <w:t>verkündete</w:t>
      </w:r>
      <w:r>
        <w:rPr/>
        <w:t xml:space="preserve"> Temporal-modales </w:t>
      </w:r>
      <w:hyperlink r:id="rId192">
        <w:r>
          <w:rPr>
            <w:rStyle w:val="Internetverknpfung"/>
          </w:rPr>
          <w:t>Ptz. conj.</w:t>
        </w:r>
      </w:hyperlink>
      <w:r>
        <w:rPr/>
        <w:t xml:space="preserve"> (Partizip Präsens aktiv), durch Beiordnung mit „und“ übersetzt. </w:t>
      </w:r>
    </w:p>
  </w:footnote>
  <w:footnote w:id="1391">
    <w:p>
      <w:pPr>
        <w:pStyle w:val="Funote"/>
        <w:rPr/>
      </w:pPr>
      <w:r>
        <w:rPr>
          <w:rStyle w:val="Funotenzeichen"/>
        </w:rPr>
        <w:footnoteRef/>
      </w:r>
      <w:r>
        <w:rPr/>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392">
    <w:p>
      <w:pPr>
        <w:pStyle w:val="Funote"/>
        <w:rPr/>
      </w:pPr>
      <w:r>
        <w:rPr>
          <w:rStyle w:val="Funotenzeichen"/>
        </w:rPr>
        <w:footnoteRef/>
      </w:r>
      <w:r>
        <w:rPr>
          <w:i/>
        </w:rPr>
        <w:tab/>
        <w:t>sagte</w:t>
      </w:r>
      <w:r>
        <w:rPr/>
        <w:t xml:space="preserve"> Temporal-modales </w:t>
      </w:r>
      <w:hyperlink r:id="rId193">
        <w:r>
          <w:rPr>
            <w:rStyle w:val="Internetverknpfung"/>
          </w:rPr>
          <w:t>Ptz. conj.</w:t>
        </w:r>
      </w:hyperlink>
      <w:r>
        <w:rPr/>
        <w:t xml:space="preserve"> (Partizip Präsens aktiv), das durch und mit dem Partizip </w:t>
      </w:r>
      <w:r>
        <w:rPr>
          <w:i/>
        </w:rPr>
        <w:t>predigte</w:t>
      </w:r>
      <w:r>
        <w:rPr/>
        <w:t xml:space="preserve"> aus dem letzten Vers verbunden ist und auch so aufgelöst wurde. Die Konstruktion weist die folgende direkte Rede als die Kernbotschaft von Jesu Verkündigung aus. </w:t>
      </w:r>
    </w:p>
  </w:footnote>
  <w:footnote w:id="1393">
    <w:p>
      <w:pPr>
        <w:pStyle w:val="Funote"/>
        <w:rPr/>
      </w:pPr>
      <w:r>
        <w:rPr>
          <w:rStyle w:val="Funotenzeichen"/>
        </w:rPr>
        <w:footnoteRef/>
      </w:r>
      <w:r>
        <w:rPr/>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394">
    <w:p>
      <w:pPr>
        <w:pStyle w:val="Funote"/>
        <w:rPr/>
      </w:pPr>
      <w:r>
        <w:rPr>
          <w:rStyle w:val="Funotenzeichen"/>
        </w:rPr>
        <w:footnoteRef/>
      </w:r>
      <w:r>
        <w:rPr/>
        <w:tab/>
        <w:t>Zu ergänzen</w:t>
      </w:r>
    </w:p>
  </w:footnote>
  <w:footnote w:id="1395">
    <w:p>
      <w:pPr>
        <w:pStyle w:val="Funote"/>
        <w:rPr/>
      </w:pPr>
      <w:r>
        <w:rPr>
          <w:rStyle w:val="Funotenzeichen"/>
        </w:rPr>
        <w:footnoteRef/>
      </w:r>
      <w:r>
        <w:rPr>
          <w:i/>
        </w:rPr>
        <w:tab/>
        <w:t>während … entlangging</w:t>
      </w:r>
      <w:r>
        <w:rPr/>
        <w:t xml:space="preserve"> </w:t>
      </w:r>
      <w:hyperlink r:id="rId194">
        <w:r>
          <w:rPr>
            <w:rStyle w:val="Internetverknpfung"/>
          </w:rPr>
          <w:t>Ptz. conj.</w:t>
        </w:r>
      </w:hyperlink>
      <w:r>
        <w:rPr/>
        <w:t xml:space="preserve"> mit temporaler Sinnrichtung (Partizip Präsens aktiv), als Nebensatz mit </w:t>
      </w:r>
      <w:r>
        <w:rPr>
          <w:i/>
        </w:rPr>
        <w:t>während</w:t>
      </w:r>
      <w:r>
        <w:rPr/>
        <w:t xml:space="preserve"> übersetzt (ebenfalls möglich: „als, gerade“).</w:t>
      </w:r>
    </w:p>
  </w:footnote>
  <w:footnote w:id="1396">
    <w:p>
      <w:pPr>
        <w:pStyle w:val="Funote"/>
        <w:rPr/>
      </w:pPr>
      <w:r>
        <w:rPr>
          <w:rStyle w:val="Funotenzeichen"/>
        </w:rPr>
        <w:footnoteRef/>
      </w:r>
      <w:r>
        <w:rPr/>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397">
    <w:p>
      <w:pPr>
        <w:pStyle w:val="Funote"/>
        <w:rPr/>
      </w:pPr>
      <w:r>
        <w:rPr>
          <w:rStyle w:val="Funotenzeichen"/>
        </w:rPr>
        <w:footnoteRef/>
      </w:r>
      <w:r>
        <w:rPr/>
        <w:tab/>
        <w:t xml:space="preserve">W. ein </w:t>
      </w:r>
      <w:hyperlink r:id="rId195">
        <w:r>
          <w:rPr>
            <w:rStyle w:val="Internetverknpfung"/>
          </w:rPr>
          <w:t>AcI</w:t>
        </w:r>
      </w:hyperlink>
      <w:r>
        <w:rPr/>
        <w:t xml:space="preserve">,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 </w:t>
      </w:r>
    </w:p>
  </w:footnote>
  <w:footnote w:id="1398">
    <w:p>
      <w:pPr>
        <w:pStyle w:val="Funote"/>
        <w:rPr/>
      </w:pPr>
      <w:r>
        <w:rPr>
          <w:rStyle w:val="Funotenzeichen"/>
        </w:rPr>
        <w:footnoteRef/>
      </w:r>
      <w:r>
        <w:rPr>
          <w:i/>
        </w:rPr>
        <w:tab/>
        <w:t>ließen sie ... und</w:t>
      </w:r>
      <w:r>
        <w:rPr/>
        <w:t xml:space="preserve"> Temporal-modales </w:t>
      </w:r>
      <w:hyperlink r:id="rId196">
        <w:r>
          <w:rPr>
            <w:rStyle w:val="Internetverknpfung"/>
          </w:rPr>
          <w:t>Ptc. coni.</w:t>
        </w:r>
      </w:hyperlink>
      <w:r>
        <w:rPr/>
        <w:t xml:space="preserve">, mit „und“ beigeordnet. </w:t>
      </w:r>
    </w:p>
  </w:footnote>
  <w:footnote w:id="1399">
    <w:p>
      <w:pPr>
        <w:pStyle w:val="Funote"/>
        <w:rPr/>
      </w:pPr>
      <w:r>
        <w:rPr>
          <w:rStyle w:val="Funotenzeichen"/>
        </w:rPr>
        <w:footnoteRef/>
      </w:r>
      <w:r>
        <w:rPr>
          <w:i/>
        </w:rPr>
        <w:tab/>
        <w:t>nachdem er weitergegangen war</w:t>
      </w:r>
      <w:r>
        <w:rPr/>
        <w:t xml:space="preserve"> </w:t>
      </w:r>
      <w:hyperlink r:id="rId197">
        <w:r>
          <w:rPr>
            <w:rStyle w:val="Internetverknpfung"/>
          </w:rPr>
          <w:t>Ptc. coni.</w:t>
        </w:r>
      </w:hyperlink>
      <w:r>
        <w:rPr/>
        <w:t xml:space="preserve"> (Partizip Aorist aktiv), temporal als Nebensatz mit </w:t>
      </w:r>
      <w:r>
        <w:rPr>
          <w:i/>
        </w:rPr>
        <w:t>nachdem</w:t>
      </w:r>
      <w:r>
        <w:rPr/>
        <w:t xml:space="preserve"> übersetzt. </w:t>
      </w:r>
    </w:p>
  </w:footnote>
  <w:footnote w:id="1400">
    <w:p>
      <w:pPr>
        <w:pStyle w:val="Funote"/>
        <w:rPr/>
      </w:pPr>
      <w:r>
        <w:rPr>
          <w:rStyle w:val="Funotenzeichen"/>
        </w:rPr>
        <w:footnoteRef/>
      </w:r>
      <w:r>
        <w:rPr/>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401">
    <w:p>
      <w:pPr>
        <w:pStyle w:val="Funote"/>
        <w:rPr/>
      </w:pPr>
      <w:r>
        <w:rPr>
          <w:rStyle w:val="Funotenzeichen"/>
        </w:rPr>
        <w:footnoteRef/>
      </w:r>
      <w:r>
        <w:rPr>
          <w:i/>
        </w:rPr>
        <w:tab/>
        <w:t>gingen</w:t>
      </w:r>
      <w:r>
        <w:rPr/>
        <w:t xml:space="preserve"> W. „gingen weg“. </w:t>
      </w:r>
    </w:p>
  </w:footnote>
  <w:footnote w:id="1402">
    <w:p>
      <w:pPr>
        <w:pStyle w:val="Funote"/>
        <w:rPr/>
      </w:pPr>
      <w:r>
        <w:rPr>
          <w:rStyle w:val="Funotenzeichen"/>
        </w:rPr>
        <w:footnoteRef/>
      </w:r>
      <w:r>
        <w:rPr/>
        <w:tab/>
        <w:t>Dann W. „gleich/sofort“, doch im Markusevangelium hat das Wort häufig den Sinn von „dann“. Es leitet also den nächsten Abschnitt der Handlung ein und soll die Spannung aufrecht erhalten (Guelich 1989, 54; France 2002, 103).</w:t>
      </w:r>
    </w:p>
  </w:footnote>
  <w:footnote w:id="1403">
    <w:p>
      <w:pPr>
        <w:pStyle w:val="Funote"/>
        <w:rPr/>
      </w:pPr>
      <w:r>
        <w:rPr>
          <w:rStyle w:val="Funotenzeichen"/>
        </w:rPr>
        <w:footnoteRef/>
      </w:r>
      <w:r>
        <w:rPr>
          <w:i/>
        </w:rPr>
        <w:tab/>
        <w:t>begab er sich … und</w:t>
      </w:r>
      <w:r>
        <w:rPr/>
        <w:t xml:space="preserve"> </w:t>
      </w:r>
      <w:hyperlink r:id="rId198">
        <w:r>
          <w:rPr>
            <w:rStyle w:val="Internetverknpfung"/>
          </w:rPr>
          <w:t>Ptz. conj.</w:t>
        </w:r>
      </w:hyperlink>
      <w:r>
        <w:rPr/>
        <w:t xml:space="preserve"> (Ptz. Aor., temporal-modal), durch Beiordnung mit „und“ aufgelöst. </w:t>
      </w:r>
    </w:p>
  </w:footnote>
  <w:footnote w:id="1404">
    <w:p>
      <w:pPr>
        <w:pStyle w:val="Funote"/>
        <w:rPr/>
      </w:pPr>
      <w:r>
        <w:rPr>
          <w:rStyle w:val="Funotenzeichen"/>
        </w:rPr>
        <w:footnoteRef/>
      </w:r>
      <w:r>
        <w:rPr/>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405">
    <w:p>
      <w:pPr>
        <w:pStyle w:val="Funote"/>
        <w:rPr/>
      </w:pPr>
      <w:r>
        <w:rPr>
          <w:rStyle w:val="Funotenzeichen"/>
        </w:rPr>
        <w:footnoteRef/>
      </w:r>
      <w:r>
        <w:rPr>
          <w:i/>
        </w:rPr>
        <w:tab/>
        <w:t>begann ... zu lehren</w:t>
      </w:r>
      <w:r>
        <w:rPr/>
        <w:t xml:space="preserve"> </w:t>
      </w:r>
      <w:hyperlink r:id="rId199">
        <w:r>
          <w:rPr>
            <w:rStyle w:val="Internetverknpfung"/>
          </w:rPr>
          <w:t>Inchoatives Imperfekt</w:t>
        </w:r>
      </w:hyperlink>
      <w:r>
        <w:rPr/>
        <w:t xml:space="preserve"> (Siebenthal 2011, §198e). </w:t>
      </w:r>
    </w:p>
  </w:footnote>
  <w:footnote w:id="1406">
    <w:p>
      <w:pPr>
        <w:pStyle w:val="Funote"/>
        <w:rPr/>
      </w:pPr>
      <w:r>
        <w:rPr>
          <w:rStyle w:val="Funotenzeichen"/>
        </w:rPr>
        <w:footnoteRef/>
      </w:r>
      <w:r>
        <w:rPr/>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407">
    <w:p>
      <w:pPr>
        <w:pStyle w:val="Funote"/>
        <w:rPr/>
      </w:pPr>
      <w:r>
        <w:rPr>
          <w:rStyle w:val="Funotenzeichen"/>
        </w:rPr>
        <w:footnoteRef/>
      </w:r>
      <w:r>
        <w:rPr/>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408">
    <w:p>
      <w:pPr>
        <w:pStyle w:val="Funote"/>
        <w:rPr/>
      </w:pPr>
      <w:r>
        <w:rPr>
          <w:rStyle w:val="Funotenzeichen"/>
        </w:rPr>
        <w:footnoteRef/>
      </w:r>
      <w:r>
        <w:rPr/>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409">
    <w:p>
      <w:pPr>
        <w:pStyle w:val="Funote"/>
        <w:rPr/>
      </w:pPr>
      <w:r>
        <w:rPr>
          <w:rStyle w:val="Funotenzeichen"/>
        </w:rPr>
        <w:footnoteRef/>
      </w:r>
      <w:r>
        <w:rPr>
          <w:i/>
        </w:rPr>
        <w:tab/>
        <w:t>Jesus von Nazaret</w:t>
      </w:r>
      <w:r>
        <w:rPr/>
        <w:t xml:space="preserve"> W. „Jesus [der] Nazarener“. Hier wurde der bekanntere deutsche Name für die Übersetzung gewählt. </w:t>
      </w:r>
    </w:p>
  </w:footnote>
  <w:footnote w:id="1410">
    <w:p>
      <w:pPr>
        <w:pStyle w:val="Funote"/>
        <w:rPr/>
      </w:pPr>
      <w:r>
        <w:rPr>
          <w:rStyle w:val="Funotenzeichen"/>
        </w:rPr>
        <w:footnoteRef/>
      </w:r>
      <w:r>
        <w:rPr/>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411">
    <w:p>
      <w:pPr>
        <w:pStyle w:val="Funote"/>
        <w:rPr/>
      </w:pPr>
      <w:r>
        <w:rPr>
          <w:rStyle w:val="Funotenzeichen"/>
        </w:rPr>
        <w:footnoteRef/>
      </w:r>
      <w:r>
        <w:rPr/>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412">
    <w:p>
      <w:pPr>
        <w:pStyle w:val="Funote"/>
        <w:rPr/>
      </w:pPr>
      <w:r>
        <w:rPr>
          <w:rStyle w:val="Funotenzeichen"/>
        </w:rPr>
        <w:footnoteRef/>
      </w:r>
      <w:r>
        <w:rPr>
          <w:i/>
        </w:rPr>
        <w:tab/>
        <w:t>nachdem … geschüttelt … geschrien</w:t>
      </w:r>
      <w:r>
        <w:rPr/>
        <w:t xml:space="preserve"> </w:t>
      </w:r>
      <w:hyperlink r:id="rId200">
        <w:r>
          <w:rPr>
            <w:rStyle w:val="Internetverknpfung"/>
          </w:rPr>
          <w:t>Ptz. conj.</w:t>
        </w:r>
      </w:hyperlink>
      <w:r>
        <w:rPr/>
        <w:t xml:space="preserve"> (Partizip Aorist aktiv), temporal-modal, hier vorzeitig verstanden und als Nebensatz mit „nachdem“ aufgelöst. </w:t>
      </w:r>
    </w:p>
  </w:footnote>
  <w:footnote w:id="1413">
    <w:p>
      <w:pPr>
        <w:pStyle w:val="Funote"/>
        <w:rPr/>
      </w:pPr>
      <w:r>
        <w:rPr>
          <w:rStyle w:val="Funotenzeichen"/>
        </w:rPr>
        <w:footnoteRef/>
      </w:r>
      <w:r>
        <w:rPr/>
        <w:tab/>
        <w:t>einander fragten Oder „miteinander diskutierten“ (vgl. France 2002, 105). Als elegantere deutsche Formulierung für die gesamte Reaktion der Zuhörer wäre „und sie wussten nicht, was sie davon halten sollten“ eine Möglichkeit.</w:t>
      </w:r>
    </w:p>
  </w:footnote>
  <w:footnote w:id="1414">
    <w:p>
      <w:pPr>
        <w:pStyle w:val="Funote"/>
        <w:rPr/>
      </w:pPr>
      <w:r>
        <w:rPr>
          <w:rStyle w:val="Funotenzeichen"/>
        </w:rPr>
        <w:footnoteRef/>
      </w:r>
      <w:r>
        <w:rPr/>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415">
    <w:p>
      <w:pPr>
        <w:pStyle w:val="Funote"/>
        <w:rPr/>
      </w:pPr>
      <w:r>
        <w:rPr>
          <w:rStyle w:val="Funotenzeichen"/>
        </w:rPr>
        <w:footnoteRef/>
      </w:r>
      <w:r>
        <w:rPr/>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416">
    <w:p>
      <w:pPr>
        <w:pStyle w:val="Funote"/>
        <w:rPr/>
      </w:pPr>
      <w:r>
        <w:rPr>
          <w:rStyle w:val="Funotenzeichen"/>
        </w:rPr>
        <w:footnoteRef/>
      </w:r>
      <w:r>
        <w:rPr>
          <w:i/>
        </w:rPr>
        <w:tab/>
        <w:t>verließen … und</w:t>
      </w:r>
      <w:r>
        <w:rPr/>
        <w:t xml:space="preserve"> </w:t>
      </w:r>
      <w:hyperlink r:id="rId201">
        <w:r>
          <w:rPr>
            <w:rStyle w:val="Internetverknpfung"/>
          </w:rPr>
          <w:t>Ptz. conj.</w:t>
        </w:r>
      </w:hyperlink>
      <w:r>
        <w:rPr/>
        <w:t xml:space="preserve"> (Aorist), als temporaler Nebensatz übersetzt. Alternativ mit „als“ oder „nachdem“. </w:t>
      </w:r>
    </w:p>
  </w:footnote>
  <w:footnote w:id="1417">
    <w:p>
      <w:pPr>
        <w:pStyle w:val="Funote"/>
        <w:rPr/>
      </w:pPr>
      <w:r>
        <w:rPr>
          <w:rStyle w:val="Funotenzeichen"/>
        </w:rPr>
        <w:footnoteRef/>
      </w:r>
      <w:r>
        <w:rPr/>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418">
    <w:p>
      <w:pPr>
        <w:pStyle w:val="Funote"/>
        <w:rPr/>
      </w:pPr>
      <w:r>
        <w:rPr>
          <w:rStyle w:val="Funotenzeichen"/>
        </w:rPr>
        <w:footnoteRef/>
      </w:r>
      <w:r>
        <w:rPr>
          <w:i/>
        </w:rPr>
        <w:tab/>
        <w:t>ging zu … und</w:t>
      </w:r>
      <w:r>
        <w:rPr/>
        <w:t xml:space="preserve"> </w:t>
      </w:r>
      <w:hyperlink r:id="rId202">
        <w:r>
          <w:rPr>
            <w:rStyle w:val="Internetverknpfung"/>
          </w:rPr>
          <w:t>Beschreibendes Partizip</w:t>
        </w:r>
      </w:hyperlink>
      <w:r>
        <w:rPr/>
        <w:t xml:space="preserve"> modal-temporaler Sinnrichtung, mit „und“ aufgelöst.</w:t>
      </w:r>
    </w:p>
  </w:footnote>
  <w:footnote w:id="1419">
    <w:p>
      <w:pPr>
        <w:pStyle w:val="Funote"/>
        <w:rPr/>
      </w:pPr>
      <w:r>
        <w:rPr>
          <w:rStyle w:val="Funotenzeichen"/>
        </w:rPr>
        <w:footnoteRef/>
      </w:r>
      <w:r>
        <w:rPr>
          <w:i/>
        </w:rPr>
        <w:tab/>
        <w:t>indem er ihre Hand nahm</w:t>
      </w:r>
      <w:r>
        <w:rPr/>
        <w:t xml:space="preserve"> </w:t>
      </w:r>
      <w:hyperlink r:id="rId203">
        <w:r>
          <w:rPr>
            <w:rStyle w:val="Internetverknpfung"/>
          </w:rPr>
          <w:t>Ptz. conj.</w:t>
        </w:r>
      </w:hyperlink>
      <w:r>
        <w:rPr/>
        <w:t xml:space="preserve">, modal als Nebensatz mit „indem“ aufgelöst. </w:t>
      </w:r>
    </w:p>
  </w:footnote>
  <w:footnote w:id="1420">
    <w:p>
      <w:pPr>
        <w:pStyle w:val="Funote"/>
        <w:rPr/>
      </w:pPr>
      <w:r>
        <w:rPr>
          <w:rStyle w:val="Funotenzeichen"/>
        </w:rPr>
        <w:footnoteRef/>
      </w:r>
      <w:r>
        <w:rPr>
          <w:i/>
        </w:rPr>
        <w:tab/>
        <w:t>begann, sie zu bedienen</w:t>
      </w:r>
      <w:r>
        <w:rPr/>
        <w:t xml:space="preserve"> Vermutlich </w:t>
      </w:r>
      <w:hyperlink r:id="rId204">
        <w:r>
          <w:rPr>
            <w:rStyle w:val="Internetverknpfung"/>
          </w:rPr>
          <w:t>inchoatives Imperfekt</w:t>
        </w:r>
      </w:hyperlink>
      <w:r>
        <w:rPr/>
        <w:t xml:space="preserve">. </w:t>
      </w:r>
    </w:p>
  </w:footnote>
  <w:footnote w:id="1421">
    <w:p>
      <w:pPr>
        <w:pStyle w:val="Funote"/>
        <w:rPr/>
      </w:pPr>
      <w:r>
        <w:rPr>
          <w:rStyle w:val="Funotenzeichen"/>
        </w:rPr>
        <w:footnoteRef/>
      </w:r>
      <w:r>
        <w:rPr>
          <w:i/>
        </w:rPr>
        <w:tab/>
        <w:t>Als es Abend geworden war … und</w:t>
      </w:r>
      <w:r>
        <w:rPr/>
        <w:t xml:space="preserve"> Temporales </w:t>
      </w:r>
      <w:hyperlink r:id="rId205">
        <w:r>
          <w:rPr>
            <w:rStyle w:val="Internetverknpfung"/>
          </w:rPr>
          <w:t>Gen. abs.</w:t>
        </w:r>
      </w:hyperlink>
      <w:r>
        <w:rPr/>
        <w:t xml:space="preserve"> (Aorist), temporal-vorzeitig übersetzt, wobei der Nebensatz mit „und“ an den folgenden angeschlossen sowie dessen Konjunktion (als) vorgezogen wurde. Die Leute warteten bis zum Abend, um die Sabbatruhe (vgl. V. 21) zu wahren, die bei Sonnenuntergang endete. </w:t>
      </w:r>
    </w:p>
  </w:footnote>
  <w:footnote w:id="1422">
    <w:p>
      <w:pPr>
        <w:pStyle w:val="Funote"/>
        <w:rPr/>
      </w:pPr>
      <w:r>
        <w:rPr>
          <w:rStyle w:val="Funotenzeichen"/>
        </w:rPr>
        <w:footnoteRef/>
      </w:r>
      <w:r>
        <w:rPr>
          <w:i/>
        </w:rPr>
        <w:tab/>
        <w:t>brachte</w:t>
      </w:r>
      <w:r>
        <w:rPr/>
        <w:t xml:space="preserve"> (V. 32) / </w:t>
      </w:r>
      <w:r>
        <w:rPr>
          <w:i/>
        </w:rPr>
        <w:t>heilte</w:t>
      </w:r>
      <w:r>
        <w:rPr/>
        <w:t xml:space="preserve"> / </w:t>
      </w:r>
      <w:r>
        <w:rPr>
          <w:i/>
        </w:rPr>
        <w:t>trieb aus</w:t>
      </w:r>
      <w:r>
        <w:rPr/>
        <w:t xml:space="preserve"> / </w:t>
      </w:r>
      <w:r>
        <w:rPr>
          <w:i/>
        </w:rPr>
        <w:t>ließ</w:t>
      </w:r>
      <w:r>
        <w:rPr/>
        <w:t xml:space="preserve"> (V. 34) Das </w:t>
      </w:r>
      <w:hyperlink r:id="rId206">
        <w:r>
          <w:rPr>
            <w:rStyle w:val="Internetverknpfung"/>
          </w:rPr>
          <w:t>Imperfekt</w:t>
        </w:r>
      </w:hyperlink>
      <w:r>
        <w:rPr/>
        <w:t xml:space="preserve"> zeigt an, dass es an diesem Abend fortlaufend geschah. </w:t>
      </w:r>
    </w:p>
  </w:footnote>
  <w:footnote w:id="1423">
    <w:p>
      <w:pPr>
        <w:pStyle w:val="Funote"/>
        <w:rPr/>
      </w:pPr>
      <w:r>
        <w:rPr>
          <w:rStyle w:val="Funotenzeichen"/>
        </w:rPr>
        <w:footnoteRef/>
      </w:r>
      <w:r>
        <w:rPr/>
        <w:tab/>
        <w:t>alle Kranke(n) Subst. Ptz.. Oder „alle, denen es schlecht ging“. ELB: „Leidenden“.</w:t>
      </w:r>
    </w:p>
  </w:footnote>
  <w:footnote w:id="1424">
    <w:p>
      <w:pPr>
        <w:pStyle w:val="Funote"/>
        <w:rPr/>
      </w:pPr>
      <w:r>
        <w:rPr>
          <w:rStyle w:val="Funotenzeichen"/>
        </w:rPr>
        <w:footnoteRef/>
      </w:r>
      <w:r>
        <w:rPr>
          <w:i/>
        </w:rPr>
        <w:tab/>
        <w:t>früh morgens … ganz dunkel</w:t>
      </w:r>
      <w:r>
        <w:rPr/>
        <w:t xml:space="preserve"> Oder: „sehr früh morgens, [als es noch] dunkel [war]“. </w:t>
      </w:r>
    </w:p>
  </w:footnote>
  <w:footnote w:id="1425">
    <w:p>
      <w:pPr>
        <w:pStyle w:val="Funote"/>
        <w:rPr/>
      </w:pPr>
      <w:r>
        <w:rPr>
          <w:rStyle w:val="Funotenzeichen"/>
        </w:rPr>
        <w:footnoteRef/>
      </w:r>
      <w:r>
        <w:rPr>
          <w:i/>
        </w:rPr>
        <w:tab/>
        <w:t>stand er auf</w:t>
      </w:r>
      <w:r>
        <w:rPr/>
        <w:t xml:space="preserve"> Modal-temporales </w:t>
      </w:r>
      <w:hyperlink r:id="rId207">
        <w:r>
          <w:rPr>
            <w:rStyle w:val="Internetverknpfung"/>
          </w:rPr>
          <w:t>Ptz. conj.</w:t>
        </w:r>
      </w:hyperlink>
      <w:r>
        <w:rPr/>
        <w:t xml:space="preserve">, hier als Indikativ übersetzt und in die Satzkette eingereiht. </w:t>
      </w:r>
    </w:p>
  </w:footnote>
  <w:footnote w:id="1426">
    <w:p>
      <w:pPr>
        <w:pStyle w:val="Funote"/>
        <w:rPr/>
      </w:pPr>
      <w:r>
        <w:rPr>
          <w:rStyle w:val="Funotenzeichen"/>
        </w:rPr>
        <w:footnoteRef/>
      </w:r>
      <w:r>
        <w:rPr>
          <w:i/>
        </w:rPr>
        <w:tab/>
        <w:t>[eine Zeit lang] betete</w:t>
      </w:r>
      <w:r>
        <w:rPr/>
        <w:t xml:space="preserve"> Das </w:t>
      </w:r>
      <w:hyperlink r:id="rId208">
        <w:r>
          <w:rPr>
            <w:rStyle w:val="Internetverknpfung"/>
          </w:rPr>
          <w:t>Imperfekt</w:t>
        </w:r>
      </w:hyperlink>
      <w:r>
        <w:rPr/>
        <w:t xml:space="preserve"> zeigt an, dass er eine Weile mit Beten verbrachte – daher die eingefügte Zeitangabe. </w:t>
      </w:r>
    </w:p>
  </w:footnote>
  <w:footnote w:id="1427">
    <w:p>
      <w:pPr>
        <w:pStyle w:val="Funote"/>
        <w:rPr/>
      </w:pPr>
      <w:r>
        <w:rPr>
          <w:rStyle w:val="Funotenzeichen"/>
        </w:rPr>
        <w:footnoteRef/>
      </w:r>
      <w:r>
        <w:rPr/>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428">
    <w:p>
      <w:pPr>
        <w:pStyle w:val="Funote"/>
        <w:rPr/>
      </w:pPr>
      <w:r>
        <w:rPr>
          <w:rStyle w:val="Funotenzeichen"/>
        </w:rPr>
        <w:footnoteRef/>
      </w:r>
      <w:r>
        <w:rPr/>
        <w:tab/>
        <w:t>und fanden ihn. {und} Sie teilten ihm mit (sagten) {dass}: Oder: „Als sie ihn fanden, teilten sie ihm mit“ (Lut, EÜ, NGÜ).</w:t>
      </w:r>
    </w:p>
  </w:footnote>
  <w:footnote w:id="1429">
    <w:p>
      <w:pPr>
        <w:pStyle w:val="Funote"/>
        <w:rPr/>
      </w:pPr>
      <w:r>
        <w:rPr>
          <w:rStyle w:val="Funotenzeichen"/>
        </w:rPr>
        <w:footnoteRef/>
      </w:r>
      <w:r>
        <w:rPr/>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430">
    <w:p>
      <w:pPr>
        <w:pStyle w:val="Funote"/>
        <w:rPr/>
      </w:pPr>
      <w:r>
        <w:rPr>
          <w:rStyle w:val="Funotenzeichen"/>
        </w:rPr>
        <w:footnoteRef/>
      </w:r>
      <w:r>
        <w:rPr/>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431">
    <w:p>
      <w:pPr>
        <w:pStyle w:val="Funote"/>
        <w:rPr/>
      </w:pPr>
      <w:r>
        <w:rPr>
          <w:rStyle w:val="Funotenzeichen"/>
        </w:rPr>
        <w:footnoteRef/>
      </w:r>
      <w:r>
        <w:rPr>
          <w:i/>
        </w:rPr>
        <w:tab/>
        <w:t>predigte und trieb aus</w:t>
      </w:r>
      <w:r>
        <w:rPr/>
        <w:t xml:space="preserve"> Temporal-modale </w:t>
      </w:r>
      <w:hyperlink r:id="rId209">
        <w:r>
          <w:rPr>
            <w:rStyle w:val="Internetverknpfung"/>
          </w:rPr>
          <w:t>Ptz. conj.</w:t>
        </w:r>
      </w:hyperlink>
      <w:r>
        <w:rPr/>
        <w:t xml:space="preserve">, als Indikative in einer Satzreihe aufgelöst. </w:t>
      </w:r>
    </w:p>
  </w:footnote>
  <w:footnote w:id="1432">
    <w:p>
      <w:pPr>
        <w:pStyle w:val="Funote"/>
        <w:rPr/>
      </w:pPr>
      <w:r>
        <w:rPr>
          <w:rStyle w:val="Funotenzeichen"/>
        </w:rPr>
        <w:footnoteRef/>
      </w:r>
      <w:r>
        <w:rPr/>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433">
    <w:p>
      <w:pPr>
        <w:pStyle w:val="Funote"/>
        <w:rPr/>
      </w:pPr>
      <w:r>
        <w:rPr>
          <w:rStyle w:val="Funotenzeichen"/>
        </w:rPr>
        <w:footnoteRef/>
      </w:r>
      <w:r>
        <w:rPr>
          <w:i/>
        </w:rPr>
        <w:tab/>
        <w:t>wobei er ihm zurief</w:t>
      </w:r>
      <w:r>
        <w:rPr/>
        <w:t xml:space="preserve"> </w:t>
      </w:r>
      <w:hyperlink r:id="rId210">
        <w:r>
          <w:rPr>
            <w:rStyle w:val="Internetverknpfung"/>
          </w:rPr>
          <w:t>Ptz. conj.</w:t>
        </w:r>
      </w:hyperlink>
      <w:r>
        <w:rPr/>
        <w:t>, hier als modaler Nebensatz aufgelöst. Die Übersetzung hängt auch von der textkritischen Entscheidung ab, die in der vorigen Fußnote angesprochen wird.</w:t>
      </w:r>
    </w:p>
  </w:footnote>
  <w:footnote w:id="1434">
    <w:p>
      <w:pPr>
        <w:pStyle w:val="Funote"/>
        <w:rPr/>
      </w:pPr>
      <w:r>
        <w:rPr>
          <w:rStyle w:val="Funotenzeichen"/>
        </w:rPr>
        <w:footnoteRef/>
      </w:r>
      <w:r>
        <w:rPr/>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435">
    <w:p>
      <w:pPr>
        <w:pStyle w:val="Funote"/>
        <w:rPr/>
      </w:pPr>
      <w:r>
        <w:rPr>
          <w:rStyle w:val="Funotenzeichen"/>
        </w:rPr>
        <w:footnoteRef/>
      </w:r>
      <w:r>
        <w:rPr/>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436">
    <w:p>
      <w:pPr>
        <w:pStyle w:val="Funote"/>
        <w:rPr/>
      </w:pPr>
      <w:r>
        <w:rPr>
          <w:rStyle w:val="Funotenzeichen"/>
        </w:rPr>
        <w:footnoteRef/>
      </w:r>
      <w:r>
        <w:rPr>
          <w:i/>
        </w:rPr>
        <w:tab/>
        <w:t>streckte aus</w:t>
      </w:r>
      <w:r>
        <w:rPr/>
        <w:t xml:space="preserve"> </w:t>
      </w:r>
      <w:hyperlink r:id="rId211">
        <w:r>
          <w:rPr>
            <w:rStyle w:val="Internetverknpfung"/>
          </w:rPr>
          <w:t>Ptz. conj.</w:t>
        </w:r>
      </w:hyperlink>
      <w:r>
        <w:rPr/>
        <w:t xml:space="preserve"> (modal-temporal), hier als Indikativ übersetzt und beigeordnet.</w:t>
      </w:r>
    </w:p>
  </w:footnote>
  <w:footnote w:id="1437">
    <w:p>
      <w:pPr>
        <w:pStyle w:val="Funote"/>
        <w:rPr/>
      </w:pPr>
      <w:r>
        <w:rPr>
          <w:rStyle w:val="Funotenzeichen"/>
        </w:rPr>
        <w:footnoteRef/>
      </w:r>
      <w:r>
        <w:rPr/>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438">
    <w:p>
      <w:pPr>
        <w:pStyle w:val="Funote"/>
        <w:rPr/>
      </w:pPr>
      <w:r>
        <w:rPr>
          <w:rStyle w:val="Funotenzeichen"/>
        </w:rPr>
        <w:footnoteRef/>
      </w:r>
      <w:r>
        <w:rPr>
          <w:i/>
        </w:rPr>
        <w:tab/>
        <w:t>niemandem etwas</w:t>
      </w:r>
      <w:r>
        <w:rPr/>
        <w:t xml:space="preserve"> Im Griechischen eine doppelte Verneinung, welche die Warnung noch schärfer macht.</w:t>
      </w:r>
    </w:p>
  </w:footnote>
  <w:footnote w:id="1439">
    <w:p>
      <w:pPr>
        <w:pStyle w:val="Funote"/>
        <w:rPr/>
      </w:pPr>
      <w:r>
        <w:rPr>
          <w:rStyle w:val="Funotenzeichen"/>
        </w:rPr>
        <w:footnoteRef/>
      </w:r>
      <w:r>
        <w:rPr/>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440">
    <w:p>
      <w:pPr>
        <w:pStyle w:val="Funote"/>
        <w:rPr/>
      </w:pPr>
      <w:r>
        <w:rPr>
          <w:rStyle w:val="Funotenzeichen"/>
        </w:rPr>
        <w:footnoteRef/>
      </w:r>
      <w:r>
        <w:rPr>
          <w:i/>
        </w:rPr>
        <w:tab/>
        <w:t>als der [Mann] hinausging</w:t>
      </w:r>
      <w:r>
        <w:rPr/>
        <w:t xml:space="preserve"> </w:t>
      </w:r>
      <w:hyperlink r:id="rId212">
        <w:r>
          <w:rPr>
            <w:rStyle w:val="Internetverknpfung"/>
          </w:rPr>
          <w:t>Ptz. conj.</w:t>
        </w:r>
      </w:hyperlink>
      <w:r>
        <w:rPr/>
        <w:t xml:space="preserve">, temporal-gleichzeitig übersetzt als Nebensatz mit „als“. Denkbar wäre auch „nachdem er hinausgegangen war“ (vorzeitig) oder „er ging hinaus und“. </w:t>
      </w:r>
    </w:p>
  </w:footnote>
  <w:footnote w:id="1441">
    <w:p>
      <w:pPr>
        <w:pStyle w:val="Funote"/>
        <w:rPr/>
      </w:pPr>
      <w:r>
        <w:rPr>
          <w:rStyle w:val="Funotenzeichen"/>
        </w:rPr>
        <w:footnoteRef/>
      </w:r>
      <w:r>
        <w:rPr/>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442">
    <w:p>
      <w:pPr>
        <w:pStyle w:val="Funote"/>
        <w:rPr/>
      </w:pPr>
      <w:r>
        <w:rPr>
          <w:rStyle w:val="Funotenzeichen"/>
        </w:rPr>
        <w:footnoteRef/>
      </w:r>
      <w:r>
        <w:rPr>
          <w:i/>
        </w:rPr>
        <w:tab/>
        <w:t>sich aufhielt</w:t>
      </w:r>
      <w:r>
        <w:rPr/>
        <w:t xml:space="preserve"> ist die sinngemäße Wiedergabe von </w:t>
      </w:r>
      <w:r>
        <w:rPr>
          <w:i/>
        </w:rPr>
        <w:t>war</w:t>
      </w:r>
      <w:r>
        <w:rPr/>
        <w:t>.</w:t>
      </w:r>
    </w:p>
  </w:footnote>
  <w:footnote w:id="1443">
    <w:p>
      <w:pPr>
        <w:pStyle w:val="Funote"/>
        <w:rPr/>
      </w:pPr>
      <w:r>
        <w:rPr>
          <w:rStyle w:val="Funotenzeichen"/>
        </w:rPr>
        <w:footnoteRef/>
      </w:r>
      <w:r>
        <w:rPr>
          <w:i/>
        </w:rPr>
        <w:tab/>
        <w:t>kamen weiter (begannen zu kommen)</w:t>
      </w:r>
      <w:r>
        <w:rPr/>
        <w:t xml:space="preserve"> Die Übersetzung gibt das </w:t>
      </w:r>
      <w:hyperlink r:id="rId213">
        <w:r>
          <w:rPr>
            <w:rStyle w:val="Internetverknpfung"/>
          </w:rPr>
          <w:t>Imperfekt</w:t>
        </w:r>
      </w:hyperlink>
      <w:r>
        <w:rPr/>
        <w:t xml:space="preserve"> durativ/iterativ wieder, die Klammer inchoativ. Beide Deutungen sind denkbar.</w:t>
      </w:r>
    </w:p>
  </w:footnote>
  <w:footnote w:id="1444">
    <w:p>
      <w:pPr>
        <w:pStyle w:val="Funote"/>
        <w:rPr/>
      </w:pPr>
      <w:r>
        <w:rPr>
          <w:rStyle w:val="Funotenzeichen"/>
        </w:rPr>
        <w:footnoteRef/>
      </w:r>
      <w:r>
        <w:rPr/>
        <w:tab/>
        <w:t>[Status: Zuverlässig]</w:t>
      </w:r>
    </w:p>
  </w:footnote>
  <w:footnote w:id="1445">
    <w:p>
      <w:pPr>
        <w:pStyle w:val="Funote"/>
        <w:rPr/>
      </w:pPr>
      <w:r>
        <w:rPr>
          <w:rStyle w:val="Funotenzeichen"/>
        </w:rPr>
        <w:footnoteRef/>
      </w:r>
      <w:r>
        <w:rPr>
          <w:i/>
        </w:rPr>
        <w:tab/>
        <w:t>kam</w:t>
      </w:r>
      <w:r>
        <w:rPr/>
        <w:t xml:space="preserve"> </w:t>
      </w:r>
      <w:hyperlink r:id="rId214">
        <w:r>
          <w:rPr>
            <w:rStyle w:val="Internetverknpfung"/>
          </w:rPr>
          <w:t>Ptz. conj.</w:t>
        </w:r>
      </w:hyperlink>
      <w:r>
        <w:rPr/>
        <w:t xml:space="preserve"> (Ptz. Aor.), als temporaler Nebensatz (mit „als“) aufgelöst.</w:t>
      </w:r>
    </w:p>
  </w:footnote>
  <w:footnote w:id="1446">
    <w:p>
      <w:pPr>
        <w:pStyle w:val="Funote"/>
        <w:rPr/>
      </w:pPr>
      <w:r>
        <w:rPr>
          <w:rStyle w:val="Funotenzeichen"/>
        </w:rPr>
        <w:footnoteRef/>
      </w:r>
      <w:r>
        <w:rPr/>
        <w:tab/>
        <w:t>wurde bekannt W. „wurde gehört“ Oder: „als er wieder … kam, wurde nach einigen Tagen bekannt“ (Collins 2007, 184).</w:t>
      </w:r>
    </w:p>
  </w:footnote>
  <w:footnote w:id="1447">
    <w:p>
      <w:pPr>
        <w:pStyle w:val="Funote"/>
        <w:rPr/>
      </w:pPr>
      <w:r>
        <w:rPr>
          <w:rStyle w:val="Funotenzeichen"/>
        </w:rPr>
        <w:footnoteRef/>
      </w:r>
      <w:r>
        <w:rPr/>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448">
    <w:p>
      <w:pPr>
        <w:pStyle w:val="Funote"/>
        <w:rPr/>
      </w:pPr>
      <w:r>
        <w:rPr>
          <w:rStyle w:val="Funotenzeichen"/>
        </w:rPr>
        <w:footnoteRef/>
      </w:r>
      <w:r>
        <w:rPr>
          <w:i/>
        </w:rPr>
        <w:tab/>
        <w:t>war</w:t>
      </w:r>
      <w:r>
        <w:rPr/>
        <w:t xml:space="preserve"> W. „ist“. </w:t>
      </w:r>
    </w:p>
  </w:footnote>
  <w:footnote w:id="1449">
    <w:p>
      <w:pPr>
        <w:pStyle w:val="Funote"/>
        <w:rPr/>
      </w:pPr>
      <w:r>
        <w:rPr>
          <w:rStyle w:val="Funotenzeichen"/>
        </w:rPr>
        <w:footnoteRef/>
      </w:r>
      <w:r>
        <w:rPr/>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450">
    <w:p>
      <w:pPr>
        <w:pStyle w:val="Funote"/>
        <w:rPr/>
      </w:pPr>
      <w:r>
        <w:rPr>
          <w:rStyle w:val="Funotenzeichen"/>
        </w:rPr>
        <w:footnoteRef/>
      </w:r>
      <w:r>
        <w:rPr>
          <w:i/>
        </w:rPr>
        <w:tab/>
        <w:t>kamen</w:t>
      </w:r>
      <w:r>
        <w:rPr/>
        <w:t xml:space="preserve"> </w:t>
      </w:r>
      <w:hyperlink r:id="rId215">
        <w:r>
          <w:rPr>
            <w:rStyle w:val="Internetverknpfung"/>
          </w:rPr>
          <w:t>Historisches Präsens</w:t>
        </w:r>
      </w:hyperlink>
      <w:r>
        <w:rPr/>
        <w:t xml:space="preserve">. </w:t>
      </w:r>
    </w:p>
  </w:footnote>
  <w:footnote w:id="1451">
    <w:p>
      <w:pPr>
        <w:pStyle w:val="Funote"/>
        <w:rPr/>
      </w:pPr>
      <w:r>
        <w:rPr>
          <w:rStyle w:val="Funotenzeichen"/>
        </w:rPr>
        <w:footnoteRef/>
      </w:r>
      <w:r>
        <w:rPr/>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452">
    <w:p>
      <w:pPr>
        <w:pStyle w:val="Funote"/>
        <w:rPr/>
      </w:pPr>
      <w:r>
        <w:rPr>
          <w:rStyle w:val="Funotenzeichen"/>
        </w:rPr>
        <w:footnoteRef/>
      </w:r>
      <w:r>
        <w:rPr>
          <w:i/>
        </w:rPr>
        <w:tab/>
        <w:t>Er wurde getragen</w:t>
      </w:r>
      <w:r>
        <w:rPr/>
        <w:t xml:space="preserve"> </w:t>
      </w:r>
      <w:hyperlink r:id="rId216">
        <w:r>
          <w:rPr>
            <w:rStyle w:val="Internetverknpfung"/>
          </w:rPr>
          <w:t>Attributives Partizip</w:t>
        </w:r>
      </w:hyperlink>
      <w:r>
        <w:rPr/>
        <w:t>, als unabhängiger Hauptsatz aufgelöst. Auch ein Relativsatz wäre möglich („der getragen wurde“).</w:t>
      </w:r>
    </w:p>
  </w:footnote>
  <w:footnote w:id="1453">
    <w:p>
      <w:pPr>
        <w:pStyle w:val="Funote"/>
        <w:rPr/>
      </w:pPr>
      <w:r>
        <w:rPr>
          <w:rStyle w:val="Funotenzeichen"/>
        </w:rPr>
        <w:footnoteRef/>
      </w:r>
      <w:r>
        <w:rPr/>
        <w:tab/>
        <w:t>weil (als) es ihnen nicht gelang Kausal oder temporal zu verstehendes Ptz. conj. (Ptz. Präs.), als Nebensatz mit „weil“ aufgelöst. NSS, NGÜ: „weil sie nicht zu Jesus durchkamen“.</w:t>
      </w:r>
    </w:p>
  </w:footnote>
  <w:footnote w:id="1454">
    <w:p>
      <w:pPr>
        <w:pStyle w:val="Funote"/>
        <w:rPr/>
      </w:pPr>
      <w:r>
        <w:rPr>
          <w:rStyle w:val="Funotenzeichen"/>
        </w:rPr>
        <w:footnoteRef/>
      </w:r>
      <w:r>
        <w:rPr>
          <w:i/>
        </w:rPr>
        <w:tab/>
        <w:t>ließen</w:t>
      </w:r>
      <w:r>
        <w:rPr/>
        <w:t xml:space="preserve"> </w:t>
      </w:r>
      <w:hyperlink r:id="rId217">
        <w:r>
          <w:rPr>
            <w:rStyle w:val="Internetverknpfung"/>
          </w:rPr>
          <w:t>Historisches Präsens</w:t>
        </w:r>
      </w:hyperlink>
      <w:r>
        <w:rPr/>
        <w:t xml:space="preserve">. </w:t>
      </w:r>
    </w:p>
  </w:footnote>
  <w:footnote w:id="1455">
    <w:p>
      <w:pPr>
        <w:pStyle w:val="Funote"/>
        <w:rPr/>
      </w:pPr>
      <w:r>
        <w:rPr>
          <w:rStyle w:val="Funotenzeichen"/>
        </w:rPr>
        <w:footnoteRef/>
      </w:r>
      <w:r>
        <w:rPr/>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456">
    <w:p>
      <w:pPr>
        <w:pStyle w:val="Funote"/>
        <w:rPr/>
      </w:pPr>
      <w:r>
        <w:rPr>
          <w:rStyle w:val="Funotenzeichen"/>
        </w:rPr>
        <w:footnoteRef/>
      </w:r>
      <w:r>
        <w:rPr/>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457">
    <w:p>
      <w:pPr>
        <w:pStyle w:val="Funote"/>
        <w:rPr/>
      </w:pPr>
      <w:r>
        <w:rPr>
          <w:rStyle w:val="Funotenzeichen"/>
        </w:rPr>
        <w:footnoteRef/>
      </w:r>
      <w:r>
        <w:rPr>
          <w:i/>
        </w:rPr>
        <w:tab/>
        <w:t>sagte</w:t>
      </w:r>
      <w:r>
        <w:rPr/>
        <w:t xml:space="preserve"> </w:t>
      </w:r>
      <w:hyperlink r:id="rId218">
        <w:r>
          <w:rPr>
            <w:rStyle w:val="Internetverknpfung"/>
          </w:rPr>
          <w:t>Historisches Präsens</w:t>
        </w:r>
      </w:hyperlink>
      <w:r>
        <w:rPr/>
        <w:t xml:space="preserve">. </w:t>
      </w:r>
    </w:p>
  </w:footnote>
  <w:footnote w:id="1458">
    <w:p>
      <w:pPr>
        <w:pStyle w:val="Funote"/>
        <w:rPr/>
      </w:pPr>
      <w:r>
        <w:rPr>
          <w:rStyle w:val="Funotenzeichen"/>
        </w:rPr>
        <w:footnoteRef/>
      </w:r>
      <w:r>
        <w:rPr/>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459">
    <w:p>
      <w:pPr>
        <w:pStyle w:val="Funote"/>
        <w:rPr/>
      </w:pPr>
      <w:r>
        <w:rPr>
          <w:rStyle w:val="Funotenzeichen"/>
        </w:rPr>
        <w:footnoteRef/>
      </w:r>
      <w:r>
        <w:rPr/>
        <w:tab/>
        <w:t>in Gedanken W. „in ihren Herzen“. In der damaligen Kultur galt das Herz als der denkende und fühlende Körperteil. Noch schöner wäre die Formulierung „gedanklich“.</w:t>
      </w:r>
    </w:p>
  </w:footnote>
  <w:footnote w:id="1460">
    <w:p>
      <w:pPr>
        <w:pStyle w:val="Funote"/>
        <w:rPr/>
      </w:pPr>
      <w:r>
        <w:rPr>
          <w:rStyle w:val="Funotenzeichen"/>
        </w:rPr>
        <w:footnoteRef/>
      </w:r>
      <w:r>
        <w:rPr/>
        <w:tab/>
        <w:t>erkannte … darum Ptz. conj. (Ptz. Aor., temporal-kausal), hier – mit sofort – gleichzeitig verstanden, wobei darum auf den kausalen Sinn hinweist. Vorzeitig: „Jesus hatte sofort erkannt“ (vgl. NGÜ).</w:t>
      </w:r>
    </w:p>
  </w:footnote>
  <w:footnote w:id="1461">
    <w:p>
      <w:pPr>
        <w:pStyle w:val="Funote"/>
        <w:rPr/>
      </w:pPr>
      <w:r>
        <w:rPr>
          <w:rStyle w:val="Funotenzeichen"/>
        </w:rPr>
        <w:footnoteRef/>
      </w:r>
      <w:r>
        <w:rPr/>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462">
    <w:p>
      <w:pPr>
        <w:pStyle w:val="Funote"/>
        <w:rPr/>
      </w:pPr>
      <w:r>
        <w:rPr>
          <w:rStyle w:val="Funotenzeichen"/>
        </w:rPr>
        <w:footnoteRef/>
      </w:r>
      <w:r>
        <w:rPr>
          <w:i/>
        </w:rPr>
        <w:tab/>
        <w:t>sagte</w:t>
      </w:r>
      <w:r>
        <w:rPr/>
        <w:t xml:space="preserve"> </w:t>
      </w:r>
      <w:hyperlink r:id="rId219">
        <w:r>
          <w:rPr>
            <w:rStyle w:val="Internetverknpfung"/>
          </w:rPr>
          <w:t>Historisches Präsens</w:t>
        </w:r>
      </w:hyperlink>
      <w:r>
        <w:rPr/>
        <w:t xml:space="preserve">. </w:t>
      </w:r>
    </w:p>
  </w:footnote>
  <w:footnote w:id="1463">
    <w:p>
      <w:pPr>
        <w:pStyle w:val="Funote"/>
        <w:rPr/>
      </w:pPr>
      <w:r>
        <w:rPr>
          <w:rStyle w:val="Funotenzeichen"/>
        </w:rPr>
        <w:footnoteRef/>
      </w:r>
      <w:r>
        <w:rPr/>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464">
    <w:p>
      <w:pPr>
        <w:pStyle w:val="Funote"/>
        <w:rPr/>
      </w:pPr>
      <w:r>
        <w:rPr>
          <w:rStyle w:val="Funotenzeichen"/>
        </w:rPr>
        <w:footnoteRef/>
      </w:r>
      <w:r>
        <w:rPr/>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465">
    <w:p>
      <w:pPr>
        <w:pStyle w:val="Funote"/>
        <w:rPr/>
      </w:pPr>
      <w:r>
        <w:rPr>
          <w:rStyle w:val="Funotenzeichen"/>
        </w:rPr>
        <w:footnoteRef/>
      </w:r>
      <w:r>
        <w:rPr>
          <w:i/>
        </w:rPr>
        <w:tab/>
        <w:t>nach Hause</w:t>
      </w:r>
      <w:r>
        <w:rPr/>
        <w:t xml:space="preserve"> Oder „in dein Haus“</w:t>
      </w:r>
    </w:p>
  </w:footnote>
  <w:footnote w:id="1466">
    <w:p>
      <w:pPr>
        <w:pStyle w:val="Funote"/>
        <w:rPr/>
      </w:pPr>
      <w:r>
        <w:rPr>
          <w:rStyle w:val="Funotenzeichen"/>
        </w:rPr>
        <w:footnoteRef/>
      </w:r>
      <w:r>
        <w:rPr>
          <w:i/>
        </w:rPr>
        <w:tab/>
        <w:t>hob auf</w:t>
      </w:r>
      <w:r>
        <w:rPr/>
        <w:t xml:space="preserve"> Temporal-modales </w:t>
      </w:r>
      <w:hyperlink r:id="rId220">
        <w:r>
          <w:rPr>
            <w:rStyle w:val="Internetverknpfung"/>
          </w:rPr>
          <w:t>Ptz. conj.</w:t>
        </w:r>
      </w:hyperlink>
      <w:r>
        <w:rPr/>
        <w:t>, beigeordnet.</w:t>
      </w:r>
    </w:p>
  </w:footnote>
  <w:footnote w:id="1467">
    <w:p>
      <w:pPr>
        <w:pStyle w:val="Funote"/>
        <w:rPr/>
      </w:pPr>
      <w:r>
        <w:rPr>
          <w:rStyle w:val="Funotenzeichen"/>
        </w:rPr>
        <w:footnoteRef/>
      </w:r>
      <w:r>
        <w:rPr>
          <w:i/>
        </w:rPr>
        <w:tab/>
        <w:t>Sie riefen</w:t>
      </w:r>
      <w:r>
        <w:rPr/>
        <w:t xml:space="preserve"> </w:t>
      </w:r>
      <w:hyperlink r:id="rId221">
        <w:r>
          <w:rPr>
            <w:rStyle w:val="Internetverknpfung"/>
          </w:rPr>
          <w:t>Ptz. conj.</w:t>
        </w:r>
      </w:hyperlink>
      <w:r>
        <w:rPr/>
        <w:t xml:space="preserve"> (modal-temporal), vielleicht </w:t>
      </w:r>
      <w:hyperlink r:id="rId222">
        <w:r>
          <w:rPr>
            <w:rStyle w:val="Internetverknpfung"/>
          </w:rPr>
          <w:t>pleonastisch</w:t>
        </w:r>
      </w:hyperlink>
      <w:r>
        <w:rPr/>
        <w:t>. Hier als separater Hauptsatz übersetzt.</w:t>
      </w:r>
    </w:p>
  </w:footnote>
  <w:footnote w:id="1468">
    <w:p>
      <w:pPr>
        <w:pStyle w:val="Funote"/>
        <w:rPr/>
      </w:pPr>
      <w:r>
        <w:rPr>
          <w:rStyle w:val="Funotenzeichen"/>
        </w:rPr>
        <w:footnoteRef/>
      </w:r>
      <w:r>
        <w:rPr>
          <w:i/>
        </w:rPr>
        <w:tab/>
        <w:t>ging hinaus</w:t>
      </w:r>
      <w:r>
        <w:rPr/>
        <w:t xml:space="preserve"> Jesus verließ das Haus und die Stadt Kafarnaum, wo er sich gerade aufhielt (</w:t>
      </w:r>
      <w:r>
        <w:fldChar w:fldCharType="begin"/>
      </w:r>
      <w:r>
        <w:rPr>
          <w:rStyle w:val="Internetverknpfung"/>
        </w:rPr>
        <w:instrText> HYPERLINK "../../../../../../../../../wiki/Markus_2" \l "s1"</w:instrText>
      </w:r>
      <w:r>
        <w:rPr>
          <w:rStyle w:val="Internetverknpfung"/>
        </w:rPr>
        <w:fldChar w:fldCharType="separate"/>
      </w:r>
      <w:r>
        <w:rPr>
          <w:rStyle w:val="Internetverknpfung"/>
        </w:rPr>
        <w:t>Mk 2,1</w:t>
      </w:r>
      <w:r>
        <w:rPr>
          <w:rStyle w:val="Internetverknpfung"/>
        </w:rPr>
        <w:fldChar w:fldCharType="end"/>
      </w:r>
      <w:r>
        <w:rPr/>
        <w:t>).</w:t>
      </w:r>
    </w:p>
  </w:footnote>
  <w:footnote w:id="1469">
    <w:p>
      <w:pPr>
        <w:pStyle w:val="Funote"/>
        <w:rPr/>
      </w:pPr>
      <w:r>
        <w:rPr>
          <w:rStyle w:val="Funotenzeichen"/>
        </w:rPr>
        <w:footnoteRef/>
      </w:r>
      <w:r>
        <w:rPr>
          <w:i/>
        </w:rPr>
        <w:tab/>
        <w:t>Meer</w:t>
      </w:r>
      <w:r>
        <w:rPr/>
        <w:t xml:space="preserve"> Gemeint ist der See Gennesaret (bei Markus: „Meer von Galiläa“, vgl. 1,16), an dessen Ufer Kafarnaum lag. Wer Markus von Anfang an liest, stellt diesen Bezug hier mühelos her.</w:t>
      </w:r>
    </w:p>
  </w:footnote>
  <w:footnote w:id="1470">
    <w:p>
      <w:pPr>
        <w:pStyle w:val="Funote"/>
        <w:rPr/>
      </w:pPr>
      <w:r>
        <w:rPr>
          <w:rStyle w:val="Funotenzeichen"/>
        </w:rPr>
        <w:footnoteRef/>
      </w:r>
      <w:r>
        <w:rPr>
          <w:i/>
        </w:rPr>
        <w:tab/>
        <w:t>kam</w:t>
      </w:r>
      <w:r>
        <w:rPr/>
        <w:t xml:space="preserve"> und </w:t>
      </w:r>
      <w:r>
        <w:rPr>
          <w:i/>
        </w:rPr>
        <w:t>lehrte</w:t>
      </w:r>
      <w:r>
        <w:rPr/>
        <w:t xml:space="preserve"> Das </w:t>
      </w:r>
      <w:hyperlink r:id="rId223">
        <w:r>
          <w:rPr>
            <w:rStyle w:val="Internetverknpfung"/>
          </w:rPr>
          <w:t>Imperfekt</w:t>
        </w:r>
      </w:hyperlink>
      <w:r>
        <w:rPr/>
        <w:t xml:space="preserve"> beschreibt passend die beiden andauernden Prozesse: Das Zusammenkommen einer Menschenmenge und Jesu Lehren.</w:t>
      </w:r>
    </w:p>
  </w:footnote>
  <w:footnote w:id="1471">
    <w:p>
      <w:pPr>
        <w:pStyle w:val="Funote"/>
        <w:rPr/>
      </w:pPr>
      <w:r>
        <w:rPr>
          <w:rStyle w:val="Funotenzeichen"/>
        </w:rPr>
        <w:footnoteRef/>
      </w:r>
      <w:r>
        <w:rPr>
          <w:i/>
        </w:rPr>
        <w:tab/>
        <w:t>im Vorbeigehen</w:t>
      </w:r>
      <w:r>
        <w:rPr/>
        <w:t xml:space="preserve"> </w:t>
      </w:r>
      <w:hyperlink r:id="rId224">
        <w:r>
          <w:rPr>
            <w:rStyle w:val="Internetverknpfung"/>
          </w:rPr>
          <w:t>Ptz. conj.</w:t>
        </w:r>
      </w:hyperlink>
      <w:r>
        <w:rPr/>
        <w:t xml:space="preserve"> (temporal), hier als Präpositionalphrase übersetzt. Auch möglich: „als/während er vorbeiging“</w:t>
      </w:r>
    </w:p>
  </w:footnote>
  <w:footnote w:id="1472">
    <w:p>
      <w:pPr>
        <w:pStyle w:val="Funote"/>
        <w:rPr/>
      </w:pPr>
      <w:r>
        <w:rPr>
          <w:rStyle w:val="Funotenzeichen"/>
        </w:rPr>
        <w:footnoteRef/>
      </w:r>
      <w:r>
        <w:rPr/>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473">
    <w:p>
      <w:pPr>
        <w:pStyle w:val="Funote"/>
        <w:rPr/>
      </w:pPr>
      <w:r>
        <w:rPr>
          <w:rStyle w:val="Funotenzeichen"/>
        </w:rPr>
        <w:footnoteRef/>
      </w:r>
      <w:r>
        <w:rPr>
          <w:i/>
        </w:rPr>
        <w:tab/>
        <w:t>sah … sitzen</w:t>
      </w:r>
      <w:r>
        <w:rPr/>
        <w:t xml:space="preserve"> </w:t>
      </w:r>
      <w:hyperlink r:id="rId225">
        <w:r>
          <w:rPr>
            <w:rStyle w:val="Internetverknpfung"/>
          </w:rPr>
          <w:t>AcP</w:t>
        </w:r>
      </w:hyperlink>
      <w:r>
        <w:rPr/>
        <w:t>, mit Infinitiv aufgelöst.</w:t>
      </w:r>
    </w:p>
  </w:footnote>
  <w:footnote w:id="1474">
    <w:p>
      <w:pPr>
        <w:pStyle w:val="Funote"/>
        <w:rPr/>
      </w:pPr>
      <w:r>
        <w:rPr>
          <w:rStyle w:val="Funotenzeichen"/>
        </w:rPr>
        <w:footnoteRef/>
      </w:r>
      <w:r>
        <w:rPr/>
        <w:tab/>
        <w:t>„</w:t>
      </w:r>
      <w:r>
        <w:rPr>
          <w:i/>
        </w:rPr>
        <w:t>Folge mir nach!“</w:t>
      </w:r>
      <w:r>
        <w:rPr/>
        <w:t xml:space="preserve"> Etwas freier vielleicht auch „Schließe dich mir an!“ Vgl. Mk 1,16-20.</w:t>
      </w:r>
    </w:p>
  </w:footnote>
  <w:footnote w:id="1475">
    <w:p>
      <w:pPr>
        <w:pStyle w:val="Funote"/>
        <w:rPr/>
      </w:pPr>
      <w:r>
        <w:rPr>
          <w:rStyle w:val="Funotenzeichen"/>
        </w:rPr>
        <w:footnoteRef/>
      </w:r>
      <w:r>
        <w:rPr>
          <w:i/>
        </w:rPr>
        <w:tab/>
        <w:t>stand auf</w:t>
      </w:r>
      <w:r>
        <w:rPr/>
        <w:t xml:space="preserve"> </w:t>
      </w:r>
      <w:hyperlink r:id="rId226">
        <w:r>
          <w:rPr>
            <w:rStyle w:val="Internetverknpfung"/>
          </w:rPr>
          <w:t>Beschreibendes Partizip</w:t>
        </w:r>
      </w:hyperlink>
      <w:r>
        <w:rPr/>
        <w:t xml:space="preserve"> (Aorist). </w:t>
      </w:r>
    </w:p>
  </w:footnote>
  <w:footnote w:id="1476">
    <w:p>
      <w:pPr>
        <w:pStyle w:val="Funote"/>
        <w:rPr/>
      </w:pPr>
      <w:r>
        <w:rPr>
          <w:rStyle w:val="Funotenzeichen"/>
        </w:rPr>
        <w:footnoteRef/>
      </w:r>
      <w:r>
        <w:rPr/>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477">
    <w:p>
      <w:pPr>
        <w:pStyle w:val="Funote"/>
        <w:rPr/>
      </w:pPr>
      <w:r>
        <w:rPr>
          <w:rStyle w:val="Funotenzeichen"/>
        </w:rPr>
        <w:footnoteRef/>
      </w:r>
      <w:r>
        <w:rPr>
          <w:i/>
        </w:rPr>
        <w:tab/>
        <w:t>in seinem Haus</w:t>
      </w:r>
      <w:r>
        <w:rPr/>
        <w:t xml:space="preserve"> Markus meint wohl Levis Haus, in das Jesus eingeladen ist (so auch Lk 5,29), doch es könnte sich aber auch um Jesu Haus (Mk 2,1) handeln, in dem Levi zu Gast ist.</w:t>
      </w:r>
    </w:p>
  </w:footnote>
  <w:footnote w:id="1478">
    <w:p>
      <w:pPr>
        <w:pStyle w:val="Funote"/>
        <w:rPr/>
      </w:pPr>
      <w:r>
        <w:rPr>
          <w:rStyle w:val="Funotenzeichen"/>
        </w:rPr>
        <w:footnoteRef/>
      </w:r>
      <w:r>
        <w:rPr/>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479">
    <w:p>
      <w:pPr>
        <w:pStyle w:val="Funote"/>
        <w:rPr/>
      </w:pPr>
      <w:r>
        <w:rPr>
          <w:rStyle w:val="Funotenzeichen"/>
        </w:rPr>
        <w:footnoteRef/>
      </w:r>
      <w:r>
        <w:rPr>
          <w:i/>
        </w:rPr>
        <w:tab/>
        <w:t>nahmen an der Mahlzeit teil</w:t>
      </w:r>
      <w:r>
        <w:rPr/>
        <w:t xml:space="preserve"> ist die Übersetzung des Prädikats (wie </w:t>
      </w:r>
      <w:r>
        <w:rPr>
          <w:i/>
        </w:rPr>
        <w:t>nachfolgten</w:t>
      </w:r>
      <w:r>
        <w:rPr/>
        <w:t xml:space="preserve"> </w:t>
      </w:r>
      <w:hyperlink r:id="rId227">
        <w:r>
          <w:rPr>
            <w:rStyle w:val="Internetverknpfung"/>
          </w:rPr>
          <w:t>Imperfekt</w:t>
        </w:r>
      </w:hyperlink>
      <w:r>
        <w:rPr/>
        <w:t>).</w:t>
      </w:r>
    </w:p>
  </w:footnote>
  <w:footnote w:id="1480">
    <w:p>
      <w:pPr>
        <w:pStyle w:val="Funote"/>
        <w:rPr/>
      </w:pPr>
      <w:r>
        <w:rPr>
          <w:rStyle w:val="Funotenzeichen"/>
        </w:rPr>
        <w:footnoteRef/>
      </w:r>
      <w:r>
        <w:rPr/>
        <w:tab/>
        <w:t xml:space="preserve">die Eigentlich „und“, </w:t>
      </w:r>
      <w:r>
        <w:rPr>
          <w:lang w:val="el-GR"/>
        </w:rPr>
        <w:t>καὶ</w:t>
      </w:r>
      <w:r>
        <w:rPr/>
        <w:t xml:space="preserve"> kann aber auch in der Funktion eines Relativpronomens genutzt werden (BDR §442.4).</w:t>
      </w:r>
    </w:p>
  </w:footnote>
  <w:footnote w:id="1481">
    <w:p>
      <w:pPr>
        <w:pStyle w:val="Funote"/>
        <w:rPr/>
      </w:pPr>
      <w:r>
        <w:rPr>
          <w:rStyle w:val="Funotenzeichen"/>
        </w:rPr>
        <w:footnoteRef/>
      </w:r>
      <w:r>
        <w:rPr>
          <w:i/>
        </w:rPr>
        <w:tab/>
        <w:t>die Schriftgelehrten der Pharisäer</w:t>
      </w:r>
      <w:r>
        <w:rPr/>
        <w:t xml:space="preserve"> (</w:t>
      </w:r>
      <w:hyperlink r:id="rId228">
        <w:r>
          <w:rPr>
            <w:rStyle w:val="Internetverknpfung"/>
          </w:rPr>
          <w:t>Gen. part.</w:t>
        </w:r>
      </w:hyperlink>
      <w:r>
        <w:rPr/>
        <w:t>), der Genitiv zeigt Parteizugehörigkeit an. Nicht alle Pharisäer waren Schriftgelehrte, und nicht alle Schriftgelehrten waren Pharisäer – gemeint sind also die pharisäischen Schriftgelehrten.</w:t>
      </w:r>
    </w:p>
  </w:footnote>
  <w:footnote w:id="1482">
    <w:p>
      <w:pPr>
        <w:pStyle w:val="Funote"/>
        <w:rPr/>
      </w:pPr>
      <w:r>
        <w:rPr>
          <w:rStyle w:val="Funotenzeichen"/>
        </w:rPr>
        <w:footnoteRef/>
      </w:r>
      <w:r>
        <w:rPr>
          <w:i/>
        </w:rPr>
        <w:tab/>
        <w:t>als … sahen</w:t>
      </w:r>
      <w:r>
        <w:rPr/>
        <w:t xml:space="preserve"> </w:t>
      </w:r>
      <w:hyperlink r:id="rId229">
        <w:r>
          <w:rPr>
            <w:rStyle w:val="Internetverknpfung"/>
          </w:rPr>
          <w:t>Ptz. conj.</w:t>
        </w:r>
      </w:hyperlink>
      <w:r>
        <w:rPr/>
        <w:t xml:space="preserve"> (Aorist), als temporaler Nebensatz aufgelöst. </w:t>
      </w:r>
    </w:p>
  </w:footnote>
  <w:footnote w:id="1483">
    <w:p>
      <w:pPr>
        <w:pStyle w:val="Funote"/>
        <w:rPr/>
      </w:pPr>
      <w:r>
        <w:rPr>
          <w:rStyle w:val="Funotenzeichen"/>
        </w:rPr>
        <w:footnoteRef/>
      </w:r>
      <w:r>
        <w:rPr>
          <w:i/>
        </w:rPr>
        <w:tab/>
        <w:t>aß</w:t>
      </w:r>
      <w:r>
        <w:rPr/>
        <w:t xml:space="preserve"> W. „isst“</w:t>
      </w:r>
    </w:p>
  </w:footnote>
  <w:footnote w:id="1484">
    <w:p>
      <w:pPr>
        <w:pStyle w:val="Funote"/>
        <w:rPr/>
      </w:pPr>
      <w:r>
        <w:rPr>
          <w:rStyle w:val="Funotenzeichen"/>
        </w:rPr>
        <w:footnoteRef/>
      </w:r>
      <w:r>
        <w:rPr/>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485">
    <w:p>
      <w:pPr>
        <w:pStyle w:val="Funote"/>
        <w:rPr/>
      </w:pPr>
      <w:r>
        <w:rPr>
          <w:rStyle w:val="Funotenzeichen"/>
        </w:rPr>
        <w:footnoteRef/>
      </w:r>
      <w:r>
        <w:rPr>
          <w:i/>
        </w:rPr>
        <w:tab/>
        <w:t>als … hörte</w:t>
      </w:r>
      <w:r>
        <w:rPr/>
        <w:t xml:space="preserve"> </w:t>
      </w:r>
      <w:hyperlink r:id="rId230">
        <w:r>
          <w:rPr>
            <w:rStyle w:val="Internetverknpfung"/>
          </w:rPr>
          <w:t>Ptz. conj.</w:t>
        </w:r>
      </w:hyperlink>
      <w:r>
        <w:rPr/>
        <w:t>, temporal als Nebensatz mit „als“ aufgelöst.</w:t>
      </w:r>
    </w:p>
  </w:footnote>
  <w:footnote w:id="1486">
    <w:p>
      <w:pPr>
        <w:pStyle w:val="Funote"/>
        <w:rPr/>
      </w:pPr>
      <w:r>
        <w:rPr>
          <w:rStyle w:val="Funotenzeichen"/>
        </w:rPr>
        <w:footnoteRef/>
      </w:r>
      <w:r>
        <w:rPr>
          <w:i/>
        </w:rPr>
        <w:tab/>
        <w:t>{dass}:</w:t>
      </w:r>
      <w:r>
        <w:rPr/>
        <w:t xml:space="preserve"> Das </w:t>
      </w:r>
      <w:hyperlink r:id="rId231">
        <w:r>
          <w:rPr>
            <w:rStyle w:val="Internetverknpfung"/>
          </w:rPr>
          <w:t>Ὅτι recitativum"&gt;</w:t>
        </w:r>
        <w:r>
          <w:rPr>
            <w:rStyle w:val="Internetverknpfung"/>
            <w:lang w:val="el-GR"/>
          </w:rPr>
          <w:t>ὅτι</w:t>
        </w:r>
        <w:r>
          <w:rPr>
            <w:rStyle w:val="Internetverknpfung"/>
          </w:rPr>
          <w:t xml:space="preserve"> recitativum</w:t>
        </w:r>
      </w:hyperlink>
      <w:r>
        <w:rPr/>
        <w:t xml:space="preserve"> übersetzt man am besten als Doppelpunkt.</w:t>
      </w:r>
    </w:p>
  </w:footnote>
  <w:footnote w:id="1487">
    <w:p>
      <w:pPr>
        <w:pStyle w:val="Funote"/>
        <w:rPr/>
      </w:pPr>
      <w:r>
        <w:rPr>
          <w:rStyle w:val="Funotenzeichen"/>
        </w:rPr>
        <w:footnoteRef/>
      </w:r>
      <w:r>
        <w:rPr>
          <w:i/>
        </w:rPr>
        <w:tab/>
        <w:t>die, denen es schlecht geht</w:t>
      </w:r>
      <w:r>
        <w:rPr/>
        <w:t xml:space="preserve"> </w:t>
      </w:r>
      <w:hyperlink r:id="rId232">
        <w:r>
          <w:rPr>
            <w:rStyle w:val="Internetverknpfung"/>
          </w:rPr>
          <w:t>Subst. Ptz.</w:t>
        </w:r>
      </w:hyperlink>
      <w:r>
        <w:rPr/>
        <w:t xml:space="preserve">, als Relativsatz aufgelöst. </w:t>
      </w:r>
      <w:r>
        <w:rPr>
          <w:i/>
        </w:rPr>
        <w:t>die Kranken</w:t>
      </w:r>
      <w:r>
        <w:rPr/>
        <w:t xml:space="preserve"> ist eine geläufige Übersetzung dieser Wendung, die wir auch Mk 1,32.34 und 6,55 verwenden.</w:t>
      </w:r>
    </w:p>
  </w:footnote>
  <w:footnote w:id="1488">
    <w:p>
      <w:pPr>
        <w:pStyle w:val="Funote"/>
        <w:rPr/>
      </w:pPr>
      <w:r>
        <w:rPr>
          <w:rStyle w:val="Funotenzeichen"/>
        </w:rPr>
        <w:footnoteRef/>
      </w:r>
      <w:r>
        <w:rPr/>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489">
    <w:p>
      <w:pPr>
        <w:pStyle w:val="Funote"/>
        <w:rPr/>
      </w:pPr>
      <w:r>
        <w:rPr>
          <w:rStyle w:val="Funotenzeichen"/>
        </w:rPr>
        <w:footnoteRef/>
      </w:r>
      <w:r>
        <w:rPr>
          <w:i/>
        </w:rPr>
        <w:tab/>
        <w:t>kamen</w:t>
      </w:r>
      <w:r>
        <w:rPr/>
        <w:t xml:space="preserve"> und </w:t>
      </w:r>
      <w:r>
        <w:rPr>
          <w:i/>
        </w:rPr>
        <w:t>fragten</w:t>
      </w:r>
      <w:r>
        <w:rPr/>
        <w:t xml:space="preserve"> </w:t>
      </w:r>
      <w:hyperlink r:id="rId233">
        <w:r>
          <w:rPr>
            <w:rStyle w:val="Internetverknpfung"/>
          </w:rPr>
          <w:t>Historisches Präsens</w:t>
        </w:r>
      </w:hyperlink>
      <w:r>
        <w:rPr/>
        <w:t>.</w:t>
      </w:r>
    </w:p>
  </w:footnote>
  <w:footnote w:id="1490">
    <w:p>
      <w:pPr>
        <w:pStyle w:val="Funote"/>
        <w:rPr/>
      </w:pPr>
      <w:r>
        <w:rPr>
          <w:rStyle w:val="Funotenzeichen"/>
        </w:rPr>
        <w:footnoteRef/>
      </w:r>
      <w:r>
        <w:rPr/>
        <w:tab/>
        <w:t>Jünger der Pharisäer Da es bei den Pharisäern keine Jünger gab (die Formulierung aber aus rhetorischen Gründen zum Einsatz kommt; France 2002, 138), wäre in diesem Vers die durchgängige Übersetzung »Anhänger« vielleicht passender.</w:t>
      </w:r>
    </w:p>
  </w:footnote>
  <w:footnote w:id="1491">
    <w:p>
      <w:pPr>
        <w:pStyle w:val="Funote"/>
        <w:rPr/>
      </w:pPr>
      <w:r>
        <w:rPr>
          <w:rStyle w:val="Funotenzeichen"/>
        </w:rPr>
        <w:footnoteRef/>
      </w:r>
      <w:r>
        <w:rPr/>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492">
    <w:p>
      <w:pPr>
        <w:pStyle w:val="Funote"/>
        <w:rPr/>
      </w:pPr>
      <w:r>
        <w:rPr>
          <w:rStyle w:val="Funotenzeichen"/>
        </w:rPr>
        <w:footnoteRef/>
      </w:r>
      <w:r>
        <w:rPr/>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493">
    <w:p>
      <w:pPr>
        <w:pStyle w:val="Funote"/>
        <w:rPr/>
      </w:pPr>
      <w:r>
        <w:rPr>
          <w:rStyle w:val="Funotenzeichen"/>
        </w:rPr>
        <w:footnoteRef/>
      </w:r>
      <w:r>
        <w:rPr>
          <w:i/>
        </w:rPr>
        <w:tab/>
        <w:t>Tage/Tag</w:t>
      </w:r>
      <w:r>
        <w:rPr/>
        <w:t xml:space="preserve"> Wie im AT häufig stehen hier </w:t>
      </w:r>
      <w:r>
        <w:rPr>
          <w:i/>
        </w:rPr>
        <w:t>Tage</w:t>
      </w:r>
      <w:r>
        <w:rPr/>
        <w:t>, wo man auf Deutsch „(eine) Zeit“ sagen würde.</w:t>
      </w:r>
    </w:p>
  </w:footnote>
  <w:footnote w:id="1494">
    <w:p>
      <w:pPr>
        <w:pStyle w:val="Funote"/>
        <w:rPr/>
      </w:pPr>
      <w:r>
        <w:rPr>
          <w:rStyle w:val="Funotenzeichen"/>
        </w:rPr>
        <w:footnoteRef/>
      </w:r>
      <w:r>
        <w:rPr/>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495">
    <w:p>
      <w:pPr>
        <w:pStyle w:val="Funote"/>
        <w:rPr/>
      </w:pPr>
      <w:r>
        <w:rPr>
          <w:rStyle w:val="Funotenzeichen"/>
        </w:rPr>
        <w:footnoteRef/>
      </w:r>
      <w:r>
        <w:rPr/>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496">
    <w:p>
      <w:pPr>
        <w:pStyle w:val="Funote"/>
        <w:rPr/>
      </w:pPr>
      <w:r>
        <w:rPr>
          <w:rStyle w:val="Funotenzeichen"/>
        </w:rPr>
        <w:footnoteRef/>
      </w:r>
      <w:r>
        <w:rPr>
          <w:i/>
        </w:rPr>
        <w:tab/>
        <w:t>{Und es ereignete sich} [Einmal, als]</w:t>
      </w:r>
      <w:r>
        <w:rPr/>
        <w:t xml:space="preserve"> </w:t>
      </w:r>
      <w:r>
        <w:rPr>
          <w:lang w:val="el-GR"/>
        </w:rPr>
        <w:t>ἐγένετο</w:t>
      </w:r>
      <w:r>
        <w:rPr/>
        <w:t xml:space="preserve"> „es ereignete sich“ + </w:t>
      </w:r>
      <w:hyperlink r:id="rId234">
        <w:r>
          <w:rPr>
            <w:rStyle w:val="Internetverknpfung"/>
          </w:rPr>
          <w:t>AcI</w:t>
        </w:r>
      </w:hyperlink>
      <w:r>
        <w:rPr/>
        <w:t xml:space="preserve">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497">
    <w:p>
      <w:pPr>
        <w:pStyle w:val="Funote"/>
        <w:rPr/>
      </w:pPr>
      <w:r>
        <w:rPr>
          <w:rStyle w:val="Funotenzeichen"/>
        </w:rPr>
        <w:footnoteRef/>
      </w:r>
      <w:r>
        <w:rPr/>
        <w:tab/>
        <w:t xml:space="preserve">fingen seine Jünger an, unterwegs {die} Ähren abzureißen Impliziert ist die weitere Information: „und zu essen“ (vgl. NGÜ), wie die Parallestellen Mt 12,1 und Lk 6,1 verdeutlichen. W. „fingen seine Jünger an, [sich] einen Weg zu bahnen, wobei (indem) sie Ähren abrissen.“ Was genau die Jünger taten, wird erst auf den zweiten Blick klar. Man erhält zunächst den Eindruck, dass die Jünger sich einen Weg durch das Feld bahnten, nicht indem sie die Halme flachtraten, sondern indem sie sie einzeln abrissen!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abzureißen.“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498">
    <w:p>
      <w:pPr>
        <w:pStyle w:val="Funote"/>
        <w:rPr/>
      </w:pPr>
      <w:r>
        <w:rPr>
          <w:rStyle w:val="Funotenzeichen"/>
        </w:rPr>
        <w:footnoteRef/>
      </w:r>
      <w:r>
        <w:rPr/>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499">
    <w:p>
      <w:pPr>
        <w:pStyle w:val="Funote"/>
        <w:rPr/>
      </w:pPr>
      <w:r>
        <w:rPr>
          <w:rStyle w:val="Funotenzeichen"/>
        </w:rPr>
        <w:footnoteRef/>
      </w:r>
      <w:r>
        <w:rPr/>
        <w:tab/>
        <w:t>in einer Notlage war ([nichts zu essen] hatte) W. »Mangel hatte/litt«. In heutigem Deutsch müssen wir entweder etwas allgemeiner (wie vor der Klammer) oder spezifischer (wie in der Klammer) formulieren. Zu unserer Übersetzung vgl. LUT, ELB, ZÜR, MEN.</w:t>
      </w:r>
    </w:p>
  </w:footnote>
  <w:footnote w:id="1500">
    <w:p>
      <w:pPr>
        <w:pStyle w:val="Funote"/>
        <w:rPr/>
      </w:pPr>
      <w:r>
        <w:rPr>
          <w:rStyle w:val="Funotenzeichen"/>
        </w:rPr>
        <w:footnoteRef/>
      </w:r>
      <w:r>
        <w:rPr/>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501">
    <w:p>
      <w:pPr>
        <w:pStyle w:val="Funote"/>
        <w:rPr/>
      </w:pPr>
      <w:r>
        <w:rPr>
          <w:rStyle w:val="Funotenzeichen"/>
        </w:rPr>
        <w:footnoteRef/>
      </w:r>
      <w:r>
        <w:rPr/>
        <w:tab/>
        <w:t>geweihte Brote W. etwa »Brote der Ausstellung« (appositiver Genitiv), also zu Deutsch »die ausgestellten Brote«. Jesus benutzt hier den Begriff aus der LXX für die aus dem AT bekannten »geweihten Brote« oder »Schaubrote« (NSS).</w:t>
      </w:r>
    </w:p>
  </w:footnote>
  <w:footnote w:id="1502">
    <w:p>
      <w:pPr>
        <w:pStyle w:val="Funote"/>
        <w:rPr/>
      </w:pPr>
      <w:r>
        <w:rPr>
          <w:rStyle w:val="Funotenzeichen"/>
        </w:rPr>
        <w:footnoteRef/>
      </w:r>
      <w:r>
        <w:rPr/>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503">
    <w:p>
      <w:pPr>
        <w:pStyle w:val="Funote"/>
        <w:rPr/>
      </w:pPr>
      <w:r>
        <w:rPr>
          <w:rStyle w:val="Funotenzeichen"/>
        </w:rPr>
        <w:footnoteRef/>
      </w:r>
      <w:r>
        <w:rPr/>
        <w:tab/>
        <w:t xml:space="preserve">Herr sogar [über] den Sabbat </w:t>
      </w:r>
      <w:r>
        <w:rPr>
          <w:lang w:val="el-GR"/>
        </w:rPr>
        <w:t>κύριός</w:t>
      </w:r>
      <w:r>
        <w:rPr/>
        <w:t xml:space="preserve"> Herr mit Genitiv heißt »Herr über« (NSS).</w:t>
      </w:r>
    </w:p>
  </w:footnote>
  <w:footnote w:id="1504">
    <w:p>
      <w:pPr>
        <w:pStyle w:val="Funote"/>
        <w:rPr/>
      </w:pPr>
      <w:r>
        <w:rPr>
          <w:rStyle w:val="Funotenzeichen"/>
        </w:rPr>
        <w:footnoteRef/>
      </w:r>
      <w:r>
        <w:rPr/>
        <w:tab/>
        <w:t>[Status: Zuverlässig]</w:t>
      </w:r>
    </w:p>
  </w:footnote>
  <w:footnote w:id="1505">
    <w:p>
      <w:pPr>
        <w:pStyle w:val="Funote"/>
        <w:rPr/>
      </w:pPr>
      <w:r>
        <w:rPr>
          <w:rStyle w:val="Funotenzeichen"/>
        </w:rPr>
        <w:footnoteRef/>
      </w:r>
      <w:r>
        <w:rPr/>
        <w:tab/>
        <w:t>verkrüppelt W. „verdorrt“ (LUT, ELB, EÜ), „vertrocknet“, was den damaligen medizinischen Vorstellungen entsprach (Collins 2007, 206). GNB: „abgestorben“, ZÜR: „verkümmert“, MEN: „gelähmt“. Unsere Übersetzung wie NGÜ.</w:t>
      </w:r>
    </w:p>
  </w:footnote>
  <w:footnote w:id="1506">
    <w:p>
      <w:pPr>
        <w:pStyle w:val="Funote"/>
        <w:rPr/>
      </w:pPr>
      <w:r>
        <w:rPr>
          <w:rStyle w:val="Funotenzeichen"/>
        </w:rPr>
        <w:footnoteRef/>
      </w:r>
      <w:r>
        <w:rPr>
          <w:i/>
        </w:rPr>
        <w:tab/>
        <w:t>der ... hatte</w:t>
      </w:r>
      <w:r>
        <w:rPr/>
        <w:t xml:space="preserve"> </w:t>
      </w:r>
      <w:hyperlink r:id="rId235">
        <w:r>
          <w:rPr>
            <w:rStyle w:val="Internetverknpfung"/>
          </w:rPr>
          <w:t>Attributives Partizip</w:t>
        </w:r>
      </w:hyperlink>
      <w:r>
        <w:rPr/>
        <w:t xml:space="preserve"> Präsens. Als Relativsatz aufgelöst.</w:t>
      </w:r>
    </w:p>
  </w:footnote>
  <w:footnote w:id="1507">
    <w:p>
      <w:pPr>
        <w:pStyle w:val="Funote"/>
        <w:rPr/>
      </w:pPr>
      <w:r>
        <w:rPr>
          <w:rStyle w:val="Funotenzeichen"/>
        </w:rPr>
        <w:footnoteRef/>
      </w:r>
      <w:r>
        <w:rPr>
          <w:i/>
        </w:rPr>
        <w:tab/>
        <w:t>sie achteten (man achtete, sie lauerten) genau</w:t>
      </w:r>
      <w:r>
        <w:rPr/>
        <w:t xml:space="preserve">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508">
    <w:p>
      <w:pPr>
        <w:pStyle w:val="Funote"/>
        <w:rPr/>
      </w:pPr>
      <w:r>
        <w:rPr>
          <w:rStyle w:val="Funotenzeichen"/>
        </w:rPr>
        <w:footnoteRef/>
      </w:r>
      <w:r>
        <w:rPr>
          <w:i/>
        </w:rPr>
        <w:tab/>
        <w:t>[am] Sabbat</w:t>
      </w:r>
      <w:r>
        <w:rPr/>
        <w:t xml:space="preserve"> </w:t>
      </w:r>
      <w:hyperlink r:id="rId236">
        <w:r>
          <w:rPr>
            <w:rStyle w:val="Internetverknpfung"/>
          </w:rPr>
          <w:t>Temporaler Dativ</w:t>
        </w:r>
      </w:hyperlink>
      <w:r>
        <w:rPr/>
        <w:t>.</w:t>
      </w:r>
    </w:p>
  </w:footnote>
  <w:footnote w:id="1509">
    <w:p>
      <w:pPr>
        <w:pStyle w:val="Funote"/>
        <w:rPr/>
      </w:pPr>
      <w:r>
        <w:rPr>
          <w:rStyle w:val="Funotenzeichen"/>
        </w:rPr>
        <w:footnoteRef/>
      </w:r>
      <w:r>
        <w:rPr>
          <w:i/>
        </w:rPr>
        <w:tab/>
        <w:t>sagte</w:t>
      </w:r>
      <w:r>
        <w:rPr/>
        <w:t xml:space="preserve"> </w:t>
      </w:r>
      <w:hyperlink r:id="rId237">
        <w:r>
          <w:rPr>
            <w:rStyle w:val="Internetverknpfung"/>
          </w:rPr>
          <w:t>Historisches Präsens</w:t>
        </w:r>
      </w:hyperlink>
      <w:r>
        <w:rPr/>
        <w:t xml:space="preserve">. </w:t>
      </w:r>
    </w:p>
  </w:footnote>
  <w:footnote w:id="1510">
    <w:p>
      <w:pPr>
        <w:pStyle w:val="Funote"/>
        <w:rPr/>
      </w:pPr>
      <w:r>
        <w:rPr>
          <w:rStyle w:val="Funotenzeichen"/>
        </w:rPr>
        <w:footnoteRef/>
      </w:r>
      <w:r>
        <w:rPr>
          <w:i/>
        </w:rPr>
        <w:tab/>
        <w:t>mit der verkümmerten Hand</w:t>
      </w:r>
      <w:r>
        <w:rPr/>
        <w:t xml:space="preserve"> </w:t>
      </w:r>
      <w:hyperlink r:id="rId238">
        <w:r>
          <w:rPr>
            <w:rStyle w:val="Internetverknpfung"/>
          </w:rPr>
          <w:t>Attr. Ptz.</w:t>
        </w:r>
      </w:hyperlink>
      <w:r>
        <w:rPr/>
        <w:t xml:space="preserve"> (vgl. V. 1), aus stilistischen Gründen nicht als Relativsatz, sondern als Präpositionalphrase übersetzt. </w:t>
      </w:r>
      <w:r>
        <w:rPr>
          <w:i/>
        </w:rPr>
        <w:t>verkümmert</w:t>
      </w:r>
      <w:r>
        <w:rPr/>
        <w:t xml:space="preserve"> S. die </w:t>
      </w:r>
      <w:hyperlink w:anchor="note_a">
        <w:r>
          <w:rPr>
            <w:rStyle w:val="Internetverknpfung"/>
          </w:rPr>
          <w:t>Fn zu „verkrüppelt“</w:t>
        </w:r>
      </w:hyperlink>
      <w:r>
        <w:rPr/>
        <w:t xml:space="preserve"> in V. 1. Hier benutzt Markus ein Adjektiv aus derselben Wurzel wie das Ptz. in V. 1, das sich in der Bedeutung nicht wesentlich unterscheidet.</w:t>
      </w:r>
    </w:p>
  </w:footnote>
  <w:footnote w:id="1511">
    <w:p>
      <w:pPr>
        <w:pStyle w:val="Funote"/>
        <w:rPr/>
      </w:pPr>
      <w:r>
        <w:rPr>
          <w:rStyle w:val="Funotenzeichen"/>
        </w:rPr>
        <w:footnoteRef/>
      </w:r>
      <w:r>
        <w:rPr>
          <w:i/>
        </w:rPr>
        <w:tab/>
        <w:t>Komm (Steh auf)</w:t>
      </w:r>
      <w:r>
        <w:rPr/>
        <w:t xml:space="preserve">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512">
    <w:p>
      <w:pPr>
        <w:pStyle w:val="Funote"/>
        <w:rPr/>
      </w:pPr>
      <w:r>
        <w:rPr>
          <w:rStyle w:val="Funotenzeichen"/>
        </w:rPr>
        <w:footnoteRef/>
      </w:r>
      <w:r>
        <w:rPr>
          <w:i/>
        </w:rPr>
        <w:tab/>
        <w:t>fragte</w:t>
      </w:r>
      <w:r>
        <w:rPr/>
        <w:t xml:space="preserve"> </w:t>
      </w:r>
      <w:hyperlink r:id="rId239">
        <w:r>
          <w:rPr>
            <w:rStyle w:val="Internetverknpfung"/>
          </w:rPr>
          <w:t>Historisches Präsens</w:t>
        </w:r>
      </w:hyperlink>
      <w:r>
        <w:rPr/>
        <w:t xml:space="preserve">. </w:t>
      </w:r>
    </w:p>
  </w:footnote>
  <w:footnote w:id="1513">
    <w:p>
      <w:pPr>
        <w:pStyle w:val="Funote"/>
        <w:rPr/>
      </w:pPr>
      <w:r>
        <w:rPr>
          <w:rStyle w:val="Funotenzeichen"/>
        </w:rPr>
        <w:footnoteRef/>
      </w:r>
      <w:r>
        <w:rPr>
          <w:i/>
        </w:rPr>
        <w:tab/>
        <w:t>[am] Sabbat</w:t>
      </w:r>
      <w:r>
        <w:rPr/>
        <w:t xml:space="preserve"> </w:t>
      </w:r>
      <w:hyperlink r:id="rId240">
        <w:r>
          <w:rPr>
            <w:rStyle w:val="Internetverknpfung"/>
          </w:rPr>
          <w:t>Temporaler Dativ</w:t>
        </w:r>
      </w:hyperlink>
      <w:r>
        <w:rPr/>
        <w:t>.</w:t>
      </w:r>
    </w:p>
  </w:footnote>
  <w:footnote w:id="1514">
    <w:p>
      <w:pPr>
        <w:pStyle w:val="Funote"/>
        <w:rPr/>
      </w:pPr>
      <w:r>
        <w:rPr>
          <w:rStyle w:val="Funotenzeichen"/>
        </w:rPr>
        <w:footnoteRef/>
      </w:r>
      <w:r>
        <w:rPr>
          <w:i/>
        </w:rPr>
        <w:tab/>
        <w:t>voll Zorn (zornig)</w:t>
      </w:r>
      <w:r>
        <w:rPr/>
        <w:t xml:space="preserve"> Die Präposition </w:t>
      </w:r>
      <w:r>
        <w:rPr>
          <w:lang w:val="el-GR"/>
        </w:rPr>
        <w:t>μετά</w:t>
      </w:r>
      <w:r>
        <w:rPr/>
        <w:t xml:space="preserve"> + [Gefühl] dient zur Angabe von Gemütszuständen (BDAG Bed. III.1).</w:t>
      </w:r>
    </w:p>
  </w:footnote>
  <w:footnote w:id="1515">
    <w:p>
      <w:pPr>
        <w:pStyle w:val="Funote"/>
        <w:rPr/>
      </w:pPr>
      <w:r>
        <w:rPr>
          <w:rStyle w:val="Funotenzeichen"/>
        </w:rPr>
        <w:footnoteRef/>
      </w:r>
      <w:r>
        <w:rPr/>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516">
    <w:p>
      <w:pPr>
        <w:pStyle w:val="Funote"/>
        <w:rPr/>
      </w:pPr>
      <w:r>
        <w:rPr>
          <w:rStyle w:val="Funotenzeichen"/>
        </w:rPr>
        <w:footnoteRef/>
      </w:r>
      <w:r>
        <w:rPr/>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517">
    <w:p>
      <w:pPr>
        <w:pStyle w:val="Funote"/>
        <w:rPr/>
      </w:pPr>
      <w:r>
        <w:rPr>
          <w:rStyle w:val="Funotenzeichen"/>
        </w:rPr>
        <w:footnoteRef/>
      </w:r>
      <w:r>
        <w:rPr>
          <w:i/>
        </w:rPr>
        <w:tab/>
        <w:t>ihrer Herzen</w:t>
      </w:r>
      <w:r>
        <w:rPr/>
        <w:t xml:space="preserve"> W. „ihres Herzens“</w:t>
      </w:r>
    </w:p>
  </w:footnote>
  <w:footnote w:id="1518">
    <w:p>
      <w:pPr>
        <w:pStyle w:val="Funote"/>
        <w:rPr/>
      </w:pPr>
      <w:r>
        <w:rPr>
          <w:rStyle w:val="Funotenzeichen"/>
        </w:rPr>
        <w:footnoteRef/>
      </w:r>
      <w:r>
        <w:rPr>
          <w:i/>
        </w:rPr>
        <w:tab/>
        <w:t>sobald … hinausgegangen waren</w:t>
      </w:r>
      <w:r>
        <w:rPr/>
        <w:t xml:space="preserve"> </w:t>
      </w:r>
      <w:hyperlink r:id="rId241">
        <w:r>
          <w:rPr>
            <w:rStyle w:val="Internetverknpfung"/>
          </w:rPr>
          <w:t>Ptz. conj.</w:t>
        </w:r>
      </w:hyperlink>
      <w:r>
        <w:rPr/>
        <w:t>, temporal (vorzeitig) als Nebensatz aufgelöst. Ebenfalls möglich: „Doch die Pharisäer gingen hinaus und...“ (gleichzeitig)</w:t>
      </w:r>
    </w:p>
  </w:footnote>
  <w:footnote w:id="1519">
    <w:p>
      <w:pPr>
        <w:pStyle w:val="Funote"/>
        <w:rPr/>
      </w:pPr>
      <w:r>
        <w:rPr>
          <w:rStyle w:val="Funotenzeichen"/>
        </w:rPr>
        <w:footnoteRef/>
      </w:r>
      <w:r>
        <w:rPr/>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520">
    <w:p>
      <w:pPr>
        <w:pStyle w:val="Funote"/>
        <w:rPr/>
      </w:pPr>
      <w:r>
        <w:rPr>
          <w:rStyle w:val="Funotenzeichen"/>
        </w:rPr>
        <w:footnoteRef/>
      </w:r>
      <w:r>
        <w:rPr>
          <w:i/>
        </w:rPr>
        <w:tab/>
        <w:t>Meer</w:t>
      </w:r>
      <w:r>
        <w:rPr/>
        <w:t xml:space="preserve"> Gemeint ist wie schon in Mk 2,13 der See Gennesaret, das „Meer von Galiläa“. Auch die gesonderte Erwähnung der Menschenmenge aus Galiläa weist darauf hin.</w:t>
      </w:r>
    </w:p>
  </w:footnote>
  <w:footnote w:id="1521">
    <w:p>
      <w:pPr>
        <w:pStyle w:val="Funote"/>
        <w:rPr/>
      </w:pPr>
      <w:r>
        <w:rPr>
          <w:rStyle w:val="Funotenzeichen"/>
        </w:rPr>
        <w:footnoteRef/>
      </w:r>
      <w:r>
        <w:rPr/>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522">
    <w:p>
      <w:pPr>
        <w:pStyle w:val="Funote"/>
        <w:rPr/>
      </w:pPr>
      <w:r>
        <w:rPr>
          <w:rStyle w:val="Funotenzeichen"/>
        </w:rPr>
        <w:footnoteRef/>
      </w:r>
      <w:r>
        <w:rPr>
          <w:i/>
        </w:rPr>
        <w:tab/>
        <w:t>kam</w:t>
      </w:r>
      <w:r>
        <w:rPr/>
        <w:t xml:space="preserve"> W. „kamen“ (</w:t>
      </w:r>
      <w:hyperlink r:id="rId242">
        <w:r>
          <w:rPr>
            <w:rStyle w:val="Internetverknpfung"/>
          </w:rPr>
          <w:t>Constructio ad sensum</w:t>
        </w:r>
      </w:hyperlink>
      <w:r>
        <w:rPr/>
        <w:t>). Genauso das folgende Partizip „die hörten“.</w:t>
      </w:r>
    </w:p>
  </w:footnote>
  <w:footnote w:id="1523">
    <w:p>
      <w:pPr>
        <w:pStyle w:val="Funote"/>
        <w:rPr/>
      </w:pPr>
      <w:r>
        <w:rPr>
          <w:rStyle w:val="Funotenzeichen"/>
        </w:rPr>
        <w:footnoteRef/>
      </w:r>
      <w:r>
        <w:rPr>
          <w:i/>
        </w:rPr>
        <w:tab/>
        <w:t>die hörten</w:t>
      </w:r>
      <w:r>
        <w:rPr/>
        <w:t xml:space="preserve"> </w:t>
      </w:r>
      <w:hyperlink r:id="rId243">
        <w:r>
          <w:rPr>
            <w:rStyle w:val="Internetverknpfung"/>
          </w:rPr>
          <w:t>Ptz. conj.</w:t>
        </w:r>
      </w:hyperlink>
      <w:r>
        <w:rPr/>
        <w:t xml:space="preserve"> Präsens, kausal oder temporal, hier als Relativsatz aufgelöst, der beide Aspekte vermitteln kann.</w:t>
      </w:r>
    </w:p>
  </w:footnote>
  <w:footnote w:id="1524">
    <w:p>
      <w:pPr>
        <w:pStyle w:val="Funote"/>
        <w:rPr/>
      </w:pPr>
      <w:r>
        <w:rPr>
          <w:rStyle w:val="Funotenzeichen"/>
        </w:rPr>
        <w:footnoteRef/>
      </w:r>
      <w:r>
        <w:rPr/>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525">
    <w:p>
      <w:pPr>
        <w:pStyle w:val="Funote"/>
        <w:rPr/>
      </w:pPr>
      <w:r>
        <w:rPr>
          <w:rStyle w:val="Funotenzeichen"/>
        </w:rPr>
        <w:footnoteRef/>
      </w:r>
      <w:r>
        <w:rPr/>
        <w:tab/>
        <w:t>Leiden (Qualen) W. „Geißel“, übertragen „Plage“. Per Bedeutungserweiterung auch „Leiden“ oder „Gebrechen“ (vgl. LN 23.182). hatten Markus benutzt das Imperfekt, um die anhaltende Situation zu beschreiben. Das setzt sich bis V. 12 fort.</w:t>
      </w:r>
    </w:p>
  </w:footnote>
  <w:footnote w:id="1526">
    <w:p>
      <w:pPr>
        <w:pStyle w:val="Funote"/>
        <w:rPr/>
      </w:pPr>
      <w:r>
        <w:rPr>
          <w:rStyle w:val="Funotenzeichen"/>
        </w:rPr>
        <w:footnoteRef/>
      </w:r>
      <w:r>
        <w:rPr>
          <w:i/>
        </w:rPr>
        <w:tab/>
        <w:t>{und sagten}</w:t>
      </w:r>
      <w:r>
        <w:rPr/>
        <w:t xml:space="preserve"> </w:t>
      </w:r>
      <w:hyperlink r:id="rId244">
        <w:r>
          <w:rPr>
            <w:rStyle w:val="Internetverknpfung"/>
          </w:rPr>
          <w:t>Pleonastisches Partizip</w:t>
        </w:r>
      </w:hyperlink>
      <w:r>
        <w:rPr/>
        <w:t xml:space="preserve">. </w:t>
      </w:r>
    </w:p>
  </w:footnote>
  <w:footnote w:id="1527">
    <w:p>
      <w:pPr>
        <w:pStyle w:val="Funote"/>
        <w:rPr/>
      </w:pPr>
      <w:r>
        <w:rPr>
          <w:rStyle w:val="Funotenzeichen"/>
        </w:rPr>
        <w:footnoteRef/>
      </w:r>
      <w:r>
        <w:rPr>
          <w:i/>
        </w:rPr>
        <w:tab/>
        <w:t>{dass}</w:t>
      </w:r>
      <w:r>
        <w:rPr/>
        <w:t xml:space="preserve"> </w:t>
      </w:r>
      <w:hyperlink r:id="rId245">
        <w:r>
          <w:rPr>
            <w:rStyle w:val="Internetverknpfung"/>
          </w:rPr>
          <w:t>Ὅτι recitativum"&gt;</w:t>
        </w:r>
        <w:r>
          <w:rPr>
            <w:rStyle w:val="Internetverknpfung"/>
            <w:lang w:val="el-GR"/>
          </w:rPr>
          <w:t>ὅτι</w:t>
        </w:r>
        <w:r>
          <w:rPr>
            <w:rStyle w:val="Internetverknpfung"/>
          </w:rPr>
          <w:t xml:space="preserve"> recitativum</w:t>
        </w:r>
      </w:hyperlink>
      <w:r>
        <w:rPr/>
        <w:t xml:space="preserve">. </w:t>
      </w:r>
    </w:p>
  </w:footnote>
  <w:footnote w:id="1528">
    <w:p>
      <w:pPr>
        <w:pStyle w:val="Funote"/>
        <w:rPr/>
      </w:pPr>
      <w:r>
        <w:rPr>
          <w:rStyle w:val="Funotenzeichen"/>
        </w:rPr>
        <w:footnoteRef/>
      </w:r>
      <w:r>
        <w:rPr>
          <w:i/>
        </w:rPr>
        <w:tab/>
        <w:t>drohte (befahl, wies an) ihnen nachdrücklich</w:t>
      </w:r>
      <w:r>
        <w:rPr/>
        <w:t xml:space="preserve"> W. etwa „wies sie viel zurecht“. Das Adverb </w:t>
      </w:r>
      <w:r>
        <w:rPr>
          <w:lang w:val="el-GR"/>
        </w:rPr>
        <w:t>πολλὰ</w:t>
      </w:r>
      <w:r>
        <w:rPr/>
        <w:t xml:space="preserve"> „viel“ benutzt Markus hier intensivierend (ganz ähnlich wie „sehr“), daher die Übersetzung </w:t>
      </w:r>
      <w:r>
        <w:rPr>
          <w:i/>
        </w:rPr>
        <w:t>nachdrücklich</w:t>
      </w:r>
      <w:r>
        <w:rPr/>
        <w:t xml:space="preserve">. Wie in Mk 1,25 (s. Fn dort) kontrolliert Jesus hier Dämonen, denen er bindende Befehle erteilt. So heißt das Wort in diesem Kontext eher (indirekte Rede einleitend) </w:t>
      </w:r>
      <w:r>
        <w:rPr>
          <w:i/>
        </w:rPr>
        <w:t>befehlen</w:t>
      </w:r>
      <w:r>
        <w:rPr/>
        <w:t xml:space="preserve">.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w:t>
        <w:br/>
      </w:r>
      <w:r>
        <w:rPr>
          <w:i/>
        </w:rPr>
        <w:t>drohte ..., damit sie ihn nicht bekannt machten</w:t>
      </w:r>
      <w:r>
        <w:rPr/>
        <w:t xml:space="preserve"> – Das Griechische drückt den indirekt geäußerten negativen Befehl durch einen finalen Nebensatz aus, das Deutsche mit einem Infinitivsatz. Stilistisch schöner mit „verbieten“: </w:t>
      </w:r>
      <w:r>
        <w:rPr>
          <w:i/>
        </w:rPr>
        <w:t>verbot … zu machen</w:t>
      </w:r>
      <w:r>
        <w:rPr/>
        <w:t>.</w:t>
      </w:r>
    </w:p>
  </w:footnote>
  <w:footnote w:id="1529">
    <w:p>
      <w:pPr>
        <w:pStyle w:val="Funote"/>
        <w:rPr/>
      </w:pPr>
      <w:r>
        <w:rPr>
          <w:rStyle w:val="Funotenzeichen"/>
        </w:rPr>
        <w:footnoteRef/>
      </w:r>
      <w:r>
        <w:rPr>
          <w:i/>
        </w:rPr>
        <w:tab/>
        <w:t>stieg</w:t>
      </w:r>
      <w:r>
        <w:rPr/>
        <w:t xml:space="preserve"> und </w:t>
      </w:r>
      <w:r>
        <w:rPr>
          <w:i/>
        </w:rPr>
        <w:t>rief</w:t>
      </w:r>
      <w:r>
        <w:rPr/>
        <w:t xml:space="preserve"> </w:t>
      </w:r>
      <w:hyperlink r:id="rId246">
        <w:r>
          <w:rPr>
            <w:rStyle w:val="Internetverknpfung"/>
          </w:rPr>
          <w:t>Historisches Präsens</w:t>
        </w:r>
      </w:hyperlink>
      <w:r>
        <w:rPr/>
        <w:t xml:space="preserve">. </w:t>
      </w:r>
    </w:p>
  </w:footnote>
  <w:footnote w:id="1530">
    <w:p>
      <w:pPr>
        <w:pStyle w:val="Funote"/>
        <w:rPr/>
      </w:pPr>
      <w:r>
        <w:rPr>
          <w:rStyle w:val="Funotenzeichen"/>
        </w:rPr>
        <w:footnoteRef/>
      </w:r>
      <w:r>
        <w:rPr/>
        <w:tab/>
        <w:t>die er selbst sich ausgesucht hatte W. „die er selbst wollte“. NSS schlägt sinngemäß „die er bei sich haben wollte“ vor (so NGÜ, ähnlich MEN, ZÜR). EÜ: „die er erwählt hatte“, GNB: „die er für eine besondere Aufgabe vorgesehen hatte“.</w:t>
      </w:r>
    </w:p>
  </w:footnote>
  <w:footnote w:id="1531">
    <w:p>
      <w:pPr>
        <w:pStyle w:val="Funote"/>
        <w:rPr/>
      </w:pPr>
      <w:r>
        <w:rPr>
          <w:rStyle w:val="Funotenzeichen"/>
        </w:rPr>
        <w:footnoteRef/>
      </w:r>
      <w:r>
        <w:rPr/>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532">
    <w:p>
      <w:pPr>
        <w:pStyle w:val="Funote"/>
        <w:rPr/>
      </w:pPr>
      <w:r>
        <w:rPr>
          <w:rStyle w:val="Funotenzeichen"/>
        </w:rPr>
        <w:footnoteRef/>
      </w:r>
      <w:r>
        <w:rPr/>
        <w:tab/>
        <w:t>bestimmte W. „machte“, ein Semitismus (Guelich 1989, 157).</w:t>
      </w:r>
    </w:p>
  </w:footnote>
  <w:footnote w:id="1533">
    <w:p>
      <w:pPr>
        <w:pStyle w:val="Funote"/>
        <w:rPr/>
      </w:pPr>
      <w:r>
        <w:rPr>
          <w:rStyle w:val="Funotenzeichen"/>
        </w:rPr>
        <w:footnoteRef/>
      </w:r>
      <w:r>
        <w:rPr/>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534">
    <w:p>
      <w:pPr>
        <w:pStyle w:val="Funote"/>
        <w:rPr/>
      </w:pPr>
      <w:r>
        <w:rPr>
          <w:rStyle w:val="Funotenzeichen"/>
        </w:rPr>
        <w:footnoteRef/>
      </w:r>
      <w:r>
        <w:rPr>
          <w:i/>
        </w:rPr>
        <w:tab/>
        <w:t>heißt</w:t>
      </w:r>
      <w:r>
        <w:rPr/>
        <w:t xml:space="preserve"> W. „ist“ </w:t>
      </w:r>
    </w:p>
  </w:footnote>
  <w:footnote w:id="1535">
    <w:p>
      <w:pPr>
        <w:pStyle w:val="Funote"/>
        <w:rPr/>
      </w:pPr>
      <w:r>
        <w:rPr>
          <w:rStyle w:val="Funotenzeichen"/>
        </w:rPr>
        <w:footnoteRef/>
      </w:r>
      <w:r>
        <w:rPr/>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536">
    <w:p>
      <w:pPr>
        <w:pStyle w:val="Funote"/>
        <w:rPr/>
      </w:pPr>
      <w:r>
        <w:rPr>
          <w:rStyle w:val="Funotenzeichen"/>
        </w:rPr>
        <w:footnoteRef/>
      </w:r>
      <w:r>
        <w:rPr/>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537">
    <w:p>
      <w:pPr>
        <w:pStyle w:val="Funote"/>
        <w:rPr/>
      </w:pPr>
      <w:r>
        <w:rPr>
          <w:rStyle w:val="Funotenzeichen"/>
        </w:rPr>
        <w:footnoteRef/>
      </w:r>
      <w:r>
        <w:rPr/>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538">
    <w:p>
      <w:pPr>
        <w:pStyle w:val="Funote"/>
        <w:rPr/>
      </w:pPr>
      <w:r>
        <w:rPr>
          <w:rStyle w:val="Funotenzeichen"/>
        </w:rPr>
        <w:footnoteRef/>
      </w:r>
      <w:r>
        <w:rPr/>
        <w:tab/>
        <w:t>nach Hause bzw. in ein Haus Es wird sich wieder um Petrus' Haus in Kafarnaum handeln, das Jesus offenbar bezogen hat (vgl. Mk 1,29; 2,1). Abgesehen von seinem Besuch in Levis Haus (2,15) ist es das einzige bisher identifizierte (France 2002, 164f.).</w:t>
      </w:r>
    </w:p>
  </w:footnote>
  <w:footnote w:id="1539">
    <w:p>
      <w:pPr>
        <w:pStyle w:val="Funote"/>
        <w:rPr/>
      </w:pPr>
      <w:r>
        <w:rPr>
          <w:rStyle w:val="Funotenzeichen"/>
        </w:rPr>
        <w:footnoteRef/>
      </w:r>
      <w:r>
        <w:rPr>
          <w:i/>
        </w:rPr>
        <w:tab/>
        <w:t>ging</w:t>
      </w:r>
      <w:r>
        <w:rPr/>
        <w:t xml:space="preserve"> und </w:t>
      </w:r>
      <w:r>
        <w:rPr>
          <w:i/>
        </w:rPr>
        <w:t>versammelte</w:t>
      </w:r>
      <w:r>
        <w:rPr/>
        <w:t xml:space="preserve"> </w:t>
      </w:r>
      <w:hyperlink r:id="rId247">
        <w:r>
          <w:rPr>
            <w:rStyle w:val="Internetverknpfung"/>
          </w:rPr>
          <w:t>Historisches Präsens</w:t>
        </w:r>
      </w:hyperlink>
      <w:r>
        <w:rPr/>
        <w:t xml:space="preserve">. </w:t>
      </w:r>
    </w:p>
  </w:footnote>
  <w:footnote w:id="1540">
    <w:p>
      <w:pPr>
        <w:pStyle w:val="Funote"/>
        <w:rPr/>
      </w:pPr>
      <w:r>
        <w:rPr>
          <w:rStyle w:val="Funotenzeichen"/>
        </w:rPr>
        <w:footnoteRef/>
      </w:r>
      <w:r>
        <w:rPr/>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541">
    <w:p>
      <w:pPr>
        <w:pStyle w:val="Funote"/>
        <w:rPr/>
      </w:pPr>
      <w:r>
        <w:rPr>
          <w:rStyle w:val="Funotenzeichen"/>
        </w:rPr>
        <w:footnoteRef/>
      </w:r>
      <w:r>
        <w:rPr/>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542">
    <w:p>
      <w:pPr>
        <w:pStyle w:val="Funote"/>
        <w:rPr/>
      </w:pPr>
      <w:r>
        <w:rPr>
          <w:rStyle w:val="Funotenzeichen"/>
        </w:rPr>
        <w:footnoteRef/>
      </w:r>
      <w:r>
        <w:rPr/>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543">
    <w:p>
      <w:pPr>
        <w:pStyle w:val="Funote"/>
        <w:rPr/>
      </w:pPr>
      <w:r>
        <w:rPr>
          <w:rStyle w:val="Funotenzeichen"/>
        </w:rPr>
        <w:footnoteRef/>
      </w:r>
      <w:r>
        <w:rPr>
          <w:i/>
        </w:rPr>
        <w:tab/>
        <w:t>die ... gekommen waren</w:t>
      </w:r>
      <w:r>
        <w:rPr/>
        <w:t xml:space="preserve"> </w:t>
      </w:r>
      <w:hyperlink r:id="rId248">
        <w:r>
          <w:rPr>
            <w:rStyle w:val="Internetverknpfung"/>
          </w:rPr>
          <w:t>Attr. Ptz.</w:t>
        </w:r>
      </w:hyperlink>
      <w:r>
        <w:rPr/>
        <w:t xml:space="preserve"> Aor., als vorzeitiger Relativsatz aufgelöst.</w:t>
      </w:r>
    </w:p>
  </w:footnote>
  <w:footnote w:id="1544">
    <w:p>
      <w:pPr>
        <w:pStyle w:val="Funote"/>
        <w:rPr/>
      </w:pPr>
      <w:r>
        <w:rPr>
          <w:rStyle w:val="Funotenzeichen"/>
        </w:rPr>
        <w:footnoteRef/>
      </w:r>
      <w:r>
        <w:rPr/>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545">
    <w:p>
      <w:pPr>
        <w:pStyle w:val="Funote"/>
        <w:rPr/>
      </w:pPr>
      <w:r>
        <w:rPr>
          <w:rStyle w:val="Funotenzeichen"/>
        </w:rPr>
        <w:footnoteRef/>
      </w:r>
      <w:r>
        <w:rPr/>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546">
    <w:p>
      <w:pPr>
        <w:pStyle w:val="Funote"/>
        <w:rPr/>
      </w:pPr>
      <w:r>
        <w:rPr>
          <w:rStyle w:val="Funotenzeichen"/>
        </w:rPr>
        <w:footnoteRef/>
      </w:r>
      <w:r>
        <w:rPr>
          <w:i/>
        </w:rPr>
        <w:tab/>
        <w:t>er rief sie zu sich und</w:t>
      </w:r>
      <w:r>
        <w:rPr/>
        <w:t xml:space="preserve"> Temporales (gleichzeitig) </w:t>
      </w:r>
      <w:hyperlink r:id="rId249">
        <w:r>
          <w:rPr>
            <w:rStyle w:val="Internetverknpfung"/>
          </w:rPr>
          <w:t>Ptz. conj.</w:t>
        </w:r>
      </w:hyperlink>
      <w:r>
        <w:rPr/>
        <w:t>, mit „und“ beigeordnet.</w:t>
      </w:r>
    </w:p>
  </w:footnote>
  <w:footnote w:id="1547">
    <w:p>
      <w:pPr>
        <w:pStyle w:val="Funote"/>
        <w:rPr/>
      </w:pPr>
      <w:r>
        <w:rPr>
          <w:rStyle w:val="Funotenzeichen"/>
        </w:rPr>
        <w:footnoteRef/>
      </w:r>
      <w:r>
        <w:rPr/>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548">
    <w:p>
      <w:pPr>
        <w:pStyle w:val="Funote"/>
        <w:rPr/>
      </w:pPr>
      <w:r>
        <w:rPr>
          <w:rStyle w:val="Funotenzeichen"/>
        </w:rPr>
        <w:footnoteRef/>
      </w:r>
      <w:r>
        <w:rPr/>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549">
    <w:p>
      <w:pPr>
        <w:pStyle w:val="Funote"/>
        <w:rPr/>
      </w:pPr>
      <w:r>
        <w:rPr>
          <w:rStyle w:val="Funotenzeichen"/>
        </w:rPr>
        <w:footnoteRef/>
      </w:r>
      <w:r>
        <w:rPr/>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550">
    <w:p>
      <w:pPr>
        <w:pStyle w:val="Funote"/>
        <w:rPr/>
      </w:pPr>
      <w:r>
        <w:rPr>
          <w:rStyle w:val="Funotenzeichen"/>
        </w:rPr>
        <w:footnoteRef/>
      </w:r>
      <w:r>
        <w:rPr/>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551">
    <w:p>
      <w:pPr>
        <w:pStyle w:val="Funote"/>
        <w:rPr/>
      </w:pPr>
      <w:r>
        <w:rPr>
          <w:rStyle w:val="Funotenzeichen"/>
        </w:rPr>
        <w:footnoteRef/>
      </w:r>
      <w:r>
        <w:rPr/>
        <w:tab/>
        <w:t>es hat ein Ende [mit ihm] W. »er hat ein Ende«. LUT: »es ist aus mit ihm.«</w:t>
      </w:r>
    </w:p>
  </w:footnote>
  <w:footnote w:id="1552">
    <w:p>
      <w:pPr>
        <w:pStyle w:val="Funote"/>
        <w:rPr/>
      </w:pPr>
      <w:r>
        <w:rPr>
          <w:rStyle w:val="Funotenzeichen"/>
        </w:rPr>
        <w:footnoteRef/>
      </w:r>
      <w:r>
        <w:rPr>
          <w:i/>
        </w:rPr>
        <w:tab/>
        <w:t>niemand kann</w:t>
      </w:r>
      <w:r>
        <w:rPr/>
        <w:t xml:space="preserve"> W. „niemand kann nicht“. Die doppelte Verneinung verstärkt die Aussage.</w:t>
      </w:r>
    </w:p>
  </w:footnote>
  <w:footnote w:id="1553">
    <w:p>
      <w:pPr>
        <w:pStyle w:val="Funote"/>
        <w:rPr/>
      </w:pPr>
      <w:r>
        <w:rPr>
          <w:rStyle w:val="Funotenzeichen"/>
        </w:rPr>
        <w:footnoteRef/>
      </w:r>
      <w:r>
        <w:rPr>
          <w:i/>
        </w:rPr>
        <w:tab/>
        <w:t>eindringen und</w:t>
      </w:r>
      <w:r>
        <w:rPr/>
        <w:t xml:space="preserve"> </w:t>
      </w:r>
      <w:hyperlink r:id="rId250">
        <w:r>
          <w:rPr>
            <w:rStyle w:val="Internetverknpfung"/>
          </w:rPr>
          <w:t>Ptz. conj.</w:t>
        </w:r>
      </w:hyperlink>
      <w:r>
        <w:rPr/>
        <w:t>, temporal, mit „und“ beigeordnet.</w:t>
      </w:r>
    </w:p>
  </w:footnote>
  <w:footnote w:id="1554">
    <w:p>
      <w:pPr>
        <w:pStyle w:val="Funote"/>
        <w:rPr/>
      </w:pPr>
      <w:r>
        <w:rPr>
          <w:rStyle w:val="Funotenzeichen"/>
        </w:rPr>
        <w:footnoteRef/>
      </w:r>
      <w:r>
        <w:rPr/>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555">
    <w:p>
      <w:pPr>
        <w:pStyle w:val="Funote"/>
        <w:rPr/>
      </w:pPr>
      <w:r>
        <w:rPr>
          <w:rStyle w:val="Funotenzeichen"/>
        </w:rPr>
        <w:footnoteRef/>
      </w:r>
      <w:r>
        <w:rPr/>
        <w:tab/>
        <w:t>kann ausplündern Als modales Futur verstanden (NSS).</w:t>
      </w:r>
    </w:p>
  </w:footnote>
  <w:footnote w:id="1556">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557">
    <w:p>
      <w:pPr>
        <w:pStyle w:val="Funote"/>
        <w:rPr/>
      </w:pPr>
      <w:r>
        <w:rPr>
          <w:rStyle w:val="Funotenzeichen"/>
        </w:rPr>
        <w:footnoteRef/>
      </w:r>
      <w:r>
        <w:rPr>
          <w:i/>
        </w:rPr>
        <w:tab/>
        <w:t>Kindern (Söhnen) der Menschen</w:t>
      </w:r>
      <w:r>
        <w:rPr/>
        <w:t xml:space="preserve"> Semitische Formulierung, die einfach „Menschen“ oder „die Menschheit“ umschreibt. Kinder gibt den geschlechtlich unbestimmten Plural von „Sohn“ inklusiv wieder (</w:t>
      </w:r>
      <w:hyperlink r:id="rId251">
        <w:r>
          <w:rPr>
            <w:rStyle w:val="Internetverknpfung"/>
          </w:rPr>
          <w:t>Generisches Maskulinum</w:t>
        </w:r>
      </w:hyperlink>
      <w:r>
        <w:rPr/>
        <w:t>).</w:t>
      </w:r>
    </w:p>
  </w:footnote>
  <w:footnote w:id="1558">
    <w:p>
      <w:pPr>
        <w:pStyle w:val="Funote"/>
        <w:rPr/>
      </w:pPr>
      <w:r>
        <w:rPr>
          <w:rStyle w:val="Funotenzeichen"/>
        </w:rPr>
        <w:footnoteRef/>
      </w:r>
      <w:r>
        <w:rPr/>
        <w:tab/>
        <w:t>kann (wird) vergeben werden Das Futur ist wohl modal (NSS).</w:t>
      </w:r>
    </w:p>
  </w:footnote>
  <w:footnote w:id="1559">
    <w:p>
      <w:pPr>
        <w:pStyle w:val="Funote"/>
        <w:rPr/>
      </w:pPr>
      <w:r>
        <w:rPr>
          <w:rStyle w:val="Funotenzeichen"/>
        </w:rPr>
        <w:footnoteRef/>
      </w:r>
      <w:r>
        <w:rPr/>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560">
    <w:p>
      <w:pPr>
        <w:pStyle w:val="Funote"/>
        <w:rPr/>
      </w:pPr>
      <w:r>
        <w:rPr>
          <w:rStyle w:val="Funotenzeichen"/>
        </w:rPr>
        <w:footnoteRef/>
      </w:r>
      <w:r>
        <w:rPr>
          <w:i/>
        </w:rPr>
        <w:tab/>
        <w:t>besessen</w:t>
      </w:r>
      <w:r>
        <w:rPr/>
        <w:t xml:space="preserve"> W. „Er hat einen unreinen Geist!“ Dazu s. die Erklärung in der </w:t>
      </w:r>
      <w:hyperlink w:anchor="note_aq">
        <w:r>
          <w:rPr>
            <w:rStyle w:val="Internetverknpfung"/>
          </w:rPr>
          <w:t>Fußnote zu V. 22</w:t>
        </w:r>
      </w:hyperlink>
      <w:r>
        <w:rPr/>
        <w:t>.</w:t>
      </w:r>
    </w:p>
  </w:footnote>
  <w:footnote w:id="1561">
    <w:p>
      <w:pPr>
        <w:pStyle w:val="Funote"/>
        <w:rPr/>
      </w:pPr>
      <w:r>
        <w:rPr>
          <w:rStyle w:val="Funotenzeichen"/>
        </w:rPr>
        <w:footnoteRef/>
      </w:r>
      <w:r>
        <w:rPr>
          <w:i/>
        </w:rPr>
        <w:tab/>
        <w:t>kamen</w:t>
      </w:r>
      <w:r>
        <w:rPr/>
        <w:t xml:space="preserve"> </w:t>
      </w:r>
      <w:hyperlink r:id="rId252">
        <w:r>
          <w:rPr>
            <w:rStyle w:val="Internetverknpfung"/>
          </w:rPr>
          <w:t>Historisches Präsens</w:t>
        </w:r>
      </w:hyperlink>
      <w:r>
        <w:rPr/>
        <w:t xml:space="preserve">, W. „kam“. </w:t>
      </w:r>
    </w:p>
  </w:footnote>
  <w:footnote w:id="1562">
    <w:p>
      <w:pPr>
        <w:pStyle w:val="Funote"/>
        <w:rPr/>
      </w:pPr>
      <w:r>
        <w:rPr>
          <w:rStyle w:val="Funotenzeichen"/>
        </w:rPr>
        <w:footnoteRef/>
      </w:r>
      <w:r>
        <w:rPr/>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563">
    <w:p>
      <w:pPr>
        <w:pStyle w:val="Funote"/>
        <w:rPr/>
      </w:pPr>
      <w:r>
        <w:rPr>
          <w:rStyle w:val="Funotenzeichen"/>
        </w:rPr>
        <w:footnoteRef/>
      </w:r>
      <w:r>
        <w:rPr>
          <w:i/>
        </w:rPr>
        <w:tab/>
        <w:t>Sie blieben stehen und</w:t>
      </w:r>
      <w:r>
        <w:rPr/>
        <w:t xml:space="preserve"> </w:t>
      </w:r>
      <w:hyperlink r:id="rId253">
        <w:r>
          <w:rPr>
            <w:rStyle w:val="Internetverknpfung"/>
          </w:rPr>
          <w:t>Ptz. conj.</w:t>
        </w:r>
      </w:hyperlink>
      <w:r>
        <w:rPr/>
        <w:t>, temporal oder modal, als mit „und“ beigeordneter Satz aufgelöst.</w:t>
      </w:r>
    </w:p>
  </w:footnote>
  <w:footnote w:id="1564">
    <w:p>
      <w:pPr>
        <w:pStyle w:val="Funote"/>
        <w:rPr/>
      </w:pPr>
      <w:r>
        <w:rPr>
          <w:rStyle w:val="Funotenzeichen"/>
        </w:rPr>
        <w:footnoteRef/>
      </w:r>
      <w:r>
        <w:rPr>
          <w:i/>
        </w:rPr>
        <w:tab/>
        <w:t>schickten [jemanden] zu ihm (ließen ihm ausrichten)</w:t>
      </w:r>
      <w:r>
        <w:rPr/>
        <w:t xml:space="preserve">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565">
    <w:p>
      <w:pPr>
        <w:pStyle w:val="Funote"/>
        <w:rPr/>
      </w:pPr>
      <w:r>
        <w:rPr>
          <w:rStyle w:val="Funotenzeichen"/>
        </w:rPr>
        <w:footnoteRef/>
      </w:r>
      <w:r>
        <w:rPr/>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566">
    <w:p>
      <w:pPr>
        <w:pStyle w:val="Funote"/>
        <w:rPr/>
      </w:pPr>
      <w:r>
        <w:rPr>
          <w:rStyle w:val="Funotenzeichen"/>
        </w:rPr>
        <w:footnoteRef/>
      </w:r>
      <w:r>
        <w:rPr/>
        <w:tab/>
        <w:t>sagten Historisches Präsens. Die Alternativübersetzung in der Klammer versteht das Prädikat unpersönlich (vgl. EÜ, NGÜ).</w:t>
      </w:r>
    </w:p>
  </w:footnote>
  <w:footnote w:id="1567">
    <w:p>
      <w:pPr>
        <w:pStyle w:val="Funote"/>
        <w:rPr/>
      </w:pPr>
      <w:r>
        <w:rPr>
          <w:rStyle w:val="Funotenzeichen"/>
        </w:rPr>
        <w:footnoteRef/>
      </w:r>
      <w:r>
        <w:rPr/>
        <w:tab/>
        <w:t>Da draußen - W. »Siehe, deine Mutter und deine Geschwister draußen suchen dich«. »°Siehe°« hat hier die Funktion, Jesus auf etwas räumlich Nahes aufmerksam zu machen (Bailey 2009, S. 329); sinnvoller daher statt wörtliche Üs.: »Da draußen«.</w:t>
      </w:r>
    </w:p>
  </w:footnote>
  <w:footnote w:id="1568">
    <w:p>
      <w:pPr>
        <w:pStyle w:val="Funote"/>
        <w:rPr/>
      </w:pPr>
      <w:r>
        <w:rPr>
          <w:rStyle w:val="Funotenzeichen"/>
        </w:rPr>
        <w:footnoteRef/>
      </w:r>
      <w:r>
        <w:rPr>
          <w:i/>
        </w:rPr>
        <w:tab/>
        <w:t>antwortete ihnen {und sagte}</w:t>
      </w:r>
      <w:r>
        <w:rPr/>
        <w:t xml:space="preserve"> Zu </w:t>
      </w:r>
      <w:r>
        <w:rPr>
          <w:i/>
        </w:rPr>
        <w:t>antwortete</w:t>
      </w:r>
      <w:r>
        <w:rPr/>
        <w:t xml:space="preserve">: </w:t>
      </w:r>
      <w:hyperlink r:id="rId254">
        <w:r>
          <w:rPr>
            <w:rStyle w:val="Internetverknpfung"/>
          </w:rPr>
          <w:t>Ptz. conj.</w:t>
        </w:r>
      </w:hyperlink>
      <w:r>
        <w:rPr/>
        <w:t xml:space="preserve"> (modal-temporal), mit „und“ beigeordnet. </w:t>
      </w:r>
      <w:r>
        <w:rPr>
          <w:i/>
        </w:rPr>
        <w:t>{und sagte}</w:t>
      </w:r>
      <w:r>
        <w:rPr/>
        <w:t xml:space="preserve"> </w:t>
      </w:r>
      <w:hyperlink r:id="rId255">
        <w:r>
          <w:rPr>
            <w:rStyle w:val="Internetverknpfung"/>
          </w:rPr>
          <w:t>Historisches Präsens</w:t>
        </w:r>
      </w:hyperlink>
      <w:r>
        <w:rPr/>
        <w:t>. Im Deutschen ist das doppelte Prädikat unnötig.</w:t>
      </w:r>
    </w:p>
  </w:footnote>
  <w:footnote w:id="1569">
    <w:p>
      <w:pPr>
        <w:pStyle w:val="Funote"/>
        <w:rPr/>
      </w:pPr>
      <w:r>
        <w:rPr>
          <w:rStyle w:val="Funotenzeichen"/>
        </w:rPr>
        <w:footnoteRef/>
      </w:r>
      <w:r>
        <w:rPr>
          <w:i/>
        </w:rPr>
        <w:tab/>
        <w:t>sind</w:t>
      </w:r>
      <w:r>
        <w:rPr/>
        <w:t xml:space="preserve"> W. „ist“ </w:t>
      </w:r>
    </w:p>
  </w:footnote>
  <w:footnote w:id="1570">
    <w:p>
      <w:pPr>
        <w:pStyle w:val="Funote"/>
        <w:rPr/>
      </w:pPr>
      <w:r>
        <w:rPr>
          <w:rStyle w:val="Funotenzeichen"/>
        </w:rPr>
        <w:footnoteRef/>
      </w:r>
      <w:r>
        <w:rPr>
          <w:i/>
        </w:rPr>
        <w:tab/>
        <w:t>während (indem, nachdem) er der Reihe nach anschaute</w:t>
      </w:r>
      <w:r>
        <w:rPr/>
        <w:t xml:space="preserve"> </w:t>
      </w:r>
      <w:hyperlink r:id="rId256">
        <w:r>
          <w:rPr>
            <w:rStyle w:val="Internetverknpfung"/>
          </w:rPr>
          <w:t>Ptz. conj.</w:t>
        </w:r>
      </w:hyperlink>
      <w:r>
        <w:rPr/>
        <w:t xml:space="preserve"> (Aor.), temporal-modal als Nebensatz aufgelöst.</w:t>
      </w:r>
    </w:p>
  </w:footnote>
  <w:footnote w:id="1571">
    <w:p>
      <w:pPr>
        <w:pStyle w:val="Funote"/>
        <w:rPr/>
      </w:pPr>
      <w:r>
        <w:rPr>
          <w:rStyle w:val="Funotenzeichen"/>
        </w:rPr>
        <w:footnoteRef/>
      </w:r>
      <w:r>
        <w:rPr/>
        <w:tab/>
        <w:t>[im] Kreis Erstarrter lokaler Dativ (NSS).</w:t>
      </w:r>
    </w:p>
  </w:footnote>
  <w:footnote w:id="1572">
    <w:p>
      <w:pPr>
        <w:pStyle w:val="Funote"/>
        <w:rPr/>
      </w:pPr>
      <w:r>
        <w:rPr>
          <w:rStyle w:val="Funotenzeichen"/>
        </w:rPr>
        <w:footnoteRef/>
      </w:r>
      <w:r>
        <w:rPr>
          <w:i/>
        </w:rPr>
        <w:tab/>
        <w:t>[alle], die ... saßen</w:t>
      </w:r>
      <w:r>
        <w:rPr/>
        <w:t xml:space="preserve"> </w:t>
      </w:r>
      <w:hyperlink r:id="rId257">
        <w:r>
          <w:rPr>
            <w:rStyle w:val="Internetverknpfung"/>
          </w:rPr>
          <w:t>Substantiviertes Partizip</w:t>
        </w:r>
      </w:hyperlink>
      <w:r>
        <w:rPr/>
        <w:t>, als Relativsatz aufgelöst.</w:t>
      </w:r>
    </w:p>
  </w:footnote>
  <w:footnote w:id="1573">
    <w:p>
      <w:pPr>
        <w:pStyle w:val="Funote"/>
        <w:rPr/>
      </w:pPr>
      <w:r>
        <w:rPr>
          <w:rStyle w:val="Funotenzeichen"/>
        </w:rPr>
        <w:footnoteRef/>
      </w:r>
      <w:r>
        <w:rPr/>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574">
    <w:p>
      <w:pPr>
        <w:pStyle w:val="Funote"/>
        <w:rPr/>
      </w:pPr>
      <w:r>
        <w:rPr>
          <w:rStyle w:val="Funotenzeichen"/>
        </w:rPr>
        <w:footnoteRef/>
      </w:r>
      <w:r>
        <w:rPr/>
        <w:tab/>
        <w:t>[Status: Zuverlässig]</w:t>
      </w:r>
    </w:p>
  </w:footnote>
  <w:footnote w:id="1575">
    <w:p>
      <w:pPr>
        <w:pStyle w:val="Funote"/>
        <w:rPr/>
      </w:pPr>
      <w:r>
        <w:rPr>
          <w:rStyle w:val="Funotenzeichen"/>
        </w:rPr>
        <w:footnoteRef/>
      </w:r>
      <w:r>
        <w:rPr>
          <w:i/>
        </w:rPr>
        <w:tab/>
        <w:t>Meer</w:t>
      </w:r>
      <w:r>
        <w:rPr/>
        <w:t xml:space="preserve"> Gemeint ist wie schon in Mk 2,13; 3,7 der See Gennesaret, das „Meer von Galiläa“. Bisher hat sich Jesus fast nur in Galiläa aufgehalten.</w:t>
      </w:r>
    </w:p>
  </w:footnote>
  <w:footnote w:id="1576">
    <w:p>
      <w:pPr>
        <w:pStyle w:val="Funote"/>
        <w:rPr/>
      </w:pPr>
      <w:r>
        <w:rPr>
          <w:rStyle w:val="Funotenzeichen"/>
        </w:rPr>
        <w:footnoteRef/>
      </w:r>
      <w:r>
        <w:rPr>
          <w:i/>
        </w:rPr>
        <w:tab/>
        <w:t>stieg und</w:t>
      </w:r>
      <w:r>
        <w:rPr/>
        <w:t xml:space="preserve"> </w:t>
      </w:r>
      <w:hyperlink r:id="rId258">
        <w:r>
          <w:rPr>
            <w:rStyle w:val="Internetverknpfung"/>
          </w:rPr>
          <w:t>Ptz. conj.</w:t>
        </w:r>
      </w:hyperlink>
      <w:r>
        <w:rPr/>
        <w:t>, temporal, mit „und“ beigeordnet übersetzt.</w:t>
      </w:r>
    </w:p>
  </w:footnote>
  <w:footnote w:id="1577">
    <w:p>
      <w:pPr>
        <w:pStyle w:val="Funote"/>
        <w:rPr/>
      </w:pPr>
      <w:r>
        <w:rPr>
          <w:rStyle w:val="Funotenzeichen"/>
        </w:rPr>
        <w:footnoteRef/>
      </w:r>
      <w:r>
        <w:rPr/>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578">
    <w:p>
      <w:pPr>
        <w:pStyle w:val="Funote"/>
        <w:rPr/>
      </w:pPr>
      <w:r>
        <w:rPr>
          <w:rStyle w:val="Funotenzeichen"/>
        </w:rPr>
        <w:footnoteRef/>
      </w:r>
      <w:r>
        <w:rPr>
          <w:i/>
        </w:rPr>
        <w:tab/>
        <w:t>blieb (war)</w:t>
      </w:r>
      <w:r>
        <w:rPr/>
        <w:t xml:space="preserve"> W. „waren“ (</w:t>
      </w:r>
      <w:hyperlink r:id="rId259">
        <w:r>
          <w:rPr>
            <w:rStyle w:val="Internetverknpfung"/>
          </w:rPr>
          <w:t>Constructio ad sensum</w:t>
        </w:r>
      </w:hyperlink>
      <w:r>
        <w:rPr/>
        <w:t>).</w:t>
      </w:r>
    </w:p>
  </w:footnote>
  <w:footnote w:id="1579">
    <w:p>
      <w:pPr>
        <w:pStyle w:val="Funote"/>
        <w:rPr/>
      </w:pPr>
      <w:r>
        <w:rPr>
          <w:rStyle w:val="Funotenzeichen"/>
        </w:rPr>
        <w:footnoteRef/>
      </w:r>
      <w:r>
        <w:rPr>
          <w:i/>
        </w:rPr>
        <w:tab/>
        <w:t>am Ufer</w:t>
      </w:r>
      <w:r>
        <w:rPr/>
        <w:t xml:space="preserve"> W. „(nah) am Meer“ oder „zum Meer hin gewandt“.</w:t>
      </w:r>
    </w:p>
  </w:footnote>
  <w:footnote w:id="1580">
    <w:p>
      <w:pPr>
        <w:pStyle w:val="Funote"/>
        <w:rPr/>
      </w:pPr>
      <w:r>
        <w:rPr>
          <w:rStyle w:val="Funotenzeichen"/>
        </w:rPr>
        <w:footnoteRef/>
      </w:r>
      <w:r>
        <w:rPr/>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581">
    <w:p>
      <w:pPr>
        <w:pStyle w:val="Funote"/>
        <w:rPr/>
      </w:pPr>
      <w:r>
        <w:rPr>
          <w:rStyle w:val="Funotenzeichen"/>
        </w:rPr>
        <w:footnoteRef/>
      </w:r>
      <w:r>
        <w:rPr/>
        <w:tab/>
        <w:t>während er lehrte LUT: „in seiner Predigt sprach er zu ihnen“, GNB, NGÜ: „Unter anderem sagte er“</w:t>
      </w:r>
    </w:p>
  </w:footnote>
  <w:footnote w:id="1582">
    <w:p>
      <w:pPr>
        <w:pStyle w:val="Funote"/>
        <w:rPr/>
      </w:pPr>
      <w:r>
        <w:rPr>
          <w:rStyle w:val="Funotenzeichen"/>
        </w:rPr>
        <w:footnoteRef/>
      </w:r>
      <w:r>
        <w:rPr/>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583">
    <w:p>
      <w:pPr>
        <w:pStyle w:val="Funote"/>
        <w:rPr/>
      </w:pPr>
      <w:r>
        <w:rPr>
          <w:rStyle w:val="Funotenzeichen"/>
        </w:rPr>
        <w:footnoteRef/>
      </w:r>
      <w:r>
        <w:rPr/>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584">
    <w:p>
      <w:pPr>
        <w:pStyle w:val="Funote"/>
        <w:rPr/>
      </w:pPr>
      <w:r>
        <w:rPr>
          <w:rStyle w:val="Funotenzeichen"/>
        </w:rPr>
        <w:footnoteRef/>
      </w:r>
      <w:r>
        <w:rPr>
          <w:i/>
        </w:rPr>
        <w:tab/>
        <w:t>Wurzeln</w:t>
      </w:r>
      <w:r>
        <w:rPr/>
        <w:t xml:space="preserve"> W. „Wurzel“</w:t>
      </w:r>
    </w:p>
  </w:footnote>
  <w:footnote w:id="1585">
    <w:p>
      <w:pPr>
        <w:pStyle w:val="Funote"/>
        <w:rPr/>
      </w:pPr>
      <w:r>
        <w:rPr>
          <w:rStyle w:val="Funotenzeichen"/>
        </w:rPr>
        <w:footnoteRef/>
      </w:r>
      <w:r>
        <w:rPr>
          <w:i/>
        </w:rPr>
        <w:tab/>
        <w:t>indem (während, wobei) er aufging und wuchs</w:t>
      </w:r>
      <w:r>
        <w:rPr/>
        <w:t xml:space="preserve"> Zwei </w:t>
      </w:r>
      <w:hyperlink r:id="rId260">
        <w:r>
          <w:rPr>
            <w:rStyle w:val="Internetverknpfung"/>
          </w:rPr>
          <w:t>Ptz. conj.</w:t>
        </w:r>
      </w:hyperlink>
      <w:r>
        <w:rPr/>
        <w:t>, modal-temporal Nebensatz übersetzt.</w:t>
      </w:r>
    </w:p>
  </w:footnote>
  <w:footnote w:id="1586">
    <w:p>
      <w:pPr>
        <w:pStyle w:val="Funote"/>
        <w:rPr/>
      </w:pPr>
      <w:r>
        <w:rPr>
          <w:rStyle w:val="Funotenzeichen"/>
        </w:rPr>
        <w:footnoteRef/>
      </w:r>
      <w:r>
        <w:rPr/>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587">
    <w:p>
      <w:pPr>
        <w:pStyle w:val="Funote"/>
        <w:rPr/>
      </w:pPr>
      <w:r>
        <w:rPr>
          <w:rStyle w:val="Funotenzeichen"/>
        </w:rPr>
        <w:footnoteRef/>
      </w:r>
      <w:r>
        <w:rPr/>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588">
    <w:p>
      <w:pPr>
        <w:pStyle w:val="Funote"/>
        <w:rPr/>
      </w:pPr>
      <w:r>
        <w:rPr>
          <w:rStyle w:val="Funotenzeichen"/>
        </w:rPr>
        <w:footnoteRef/>
      </w:r>
      <w:r>
        <w:rPr/>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589">
    <w:p>
      <w:pPr>
        <w:pStyle w:val="Funote"/>
        <w:rPr/>
      </w:pPr>
      <w:r>
        <w:rPr>
          <w:rStyle w:val="Funotenzeichen"/>
        </w:rPr>
        <w:footnoteRef/>
      </w:r>
      <w:r>
        <w:rPr>
          <w:i/>
        </w:rPr>
        <w:tab/>
        <w:t>sagte</w:t>
      </w:r>
      <w:r>
        <w:rPr/>
        <w:t xml:space="preserve"> </w:t>
      </w:r>
      <w:hyperlink r:id="rId261">
        <w:r>
          <w:rPr>
            <w:rStyle w:val="Internetverknpfung"/>
          </w:rPr>
          <w:t>Imperfekt</w:t>
        </w:r>
      </w:hyperlink>
      <w:r>
        <w:rPr/>
        <w:t>, zur Erklärung siehe die vorige Fußnote.</w:t>
      </w:r>
    </w:p>
  </w:footnote>
  <w:footnote w:id="1590">
    <w:p>
      <w:pPr>
        <w:pStyle w:val="Funote"/>
        <w:rPr/>
      </w:pPr>
      <w:r>
        <w:rPr>
          <w:rStyle w:val="Funotenzeichen"/>
        </w:rPr>
        <w:footnoteRef/>
      </w:r>
      <w:r>
        <w:rPr/>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591">
    <w:p>
      <w:pPr>
        <w:pStyle w:val="Funote"/>
        <w:rPr/>
      </w:pPr>
      <w:r>
        <w:rPr>
          <w:rStyle w:val="Funotenzeichen"/>
        </w:rPr>
        <w:footnoteRef/>
      </w:r>
      <w:r>
        <w:rPr>
          <w:i/>
        </w:rPr>
        <w:tab/>
        <w:t>dieses Gleichnis</w:t>
      </w:r>
      <w:r>
        <w:rPr/>
        <w:t xml:space="preserve"> Jesus spricht nun wieder vom Gleichnis von der Saat (Mk 4,3-9). Die Beschreibung von Jesu (üblicher?) Antwort auf derartige Fragen nach seinen Gleichnissen (s. die </w:t>
      </w:r>
      <w:hyperlink w:anchor="note_n">
        <w:r>
          <w:rPr>
            <w:rStyle w:val="Internetverknpfung"/>
          </w:rPr>
          <w:t>Fußnote in V. 10</w:t>
        </w:r>
      </w:hyperlink>
      <w:r>
        <w:rPr/>
        <w:t>) endet in V. 12.</w:t>
      </w:r>
    </w:p>
  </w:footnote>
  <w:footnote w:id="1592">
    <w:p>
      <w:pPr>
        <w:pStyle w:val="Funote"/>
        <w:rPr/>
      </w:pPr>
      <w:r>
        <w:rPr>
          <w:rStyle w:val="Funotenzeichen"/>
        </w:rPr>
        <w:footnoteRef/>
      </w:r>
      <w:r>
        <w:rPr/>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593">
    <w:p>
      <w:pPr>
        <w:pStyle w:val="Funote"/>
        <w:rPr/>
      </w:pPr>
      <w:r>
        <w:rPr>
          <w:rStyle w:val="Funotenzeichen"/>
        </w:rPr>
        <w:footnoteRef/>
      </w:r>
      <w:r>
        <w:rPr/>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594">
    <w:p>
      <w:pPr>
        <w:pStyle w:val="Funote"/>
        <w:rPr/>
      </w:pPr>
      <w:r>
        <w:rPr>
          <w:rStyle w:val="Funotenzeichen"/>
        </w:rPr>
        <w:footnoteRef/>
      </w:r>
      <w:r>
        <w:rPr>
          <w:i/>
        </w:rPr>
        <w:tab/>
        <w:t>die das Wort gleich mit Freuden annehmen, sobald sie es hören</w:t>
      </w:r>
      <w:r>
        <w:rPr/>
        <w:t xml:space="preserve"> W. „die, sobald sie das Wort hören, es gleich mit Freuden annehmen“</w:t>
      </w:r>
    </w:p>
  </w:footnote>
  <w:footnote w:id="1595">
    <w:p>
      <w:pPr>
        <w:pStyle w:val="Funote"/>
        <w:rPr/>
      </w:pPr>
      <w:r>
        <w:rPr>
          <w:rStyle w:val="Funotenzeichen"/>
        </w:rPr>
        <w:footnoteRef/>
      </w:r>
      <w:r>
        <w:rPr>
          <w:i/>
        </w:rPr>
        <w:tab/>
        <w:t>wenn es … zu … kommt</w:t>
      </w:r>
      <w:r>
        <w:rPr/>
        <w:t xml:space="preserve"> Temporal aufgelöster </w:t>
      </w:r>
      <w:hyperlink r:id="rId262">
        <w:r>
          <w:rPr>
            <w:rStyle w:val="Internetverknpfung"/>
          </w:rPr>
          <w:t>Genitivus absolutus</w:t>
        </w:r>
      </w:hyperlink>
      <w:r>
        <w:rPr/>
        <w:t>.</w:t>
      </w:r>
    </w:p>
  </w:footnote>
  <w:footnote w:id="1596">
    <w:p>
      <w:pPr>
        <w:pStyle w:val="Funote"/>
        <w:rPr/>
      </w:pPr>
      <w:r>
        <w:rPr>
          <w:rStyle w:val="Funotenzeichen"/>
        </w:rPr>
        <w:footnoteRef/>
      </w:r>
      <w:r>
        <w:rPr>
          <w:i/>
        </w:rPr>
        <w:tab/>
        <w:t>die … hören</w:t>
      </w:r>
      <w:r>
        <w:rPr/>
        <w:t xml:space="preserve"> bzw. </w:t>
      </w:r>
      <w:r>
        <w:rPr>
          <w:i/>
        </w:rPr>
        <w:t>gehört haben</w:t>
      </w:r>
      <w:r>
        <w:rPr/>
        <w:t xml:space="preserve"> Als Relativsatz aufgelöstes </w:t>
      </w:r>
      <w:hyperlink r:id="rId263">
        <w:r>
          <w:rPr>
            <w:rStyle w:val="Internetverknpfung"/>
          </w:rPr>
          <w:t>substantiviertes Partizip</w:t>
        </w:r>
      </w:hyperlink>
      <w:r>
        <w:rPr/>
        <w:t>. Man kann das Partizip Aorist sowohl vorzeitig wie gleichzeitig übersetzen.</w:t>
      </w:r>
    </w:p>
  </w:footnote>
  <w:footnote w:id="1597">
    <w:p>
      <w:pPr>
        <w:pStyle w:val="Funote"/>
        <w:rPr/>
      </w:pPr>
      <w:r>
        <w:rPr>
          <w:rStyle w:val="Funotenzeichen"/>
        </w:rPr>
        <w:footnoteRef/>
      </w:r>
      <w:r>
        <w:rPr>
          <w:i/>
        </w:rPr>
        <w:tab/>
        <w:t>weltliche Sorgen</w:t>
      </w:r>
      <w:r>
        <w:rPr/>
        <w:t xml:space="preserve"> W. „Sorgen der Welt/Zeit/Gegenwart“, </w:t>
      </w:r>
      <w:hyperlink r:id="rId264">
        <w:r>
          <w:rPr>
            <w:rStyle w:val="Internetverknpfung"/>
          </w:rPr>
          <w:t>appositiver Genitiv</w:t>
        </w:r>
      </w:hyperlink>
      <w:r>
        <w:rPr/>
        <w:t>.</w:t>
      </w:r>
    </w:p>
  </w:footnote>
  <w:footnote w:id="1598">
    <w:p>
      <w:pPr>
        <w:pStyle w:val="Funote"/>
        <w:rPr/>
      </w:pPr>
      <w:r>
        <w:rPr>
          <w:rStyle w:val="Funotenzeichen"/>
        </w:rPr>
        <w:footnoteRef/>
      </w:r>
      <w:r>
        <w:rPr>
          <w:i/>
        </w:rPr>
        <w:tab/>
        <w:t>wenn … dazukommen</w:t>
      </w:r>
      <w:r>
        <w:rPr/>
        <w:t xml:space="preserve"> Temporal aufgelöstes </w:t>
      </w:r>
      <w:hyperlink r:id="rId265">
        <w:r>
          <w:rPr>
            <w:rStyle w:val="Internetverknpfung"/>
          </w:rPr>
          <w:t>Ptz. conj.</w:t>
        </w:r>
      </w:hyperlink>
      <w:r>
        <w:rPr/>
        <w:t>.</w:t>
      </w:r>
    </w:p>
  </w:footnote>
  <w:footnote w:id="1599">
    <w:p>
      <w:pPr>
        <w:pStyle w:val="Funote"/>
        <w:rPr/>
      </w:pPr>
      <w:r>
        <w:rPr>
          <w:rStyle w:val="Funotenzeichen"/>
        </w:rPr>
        <w:footnoteRef/>
      </w:r>
      <w:r>
        <w:rPr>
          <w:i/>
        </w:rPr>
        <w:tab/>
        <w:t>die … gesät werden</w:t>
      </w:r>
      <w:r>
        <w:rPr/>
        <w:t xml:space="preserve"> Als Relativsatz aufgelöstes </w:t>
      </w:r>
      <w:hyperlink r:id="rId266">
        <w:r>
          <w:rPr>
            <w:rStyle w:val="Internetverknpfung"/>
          </w:rPr>
          <w:t>subst. Ptz.</w:t>
        </w:r>
      </w:hyperlink>
      <w:r>
        <w:rPr/>
        <w:t>.</w:t>
      </w:r>
    </w:p>
  </w:footnote>
  <w:footnote w:id="1600">
    <w:p>
      <w:pPr>
        <w:pStyle w:val="Funote"/>
        <w:rPr/>
      </w:pPr>
      <w:r>
        <w:rPr>
          <w:rStyle w:val="Funotenzeichen"/>
        </w:rPr>
        <w:footnoteRef/>
      </w:r>
      <w:r>
        <w:rPr/>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601">
    <w:p>
      <w:pPr>
        <w:pStyle w:val="Funote"/>
        <w:rPr/>
      </w:pPr>
      <w:r>
        <w:rPr>
          <w:rStyle w:val="Funotenzeichen"/>
        </w:rPr>
        <w:footnoteRef/>
      </w:r>
      <w:r>
        <w:rPr/>
        <w:tab/>
        <w:t>Bringt man W. »kommt«, d.h. etwa »wird herbeigebracht«, eine gängige griechische Wendung (NSS).</w:t>
      </w:r>
    </w:p>
  </w:footnote>
  <w:footnote w:id="1602">
    <w:p>
      <w:pPr>
        <w:pStyle w:val="Funote"/>
        <w:rPr/>
      </w:pPr>
      <w:r>
        <w:rPr>
          <w:rStyle w:val="Funotenzeichen"/>
        </w:rPr>
        <w:footnoteRef/>
      </w:r>
      <w:r>
        <w:rPr>
          <w:i/>
        </w:rPr>
        <w:tab/>
        <w:t>um zu stellen</w:t>
      </w:r>
      <w:r>
        <w:rPr/>
        <w:t xml:space="preserve"> (2x) Oder etwas genauer an der griechischen Syntax orientiert: „damit … gestellt wird“</w:t>
      </w:r>
    </w:p>
  </w:footnote>
  <w:footnote w:id="1603">
    <w:p>
      <w:pPr>
        <w:pStyle w:val="Funote"/>
        <w:rPr/>
      </w:pPr>
      <w:r>
        <w:rPr>
          <w:rStyle w:val="Funotenzeichen"/>
        </w:rPr>
        <w:footnoteRef/>
      </w:r>
      <w:r>
        <w:rPr>
          <w:i/>
        </w:rPr>
        <w:tab/>
        <w:t>um zu machen</w:t>
      </w:r>
      <w:r>
        <w:rPr/>
        <w:t xml:space="preserve"> Oder etwas genauer an der griechischen Syntax orientiert: „damit … gemacht wird“</w:t>
      </w:r>
    </w:p>
  </w:footnote>
  <w:footnote w:id="1604">
    <w:p>
      <w:pPr>
        <w:pStyle w:val="Funote"/>
        <w:rPr/>
      </w:pPr>
      <w:r>
        <w:rPr>
          <w:rStyle w:val="Funotenzeichen"/>
        </w:rPr>
        <w:footnoteRef/>
      </w:r>
      <w:r>
        <w:rPr>
          <w:i/>
        </w:rPr>
        <w:tab/>
        <w:t>Während … {und}</w:t>
      </w:r>
      <w:r>
        <w:rPr/>
        <w:t xml:space="preserve"> W. „und … und“. In Markus' volkstümlichem Griechisch entspricht das wohl (ähnlich wie im Hebräischen) einer temporalen Verbindung (vgl. Mk 2,23), daher die Wiedergabe als temporaler Nebensatz.</w:t>
      </w:r>
    </w:p>
  </w:footnote>
  <w:footnote w:id="1605">
    <w:p>
      <w:pPr>
        <w:pStyle w:val="Funote"/>
        <w:rPr/>
      </w:pPr>
      <w:r>
        <w:rPr>
          <w:rStyle w:val="Funotenzeichen"/>
        </w:rPr>
        <w:footnoteRef/>
      </w:r>
      <w:r>
        <w:rPr/>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606">
    <w:p>
      <w:pPr>
        <w:pStyle w:val="Funote"/>
        <w:rPr/>
      </w:pPr>
      <w:r>
        <w:rPr>
          <w:rStyle w:val="Funotenzeichen"/>
        </w:rPr>
        <w:footnoteRef/>
      </w:r>
      <w:r>
        <w:rPr>
          <w:i/>
        </w:rPr>
        <w:tab/>
        <w:t>voll ausgereiftem Weizen</w:t>
      </w:r>
      <w:r>
        <w:rPr/>
        <w:t xml:space="preserve"> bezieht sich auf die Körner in der Ähre. </w:t>
      </w:r>
    </w:p>
  </w:footnote>
  <w:footnote w:id="1607">
    <w:p>
      <w:pPr>
        <w:pStyle w:val="Funote"/>
        <w:rPr/>
      </w:pPr>
      <w:r>
        <w:rPr>
          <w:rStyle w:val="Funotenzeichen"/>
        </w:rPr>
        <w:footnoteRef/>
      </w:r>
      <w:r>
        <w:rPr/>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608">
    <w:p>
      <w:pPr>
        <w:pStyle w:val="Funote"/>
        <w:rPr/>
      </w:pPr>
      <w:r>
        <w:rPr>
          <w:rStyle w:val="Funotenzeichen"/>
        </w:rPr>
        <w:footnoteRef/>
      </w:r>
      <w:r>
        <w:rPr/>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609">
    <w:p>
      <w:pPr>
        <w:pStyle w:val="Funote"/>
        <w:rPr/>
      </w:pPr>
      <w:r>
        <w:rPr>
          <w:rStyle w:val="Funotenzeichen"/>
        </w:rPr>
        <w:footnoteRef/>
      </w:r>
      <w:r>
        <w:rPr/>
        <w:tab/>
        <w:t>[das] kleinste W. »kleiner«. Superlativisch gebrauchter Komparativ (NSS).</w:t>
      </w:r>
    </w:p>
  </w:footnote>
  <w:footnote w:id="1610">
    <w:p>
      <w:pPr>
        <w:pStyle w:val="Funote"/>
        <w:rPr/>
      </w:pPr>
      <w:r>
        <w:rPr>
          <w:rStyle w:val="Funotenzeichen"/>
        </w:rPr>
        <w:footnoteRef/>
      </w:r>
      <w:r>
        <w:rPr/>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611">
    <w:p>
      <w:pPr>
        <w:pStyle w:val="Funote"/>
        <w:rPr/>
      </w:pPr>
      <w:r>
        <w:rPr>
          <w:rStyle w:val="Funotenzeichen"/>
        </w:rPr>
        <w:footnoteRef/>
      </w:r>
      <w:r>
        <w:rPr/>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612">
    <w:p>
      <w:pPr>
        <w:pStyle w:val="Funote"/>
        <w:rPr/>
      </w:pPr>
      <w:r>
        <w:rPr>
          <w:rStyle w:val="Funotenzeichen"/>
        </w:rPr>
        <w:footnoteRef/>
      </w:r>
      <w:r>
        <w:rPr>
          <w:i/>
        </w:rPr>
        <w:tab/>
        <w:t>in seinem Schatten</w:t>
      </w:r>
      <w:r>
        <w:rPr/>
        <w:t xml:space="preserve"> W. „unter seinem Schatten“</w:t>
      </w:r>
    </w:p>
  </w:footnote>
  <w:footnote w:id="1613">
    <w:p>
      <w:pPr>
        <w:pStyle w:val="Funote"/>
        <w:rPr/>
      </w:pPr>
      <w:r>
        <w:rPr>
          <w:rStyle w:val="Funotenzeichen"/>
        </w:rPr>
        <w:footnoteRef/>
      </w:r>
      <w:r>
        <w:rPr>
          <w:i/>
        </w:rPr>
        <w:tab/>
        <w:t>erläuterte</w:t>
      </w:r>
      <w:r>
        <w:rPr/>
        <w:t xml:space="preserve"> Das Imperfekt drückt entweder eine grundsätzliche Gepflogenheit aus oder hat die Predigt von Mk 4,2 im Sinn. Zur Phrase </w:t>
      </w:r>
      <w:r>
        <w:rPr>
          <w:i/>
        </w:rPr>
        <w:t>erläuterte ihnen [seine] Botschaft</w:t>
      </w:r>
      <w:r>
        <w:rPr/>
        <w:t xml:space="preserve"> s. die </w:t>
      </w:r>
      <w:r>
        <w:fldChar w:fldCharType="begin"/>
      </w:r>
      <w:r>
        <w:rPr>
          <w:rStyle w:val="Internetverknpfung"/>
        </w:rPr>
        <w:instrText> HYPERLINK "../../../../../../../../../wiki/Markus_2" \l "note_e"</w:instrText>
      </w:r>
      <w:r>
        <w:rPr>
          <w:rStyle w:val="Internetverknpfung"/>
        </w:rPr>
        <w:fldChar w:fldCharType="separate"/>
      </w:r>
      <w:r>
        <w:rPr>
          <w:rStyle w:val="Internetverknpfung"/>
        </w:rPr>
        <w:t>Fußnote zu Mk 2,2</w:t>
      </w:r>
      <w:r>
        <w:rPr>
          <w:rStyle w:val="Internetverknpfung"/>
        </w:rPr>
        <w:fldChar w:fldCharType="end"/>
      </w:r>
      <w:r>
        <w:rPr/>
        <w:t xml:space="preserve"> und die folgende Fußnote zu </w:t>
      </w:r>
      <w:r>
        <w:rPr>
          <w:i/>
        </w:rPr>
        <w:t>Wort</w:t>
      </w:r>
      <w:r>
        <w:rPr/>
        <w:t>.</w:t>
      </w:r>
    </w:p>
  </w:footnote>
  <w:footnote w:id="1614">
    <w:p>
      <w:pPr>
        <w:pStyle w:val="Funote"/>
        <w:rPr/>
      </w:pPr>
      <w:r>
        <w:rPr>
          <w:rStyle w:val="Funotenzeichen"/>
        </w:rPr>
        <w:footnoteRef/>
      </w:r>
      <w:r>
        <w:rPr/>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615">
    <w:p>
      <w:pPr>
        <w:pStyle w:val="Funote"/>
        <w:rPr/>
      </w:pPr>
      <w:r>
        <w:rPr>
          <w:rStyle w:val="Funotenzeichen"/>
        </w:rPr>
        <w:footnoteRef/>
      </w:r>
      <w:r>
        <w:rPr/>
        <w:tab/>
        <w:t>Jünger Gemeint sind hier nicht nur die Zwölf, sondern die größere Gruppe seiner Anhänger, die schon in V. 10 im Blick war (Collins 2007, 256).</w:t>
      </w:r>
    </w:p>
  </w:footnote>
  <w:footnote w:id="1616">
    <w:p>
      <w:pPr>
        <w:pStyle w:val="Funote"/>
        <w:rPr/>
      </w:pPr>
      <w:r>
        <w:rPr>
          <w:rStyle w:val="Funotenzeichen"/>
        </w:rPr>
        <w:footnoteRef/>
      </w:r>
      <w:r>
        <w:rPr>
          <w:i/>
        </w:rPr>
        <w:tab/>
        <w:t>sprach</w:t>
      </w:r>
      <w:r>
        <w:rPr/>
        <w:t xml:space="preserve"> und </w:t>
      </w:r>
      <w:r>
        <w:rPr>
          <w:i/>
        </w:rPr>
        <w:t>erklärte</w:t>
      </w:r>
      <w:r>
        <w:rPr/>
        <w:t xml:space="preserve"> stehen im </w:t>
      </w:r>
      <w:hyperlink r:id="rId267">
        <w:r>
          <w:rPr>
            <w:rStyle w:val="Internetverknpfung"/>
          </w:rPr>
          <w:t>Imperfekt</w:t>
        </w:r>
      </w:hyperlink>
      <w:r>
        <w:rPr/>
        <w:t xml:space="preserve">, wie große Teile der Rahmenhandlung in Kap. 4. Dazu vgl. die Fußnoten zu </w:t>
      </w:r>
      <w:hyperlink w:anchor="note_o">
        <w:r>
          <w:rPr>
            <w:rStyle w:val="Internetverknpfung"/>
          </w:rPr>
          <w:t>V. 10</w:t>
        </w:r>
      </w:hyperlink>
      <w:r>
        <w:rPr/>
        <w:t xml:space="preserve"> und </w:t>
      </w:r>
      <w:hyperlink w:anchor="note_n">
        <w:r>
          <w:rPr>
            <w:rStyle w:val="Internetverknpfung"/>
          </w:rPr>
          <w:t>9</w:t>
        </w:r>
      </w:hyperlink>
      <w:r>
        <w:rPr/>
        <w:t xml:space="preserve"> sowie </w:t>
      </w:r>
      <w:hyperlink w:anchor="note_ao">
        <w:r>
          <w:rPr>
            <w:rStyle w:val="Internetverknpfung"/>
          </w:rPr>
          <w:t>V. 33</w:t>
        </w:r>
      </w:hyperlink>
      <w:r>
        <w:rPr/>
        <w:t>.</w:t>
      </w:r>
    </w:p>
  </w:footnote>
  <w:footnote w:id="1617">
    <w:p>
      <w:pPr>
        <w:pStyle w:val="Funote"/>
        <w:rPr/>
      </w:pPr>
      <w:r>
        <w:rPr>
          <w:rStyle w:val="Funotenzeichen"/>
        </w:rPr>
        <w:footnoteRef/>
      </w:r>
      <w:r>
        <w:rPr>
          <w:i/>
        </w:rPr>
        <w:tab/>
        <w:t>als es Abend geworden war</w:t>
      </w:r>
      <w:r>
        <w:rPr/>
        <w:t xml:space="preserve"> </w:t>
      </w:r>
      <w:hyperlink r:id="rId268">
        <w:r>
          <w:rPr>
            <w:rStyle w:val="Internetverknpfung"/>
          </w:rPr>
          <w:t>Gen. abs.</w:t>
        </w:r>
      </w:hyperlink>
      <w:r>
        <w:rPr/>
        <w:t>, temporal als Nebensatz aufgelöst.</w:t>
      </w:r>
    </w:p>
  </w:footnote>
  <w:footnote w:id="1618">
    <w:p>
      <w:pPr>
        <w:pStyle w:val="Funote"/>
        <w:rPr/>
      </w:pPr>
      <w:r>
        <w:rPr>
          <w:rStyle w:val="Funotenzeichen"/>
        </w:rPr>
        <w:footnoteRef/>
      </w:r>
      <w:r>
        <w:rPr/>
        <w:tab/>
        <w:t>ans andere Ufer Jesus und die Jünger hielten sich bei Kafarnaum am See Gennesaret auf (4,1-2). Das andere Ufer war also das von Nichtjuden bewohnte Ostufer (vgl. France 2002, 222), das sie in Mk 5,1 erreichen.</w:t>
      </w:r>
    </w:p>
  </w:footnote>
  <w:footnote w:id="1619">
    <w:p>
      <w:pPr>
        <w:pStyle w:val="Funote"/>
        <w:rPr/>
      </w:pPr>
      <w:r>
        <w:rPr>
          <w:rStyle w:val="Funotenzeichen"/>
        </w:rPr>
        <w:footnoteRef/>
      </w:r>
      <w:r>
        <w:rPr>
          <w:i/>
        </w:rPr>
        <w:tab/>
        <w:t>nachdem sie die Menschenmenge weggeschickt hatten (wobei … zurückließen)</w:t>
      </w:r>
      <w:r>
        <w:rPr/>
        <w:t xml:space="preserve"> </w:t>
      </w:r>
      <w:hyperlink r:id="rId269">
        <w:r>
          <w:rPr>
            <w:rStyle w:val="Internetverknpfung"/>
          </w:rPr>
          <w:t>Ptz. conj.</w:t>
        </w:r>
      </w:hyperlink>
      <w:r>
        <w:rPr/>
        <w:t>, temporal (oder modal) als Nebensatz aufgelöst. Deutsche Übersetzungen verwenden durchweg „wegschicken“, englische „zurücklassen“.</w:t>
      </w:r>
    </w:p>
  </w:footnote>
  <w:footnote w:id="1620">
    <w:p>
      <w:pPr>
        <w:pStyle w:val="Funote"/>
        <w:rPr/>
      </w:pPr>
      <w:r>
        <w:rPr>
          <w:rStyle w:val="Funotenzeichen"/>
        </w:rPr>
        <w:footnoteRef/>
      </w:r>
      <w:r>
        <w:rPr/>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621">
    <w:p>
      <w:pPr>
        <w:pStyle w:val="Funote"/>
        <w:rPr/>
      </w:pPr>
      <w:r>
        <w:rPr>
          <w:rStyle w:val="Funotenzeichen"/>
        </w:rPr>
        <w:footnoteRef/>
      </w:r>
      <w:r>
        <w:rPr>
          <w:i/>
        </w:rPr>
        <w:tab/>
        <w:t>starker Sturmwind</w:t>
      </w:r>
      <w:r>
        <w:rPr/>
        <w:t xml:space="preserve"> W. „großer Sturmwind [des] Windes“, eine Formulierung, die sich vielleicht an Jona 1,4 anlehnt.</w:t>
      </w:r>
    </w:p>
  </w:footnote>
  <w:footnote w:id="1622">
    <w:p>
      <w:pPr>
        <w:pStyle w:val="Funote"/>
        <w:rPr/>
      </w:pPr>
      <w:r>
        <w:rPr>
          <w:rStyle w:val="Funotenzeichen"/>
        </w:rPr>
        <w:footnoteRef/>
      </w:r>
      <w:r>
        <w:rPr>
          <w:i/>
        </w:rPr>
        <w:tab/>
        <w:t>schlugen [bald]</w:t>
      </w:r>
      <w:r>
        <w:rPr/>
        <w:t xml:space="preserve"> </w:t>
      </w:r>
      <w:hyperlink r:id="rId270">
        <w:r>
          <w:rPr>
            <w:rStyle w:val="Internetverknpfung"/>
          </w:rPr>
          <w:t>Imperfekt</w:t>
        </w:r>
      </w:hyperlink>
      <w:r>
        <w:rPr/>
        <w:t xml:space="preserve">, </w:t>
      </w:r>
      <w:r>
        <w:rPr>
          <w:i/>
        </w:rPr>
        <w:t>[langsam] füllte</w:t>
      </w:r>
      <w:r>
        <w:rPr/>
        <w:t xml:space="preserve"> </w:t>
      </w:r>
      <w:hyperlink r:id="rId271">
        <w:r>
          <w:rPr>
            <w:rStyle w:val="Internetverknpfung"/>
          </w:rPr>
          <w:t>Infinitiv</w:t>
        </w:r>
      </w:hyperlink>
      <w:r>
        <w:rPr/>
        <w:t xml:space="preserve"> Präsens (im AcI). Beide Tempusformen suggerieren einen anhaltenden Vorgang, der durch die mit angegebenen Worteinfügungen kenntlich gemacht wurde.</w:t>
      </w:r>
    </w:p>
  </w:footnote>
  <w:footnote w:id="1623">
    <w:p>
      <w:pPr>
        <w:pStyle w:val="Funote"/>
        <w:rPr/>
      </w:pPr>
      <w:r>
        <w:rPr>
          <w:rStyle w:val="Funotenzeichen"/>
        </w:rPr>
        <w:footnoteRef/>
      </w:r>
      <w:r>
        <w:rPr/>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624">
    <w:p>
      <w:pPr>
        <w:pStyle w:val="Funote"/>
        <w:rPr/>
      </w:pPr>
      <w:r>
        <w:rPr>
          <w:rStyle w:val="Funotenzeichen"/>
        </w:rPr>
        <w:footnoteRef/>
      </w:r>
      <w:r>
        <w:rPr>
          <w:i/>
        </w:rPr>
        <w:tab/>
        <w:t>wachte auf</w:t>
      </w:r>
      <w:r>
        <w:rPr/>
        <w:t xml:space="preserve"> </w:t>
      </w:r>
      <w:hyperlink r:id="rId272">
        <w:r>
          <w:rPr>
            <w:rStyle w:val="Internetverknpfung"/>
          </w:rPr>
          <w:t>Ptz. conj.</w:t>
        </w:r>
      </w:hyperlink>
      <w:r>
        <w:rPr/>
        <w:t xml:space="preserve"> (Aor.), temporal, beigeordnet aufgelöst.</w:t>
      </w:r>
    </w:p>
  </w:footnote>
  <w:footnote w:id="1625">
    <w:p>
      <w:pPr>
        <w:pStyle w:val="Funote"/>
        <w:rPr/>
      </w:pPr>
      <w:r>
        <w:rPr>
          <w:rStyle w:val="Funotenzeichen"/>
        </w:rPr>
        <w:footnoteRef/>
      </w:r>
      <w:r>
        <w:rPr/>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626">
    <w:p>
      <w:pPr>
        <w:pStyle w:val="Funote"/>
        <w:rPr/>
      </w:pPr>
      <w:r>
        <w:rPr>
          <w:rStyle w:val="Funotenzeichen"/>
        </w:rPr>
        <w:footnoteRef/>
      </w:r>
      <w:r>
        <w:rPr/>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627">
    <w:p>
      <w:pPr>
        <w:pStyle w:val="Funote"/>
        <w:rPr/>
      </w:pPr>
      <w:r>
        <w:rPr>
          <w:rStyle w:val="Funotenzeichen"/>
        </w:rPr>
        <w:footnoteRef/>
      </w:r>
      <w:r>
        <w:rPr>
          <w:i/>
        </w:rPr>
        <w:tab/>
        <w:t>gehorchen</w:t>
      </w:r>
      <w:r>
        <w:rPr/>
        <w:t xml:space="preserve"> W. „gehorcht“</w:t>
      </w:r>
    </w:p>
  </w:footnote>
  <w:footnote w:id="1628">
    <w:p>
      <w:pPr>
        <w:pStyle w:val="Funote"/>
        <w:rPr/>
      </w:pPr>
      <w:r>
        <w:rPr>
          <w:rStyle w:val="Funotenzeichen"/>
        </w:rPr>
        <w:footnoteRef/>
      </w:r>
      <w:r>
        <w:rPr/>
        <w:tab/>
        <w:t>[Status: Zuverlässig]</w:t>
      </w:r>
    </w:p>
  </w:footnote>
  <w:footnote w:id="1629">
    <w:p>
      <w:pPr>
        <w:pStyle w:val="Funote"/>
        <w:rPr/>
      </w:pPr>
      <w:r>
        <w:rPr>
          <w:rStyle w:val="Funotenzeichen"/>
        </w:rPr>
        <w:footnoteRef/>
      </w:r>
      <w:r>
        <w:rPr/>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630">
    <w:p>
      <w:pPr>
        <w:pStyle w:val="Funote"/>
        <w:rPr/>
      </w:pPr>
      <w:r>
        <w:rPr>
          <w:rStyle w:val="Funotenzeichen"/>
        </w:rPr>
        <w:footnoteRef/>
      </w:r>
      <w:r>
        <w:rPr>
          <w:i/>
        </w:rPr>
        <w:tab/>
        <w:t>als er ... gestiegen war (stieg)</w:t>
      </w:r>
      <w:r>
        <w:rPr/>
        <w:t xml:space="preserve"> </w:t>
      </w:r>
      <w:hyperlink r:id="rId273">
        <w:r>
          <w:rPr>
            <w:rStyle w:val="Internetverknpfung"/>
          </w:rPr>
          <w:t>Gen. abs.</w:t>
        </w:r>
      </w:hyperlink>
      <w:r>
        <w:rPr/>
        <w:t>, temporal aufgelöst.</w:t>
      </w:r>
    </w:p>
  </w:footnote>
  <w:footnote w:id="1631">
    <w:p>
      <w:pPr>
        <w:pStyle w:val="Funote"/>
        <w:rPr/>
      </w:pPr>
      <w:r>
        <w:rPr>
          <w:rStyle w:val="Funotenzeichen"/>
        </w:rPr>
        <w:footnoteRef/>
      </w:r>
      <w:r>
        <w:rPr>
          <w:i/>
        </w:rPr>
        <w:tab/>
        <w:t>nicht einmal … man … noch</w:t>
      </w:r>
      <w:r>
        <w:rPr/>
        <w:t xml:space="preserve"> W. „nicht einmal … niemand … nicht mehr“. Die dreifache Verneinung intensiviert die ausgedrückte Unmöglichkeit. </w:t>
      </w:r>
    </w:p>
  </w:footnote>
  <w:footnote w:id="1632">
    <w:p>
      <w:pPr>
        <w:pStyle w:val="Funote"/>
        <w:rPr/>
      </w:pPr>
      <w:r>
        <w:rPr>
          <w:rStyle w:val="Funotenzeichen"/>
        </w:rPr>
        <w:footnoteRef/>
      </w:r>
      <w:r>
        <w:rPr>
          <w:i/>
        </w:rPr>
        <w:tab/>
        <w:t>[mit] Fußfesseln und Ketten gefesselt</w:t>
      </w:r>
      <w:r>
        <w:rPr/>
        <w:t xml:space="preserve"> Schöner wäre „(eisernen) Fuß- und Handfesseln“, etwas freier auch „an Händen und Füßen mit Ketten gefesselt“.</w:t>
      </w:r>
    </w:p>
  </w:footnote>
  <w:footnote w:id="1633">
    <w:p>
      <w:pPr>
        <w:pStyle w:val="Funote"/>
        <w:rPr/>
      </w:pPr>
      <w:r>
        <w:rPr>
          <w:rStyle w:val="Funotenzeichen"/>
        </w:rPr>
        <w:footnoteRef/>
      </w:r>
      <w:r>
        <w:rPr/>
        <w:tab/>
        <w:t>zerrissen W. „auseinander zerrissen“ (vgl. LN 19.29).</w:t>
      </w:r>
    </w:p>
  </w:footnote>
  <w:footnote w:id="1634">
    <w:p>
      <w:pPr>
        <w:pStyle w:val="Funote"/>
        <w:rPr/>
      </w:pPr>
      <w:r>
        <w:rPr>
          <w:rStyle w:val="Funotenzeichen"/>
        </w:rPr>
        <w:footnoteRef/>
      </w:r>
      <w:r>
        <w:rPr>
          <w:i/>
        </w:rPr>
        <w:tab/>
        <w:t>hatte ... zerrissen und … zerrieben</w:t>
      </w:r>
      <w:r>
        <w:rPr/>
        <w:t xml:space="preserve"> W. „(die Ketten) waren zerrissen und zerrieben worden“.</w:t>
      </w:r>
    </w:p>
  </w:footnote>
  <w:footnote w:id="1635">
    <w:p>
      <w:pPr>
        <w:pStyle w:val="Funote"/>
        <w:rPr/>
      </w:pPr>
      <w:r>
        <w:rPr>
          <w:rStyle w:val="Funotenzeichen"/>
        </w:rPr>
        <w:footnoteRef/>
      </w:r>
      <w:r>
        <w:rPr>
          <w:i/>
        </w:rPr>
        <w:tab/>
        <w:t>hielt er sich … auf … wo (wobei, während) er schrie</w:t>
      </w:r>
      <w:r>
        <w:rPr/>
        <w:t xml:space="preserve"> Oder einfach „schrie er ununterbrochen … und schnitt sich“. W. </w:t>
      </w:r>
      <w:r>
        <w:rPr>
          <w:lang w:val="el-GR"/>
        </w:rPr>
        <w:t>ἦν κράζων</w:t>
      </w:r>
      <w:r>
        <w:rPr/>
        <w:t xml:space="preserve"> (w. „war schreiend“) Dieses so genannte periphrastische oder </w:t>
      </w:r>
      <w:hyperlink r:id="rId274">
        <w:r>
          <w:rPr>
            <w:rStyle w:val="Internetverknpfung"/>
          </w:rPr>
          <w:t>umschreibende Partizip</w:t>
        </w:r>
      </w:hyperlink>
      <w:r>
        <w:rPr/>
        <w:t xml:space="preserve"> kann man verschieden übersetzen. Häufig dient es als Beschreibung eines anhaltenden Zustands. Hier wurde das Hauptverb aus stilistischen Gründen separat übersetzt (weitere Infos auf der verlinkten Seite). Der Satz lässt sich auch als HS+</w:t>
      </w:r>
      <w:hyperlink r:id="rId275">
        <w:r>
          <w:rPr>
            <w:rStyle w:val="Internetverknpfung"/>
          </w:rPr>
          <w:t>Ptz. conj.</w:t>
        </w:r>
      </w:hyperlink>
      <w:r>
        <w:rPr/>
        <w:t xml:space="preserve"> (modal-temporal) übersetzen wie in der Klammer; der Unterschied trägt nichts aus. </w:t>
      </w:r>
    </w:p>
  </w:footnote>
  <w:footnote w:id="1636">
    <w:p>
      <w:pPr>
        <w:pStyle w:val="Funote"/>
        <w:rPr/>
      </w:pPr>
      <w:r>
        <w:rPr>
          <w:rStyle w:val="Funotenzeichen"/>
        </w:rPr>
        <w:footnoteRef/>
      </w:r>
      <w:r>
        <w:rPr/>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637">
    <w:p>
      <w:pPr>
        <w:pStyle w:val="Funote"/>
        <w:rPr/>
      </w:pPr>
      <w:r>
        <w:rPr>
          <w:rStyle w:val="Funotenzeichen"/>
        </w:rPr>
        <w:footnoteRef/>
      </w:r>
      <w:r>
        <w:rPr>
          <w:i/>
        </w:rPr>
        <w:tab/>
        <w:t>als/weil er sah</w:t>
      </w:r>
      <w:r>
        <w:rPr/>
        <w:t xml:space="preserve"> </w:t>
      </w:r>
      <w:hyperlink r:id="rId276">
        <w:r>
          <w:rPr>
            <w:rStyle w:val="Internetverknpfung"/>
          </w:rPr>
          <w:t>Ptz. conj.</w:t>
        </w:r>
      </w:hyperlink>
      <w:r>
        <w:rPr/>
        <w:t>, als temporaler (oder kausaler) Nebensatz aufgelöst.</w:t>
      </w:r>
    </w:p>
  </w:footnote>
  <w:footnote w:id="1638">
    <w:p>
      <w:pPr>
        <w:pStyle w:val="Funote"/>
        <w:rPr/>
      </w:pPr>
      <w:r>
        <w:rPr>
          <w:rStyle w:val="Funotenzeichen"/>
        </w:rPr>
        <w:footnoteRef/>
      </w:r>
      <w:r>
        <w:rPr/>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639">
    <w:p>
      <w:pPr>
        <w:pStyle w:val="Funote"/>
        <w:rPr/>
      </w:pPr>
      <w:r>
        <w:rPr>
          <w:rStyle w:val="Funotenzeichen"/>
        </w:rPr>
        <w:footnoteRef/>
      </w:r>
      <w:r>
        <w:rPr>
          <w:i/>
        </w:rPr>
        <w:tab/>
        <w:t>Er schrie ... und</w:t>
      </w:r>
      <w:r>
        <w:rPr/>
        <w:t xml:space="preserve"> </w:t>
      </w:r>
      <w:hyperlink r:id="rId277">
        <w:r>
          <w:rPr>
            <w:rStyle w:val="Internetverknpfung"/>
          </w:rPr>
          <w:t>Ptz. conj.</w:t>
        </w:r>
      </w:hyperlink>
      <w:r>
        <w:rPr/>
        <w:t xml:space="preserve"> (temporal), mit „und“-Kombination aufgelöst.</w:t>
      </w:r>
    </w:p>
  </w:footnote>
  <w:footnote w:id="1640">
    <w:p>
      <w:pPr>
        <w:pStyle w:val="Funote"/>
        <w:rPr/>
      </w:pPr>
      <w:r>
        <w:rPr>
          <w:rStyle w:val="Funotenzeichen"/>
        </w:rPr>
        <w:footnoteRef/>
      </w:r>
      <w:r>
        <w:rPr/>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641">
    <w:p>
      <w:pPr>
        <w:pStyle w:val="Funote"/>
        <w:rPr/>
      </w:pPr>
      <w:r>
        <w:rPr>
          <w:rStyle w:val="Funotenzeichen"/>
        </w:rPr>
        <w:footnoteRef/>
      </w:r>
      <w:r>
        <w:rPr/>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642">
    <w:p>
      <w:pPr>
        <w:pStyle w:val="Funote"/>
        <w:rPr/>
      </w:pPr>
      <w:r>
        <w:rPr>
          <w:rStyle w:val="Funotenzeichen"/>
        </w:rPr>
        <w:footnoteRef/>
      </w:r>
      <w:r>
        <w:rPr/>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643">
    <w:p>
      <w:pPr>
        <w:pStyle w:val="Funote"/>
        <w:rPr/>
      </w:pPr>
      <w:r>
        <w:rPr>
          <w:rStyle w:val="Funotenzeichen"/>
        </w:rPr>
        <w:footnoteRef/>
      </w:r>
      <w:r>
        <w:rPr/>
        <w:tab/>
        <w:t>»Was [ist] dein Name?« und »Mein Name [ist]...« W. »Was (für ein) Name [ist] dir?« etc. (possessiver Dativ; NSS)</w:t>
      </w:r>
    </w:p>
  </w:footnote>
  <w:footnote w:id="1644">
    <w:p>
      <w:pPr>
        <w:pStyle w:val="Funote"/>
        <w:rPr/>
      </w:pPr>
      <w:r>
        <w:rPr>
          <w:rStyle w:val="Funotenzeichen"/>
        </w:rPr>
        <w:footnoteRef/>
      </w:r>
      <w:r>
        <w:rPr>
          <w:i/>
        </w:rPr>
        <w:tab/>
        <w:t>immer wieder (inständig)</w:t>
      </w:r>
      <w:r>
        <w:rPr/>
        <w:t xml:space="preserve"> Das Adverb </w:t>
      </w:r>
      <w:r>
        <w:rPr>
          <w:lang w:val="el-GR"/>
        </w:rPr>
        <w:t>πολλὰ</w:t>
      </w:r>
      <w:r>
        <w:rPr/>
        <w:t xml:space="preserve"> kann man sowohl intensivierend als auch wiederholend verstehen. Die meisten Übersetzungen intensivieren (vgl. aber V. 23, 38 und 43).</w:t>
      </w:r>
    </w:p>
  </w:footnote>
  <w:footnote w:id="1645">
    <w:p>
      <w:pPr>
        <w:pStyle w:val="Funote"/>
        <w:rPr/>
      </w:pPr>
      <w:r>
        <w:rPr>
          <w:rStyle w:val="Funotenzeichen"/>
        </w:rPr>
        <w:footnoteRef/>
      </w:r>
      <w:r>
        <w:rPr/>
        <w:tab/>
        <w:t>am Berghang W. „an dem Berg“. Die Präposition weist auf einen Hang hin (vgl. EÜ, NGÜ, GNB).</w:t>
      </w:r>
    </w:p>
  </w:footnote>
  <w:footnote w:id="1646">
    <w:p>
      <w:pPr>
        <w:pStyle w:val="Funote"/>
        <w:rPr/>
      </w:pPr>
      <w:r>
        <w:rPr>
          <w:rStyle w:val="Funotenzeichen"/>
        </w:rPr>
        <w:footnoteRef/>
      </w:r>
      <w:r>
        <w:rPr>
          <w:i/>
        </w:rPr>
        <w:tab/>
        <w:t>weidete gerade</w:t>
      </w:r>
      <w:r>
        <w:rPr/>
        <w:t xml:space="preserve"> </w:t>
      </w:r>
      <w:hyperlink r:id="rId278">
        <w:r>
          <w:rPr>
            <w:rStyle w:val="Internetverknpfung"/>
          </w:rPr>
          <w:t>Periphrastische Konjugation</w:t>
        </w:r>
      </w:hyperlink>
      <w:r>
        <w:rPr/>
        <w:t>, die das Imperfekt umschreibt und die Gleichzeitigkeit des durativen Aspekts stärker betont.</w:t>
      </w:r>
    </w:p>
  </w:footnote>
  <w:footnote w:id="1647">
    <w:p>
      <w:pPr>
        <w:pStyle w:val="Funote"/>
        <w:rPr/>
      </w:pPr>
      <w:r>
        <w:rPr>
          <w:rStyle w:val="Funotenzeichen"/>
        </w:rPr>
        <w:footnoteRef/>
      </w:r>
      <w:r>
        <w:rPr>
          <w:i/>
        </w:rPr>
        <w:tab/>
        <w:t>Schweineherde</w:t>
      </w:r>
      <w:r>
        <w:rPr/>
        <w:t xml:space="preserve"> W. „Herde [der] Schweine“</w:t>
      </w:r>
    </w:p>
  </w:footnote>
  <w:footnote w:id="1648">
    <w:p>
      <w:pPr>
        <w:pStyle w:val="Funote"/>
        <w:rPr/>
      </w:pPr>
      <w:r>
        <w:rPr>
          <w:rStyle w:val="Funotenzeichen"/>
        </w:rPr>
        <w:footnoteRef/>
      </w:r>
      <w:r>
        <w:rPr/>
        <w:tab/>
        <w:t xml:space="preserve">Wir wollen (damit wir) Die Konjunktion </w:t>
      </w:r>
      <w:r>
        <w:rPr>
          <w:lang w:val="el-GR"/>
        </w:rPr>
        <w:t>ἵνα</w:t>
      </w:r>
      <w:r>
        <w:rPr/>
        <w:t xml:space="preserve"> wird hier (v.a. aus stilistischen Gründen) als selbständiger Begehrungssatz übersetzt (NSS). Vgl. ZÜR, MEN.</w:t>
      </w:r>
    </w:p>
  </w:footnote>
  <w:footnote w:id="1649">
    <w:p>
      <w:pPr>
        <w:pStyle w:val="Funote"/>
        <w:rPr/>
      </w:pPr>
      <w:r>
        <w:rPr>
          <w:rStyle w:val="Funotenzeichen"/>
        </w:rPr>
        <w:footnoteRef/>
      </w:r>
      <w:r>
        <w:rPr>
          <w:i/>
        </w:rPr>
        <w:tab/>
        <w:t>fuhren aus und</w:t>
      </w:r>
      <w:r>
        <w:rPr/>
        <w:t xml:space="preserve"> Temporales oder modales </w:t>
      </w:r>
      <w:hyperlink r:id="rId279">
        <w:r>
          <w:rPr>
            <w:rStyle w:val="Internetverknpfung"/>
          </w:rPr>
          <w:t>Ptz. conj.</w:t>
        </w:r>
      </w:hyperlink>
      <w:r>
        <w:rPr/>
        <w:t>, hier mit Hilfe einer „und“-Kombination beigeordnet.</w:t>
      </w:r>
    </w:p>
  </w:footnote>
  <w:footnote w:id="1650">
    <w:p>
      <w:pPr>
        <w:pStyle w:val="Funote"/>
        <w:rPr/>
      </w:pPr>
      <w:r>
        <w:rPr>
          <w:rStyle w:val="Funotenzeichen"/>
        </w:rPr>
        <w:footnoteRef/>
      </w:r>
      <w:r>
        <w:rPr/>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651">
    <w:p>
      <w:pPr>
        <w:pStyle w:val="Funote"/>
        <w:rPr/>
      </w:pPr>
      <w:r>
        <w:rPr>
          <w:rStyle w:val="Funotenzeichen"/>
        </w:rPr>
        <w:footnoteRef/>
      </w:r>
      <w:r>
        <w:rPr>
          <w:i/>
        </w:rPr>
        <w:tab/>
        <w:t>ihre Hirten</w:t>
      </w:r>
      <w:r>
        <w:rPr/>
        <w:t xml:space="preserve"> Oder etwas wörtlicher „die sie hüteten“.</w:t>
      </w:r>
    </w:p>
  </w:footnote>
  <w:footnote w:id="1652">
    <w:p>
      <w:pPr>
        <w:pStyle w:val="Funote"/>
        <w:rPr/>
      </w:pPr>
      <w:r>
        <w:rPr>
          <w:rStyle w:val="Funotenzeichen"/>
        </w:rPr>
        <w:footnoteRef/>
      </w:r>
      <w:r>
        <w:rPr/>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653">
    <w:p>
      <w:pPr>
        <w:pStyle w:val="Funote"/>
        <w:rPr/>
      </w:pPr>
      <w:r>
        <w:rPr>
          <w:rStyle w:val="Funotenzeichen"/>
        </w:rPr>
        <w:footnoteRef/>
      </w:r>
      <w:r>
        <w:rPr/>
        <w:tab/>
        <w:t>was das Geschehene war W. „was das Geschehene ist“; der Objektsatz steht in der selben Zeit, in der direkte Rede stehen würde (vgl. Zerwick § 346; ad loc. Grosvenor/Zerwick).</w:t>
      </w:r>
    </w:p>
  </w:footnote>
  <w:footnote w:id="1654">
    <w:p>
      <w:pPr>
        <w:pStyle w:val="Funote"/>
        <w:rPr/>
      </w:pPr>
      <w:r>
        <w:rPr>
          <w:rStyle w:val="Funotenzeichen"/>
        </w:rPr>
        <w:footnoteRef/>
      </w:r>
      <w:r>
        <w:rPr>
          <w:i/>
        </w:rPr>
        <w:tab/>
        <w:t>sahen, dass der Besessene saß, bekleidet und bei Verstand</w:t>
      </w:r>
      <w:r>
        <w:rPr/>
        <w:t xml:space="preserve"> Dreifaches </w:t>
      </w:r>
      <w:hyperlink r:id="rId280">
        <w:r>
          <w:rPr>
            <w:rStyle w:val="Internetverknpfung"/>
          </w:rPr>
          <w:t>AcP</w:t>
        </w:r>
      </w:hyperlink>
      <w:r>
        <w:rPr/>
        <w:t xml:space="preserve">. Aus stilistischen Gründen (allerdings im Rahmen des griechischen Satzbaus) wurde nur das erste Ptz. als Teil des AcP aufgelöst und die anderen beiden Partizipien </w:t>
      </w:r>
      <w:hyperlink r:id="rId281">
        <w:r>
          <w:rPr>
            <w:rStyle w:val="Internetverknpfung"/>
          </w:rPr>
          <w:t>modal</w:t>
        </w:r>
      </w:hyperlink>
      <w:r>
        <w:rPr/>
        <w:t xml:space="preserve"> verstanden. </w:t>
      </w:r>
      <w:r>
        <w:rPr>
          <w:i/>
        </w:rPr>
        <w:t>bekleidet</w:t>
      </w:r>
      <w:r>
        <w:rPr/>
        <w:t xml:space="preserve"> bedarf keiner Auflösung, </w:t>
      </w:r>
      <w:r>
        <w:rPr>
          <w:i/>
        </w:rPr>
        <w:t>bei Verstand</w:t>
      </w:r>
      <w:r>
        <w:rPr/>
        <w:t xml:space="preserve"> gibt das Ptz. als Präpositionalphrase wieder.</w:t>
      </w:r>
    </w:p>
  </w:footnote>
  <w:footnote w:id="1655">
    <w:p>
      <w:pPr>
        <w:pStyle w:val="Funote"/>
        <w:rPr/>
      </w:pPr>
      <w:r>
        <w:rPr>
          <w:rStyle w:val="Funotenzeichen"/>
        </w:rPr>
        <w:footnoteRef/>
      </w:r>
      <w:r>
        <w:rPr/>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656">
    <w:p>
      <w:pPr>
        <w:pStyle w:val="Funote"/>
        <w:rPr/>
      </w:pPr>
      <w:r>
        <w:rPr>
          <w:rStyle w:val="Funotenzeichen"/>
        </w:rPr>
        <w:footnoteRef/>
      </w:r>
      <w:r>
        <w:rPr>
          <w:i/>
        </w:rPr>
        <w:tab/>
        <w:t>Als er ins Boot stieg</w:t>
      </w:r>
      <w:r>
        <w:rPr/>
        <w:t xml:space="preserve"> </w:t>
      </w:r>
      <w:hyperlink r:id="rId282">
        <w:r>
          <w:rPr>
            <w:rStyle w:val="Internetverknpfung"/>
          </w:rPr>
          <w:t>Gen. abs.</w:t>
        </w:r>
      </w:hyperlink>
      <w:r>
        <w:rPr/>
        <w:t>, als temporaler Nebensatz aufgelöst.</w:t>
      </w:r>
    </w:p>
  </w:footnote>
  <w:footnote w:id="1657">
    <w:p>
      <w:pPr>
        <w:pStyle w:val="Funote"/>
        <w:rPr/>
      </w:pPr>
      <w:r>
        <w:rPr>
          <w:rStyle w:val="Funotenzeichen"/>
        </w:rPr>
        <w:footnoteRef/>
      </w:r>
      <w:r>
        <w:rPr/>
        <w:tab/>
        <w:t>der, der besessen gewesen war Subst. Ptz. Aor., als Relativsatz aufgelöst. Eine schönere Übersetzung wäre vielleicht „der vormals Besessene“ oder auch „der ehemalige Besessene“. MEN: „der (früher) Besessene“, GNB sogar: „der Geheilte“.</w:t>
      </w:r>
    </w:p>
  </w:footnote>
  <w:footnote w:id="1658">
    <w:p>
      <w:pPr>
        <w:pStyle w:val="Funote"/>
        <w:rPr/>
      </w:pPr>
      <w:r>
        <w:rPr>
          <w:rStyle w:val="Funotenzeichen"/>
        </w:rPr>
        <w:footnoteRef/>
      </w:r>
      <w:r>
        <w:rPr>
          <w:i/>
        </w:rPr>
        <w:tab/>
        <w:t>Dekapolis</w:t>
      </w:r>
      <w:r>
        <w:rPr/>
        <w:t xml:space="preserve"> Die Dekapolis war eine Region von etwa zehn Städten im heutigen Jordanien, als östlich des Jordan und des Sees Gennesaret. Weitere Informationen liefert der Artikel </w:t>
      </w:r>
      <w:hyperlink r:id="rId283">
        <w:r>
          <w:rPr>
            <w:rStyle w:val="Internetverknpfung"/>
          </w:rPr>
          <w:t>Dekapolis</w:t>
        </w:r>
      </w:hyperlink>
      <w:r>
        <w:rPr/>
        <w:t>.</w:t>
      </w:r>
    </w:p>
  </w:footnote>
  <w:footnote w:id="1659">
    <w:p>
      <w:pPr>
        <w:pStyle w:val="Funote"/>
        <w:rPr/>
      </w:pPr>
      <w:r>
        <w:rPr>
          <w:rStyle w:val="Funotenzeichen"/>
        </w:rPr>
        <w:footnoteRef/>
      </w:r>
      <w:r>
        <w:rPr>
          <w:i/>
        </w:rPr>
        <w:tab/>
        <w:t>was Jesus ihm getan hatte</w:t>
      </w:r>
      <w:r>
        <w:rPr/>
        <w:t xml:space="preserve"> W. „was getan hatte ihm Jesus“. „Jesus“ ist bewusst nachgestellt, um den Kontrast zu betonen, der zwischen V. 20 und dem parallelen V. 19 besteht („was </w:t>
      </w:r>
      <w:r>
        <w:rPr>
          <w:i/>
        </w:rPr>
        <w:t>der Herr</w:t>
      </w:r>
      <w:r>
        <w:rPr/>
        <w:t xml:space="preserve"> dir getan hat“). Der Geheilte verkündigt Jesus als „den Herrn“.</w:t>
      </w:r>
    </w:p>
  </w:footnote>
  <w:footnote w:id="1660">
    <w:p>
      <w:pPr>
        <w:pStyle w:val="Funote"/>
        <w:rPr/>
      </w:pPr>
      <w:r>
        <w:rPr>
          <w:rStyle w:val="Funotenzeichen"/>
        </w:rPr>
        <w:footnoteRef/>
      </w:r>
      <w:r>
        <w:rPr>
          <w:i/>
        </w:rPr>
        <w:tab/>
        <w:t>staunten (wunderten sich)</w:t>
      </w:r>
      <w:r>
        <w:rPr/>
        <w:t xml:space="preserve"> Eine zeitgemäßere, treffende Übersetzung wäre vielleicht „sie konnten es kaum glauben“.</w:t>
      </w:r>
    </w:p>
  </w:footnote>
  <w:footnote w:id="1661">
    <w:p>
      <w:pPr>
        <w:pStyle w:val="Funote"/>
        <w:rPr/>
      </w:pPr>
      <w:r>
        <w:rPr>
          <w:rStyle w:val="Funotenzeichen"/>
        </w:rPr>
        <w:footnoteRef/>
      </w:r>
      <w:r>
        <w:rPr>
          <w:i/>
        </w:rPr>
        <w:tab/>
        <w:t>nachdem … gefahren war</w:t>
      </w:r>
      <w:r>
        <w:rPr/>
        <w:t xml:space="preserve"> </w:t>
      </w:r>
      <w:hyperlink r:id="rId284">
        <w:r>
          <w:rPr>
            <w:rStyle w:val="Internetverknpfung"/>
          </w:rPr>
          <w:t>Gen. abs.</w:t>
        </w:r>
      </w:hyperlink>
      <w:r>
        <w:rPr/>
        <w:t>, als temporaler Nebensatz aufgelöst.</w:t>
      </w:r>
    </w:p>
  </w:footnote>
  <w:footnote w:id="1662">
    <w:p>
      <w:pPr>
        <w:pStyle w:val="Funote"/>
        <w:rPr/>
      </w:pPr>
      <w:r>
        <w:rPr>
          <w:rStyle w:val="Funotenzeichen"/>
        </w:rPr>
        <w:footnoteRef/>
      </w:r>
      <w:r>
        <w:rPr/>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663">
    <w:p>
      <w:pPr>
        <w:pStyle w:val="Funote"/>
        <w:rPr/>
      </w:pPr>
      <w:r>
        <w:rPr>
          <w:rStyle w:val="Funotenzeichen"/>
        </w:rPr>
        <w:footnoteRef/>
      </w:r>
      <w:r>
        <w:rPr>
          <w:i/>
        </w:rPr>
        <w:tab/>
        <w:t>Synagogenvorsteher</w:t>
      </w:r>
      <w:r>
        <w:rPr/>
        <w:t xml:space="preserve"> Zur Zeit Jesu wurden Synagogen von Laien geleitet. Diese waren verantwortlich v.a. für die Leitung des Gottesdienstes, aber auch für die finanziellen, administrativen und politischen Aspekte des Synagogenlebens (TRE 32, S. 506).</w:t>
      </w:r>
    </w:p>
  </w:footnote>
  <w:footnote w:id="1664">
    <w:p>
      <w:pPr>
        <w:pStyle w:val="Funote"/>
        <w:rPr/>
      </w:pPr>
      <w:r>
        <w:rPr>
          <w:rStyle w:val="Funotenzeichen"/>
        </w:rPr>
        <w:footnoteRef/>
      </w:r>
      <w:r>
        <w:rPr>
          <w:i/>
        </w:rPr>
        <w:tab/>
        <w:t>namens Jairus</w:t>
      </w:r>
      <w:r>
        <w:rPr/>
        <w:t xml:space="preserve"> Gr. der Dativ von Name (possessiver Dativ).</w:t>
      </w:r>
    </w:p>
  </w:footnote>
  <w:footnote w:id="1665">
    <w:p>
      <w:pPr>
        <w:pStyle w:val="Funote"/>
        <w:rPr/>
      </w:pPr>
      <w:r>
        <w:rPr>
          <w:rStyle w:val="Funotenzeichen"/>
        </w:rPr>
        <w:footnoteRef/>
      </w:r>
      <w:r>
        <w:rPr>
          <w:i/>
        </w:rPr>
        <w:tab/>
        <w:t>als er ihn sah</w:t>
      </w:r>
      <w:r>
        <w:rPr/>
        <w:t xml:space="preserve"> Temporales </w:t>
      </w:r>
      <w:hyperlink r:id="rId285">
        <w:r>
          <w:rPr>
            <w:rStyle w:val="Internetverknpfung"/>
          </w:rPr>
          <w:t>Ptz. conj.</w:t>
        </w:r>
      </w:hyperlink>
      <w:r>
        <w:rPr/>
        <w:t xml:space="preserve">, wohl </w:t>
      </w:r>
      <w:hyperlink r:id="rId286">
        <w:r>
          <w:rPr>
            <w:rStyle w:val="Internetverknpfung"/>
          </w:rPr>
          <w:t>beschreibendes Partizip</w:t>
        </w:r>
      </w:hyperlink>
      <w:r>
        <w:rPr/>
        <w:t>.</w:t>
      </w:r>
    </w:p>
  </w:footnote>
  <w:footnote w:id="1666">
    <w:p>
      <w:pPr>
        <w:pStyle w:val="Funote"/>
        <w:rPr/>
      </w:pPr>
      <w:r>
        <w:rPr>
          <w:rStyle w:val="Funotenzeichen"/>
        </w:rPr>
        <w:footnoteRef/>
      </w:r>
      <w:r>
        <w:rPr>
          <w:i/>
        </w:rPr>
        <w:tab/>
        <w:t>inständig (mehrfach)</w:t>
      </w:r>
      <w:r>
        <w:rPr/>
        <w:t xml:space="preserve"> Das Adverb </w:t>
      </w:r>
      <w:r>
        <w:rPr>
          <w:lang w:val="el-GR"/>
        </w:rPr>
        <w:t>πολλὰ</w:t>
      </w:r>
      <w:r>
        <w:rPr/>
        <w:t xml:space="preserve"> kann man sowohl intensivierend als auch wiederholend verstehen. Hier scheint die intensivierende Funktion besser zu passen (vgl. V. 38 und 43, aber auch V. 10).</w:t>
      </w:r>
    </w:p>
  </w:footnote>
  <w:footnote w:id="1667">
    <w:p>
      <w:pPr>
        <w:pStyle w:val="Funote"/>
        <w:rPr/>
      </w:pPr>
      <w:r>
        <w:rPr>
          <w:rStyle w:val="Funotenzeichen"/>
        </w:rPr>
        <w:footnoteRef/>
      </w:r>
      <w:r>
        <w:rPr/>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668">
    <w:p>
      <w:pPr>
        <w:pStyle w:val="Funote"/>
        <w:rPr/>
      </w:pPr>
      <w:r>
        <w:rPr>
          <w:rStyle w:val="Funotenzeichen"/>
        </w:rPr>
        <w:footnoteRef/>
      </w:r>
      <w:r>
        <w:rPr>
          <w:i/>
        </w:rPr>
        <w:tab/>
        <w:t>komm doch und</w:t>
      </w:r>
      <w:r>
        <w:rPr/>
        <w:t xml:space="preserve"> Temporales </w:t>
      </w:r>
      <w:hyperlink r:id="rId287">
        <w:r>
          <w:rPr>
            <w:rStyle w:val="Internetverknpfung"/>
          </w:rPr>
          <w:t>Ptz. conj.</w:t>
        </w:r>
      </w:hyperlink>
      <w:r>
        <w:rPr/>
        <w:t xml:space="preserve">, als Beiordnung übersetzt. Wohl </w:t>
      </w:r>
      <w:hyperlink r:id="rId288">
        <w:r>
          <w:rPr>
            <w:rStyle w:val="Internetverknpfung"/>
          </w:rPr>
          <w:t>beschreibendes Partizip</w:t>
        </w:r>
      </w:hyperlink>
      <w:r>
        <w:rPr/>
        <w:t>.</w:t>
      </w:r>
    </w:p>
  </w:footnote>
  <w:footnote w:id="1669">
    <w:p>
      <w:pPr>
        <w:pStyle w:val="Funote"/>
        <w:rPr/>
      </w:pPr>
      <w:r>
        <w:rPr>
          <w:rStyle w:val="Funotenzeichen"/>
        </w:rPr>
        <w:footnoteRef/>
      </w:r>
      <w:r>
        <w:rPr/>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670">
    <w:p>
      <w:pPr>
        <w:pStyle w:val="Funote"/>
        <w:rPr/>
      </w:pPr>
      <w:r>
        <w:rPr>
          <w:rStyle w:val="Funotenzeichen"/>
        </w:rPr>
        <w:footnoteRef/>
      </w:r>
      <w:r>
        <w:rPr>
          <w:i/>
        </w:rPr>
        <w:tab/>
        <w:t>drängten sich um ihn</w:t>
      </w:r>
      <w:r>
        <w:rPr/>
        <w:t xml:space="preserve"> Das griechische Wort konnotiert großen Druck und kann in anderen Zusammenhängen auch „zusammendrücken“ heißen (</w:t>
      </w:r>
      <w:hyperlink r:id="rId289">
        <w:r>
          <w:rPr>
            <w:rStyle w:val="Internetverknpfung"/>
          </w:rPr>
          <w:t>LSJ</w:t>
        </w:r>
      </w:hyperlink>
      <w:r>
        <w:rPr/>
        <w:t>). Den Druck der Menge beschreibt Markus also sehr plastisch. Etwas freier: „es herrschte ein großes Gedränge“</w:t>
      </w:r>
    </w:p>
  </w:footnote>
  <w:footnote w:id="1671">
    <w:p>
      <w:pPr>
        <w:pStyle w:val="Funote"/>
        <w:rPr/>
      </w:pPr>
      <w:r>
        <w:rPr>
          <w:rStyle w:val="Funotenzeichen"/>
        </w:rPr>
        <w:footnoteRef/>
      </w:r>
      <w:r>
        <w:rPr/>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672">
    <w:p>
      <w:pPr>
        <w:pStyle w:val="Funote"/>
        <w:rPr/>
      </w:pPr>
      <w:r>
        <w:rPr>
          <w:rStyle w:val="Funotenzeichen"/>
        </w:rPr>
        <w:footnoteRef/>
      </w:r>
      <w:r>
        <w:rPr/>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673">
    <w:p>
      <w:pPr>
        <w:pStyle w:val="Funote"/>
        <w:rPr/>
      </w:pPr>
      <w:r>
        <w:rPr>
          <w:rStyle w:val="Funotenzeichen"/>
        </w:rPr>
        <w:footnoteRef/>
      </w:r>
      <w:r>
        <w:rPr>
          <w:i/>
        </w:rPr>
        <w:tab/>
        <w:t>als sie (die) ... hörte, näherte sie sich … und</w:t>
      </w:r>
      <w:r>
        <w:rPr/>
        <w:t xml:space="preserve"> Zwei </w:t>
      </w:r>
      <w:hyperlink r:id="rId290">
        <w:r>
          <w:rPr>
            <w:rStyle w:val="Internetverknpfung"/>
          </w:rPr>
          <w:t>Ptz. conj.</w:t>
        </w:r>
      </w:hyperlink>
      <w:r>
        <w:rPr/>
        <w:t xml:space="preserve"> (Präsens und Aorist), temporal aufgelöst. Das erste könnte man auch </w:t>
      </w:r>
      <w:hyperlink r:id="rId291">
        <w:r>
          <w:rPr>
            <w:rStyle w:val="Internetverknpfung"/>
          </w:rPr>
          <w:t>attributiv</w:t>
        </w:r>
      </w:hyperlink>
      <w:r>
        <w:rPr/>
        <w:t xml:space="preserve"> verstehen und in den vorangehenden Relativsatz einreihen.</w:t>
      </w:r>
    </w:p>
  </w:footnote>
  <w:footnote w:id="1674">
    <w:p>
      <w:pPr>
        <w:pStyle w:val="Funote"/>
        <w:rPr/>
      </w:pPr>
      <w:r>
        <w:rPr>
          <w:rStyle w:val="Funotenzeichen"/>
        </w:rPr>
        <w:footnoteRef/>
      </w:r>
      <w:r>
        <w:rPr>
          <w:i/>
        </w:rPr>
        <w:tab/>
        <w:t>sagte sich</w:t>
      </w:r>
      <w:r>
        <w:rPr/>
        <w:t xml:space="preserve"> Das </w:t>
      </w:r>
      <w:hyperlink r:id="rId292">
        <w:r>
          <w:rPr>
            <w:rStyle w:val="Internetverknpfung"/>
          </w:rPr>
          <w:t>Imperfekt</w:t>
        </w:r>
      </w:hyperlink>
      <w:r>
        <w:rPr/>
        <w:t xml:space="preserve">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675">
    <w:p>
      <w:pPr>
        <w:pStyle w:val="Funote"/>
        <w:rPr/>
      </w:pPr>
      <w:r>
        <w:rPr>
          <w:rStyle w:val="Funotenzeichen"/>
        </w:rPr>
        <w:footnoteRef/>
      </w:r>
      <w:r>
        <w:rPr/>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676">
    <w:p>
      <w:pPr>
        <w:pStyle w:val="Funote"/>
        <w:rPr/>
      </w:pPr>
      <w:r>
        <w:rPr>
          <w:rStyle w:val="Funotenzeichen"/>
        </w:rPr>
        <w:footnoteRef/>
      </w:r>
      <w:r>
        <w:rPr/>
        <w:tab/>
        <w:t>[an (in) ihrem] Körper Wohl instrumentaler oder lokaler Dativ; hier soll es aber wohl nur markieren, dass es sich bei ihrem „merken“ um eine körperliche Empfindung handelt (Grosvenor/Zerwick), daher besser „spürte sie an ihrem Körper“.</w:t>
      </w:r>
    </w:p>
  </w:footnote>
  <w:footnote w:id="1677">
    <w:p>
      <w:pPr>
        <w:pStyle w:val="Funote"/>
        <w:rPr/>
      </w:pPr>
      <w:r>
        <w:rPr>
          <w:rStyle w:val="Funotenzeichen"/>
        </w:rPr>
        <w:footnoteRef/>
      </w:r>
      <w:r>
        <w:rPr/>
        <w:tab/>
        <w:t>Leiden (Qual) W. „Geißel“, übertragen „Plage“. Per Bedeutungserweiterung auch „Leiden“ oder „Gebrechen“ (vgl. LN 23.182).</w:t>
      </w:r>
    </w:p>
  </w:footnote>
  <w:footnote w:id="1678">
    <w:p>
      <w:pPr>
        <w:pStyle w:val="Funote"/>
        <w:rPr/>
      </w:pPr>
      <w:r>
        <w:rPr>
          <w:rStyle w:val="Funotenzeichen"/>
        </w:rPr>
        <w:footnoteRef/>
      </w:r>
      <w:r>
        <w:rPr>
          <w:i/>
        </w:rPr>
        <w:tab/>
        <w:t>der (als/weil er) merkte</w:t>
      </w:r>
      <w:r>
        <w:rPr/>
        <w:t xml:space="preserve"> </w:t>
      </w:r>
      <w:hyperlink r:id="rId293">
        <w:r>
          <w:rPr>
            <w:rStyle w:val="Internetverknpfung"/>
          </w:rPr>
          <w:t>Ptz. conj.</w:t>
        </w:r>
      </w:hyperlink>
      <w:r>
        <w:rPr/>
        <w:t xml:space="preserve"> (temporal oder kausal), hier als Relativsatz aufgelöst.</w:t>
      </w:r>
    </w:p>
  </w:footnote>
  <w:footnote w:id="1679">
    <w:p>
      <w:pPr>
        <w:pStyle w:val="Funote"/>
        <w:rPr/>
      </w:pPr>
      <w:r>
        <w:rPr>
          <w:rStyle w:val="Funotenzeichen"/>
        </w:rPr>
        <w:footnoteRef/>
      </w:r>
      <w:r>
        <w:rPr/>
        <w:tab/>
        <w:t>merkte, dass Kraft von ihm ausgegangen war AcP Oder anders aufgelöst: „[die] Kraft bemerkte, die...“ Das Ptz. Aor. Könnte man evtl. auch gleichzeitig verstehen „sofort bemerkte, dass Kraft von ihm ausging“ (vgl. EÜ).</w:t>
      </w:r>
    </w:p>
  </w:footnote>
  <w:footnote w:id="1680">
    <w:p>
      <w:pPr>
        <w:pStyle w:val="Funote"/>
        <w:rPr/>
      </w:pPr>
      <w:r>
        <w:rPr>
          <w:rStyle w:val="Funotenzeichen"/>
        </w:rPr>
        <w:footnoteRef/>
      </w:r>
      <w:r>
        <w:rPr>
          <w:i/>
        </w:rPr>
        <w:tab/>
        <w:t>fragte (sagte, wiederholte)</w:t>
      </w:r>
      <w:r>
        <w:rPr/>
        <w:t xml:space="preserve"> Das Verb steht im </w:t>
      </w:r>
      <w:hyperlink r:id="rId294">
        <w:r>
          <w:rPr>
            <w:rStyle w:val="Internetverknpfung"/>
          </w:rPr>
          <w:t>Imperfekt</w:t>
        </w:r>
      </w:hyperlink>
      <w:r>
        <w:rPr/>
        <w: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681">
    <w:p>
      <w:pPr>
        <w:pStyle w:val="Funote"/>
        <w:rPr/>
      </w:pPr>
      <w:r>
        <w:rPr>
          <w:rStyle w:val="Funotenzeichen"/>
        </w:rPr>
        <w:footnoteRef/>
      </w:r>
      <w:r>
        <w:rPr>
          <w:i/>
        </w:rPr>
        <w:tab/>
        <w:t>die sich um dich drängt</w:t>
      </w:r>
      <w:r>
        <w:rPr/>
        <w:t xml:space="preserve"> </w:t>
      </w:r>
      <w:hyperlink r:id="rId295">
        <w:r>
          <w:rPr>
            <w:rStyle w:val="Internetverknpfung"/>
          </w:rPr>
          <w:t>Atr. Ptz.</w:t>
        </w:r>
      </w:hyperlink>
      <w:r>
        <w:rPr/>
        <w:t>, als Relativsatz aufgelöst. Zum Wort s. die Fußnote in V. 24.</w:t>
      </w:r>
    </w:p>
  </w:footnote>
  <w:footnote w:id="1682">
    <w:p>
      <w:pPr>
        <w:pStyle w:val="Funote"/>
        <w:rPr/>
      </w:pPr>
      <w:r>
        <w:rPr>
          <w:rStyle w:val="Funotenzeichen"/>
        </w:rPr>
        <w:footnoteRef/>
      </w:r>
      <w:r>
        <w:rPr/>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683">
    <w:p>
      <w:pPr>
        <w:pStyle w:val="Funote"/>
        <w:rPr/>
      </w:pPr>
      <w:r>
        <w:rPr>
          <w:rStyle w:val="Funotenzeichen"/>
        </w:rPr>
        <w:footnoteRef/>
      </w:r>
      <w:r>
        <w:rPr/>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684">
    <w:p>
      <w:pPr>
        <w:pStyle w:val="Funote"/>
        <w:rPr/>
      </w:pPr>
      <w:r>
        <w:rPr>
          <w:rStyle w:val="Funotenzeichen"/>
        </w:rPr>
        <w:footnoteRef/>
      </w:r>
      <w:r>
        <w:rPr>
          <w:i/>
        </w:rPr>
        <w:tab/>
        <w:t>Während er noch redete</w:t>
      </w:r>
      <w:r>
        <w:rPr/>
        <w:t xml:space="preserve"> Temporaler </w:t>
      </w:r>
      <w:hyperlink r:id="rId296">
        <w:r>
          <w:rPr>
            <w:rStyle w:val="Internetverknpfung"/>
          </w:rPr>
          <w:t>Gen. abs.</w:t>
        </w:r>
      </w:hyperlink>
      <w:r>
        <w:rPr/>
        <w:t>, als Nebensatz aufgelöst.</w:t>
      </w:r>
    </w:p>
  </w:footnote>
  <w:footnote w:id="1685">
    <w:p>
      <w:pPr>
        <w:pStyle w:val="Funote"/>
        <w:rPr/>
      </w:pPr>
      <w:r>
        <w:rPr>
          <w:rStyle w:val="Funotenzeichen"/>
        </w:rPr>
        <w:footnoteRef/>
      </w:r>
      <w:r>
        <w:rPr>
          <w:i/>
        </w:rPr>
        <w:tab/>
        <w:t>und richteten aus</w:t>
      </w:r>
      <w:r>
        <w:rPr/>
        <w:t xml:space="preserve"> </w:t>
      </w:r>
      <w:hyperlink r:id="rId297">
        <w:r>
          <w:rPr>
            <w:rStyle w:val="Internetverknpfung"/>
          </w:rPr>
          <w:t>Ptz. conj.</w:t>
        </w:r>
      </w:hyperlink>
      <w:r>
        <w:rPr/>
        <w:t>, temporal-modal, beigeordnet übersetzt.</w:t>
      </w:r>
    </w:p>
  </w:footnote>
  <w:footnote w:id="1686">
    <w:p>
      <w:pPr>
        <w:pStyle w:val="Funote"/>
        <w:rPr/>
      </w:pPr>
      <w:r>
        <w:rPr>
          <w:rStyle w:val="Funotenzeichen"/>
        </w:rPr>
        <w:footnoteRef/>
      </w:r>
      <w:r>
        <w:rPr/>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687">
    <w:p>
      <w:pPr>
        <w:pStyle w:val="Funote"/>
        <w:rPr/>
      </w:pPr>
      <w:r>
        <w:rPr>
          <w:rStyle w:val="Funotenzeichen"/>
        </w:rPr>
        <w:footnoteRef/>
      </w:r>
      <w:r>
        <w:rPr/>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688">
    <w:p>
      <w:pPr>
        <w:pStyle w:val="Funote"/>
        <w:rPr/>
      </w:pPr>
      <w:r>
        <w:rPr>
          <w:rStyle w:val="Funotenzeichen"/>
        </w:rPr>
        <w:footnoteRef/>
      </w:r>
      <w:r>
        <w:rPr/>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689">
    <w:p>
      <w:pPr>
        <w:pStyle w:val="Funote"/>
        <w:rPr/>
      </w:pPr>
      <w:r>
        <w:rPr>
          <w:rStyle w:val="Funotenzeichen"/>
        </w:rPr>
        <w:footnoteRef/>
      </w:r>
      <w:r>
        <w:rPr>
          <w:i/>
        </w:rPr>
        <w:tab/>
        <w:t>sah er … [Menschen], die heftig heulten und wehklagten</w:t>
      </w:r>
      <w:r>
        <w:rPr/>
        <w:t xml:space="preserve"> </w:t>
      </w:r>
      <w:hyperlink r:id="rId298">
        <w:r>
          <w:rPr>
            <w:rStyle w:val="Internetverknpfung"/>
          </w:rPr>
          <w:t>AcP</w:t>
        </w:r>
      </w:hyperlink>
      <w:r>
        <w:rPr/>
        <w:t xml:space="preserve"> (zwei Ptz.), unter Ergänzung eines Objekts mit Relativsatz wiedergegeben.</w:t>
      </w:r>
    </w:p>
  </w:footnote>
  <w:footnote w:id="1690">
    <w:p>
      <w:pPr>
        <w:pStyle w:val="Funote"/>
        <w:rPr/>
      </w:pPr>
      <w:r>
        <w:rPr>
          <w:rStyle w:val="Funotenzeichen"/>
        </w:rPr>
        <w:footnoteRef/>
      </w:r>
      <w:r>
        <w:rPr>
          <w:i/>
        </w:rPr>
        <w:tab/>
        <w:t>nach dem (beim) Eintreten</w:t>
      </w:r>
      <w:r>
        <w:rPr/>
        <w:t xml:space="preserve"> Temporal-modales </w:t>
      </w:r>
      <w:hyperlink r:id="rId299">
        <w:r>
          <w:rPr>
            <w:rStyle w:val="Internetverknpfung"/>
          </w:rPr>
          <w:t>Ptz. conj.</w:t>
        </w:r>
      </w:hyperlink>
      <w:r>
        <w:rPr/>
        <w:t>, als Präpositionalphrase aufgelöst.</w:t>
      </w:r>
    </w:p>
  </w:footnote>
  <w:footnote w:id="1691">
    <w:p>
      <w:pPr>
        <w:pStyle w:val="Funote"/>
        <w:rPr/>
      </w:pPr>
      <w:r>
        <w:rPr>
          <w:rStyle w:val="Funotenzeichen"/>
        </w:rPr>
        <w:footnoteRef/>
      </w:r>
      <w:r>
        <w:rPr>
          <w:i/>
        </w:rPr>
        <w:tab/>
        <w:t>Er nahm die Hand</w:t>
      </w:r>
      <w:r>
        <w:rPr/>
        <w:t xml:space="preserve"> </w:t>
      </w:r>
      <w:hyperlink r:id="rId300">
        <w:r>
          <w:rPr>
            <w:rStyle w:val="Internetverknpfung"/>
          </w:rPr>
          <w:t>Gen. abs.</w:t>
        </w:r>
      </w:hyperlink>
      <w:r>
        <w:rPr/>
        <w:t>, temporal-modal, beigeordnet aufgelöst.</w:t>
      </w:r>
    </w:p>
  </w:footnote>
  <w:footnote w:id="1692">
    <w:p>
      <w:pPr>
        <w:pStyle w:val="Funote"/>
        <w:rPr/>
      </w:pPr>
      <w:r>
        <w:rPr>
          <w:rStyle w:val="Funotenzeichen"/>
        </w:rPr>
        <w:footnoteRef/>
      </w:r>
      <w:r>
        <w:rPr/>
        <w:tab/>
        <w:t>„</w:t>
      </w:r>
      <w:r>
        <w:rPr>
          <w:i/>
        </w:rPr>
        <w:t>Talita kum!“</w:t>
      </w:r>
      <w:r>
        <w:rPr/>
        <w:t xml:space="preserve"> Aramäisch für „Mädchen, steh auf!“ </w:t>
      </w:r>
      <w:r>
        <w:rPr>
          <w:i/>
        </w:rPr>
        <w:t>Kum</w:t>
      </w:r>
      <w:r>
        <w:rPr/>
        <w:t xml:space="preserve"> (</w:t>
      </w:r>
      <w:r>
        <w:rPr>
          <w:rtl w:val="true"/>
          <w:lang w:bidi="he-IL"/>
        </w:rPr>
        <w:t>קום</w:t>
      </w:r>
      <w:r>
        <w:rPr/>
        <w:t>) ist der maskuline Imperativ.</w:t>
      </w:r>
    </w:p>
  </w:footnote>
  <w:footnote w:id="1693">
    <w:p>
      <w:pPr>
        <w:pStyle w:val="Funote"/>
        <w:rPr/>
      </w:pPr>
      <w:r>
        <w:rPr>
          <w:rStyle w:val="Funotenzeichen"/>
        </w:rPr>
        <w:footnoteRef/>
      </w:r>
      <w:r>
        <w:rPr/>
        <w:tab/>
        <w:t>begann umherzugehen Als inchoatives Imperfekt übersetzt (vgl. Guelich 1989, 303).</w:t>
      </w:r>
    </w:p>
  </w:footnote>
  <w:footnote w:id="1694">
    <w:p>
      <w:pPr>
        <w:pStyle w:val="Funote"/>
        <w:rPr/>
      </w:pPr>
      <w:r>
        <w:rPr>
          <w:rStyle w:val="Funotenzeichen"/>
        </w:rPr>
        <w:footnoteRef/>
      </w:r>
      <w:r>
        <w:rPr/>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695">
    <w:p>
      <w:pPr>
        <w:pStyle w:val="Funote"/>
        <w:rPr/>
      </w:pPr>
      <w:r>
        <w:rPr>
          <w:rStyle w:val="Funotenzeichen"/>
        </w:rPr>
        <w:footnoteRef/>
      </w:r>
      <w:r>
        <w:rPr>
          <w:i/>
        </w:rPr>
        <w:tab/>
        <w:t>unmissverständlich (mehrmals, ausdrücklich)</w:t>
      </w:r>
      <w:r>
        <w:rPr/>
        <w:t xml:space="preserve"> Das Adverb </w:t>
      </w:r>
      <w:r>
        <w:rPr>
          <w:lang w:val="el-GR"/>
        </w:rPr>
        <w:t>πολλὰ</w:t>
      </w:r>
      <w:r>
        <w:rPr/>
        <w:t xml:space="preserve"> kann man sowohl intensivierend als auch wiederholend verstehen, die meisten Übersetzungen intensivieren. Vgl. V. 23 und 38, aber auch V. 10.</w:t>
      </w:r>
    </w:p>
  </w:footnote>
  <w:footnote w:id="1696">
    <w:p>
      <w:pPr>
        <w:pStyle w:val="Funote"/>
        <w:rPr/>
      </w:pPr>
      <w:r>
        <w:rPr>
          <w:rStyle w:val="Funotenzeichen"/>
        </w:rPr>
        <w:footnoteRef/>
      </w:r>
      <w:r>
        <w:rPr>
          <w:i/>
        </w:rPr>
        <w:tab/>
        <w:t>[man solle]</w:t>
      </w:r>
      <w:r>
        <w:rPr/>
        <w:t xml:space="preserve"> Der griechische Infinitivsatz ist (dem Deutschen ganz ähnlich) final. In der gegenwärtigen Formulierung ist im Deutschen eine finale Satzeinleitung notwendig.</w:t>
      </w:r>
    </w:p>
  </w:footnote>
  <w:footnote w:id="1697">
    <w:p>
      <w:pPr>
        <w:pStyle w:val="Funote"/>
        <w:rPr/>
      </w:pPr>
      <w:r>
        <w:rPr>
          <w:rStyle w:val="Funotenzeichen"/>
        </w:rPr>
        <w:footnoteRef/>
      </w:r>
      <w:r>
        <w:rPr/>
        <w:tab/>
        <w:t>[Status: Zuverlässig]</w:t>
      </w:r>
    </w:p>
  </w:footnote>
  <w:footnote w:id="1698">
    <w:p>
      <w:pPr>
        <w:pStyle w:val="Funote"/>
        <w:rPr/>
      </w:pPr>
      <w:r>
        <w:rPr>
          <w:rStyle w:val="Funotenzeichen"/>
        </w:rPr>
        <w:footnoteRef/>
      </w:r>
      <w:r>
        <w:rPr>
          <w:i/>
        </w:rPr>
        <w:tab/>
        <w:t>Heimat</w:t>
      </w:r>
      <w:r>
        <w:rPr/>
        <w:t xml:space="preserve"> Gemeint ist Nazaret (Mk 1,9.24). Die meisten Übersetzungen spezifizieren „Heimatstadt“ oder „Vaterstadt“.</w:t>
      </w:r>
    </w:p>
  </w:footnote>
  <w:footnote w:id="1699">
    <w:p>
      <w:pPr>
        <w:pStyle w:val="Funote"/>
        <w:rPr/>
      </w:pPr>
      <w:r>
        <w:rPr>
          <w:rStyle w:val="Funotenzeichen"/>
        </w:rPr>
        <w:footnoteRef/>
      </w:r>
      <w:r>
        <w:rPr>
          <w:i/>
        </w:rPr>
        <w:tab/>
        <w:t>als … gekommen war</w:t>
      </w:r>
      <w:r>
        <w:rPr/>
        <w:t xml:space="preserve"> </w:t>
      </w:r>
      <w:hyperlink r:id="rId301">
        <w:r>
          <w:rPr>
            <w:rStyle w:val="Internetverknpfung"/>
          </w:rPr>
          <w:t>Gen. abs.</w:t>
        </w:r>
      </w:hyperlink>
      <w:r>
        <w:rPr/>
        <w:t>, als temporaler Nebensatz aufgelöst.</w:t>
      </w:r>
    </w:p>
  </w:footnote>
  <w:footnote w:id="1700">
    <w:p>
      <w:pPr>
        <w:pStyle w:val="Funote"/>
        <w:rPr/>
      </w:pPr>
      <w:r>
        <w:rPr>
          <w:rStyle w:val="Funotenzeichen"/>
        </w:rPr>
        <w:footnoteRef/>
      </w:r>
      <w:r>
        <w:rPr>
          <w:i/>
        </w:rPr>
        <w:tab/>
        <w:t>begann er, in der Synagoge zu lehren (lehrte er)</w:t>
      </w:r>
      <w:r>
        <w:rPr/>
        <w:t xml:space="preserve"> Markus benutzt „beginnen“ gerne schwach und ohne echte Funktion. Viele Übersetzungen formulieren daher wie in der Klammer. Vgl. die </w:t>
      </w:r>
      <w:r>
        <w:fldChar w:fldCharType="begin"/>
      </w:r>
      <w:r>
        <w:rPr>
          <w:rStyle w:val="Internetverknpfung"/>
        </w:rPr>
        <w:instrText> HYPERLINK "../../../../../../../../../wiki/Markus_5" \l "af"</w:instrText>
      </w:r>
      <w:r>
        <w:rPr>
          <w:rStyle w:val="Internetverknpfung"/>
        </w:rPr>
        <w:fldChar w:fldCharType="separate"/>
      </w:r>
      <w:r>
        <w:rPr>
          <w:rStyle w:val="Internetverknpfung"/>
        </w:rPr>
        <w:t>Fußnote zu 5,17</w:t>
      </w:r>
      <w:r>
        <w:rPr>
          <w:rStyle w:val="Internetverknpfung"/>
        </w:rPr>
        <w:fldChar w:fldCharType="end"/>
      </w:r>
      <w:r>
        <w:rPr/>
        <w:t>.</w:t>
      </w:r>
    </w:p>
  </w:footnote>
  <w:footnote w:id="1701">
    <w:p>
      <w:pPr>
        <w:pStyle w:val="Funote"/>
        <w:rPr/>
      </w:pPr>
      <w:r>
        <w:rPr>
          <w:rStyle w:val="Funotenzeichen"/>
        </w:rPr>
        <w:footnoteRef/>
      </w:r>
      <w:r>
        <w:rPr>
          <w:i/>
        </w:rPr>
        <w:tab/>
        <w:t>und sagten</w:t>
      </w:r>
      <w:r>
        <w:rPr/>
        <w:t xml:space="preserve"> Modales </w:t>
      </w:r>
      <w:hyperlink r:id="rId302">
        <w:r>
          <w:rPr>
            <w:rStyle w:val="Internetverknpfung"/>
          </w:rPr>
          <w:t>Ptz. conj.</w:t>
        </w:r>
      </w:hyperlink>
      <w:r>
        <w:rPr/>
        <w:t>, beigeordnet aufgelöst.</w:t>
      </w:r>
    </w:p>
  </w:footnote>
  <w:footnote w:id="1702">
    <w:p>
      <w:pPr>
        <w:pStyle w:val="Funote"/>
        <w:rPr/>
      </w:pPr>
      <w:r>
        <w:rPr>
          <w:rStyle w:val="Funotenzeichen"/>
        </w:rPr>
        <w:footnoteRef/>
      </w:r>
      <w:r>
        <w:rPr/>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703">
    <w:p>
      <w:pPr>
        <w:pStyle w:val="Funote"/>
        <w:rPr/>
      </w:pPr>
      <w:r>
        <w:rPr>
          <w:rStyle w:val="Funotenzeichen"/>
        </w:rPr>
        <w:footnoteRef/>
      </w:r>
      <w:r>
        <w:rPr/>
        <w:tab/>
        <w:t>auflegte und Modales Ptz. conj., hier mit „und“ beigeordnet. Auch möglich: „indem er ihnen die Hände auflegte“ oder „durch Handauflegen“ (MEN)</w:t>
      </w:r>
    </w:p>
  </w:footnote>
  <w:footnote w:id="1704">
    <w:p>
      <w:pPr>
        <w:pStyle w:val="Funote"/>
        <w:rPr/>
      </w:pPr>
      <w:r>
        <w:rPr>
          <w:rStyle w:val="Funotenzeichen"/>
        </w:rPr>
        <w:footnoteRef/>
      </w:r>
      <w:r>
        <w:rPr>
          <w:i/>
        </w:rPr>
        <w:tab/>
        <w:t>und lehrte</w:t>
      </w:r>
      <w:r>
        <w:rPr/>
        <w:t xml:space="preserve"> Modales </w:t>
      </w:r>
      <w:hyperlink r:id="rId303">
        <w:r>
          <w:rPr>
            <w:rStyle w:val="Internetverknpfung"/>
          </w:rPr>
          <w:t>Ptz. conj.</w:t>
        </w:r>
      </w:hyperlink>
      <w:r>
        <w:rPr/>
        <w:t>, beigeordnet aufgelöst.</w:t>
      </w:r>
    </w:p>
  </w:footnote>
  <w:footnote w:id="1705">
    <w:p>
      <w:pPr>
        <w:pStyle w:val="Funote"/>
        <w:rPr/>
      </w:pPr>
      <w:r>
        <w:rPr>
          <w:rStyle w:val="Funotenzeichen"/>
        </w:rPr>
        <w:footnoteRef/>
      </w:r>
      <w:r>
        <w:rPr/>
        <w:tab/>
        <w:t>paarweise W. „zwei zwei“. Die Formulierung war sowohl in der Volkssprache als auch in semitischen Sprachen gebräuchlich (NSS).</w:t>
      </w:r>
    </w:p>
  </w:footnote>
  <w:footnote w:id="1706">
    <w:p>
      <w:pPr>
        <w:pStyle w:val="Funote"/>
        <w:rPr/>
      </w:pPr>
      <w:r>
        <w:rPr>
          <w:rStyle w:val="Funotenzeichen"/>
        </w:rPr>
        <w:footnoteRef/>
      </w:r>
      <w:r>
        <w:rPr>
          <w:i/>
        </w:rPr>
        <w:tab/>
        <w:t>sandte aus</w:t>
      </w:r>
      <w:r>
        <w:rPr/>
        <w:t xml:space="preserve"> W. „begann auszusenden“. Dazu s. die </w:t>
      </w:r>
      <w:r>
        <w:fldChar w:fldCharType="begin"/>
      </w:r>
      <w:r>
        <w:rPr>
          <w:rStyle w:val="Internetverknpfung"/>
        </w:rPr>
        <w:instrText> HYPERLINK "../../../../../../../../../wiki/Markus_5" \l "af"</w:instrText>
      </w:r>
      <w:r>
        <w:rPr>
          <w:rStyle w:val="Internetverknpfung"/>
        </w:rPr>
        <w:fldChar w:fldCharType="separate"/>
      </w:r>
      <w:r>
        <w:rPr>
          <w:rStyle w:val="Internetverknpfung"/>
        </w:rPr>
        <w:t>Fußnote zu 5,17</w:t>
      </w:r>
      <w:r>
        <w:rPr>
          <w:rStyle w:val="Internetverknpfung"/>
        </w:rPr>
        <w:fldChar w:fldCharType="end"/>
      </w:r>
      <w:r>
        <w:rPr/>
        <w:t>. Ein ähnlicher Fall liegt auch in V. 2 vor.</w:t>
      </w:r>
    </w:p>
  </w:footnote>
  <w:footnote w:id="1707">
    <w:p>
      <w:pPr>
        <w:pStyle w:val="Funote"/>
        <w:rPr/>
      </w:pPr>
      <w:r>
        <w:rPr>
          <w:rStyle w:val="Funotenzeichen"/>
        </w:rPr>
        <w:footnoteRef/>
      </w:r>
      <w:r>
        <w:rPr>
          <w:i/>
        </w:rPr>
        <w:tab/>
        <w:t>Geld</w:t>
      </w:r>
      <w:r>
        <w:rPr/>
        <w:t xml:space="preserve"> W. „Kupfer(münze)“ (oder „Bronze(münze)“). Das Wort wird hier metonymisch für Kupfermünzen, also Kleingeld benutzt. Die Parallelstelle Mt 10,19 führt aus: „weder Gold noch Silber noch Kupfer...“ </w:t>
      </w:r>
      <w:r>
        <w:rPr>
          <w:i/>
        </w:rPr>
        <w:t>im Gürtel</w:t>
      </w:r>
      <w:r>
        <w:rPr/>
        <w:t xml:space="preserve"> Im Orient bewahrte man Geld lange in den Falten des Gürtels auf, einem breiten Tuch, das entsprechend um die Hüfte gebunden war.</w:t>
      </w:r>
    </w:p>
  </w:footnote>
  <w:footnote w:id="1708">
    <w:p>
      <w:pPr>
        <w:pStyle w:val="Funote"/>
        <w:rPr/>
      </w:pPr>
      <w:r>
        <w:rPr>
          <w:rStyle w:val="Funotenzeichen"/>
        </w:rPr>
        <w:footnoteRef/>
      </w:r>
      <w:r>
        <w:rPr/>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709">
    <w:p>
      <w:pPr>
        <w:pStyle w:val="Funote"/>
        <w:rPr/>
      </w:pPr>
      <w:r>
        <w:rPr>
          <w:rStyle w:val="Funotenzeichen"/>
        </w:rPr>
        <w:footnoteRef/>
      </w:r>
      <w:r>
        <w:rPr/>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710">
    <w:p>
      <w:pPr>
        <w:pStyle w:val="Funote"/>
        <w:rPr/>
      </w:pPr>
      <w:r>
        <w:rPr>
          <w:rStyle w:val="Funotenzeichen"/>
        </w:rPr>
        <w:footnoteRef/>
      </w:r>
      <w:r>
        <w:rPr/>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711">
    <w:p>
      <w:pPr>
        <w:pStyle w:val="Funote"/>
        <w:rPr/>
      </w:pPr>
      <w:r>
        <w:rPr>
          <w:rStyle w:val="Funotenzeichen"/>
        </w:rPr>
        <w:footnoteRef/>
      </w:r>
      <w:r>
        <w:rPr>
          <w:i/>
        </w:rPr>
        <w:tab/>
        <w:t>beim Aufbruch</w:t>
      </w:r>
      <w:r>
        <w:rPr/>
        <w:t xml:space="preserve"> bzw. </w:t>
      </w:r>
      <w:r>
        <w:rPr>
          <w:i/>
        </w:rPr>
        <w:t>geht von dort weg und</w:t>
      </w:r>
      <w:r>
        <w:rPr/>
        <w:t xml:space="preserve"> Modales </w:t>
      </w:r>
      <w:hyperlink r:id="rId304">
        <w:r>
          <w:rPr>
            <w:rStyle w:val="Internetverknpfung"/>
          </w:rPr>
          <w:t>Ptz. conj.</w:t>
        </w:r>
      </w:hyperlink>
      <w:r>
        <w:rPr/>
        <w:t>, als Präpositionalphrase (bzw. beigeordnete Konstruktion) übersetzt.</w:t>
      </w:r>
    </w:p>
  </w:footnote>
  <w:footnote w:id="1712">
    <w:p>
      <w:pPr>
        <w:pStyle w:val="Funote"/>
        <w:rPr/>
      </w:pPr>
      <w:r>
        <w:rPr>
          <w:rStyle w:val="Funotenzeichen"/>
        </w:rPr>
        <w:footnoteRef/>
      </w:r>
      <w:r>
        <w:rPr/>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713">
    <w:p>
      <w:pPr>
        <w:pStyle w:val="Funote"/>
        <w:rPr/>
      </w:pPr>
      <w:r>
        <w:rPr>
          <w:rStyle w:val="Funotenzeichen"/>
        </w:rPr>
        <w:footnoteRef/>
      </w:r>
      <w:r>
        <w:rPr/>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714">
    <w:p>
      <w:pPr>
        <w:pStyle w:val="Funote"/>
        <w:rPr/>
      </w:pPr>
      <w:r>
        <w:rPr>
          <w:rStyle w:val="Funotenzeichen"/>
        </w:rPr>
        <w:footnoteRef/>
      </w:r>
      <w:r>
        <w:rPr>
          <w:i/>
        </w:rPr>
        <w:tab/>
        <w:t>machten sich auf den Weg</w:t>
      </w:r>
      <w:r>
        <w:rPr/>
        <w:t xml:space="preserve"> Modal-temporales </w:t>
      </w:r>
      <w:hyperlink r:id="rId305">
        <w:r>
          <w:rPr>
            <w:rStyle w:val="Internetverknpfung"/>
          </w:rPr>
          <w:t>Ptz. conj.</w:t>
        </w:r>
      </w:hyperlink>
      <w:r>
        <w:rPr/>
        <w:t>, beigeordnet aufgelöst.</w:t>
      </w:r>
    </w:p>
  </w:footnote>
  <w:footnote w:id="1715">
    <w:p>
      <w:pPr>
        <w:pStyle w:val="Funote"/>
        <w:rPr/>
      </w:pPr>
      <w:r>
        <w:rPr>
          <w:rStyle w:val="Funotenzeichen"/>
        </w:rPr>
        <w:footnoteRef/>
      </w:r>
      <w:r>
        <w:rPr/>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716">
    <w:p>
      <w:pPr>
        <w:pStyle w:val="Funote"/>
        <w:rPr/>
      </w:pPr>
      <w:r>
        <w:rPr>
          <w:rStyle w:val="Funotenzeichen"/>
        </w:rPr>
        <w:footnoteRef/>
      </w:r>
      <w:r>
        <w:rPr/>
        <w:tab/>
        <w:t>meinten Das Imperfekt leitet hier die (vielfach geäußerte) öffentliche Meinung ein. In V. 15 sind dagegen mit Aor. offenbar spezifische Einzelaussagen zu hören. ZÜR: „es hieß“+indirekte Rede.</w:t>
      </w:r>
    </w:p>
  </w:footnote>
  <w:footnote w:id="1717">
    <w:p>
      <w:pPr>
        <w:pStyle w:val="Funote"/>
        <w:rPr/>
      </w:pPr>
      <w:r>
        <w:rPr>
          <w:rStyle w:val="Funotenzeichen"/>
        </w:rPr>
        <w:footnoteRef/>
      </w:r>
      <w:r>
        <w:rPr>
          <w:i/>
        </w:rPr>
        <w:tab/>
        <w:t>Das erklärt, warum</w:t>
      </w:r>
      <w:r>
        <w:rPr/>
        <w:t xml:space="preserve"> W. „und aus diesem Grund/deshalb“</w:t>
      </w:r>
    </w:p>
  </w:footnote>
  <w:footnote w:id="1718">
    <w:p>
      <w:pPr>
        <w:pStyle w:val="Funote"/>
        <w:rPr/>
      </w:pPr>
      <w:r>
        <w:rPr>
          <w:rStyle w:val="Funotenzeichen"/>
        </w:rPr>
        <w:footnoteRef/>
      </w:r>
      <w:r>
        <w:rPr/>
        <w:tab/>
        <w:t>Elija Die Rückkehr des im Alten Testament entrückten Propheten wurde aufgrund von Mal 3,23-24 zu Jesu Zeit vielfach erwartet (France 2002, 253).</w:t>
      </w:r>
    </w:p>
  </w:footnote>
  <w:footnote w:id="1719">
    <w:p>
      <w:pPr>
        <w:pStyle w:val="Funote"/>
        <w:rPr/>
      </w:pPr>
      <w:r>
        <w:rPr>
          <w:rStyle w:val="Funotenzeichen"/>
        </w:rPr>
        <w:footnoteRef/>
      </w:r>
      <w:r>
        <w:rPr>
          <w:i/>
        </w:rPr>
        <w:tab/>
        <w:t>Als … hörte</w:t>
      </w:r>
      <w:r>
        <w:rPr/>
        <w:t xml:space="preserve"> </w:t>
      </w:r>
      <w:hyperlink r:id="rId306">
        <w:r>
          <w:rPr>
            <w:rStyle w:val="Internetverknpfung"/>
          </w:rPr>
          <w:t>Ptz. conj.</w:t>
        </w:r>
      </w:hyperlink>
      <w:r>
        <w:rPr/>
        <w:t>, als temporaler Nebensatz aufgelöst.</w:t>
      </w:r>
    </w:p>
  </w:footnote>
  <w:footnote w:id="1720">
    <w:p>
      <w:pPr>
        <w:pStyle w:val="Funote"/>
        <w:rPr/>
      </w:pPr>
      <w:r>
        <w:rPr>
          <w:rStyle w:val="Funotenzeichen"/>
        </w:rPr>
        <w:footnoteRef/>
      </w:r>
      <w:r>
        <w:rPr/>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721">
    <w:p>
      <w:pPr>
        <w:pStyle w:val="Funote"/>
        <w:rPr/>
      </w:pPr>
      <w:r>
        <w:rPr>
          <w:rStyle w:val="Funotenzeichen"/>
        </w:rPr>
        <w:footnoteRef/>
      </w:r>
      <w:r>
        <w:rPr/>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722">
    <w:p>
      <w:pPr>
        <w:pStyle w:val="Funote"/>
        <w:rPr/>
      </w:pPr>
      <w:r>
        <w:rPr>
          <w:rStyle w:val="Funotenzeichen"/>
        </w:rPr>
        <w:footnoteRef/>
      </w:r>
      <w:r>
        <w:rPr/>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723">
    <w:p>
      <w:pPr>
        <w:pStyle w:val="Funote"/>
        <w:rPr/>
      </w:pPr>
      <w:r>
        <w:rPr>
          <w:rStyle w:val="Funotenzeichen"/>
        </w:rPr>
        <w:footnoteRef/>
      </w:r>
      <w:r>
        <w:rPr/>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724">
    <w:p>
      <w:pPr>
        <w:pStyle w:val="Funote"/>
        <w:rPr/>
      </w:pPr>
      <w:r>
        <w:rPr>
          <w:rStyle w:val="Funotenzeichen"/>
        </w:rPr>
        <w:footnoteRef/>
      </w:r>
      <w:r>
        <w:rPr/>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725">
    <w:p>
      <w:pPr>
        <w:pStyle w:val="Funote"/>
        <w:rPr/>
      </w:pPr>
      <w:r>
        <w:rPr>
          <w:rStyle w:val="Funotenzeichen"/>
        </w:rPr>
        <w:footnoteRef/>
      </w:r>
      <w:r>
        <w:rPr>
          <w:i/>
        </w:rPr>
        <w:tab/>
        <w:t>plante (wollte)</w:t>
      </w:r>
      <w:r>
        <w:rPr/>
        <w:t xml:space="preserve"> „wollen“ im durativen </w:t>
      </w:r>
      <w:hyperlink r:id="rId307">
        <w:r>
          <w:rPr>
            <w:rStyle w:val="Internetverknpfung"/>
          </w:rPr>
          <w:t>Imperfekt</w:t>
        </w:r>
      </w:hyperlink>
      <w:r>
        <w:rPr/>
        <w:t xml:space="preserve"> ist „über einen längeren Zeitraum wollen“ → „planen“.</w:t>
      </w:r>
    </w:p>
  </w:footnote>
  <w:footnote w:id="1726">
    <w:p>
      <w:pPr>
        <w:pStyle w:val="Funote"/>
        <w:rPr/>
      </w:pPr>
      <w:r>
        <w:rPr>
          <w:rStyle w:val="Funotenzeichen"/>
        </w:rPr>
        <w:footnoteRef/>
      </w:r>
      <w:r>
        <w:rPr/>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727">
    <w:p>
      <w:pPr>
        <w:pStyle w:val="Funote"/>
        <w:rPr/>
      </w:pPr>
      <w:r>
        <w:rPr>
          <w:rStyle w:val="Funotenzeichen"/>
        </w:rPr>
        <w:footnoteRef/>
      </w:r>
      <w:r>
        <w:rPr/>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728">
    <w:p>
      <w:pPr>
        <w:pStyle w:val="Funote"/>
        <w:rPr/>
      </w:pPr>
      <w:r>
        <w:rPr>
          <w:rStyle w:val="Funotenzeichen"/>
        </w:rPr>
        <w:footnoteRef/>
      </w:r>
      <w:r>
        <w:rPr/>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729">
    <w:p>
      <w:pPr>
        <w:pStyle w:val="Funote"/>
        <w:rPr/>
      </w:pPr>
      <w:r>
        <w:rPr>
          <w:rStyle w:val="Funotenzeichen"/>
        </w:rPr>
        <w:footnoteRef/>
      </w:r>
      <w:r>
        <w:rPr>
          <w:i/>
        </w:rPr>
        <w:tab/>
        <w:t>wenn er ihm zuhörte</w:t>
      </w:r>
      <w:r>
        <w:rPr/>
        <w:t xml:space="preserve"> Temporales </w:t>
      </w:r>
      <w:hyperlink r:id="rId308">
        <w:r>
          <w:rPr>
            <w:rStyle w:val="Internetverknpfung"/>
          </w:rPr>
          <w:t>Ptz. conj.</w:t>
        </w:r>
      </w:hyperlink>
      <w:r>
        <w:rPr/>
        <w:t>, als Nebensatz aufgelöst. Die Klammer übersetzt vorzeitig, Sinn wäre „nach dem Zuhören“.</w:t>
      </w:r>
    </w:p>
  </w:footnote>
  <w:footnote w:id="1730">
    <w:p>
      <w:pPr>
        <w:pStyle w:val="Funote"/>
        <w:rPr/>
      </w:pPr>
      <w:r>
        <w:rPr>
          <w:rStyle w:val="Funotenzeichen"/>
        </w:rPr>
        <w:footnoteRef/>
      </w:r>
      <w:r>
        <w:rPr/>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731">
    <w:p>
      <w:pPr>
        <w:pStyle w:val="Funote"/>
        <w:rPr/>
      </w:pPr>
      <w:r>
        <w:rPr>
          <w:rStyle w:val="Funotenzeichen"/>
        </w:rPr>
        <w:footnoteRef/>
      </w:r>
      <w:r>
        <w:rPr>
          <w:i/>
        </w:rPr>
        <w:tab/>
        <w:t>als ein günstiger Zeitpunkt kam</w:t>
      </w:r>
      <w:r>
        <w:rPr/>
        <w:t xml:space="preserve"> </w:t>
      </w:r>
      <w:hyperlink r:id="rId309">
        <w:r>
          <w:rPr>
            <w:rStyle w:val="Internetverknpfung"/>
          </w:rPr>
          <w:t>Gen. abs.</w:t>
        </w:r>
      </w:hyperlink>
      <w:r>
        <w:rPr/>
        <w:t>, temporal als Nebensatz aufgelöst. Der Hauptsatz kommt erst in V. 22.</w:t>
      </w:r>
    </w:p>
  </w:footnote>
  <w:footnote w:id="1732">
    <w:p>
      <w:pPr>
        <w:pStyle w:val="Funote"/>
        <w:rPr/>
      </w:pPr>
      <w:r>
        <w:rPr>
          <w:rStyle w:val="Funotenzeichen"/>
        </w:rPr>
        <w:footnoteRef/>
      </w:r>
      <w:r>
        <w:rPr>
          <w:i/>
        </w:rPr>
        <w:tab/>
        <w:t>[anlässlich] seines Geburtstages</w:t>
      </w:r>
      <w:r>
        <w:rPr/>
        <w:t xml:space="preserve"> </w:t>
      </w:r>
      <w:hyperlink r:id="rId310">
        <w:r>
          <w:rPr>
            <w:rStyle w:val="Internetverknpfung"/>
          </w:rPr>
          <w:t>Temporaler Dativ</w:t>
        </w:r>
      </w:hyperlink>
      <w:r>
        <w:rPr/>
        <w:t>.</w:t>
      </w:r>
    </w:p>
  </w:footnote>
  <w:footnote w:id="1733">
    <w:p>
      <w:pPr>
        <w:pStyle w:val="Funote"/>
        <w:rPr/>
      </w:pPr>
      <w:r>
        <w:rPr>
          <w:rStyle w:val="Funotenzeichen"/>
        </w:rPr>
        <w:footnoteRef/>
      </w:r>
      <w:r>
        <w:rPr>
          <w:i/>
        </w:rPr>
        <w:tab/>
        <w:t>Galiläas angesehenste Bürger</w:t>
      </w:r>
      <w:r>
        <w:rPr/>
        <w:t xml:space="preserve"> W. „die Ersten Galiläas“</w:t>
      </w:r>
    </w:p>
  </w:footnote>
  <w:footnote w:id="1734">
    <w:p>
      <w:pPr>
        <w:pStyle w:val="Funote"/>
        <w:rPr/>
      </w:pPr>
      <w:r>
        <w:rPr>
          <w:rStyle w:val="Funotenzeichen"/>
        </w:rPr>
        <w:footnoteRef/>
      </w:r>
      <w:r>
        <w:rPr/>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735">
    <w:p>
      <w:pPr>
        <w:pStyle w:val="Funote"/>
        <w:rPr/>
      </w:pPr>
      <w:r>
        <w:rPr>
          <w:rStyle w:val="Funotenzeichen"/>
        </w:rPr>
        <w:footnoteRef/>
      </w:r>
      <w:r>
        <w:rPr>
          <w:i/>
        </w:rPr>
        <w:tab/>
        <w:t>als … hereinkam und tanzte</w:t>
      </w:r>
      <w:r>
        <w:rPr/>
        <w:t xml:space="preserve"> </w:t>
      </w:r>
      <w:hyperlink r:id="rId311">
        <w:r>
          <w:rPr>
            <w:rStyle w:val="Internetverknpfung"/>
          </w:rPr>
          <w:t>Gen. abs.</w:t>
        </w:r>
      </w:hyperlink>
      <w:r>
        <w:rPr/>
        <w:t>, als temporaler Nebensatz aufgelöst. Nach der generellen Zeitangabe (V. 21) bildet dieser Gen. abs. nun die spezifische. Als Herodes' Aufforderung kam, wusste Herodias, dass dies der „günstige Tag“ (V. 21) war.</w:t>
      </w:r>
    </w:p>
  </w:footnote>
  <w:footnote w:id="1736">
    <w:p>
      <w:pPr>
        <w:pStyle w:val="Funote"/>
        <w:rPr/>
      </w:pPr>
      <w:r>
        <w:rPr>
          <w:rStyle w:val="Funotenzeichen"/>
        </w:rPr>
        <w:footnoteRef/>
      </w:r>
      <w:r>
        <w:rPr/>
        <w:tab/>
        <w:t>seinen Tischgästen (denen, die mit [ihm] aßen/[zu Tisch] lagen) Die meisten deutschen Übersetzungen übertragen das subst. Ptz. einfach als „seine Gäste“. Wie LUT, ELB kann man es auch als Relativsatz auflösen.</w:t>
      </w:r>
    </w:p>
  </w:footnote>
  <w:footnote w:id="1737">
    <w:p>
      <w:pPr>
        <w:pStyle w:val="Funote"/>
        <w:rPr/>
      </w:pPr>
      <w:r>
        <w:rPr>
          <w:rStyle w:val="Funotenzeichen"/>
        </w:rPr>
        <w:footnoteRef/>
      </w:r>
      <w:r>
        <w:rPr/>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738">
    <w:p>
      <w:pPr>
        <w:pStyle w:val="Funote"/>
        <w:rPr/>
      </w:pPr>
      <w:r>
        <w:rPr>
          <w:rStyle w:val="Funotenzeichen"/>
        </w:rPr>
        <w:footnoteRef/>
      </w:r>
      <w:r>
        <w:rPr>
          <w:i/>
        </w:rPr>
        <w:tab/>
        <w:t>schwor ihr mehrmals/eindringlich</w:t>
      </w:r>
      <w:r>
        <w:rPr/>
        <w:t xml:space="preserve">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739">
    <w:p>
      <w:pPr>
        <w:pStyle w:val="Funote"/>
        <w:rPr/>
      </w:pPr>
      <w:r>
        <w:rPr>
          <w:rStyle w:val="Funotenzeichen"/>
        </w:rPr>
        <w:footnoteRef/>
      </w:r>
      <w:r>
        <w:rPr>
          <w:i/>
        </w:rPr>
        <w:tab/>
        <w:t>ging hinaus und</w:t>
      </w:r>
      <w:r>
        <w:rPr/>
        <w:t xml:space="preserve"> Modal-temporales </w:t>
      </w:r>
      <w:hyperlink r:id="rId312">
        <w:r>
          <w:rPr>
            <w:rStyle w:val="Internetverknpfung"/>
          </w:rPr>
          <w:t>beschreibendes Partizip</w:t>
        </w:r>
      </w:hyperlink>
      <w:r>
        <w:rPr/>
        <w:t xml:space="preserve"> Aor., mit „und“-Kombination übersetzt.</w:t>
      </w:r>
    </w:p>
  </w:footnote>
  <w:footnote w:id="1740">
    <w:p>
      <w:pPr>
        <w:pStyle w:val="Funote"/>
        <w:rPr/>
      </w:pPr>
      <w:r>
        <w:rPr>
          <w:rStyle w:val="Funotenzeichen"/>
        </w:rPr>
        <w:footnoteRef/>
      </w:r>
      <w:r>
        <w:rPr>
          <w:i/>
        </w:rPr>
        <w:tab/>
        <w:t>eilig</w:t>
      </w:r>
      <w:r>
        <w:rPr/>
        <w:t xml:space="preserve"> W. „mit Eile“</w:t>
      </w:r>
    </w:p>
  </w:footnote>
  <w:footnote w:id="1741">
    <w:p>
      <w:pPr>
        <w:pStyle w:val="Funote"/>
        <w:rPr/>
      </w:pPr>
      <w:r>
        <w:rPr>
          <w:rStyle w:val="Funotenzeichen"/>
        </w:rPr>
        <w:footnoteRef/>
      </w:r>
      <w:r>
        <w:rPr>
          <w:i/>
        </w:rPr>
        <w:tab/>
        <w:t>ging … hinein und</w:t>
      </w:r>
      <w:r>
        <w:rPr/>
        <w:t xml:space="preserve"> Modal-temporales </w:t>
      </w:r>
      <w:hyperlink r:id="rId313">
        <w:r>
          <w:rPr>
            <w:rStyle w:val="Internetverknpfung"/>
          </w:rPr>
          <w:t>beschreibendes Partizip</w:t>
        </w:r>
      </w:hyperlink>
      <w:r>
        <w:rPr/>
        <w:t xml:space="preserve"> Aor., mit „und“-Kombination übersetzt.</w:t>
      </w:r>
    </w:p>
  </w:footnote>
  <w:footnote w:id="1742">
    <w:p>
      <w:pPr>
        <w:pStyle w:val="Funote"/>
        <w:rPr/>
      </w:pPr>
      <w:r>
        <w:rPr>
          <w:rStyle w:val="Funotenzeichen"/>
        </w:rPr>
        <w:footnoteRef/>
      </w:r>
      <w:r>
        <w:rPr>
          <w:i/>
        </w:rPr>
        <w:tab/>
        <w:t>wurde sehr traurig</w:t>
      </w:r>
      <w:r>
        <w:rPr/>
        <w:t xml:space="preserve"> Konzessives </w:t>
      </w:r>
      <w:hyperlink r:id="rId314">
        <w:r>
          <w:rPr>
            <w:rStyle w:val="Internetverknpfung"/>
          </w:rPr>
          <w:t>Ptz. conj.</w:t>
        </w:r>
      </w:hyperlink>
      <w:r>
        <w:rPr/>
        <w:t>., als gleichgeordneter Hauptsatz mit folgendem „aber“ aufgelöst.</w:t>
      </w:r>
    </w:p>
  </w:footnote>
  <w:footnote w:id="1743">
    <w:p>
      <w:pPr>
        <w:pStyle w:val="Funote"/>
        <w:rPr/>
      </w:pPr>
      <w:r>
        <w:rPr>
          <w:rStyle w:val="Funotenzeichen"/>
        </w:rPr>
        <w:footnoteRef/>
      </w:r>
      <w:r>
        <w:rPr/>
        <w:tab/>
        <w:t>der Gäste ([zu Tisch] Liegenden) Die meisten deutschen Übersetzungen übertragen das subst. Ptz. einfach als „seine Gäste“. Wie LUT, ELB kann man es auch als Relativsatz auflösen. Vgl. 22.</w:t>
      </w:r>
    </w:p>
  </w:footnote>
  <w:footnote w:id="1744">
    <w:p>
      <w:pPr>
        <w:pStyle w:val="Funote"/>
        <w:rPr/>
      </w:pPr>
      <w:r>
        <w:rPr>
          <w:rStyle w:val="Funotenzeichen"/>
        </w:rPr>
        <w:footnoteRef/>
      </w:r>
      <w:r>
        <w:rPr>
          <w:i/>
        </w:rPr>
        <w:tab/>
        <w:t>Also</w:t>
      </w:r>
      <w:r>
        <w:rPr/>
        <w:t xml:space="preserve">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745">
    <w:p>
      <w:pPr>
        <w:pStyle w:val="Funote"/>
        <w:rPr/>
      </w:pPr>
      <w:r>
        <w:rPr>
          <w:rStyle w:val="Funotenzeichen"/>
        </w:rPr>
        <w:footnoteRef/>
      </w:r>
      <w:r>
        <w:rPr>
          <w:i/>
        </w:rPr>
        <w:tab/>
        <w:t>schickte … und</w:t>
      </w:r>
      <w:r>
        <w:rPr/>
        <w:t xml:space="preserve"> Modal-temporales </w:t>
      </w:r>
      <w:hyperlink r:id="rId315">
        <w:r>
          <w:rPr>
            <w:rStyle w:val="Internetverknpfung"/>
          </w:rPr>
          <w:t>Ptz. conj.</w:t>
        </w:r>
      </w:hyperlink>
      <w:r>
        <w:rPr/>
        <w:t>, mit „und“-Kombination übersetzt.</w:t>
      </w:r>
    </w:p>
  </w:footnote>
  <w:footnote w:id="1746">
    <w:p>
      <w:pPr>
        <w:pStyle w:val="Funote"/>
        <w:rPr/>
      </w:pPr>
      <w:r>
        <w:rPr>
          <w:rStyle w:val="Funotenzeichen"/>
        </w:rPr>
        <w:footnoteRef/>
      </w:r>
      <w:r>
        <w:rPr>
          <w:i/>
        </w:rPr>
        <w:tab/>
        <w:t>als … erfuhren</w:t>
      </w:r>
      <w:r>
        <w:rPr/>
        <w:t xml:space="preserve"> Temporales </w:t>
      </w:r>
      <w:hyperlink r:id="rId316">
        <w:r>
          <w:rPr>
            <w:rStyle w:val="Internetverknpfung"/>
          </w:rPr>
          <w:t>Ptz. conj.</w:t>
        </w:r>
      </w:hyperlink>
      <w:r>
        <w:rPr/>
        <w:t>, als Nebensatz aufgelöst.</w:t>
      </w:r>
    </w:p>
  </w:footnote>
  <w:footnote w:id="1747">
    <w:p>
      <w:pPr>
        <w:pStyle w:val="Funote"/>
        <w:rPr/>
      </w:pPr>
      <w:r>
        <w:rPr>
          <w:rStyle w:val="Funotenzeichen"/>
        </w:rPr>
        <w:footnoteRef/>
      </w:r>
      <w:r>
        <w:rPr/>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748">
    <w:p>
      <w:pPr>
        <w:pStyle w:val="Funote"/>
        <w:rPr/>
      </w:pPr>
      <w:r>
        <w:rPr>
          <w:rStyle w:val="Funotenzeichen"/>
        </w:rPr>
        <w:footnoteRef/>
      </w:r>
      <w:r>
        <w:rPr/>
        <w:tab/>
        <w:t>ganz allein NSS schlägt (wie es auch andere Übersetzungen verstehen) die sinngemäß wohl richtige Übersetzung „um für sich allein zu sein“ vor.</w:t>
      </w:r>
    </w:p>
  </w:footnote>
  <w:footnote w:id="1749">
    <w:p>
      <w:pPr>
        <w:pStyle w:val="Funote"/>
        <w:rPr/>
      </w:pPr>
      <w:r>
        <w:rPr>
          <w:rStyle w:val="Funotenzeichen"/>
        </w:rPr>
        <w:footnoteRef/>
      </w:r>
      <w:r>
        <w:rPr/>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750">
    <w:p>
      <w:pPr>
        <w:pStyle w:val="Funote"/>
        <w:rPr/>
      </w:pPr>
      <w:r>
        <w:rPr>
          <w:rStyle w:val="Funotenzeichen"/>
        </w:rPr>
        <w:footnoteRef/>
      </w:r>
      <w:r>
        <w:rPr>
          <w:i/>
        </w:rPr>
        <w:tab/>
        <w:t>an ihrem Zielort</w:t>
      </w:r>
      <w:r>
        <w:rPr/>
        <w:t xml:space="preserve"> Sinngemäße Wiedergabe von </w:t>
      </w:r>
      <w:r>
        <w:rPr>
          <w:i/>
        </w:rPr>
        <w:t>dort</w:t>
      </w:r>
      <w:r>
        <w:rPr/>
        <w:t>.</w:t>
      </w:r>
    </w:p>
  </w:footnote>
  <w:footnote w:id="1751">
    <w:p>
      <w:pPr>
        <w:pStyle w:val="Funote"/>
        <w:rPr/>
      </w:pPr>
      <w:r>
        <w:rPr>
          <w:rStyle w:val="Funotenzeichen"/>
        </w:rPr>
        <w:footnoteRef/>
      </w:r>
      <w:r>
        <w:rPr>
          <w:i/>
        </w:rPr>
        <w:tab/>
        <w:t>als er ausstieg</w:t>
      </w:r>
      <w:r>
        <w:rPr/>
        <w:t xml:space="preserve"> </w:t>
      </w:r>
      <w:hyperlink r:id="rId317">
        <w:r>
          <w:rPr>
            <w:rStyle w:val="Internetverknpfung"/>
          </w:rPr>
          <w:t>Ptz. conj.</w:t>
        </w:r>
      </w:hyperlink>
      <w:r>
        <w:rPr/>
        <w:t>, als temporaler Nebensatz aufgelöst.</w:t>
      </w:r>
    </w:p>
  </w:footnote>
  <w:footnote w:id="1752">
    <w:p>
      <w:pPr>
        <w:pStyle w:val="Funote"/>
        <w:rPr/>
      </w:pPr>
      <w:r>
        <w:rPr>
          <w:rStyle w:val="Funotenzeichen"/>
        </w:rPr>
        <w:footnoteRef/>
      </w:r>
      <w:r>
        <w:rPr/>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753">
    <w:p>
      <w:pPr>
        <w:pStyle w:val="Funote"/>
        <w:rPr/>
      </w:pPr>
      <w:r>
        <w:rPr>
          <w:rStyle w:val="Funotenzeichen"/>
        </w:rPr>
        <w:footnoteRef/>
      </w:r>
      <w:r>
        <w:rPr/>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754">
    <w:p>
      <w:pPr>
        <w:pStyle w:val="Funote"/>
        <w:rPr/>
      </w:pPr>
      <w:r>
        <w:rPr>
          <w:rStyle w:val="Funotenzeichen"/>
        </w:rPr>
        <w:footnoteRef/>
      </w:r>
      <w:r>
        <w:rPr>
          <w:i/>
        </w:rPr>
        <w:tab/>
        <w:t>kamen … zu ihm und</w:t>
      </w:r>
      <w:r>
        <w:rPr/>
        <w:t xml:space="preserve"> Temp. </w:t>
      </w:r>
      <w:hyperlink r:id="rId318">
        <w:r>
          <w:rPr>
            <w:rStyle w:val="Internetverknpfung"/>
          </w:rPr>
          <w:t>Ptz. conj.</w:t>
        </w:r>
      </w:hyperlink>
      <w:r>
        <w:rPr/>
        <w:t>, parataktisch aufgelöst.</w:t>
      </w:r>
    </w:p>
  </w:footnote>
  <w:footnote w:id="1755">
    <w:p>
      <w:pPr>
        <w:pStyle w:val="Funote"/>
        <w:rPr/>
      </w:pPr>
      <w:r>
        <w:rPr>
          <w:rStyle w:val="Funotenzeichen"/>
        </w:rPr>
        <w:footnoteRef/>
      </w:r>
      <w:r>
        <w:rPr/>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756">
    <w:p>
      <w:pPr>
        <w:pStyle w:val="Funote"/>
        <w:rPr/>
      </w:pPr>
      <w:r>
        <w:rPr>
          <w:rStyle w:val="Funotenzeichen"/>
        </w:rPr>
        <w:footnoteRef/>
      </w:r>
      <w:r>
        <w:rPr>
          <w:i/>
        </w:rPr>
        <w:tab/>
        <w:t>gehen und</w:t>
      </w:r>
      <w:r>
        <w:rPr/>
        <w:t xml:space="preserve"> W. „weggehen und“ </w:t>
      </w:r>
      <w:hyperlink r:id="rId319">
        <w:r>
          <w:rPr>
            <w:rStyle w:val="Internetverknpfung"/>
          </w:rPr>
          <w:t>Beschreibendes Partizip</w:t>
        </w:r>
      </w:hyperlink>
      <w:r>
        <w:rPr/>
        <w:t>, beigeordnet aufgelöst.</w:t>
      </w:r>
    </w:p>
  </w:footnote>
  <w:footnote w:id="1757">
    <w:p>
      <w:pPr>
        <w:pStyle w:val="Funote"/>
        <w:rPr/>
      </w:pPr>
      <w:r>
        <w:rPr>
          <w:rStyle w:val="Funotenzeichen"/>
        </w:rPr>
        <w:footnoteRef/>
      </w:r>
      <w:r>
        <w:rPr>
          <w:i/>
        </w:rPr>
        <w:tab/>
        <w:t>antwortete {und sagte}</w:t>
      </w:r>
      <w:r>
        <w:rPr/>
        <w:t xml:space="preserve"> W. etwa „antwortend sagte er...“ Diese pleonastische Verbindung geben wir aus stilistischen Gründen mit nur einem Verb wieder. </w:t>
      </w:r>
      <w:r>
        <w:rPr>
          <w:i/>
        </w:rPr>
        <w:t>antwortete</w:t>
      </w:r>
      <w:r>
        <w:rPr/>
        <w:t xml:space="preserve"> Mod. </w:t>
      </w:r>
      <w:hyperlink r:id="rId320">
        <w:r>
          <w:rPr>
            <w:rStyle w:val="Internetverknpfung"/>
          </w:rPr>
          <w:t>Ptz. conj.</w:t>
        </w:r>
      </w:hyperlink>
      <w:r>
        <w:rPr/>
        <w:t>.</w:t>
      </w:r>
    </w:p>
  </w:footnote>
  <w:footnote w:id="1758">
    <w:p>
      <w:pPr>
        <w:pStyle w:val="Funote"/>
        <w:rPr/>
      </w:pPr>
      <w:r>
        <w:rPr>
          <w:rStyle w:val="Funotenzeichen"/>
        </w:rPr>
        <w:footnoteRef/>
      </w:r>
      <w:r>
        <w:rPr/>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759">
    <w:p>
      <w:pPr>
        <w:pStyle w:val="Funote"/>
        <w:rPr/>
      </w:pPr>
      <w:r>
        <w:rPr>
          <w:rStyle w:val="Funotenzeichen"/>
        </w:rPr>
        <w:footnoteRef/>
      </w:r>
      <w:r>
        <w:rPr/>
        <w:tab/>
        <w:t>[für] zweihundert Denare Genitiv des Preises. Ein Denar entsprach einem Tagelohn (Guelich 1989, 341).</w:t>
      </w:r>
    </w:p>
  </w:footnote>
  <w:footnote w:id="1760">
    <w:p>
      <w:pPr>
        <w:pStyle w:val="Funote"/>
        <w:rPr/>
      </w:pPr>
      <w:r>
        <w:rPr>
          <w:rStyle w:val="Funotenzeichen"/>
        </w:rPr>
        <w:footnoteRef/>
      </w:r>
      <w:r>
        <w:rPr>
          <w:i/>
        </w:rPr>
        <w:tab/>
        <w:t>nachdem sie [es] festgestellt hatten</w:t>
      </w:r>
      <w:r>
        <w:rPr/>
        <w:t xml:space="preserve"> </w:t>
      </w:r>
      <w:hyperlink r:id="rId321">
        <w:r>
          <w:rPr>
            <w:rStyle w:val="Internetverknpfung"/>
          </w:rPr>
          <w:t>Ptz. conj.</w:t>
        </w:r>
      </w:hyperlink>
      <w:r>
        <w:rPr/>
        <w:t xml:space="preserve"> Aor., temporal-vorzeitig als Nebensatz aufgelöst. Oder: „sie stellten es fest und“</w:t>
      </w:r>
    </w:p>
  </w:footnote>
  <w:footnote w:id="1761">
    <w:p>
      <w:pPr>
        <w:pStyle w:val="Funote"/>
        <w:rPr/>
      </w:pPr>
      <w:r>
        <w:rPr>
          <w:rStyle w:val="Funotenzeichen"/>
        </w:rPr>
        <w:footnoteRef/>
      </w:r>
      <w:r>
        <w:rPr/>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762">
    <w:p>
      <w:pPr>
        <w:pStyle w:val="Funote"/>
        <w:rPr/>
      </w:pPr>
      <w:r>
        <w:rPr>
          <w:rStyle w:val="Funotenzeichen"/>
        </w:rPr>
        <w:footnoteRef/>
      </w:r>
      <w:r>
        <w:rPr/>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763">
    <w:p>
      <w:pPr>
        <w:pStyle w:val="Funote"/>
        <w:rPr/>
      </w:pPr>
      <w:r>
        <w:rPr>
          <w:rStyle w:val="Funotenzeichen"/>
        </w:rPr>
        <w:footnoteRef/>
      </w:r>
      <w:r>
        <w:rPr/>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764">
    <w:p>
      <w:pPr>
        <w:pStyle w:val="Funote"/>
        <w:rPr/>
      </w:pPr>
      <w:r>
        <w:rPr>
          <w:rStyle w:val="Funotenzeichen"/>
        </w:rPr>
        <w:footnoteRef/>
      </w:r>
      <w:r>
        <w:rPr>
          <w:i/>
        </w:rPr>
        <w:tab/>
        <w:t>er nahm</w:t>
      </w:r>
      <w:r>
        <w:rPr/>
        <w:t xml:space="preserve"> und </w:t>
      </w:r>
      <w:r>
        <w:rPr>
          <w:i/>
        </w:rPr>
        <w:t>blickte auf</w:t>
      </w:r>
      <w:r>
        <w:rPr/>
        <w:t xml:space="preserve"> Modal-temporales </w:t>
      </w:r>
      <w:hyperlink r:id="rId322">
        <w:r>
          <w:rPr>
            <w:rStyle w:val="Internetverknpfung"/>
          </w:rPr>
          <w:t>Ptz. conj.</w:t>
        </w:r>
      </w:hyperlink>
      <w:r>
        <w:rPr/>
        <w:t xml:space="preserve"> (2x), beigeordnet übersetzt.</w:t>
      </w:r>
    </w:p>
  </w:footnote>
  <w:footnote w:id="1765">
    <w:p>
      <w:pPr>
        <w:pStyle w:val="Funote"/>
        <w:rPr/>
      </w:pPr>
      <w:r>
        <w:rPr>
          <w:rStyle w:val="Funotenzeichen"/>
        </w:rPr>
        <w:footnoteRef/>
      </w:r>
      <w:r>
        <w:rPr/>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766">
    <w:p>
      <w:pPr>
        <w:pStyle w:val="Funote"/>
        <w:rPr/>
      </w:pPr>
      <w:r>
        <w:rPr>
          <w:rStyle w:val="Funotenzeichen"/>
        </w:rPr>
        <w:footnoteRef/>
      </w:r>
      <w:r>
        <w:rPr/>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767">
    <w:p>
      <w:pPr>
        <w:pStyle w:val="Funote"/>
        <w:rPr/>
      </w:pPr>
      <w:r>
        <w:rPr>
          <w:rStyle w:val="Funotenzeichen"/>
        </w:rPr>
        <w:footnoteRef/>
      </w:r>
      <w:r>
        <w:rPr/>
        <w:tab/>
        <w:t>verabschieden wollte Im Griechischen „verabschiedet“; es ist hier so formuliert, wie es die entsprechende wörtliche Rede wäre (NSS).</w:t>
      </w:r>
    </w:p>
  </w:footnote>
  <w:footnote w:id="1768">
    <w:p>
      <w:pPr>
        <w:pStyle w:val="Funote"/>
        <w:rPr/>
      </w:pPr>
      <w:r>
        <w:rPr>
          <w:rStyle w:val="Funotenzeichen"/>
        </w:rPr>
        <w:footnoteRef/>
      </w:r>
      <w:r>
        <w:rPr/>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769">
    <w:p>
      <w:pPr>
        <w:pStyle w:val="Funote"/>
        <w:rPr/>
      </w:pPr>
      <w:r>
        <w:rPr>
          <w:rStyle w:val="Funotenzeichen"/>
        </w:rPr>
        <w:footnoteRef/>
      </w:r>
      <w:r>
        <w:rPr>
          <w:i/>
        </w:rPr>
        <w:tab/>
        <w:t>als es … geworden war</w:t>
      </w:r>
      <w:r>
        <w:rPr/>
        <w:t xml:space="preserve"> </w:t>
      </w:r>
      <w:hyperlink r:id="rId323">
        <w:r>
          <w:rPr>
            <w:rStyle w:val="Internetverknpfung"/>
          </w:rPr>
          <w:t>Gen. abs.</w:t>
        </w:r>
      </w:hyperlink>
      <w:r>
        <w:rPr/>
        <w:t>, als temporaler Nebensatz aufgelöst.</w:t>
      </w:r>
    </w:p>
  </w:footnote>
  <w:footnote w:id="1770">
    <w:p>
      <w:pPr>
        <w:pStyle w:val="Funote"/>
        <w:rPr/>
      </w:pPr>
      <w:r>
        <w:rPr>
          <w:rStyle w:val="Funotenzeichen"/>
        </w:rPr>
        <w:footnoteRef/>
      </w:r>
      <w:r>
        <w:rPr/>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771">
    <w:p>
      <w:pPr>
        <w:pStyle w:val="Funote"/>
        <w:rPr/>
      </w:pPr>
      <w:r>
        <w:rPr>
          <w:rStyle w:val="Funotenzeichen"/>
        </w:rPr>
        <w:footnoteRef/>
      </w:r>
      <w:r>
        <w:rPr/>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772">
    <w:p>
      <w:pPr>
        <w:pStyle w:val="Funote"/>
        <w:rPr/>
      </w:pPr>
      <w:r>
        <w:rPr>
          <w:rStyle w:val="Funotenzeichen"/>
        </w:rPr>
        <w:footnoteRef/>
      </w:r>
      <w:r>
        <w:rPr>
          <w:i/>
        </w:rPr>
        <w:tab/>
        <w:t>indem … lief</w:t>
      </w:r>
      <w:r>
        <w:rPr/>
        <w:t xml:space="preserve"> Modales </w:t>
      </w:r>
      <w:hyperlink r:id="rId324">
        <w:r>
          <w:rPr>
            <w:rStyle w:val="Internetverknpfung"/>
          </w:rPr>
          <w:t>Ptc. conj.</w:t>
        </w:r>
      </w:hyperlink>
      <w:r>
        <w:rPr/>
        <w:t>, als Nebensatz aufgelöst.</w:t>
      </w:r>
    </w:p>
  </w:footnote>
  <w:footnote w:id="1773">
    <w:p>
      <w:pPr>
        <w:pStyle w:val="Funote"/>
        <w:rPr/>
      </w:pPr>
      <w:r>
        <w:rPr>
          <w:rStyle w:val="Funotenzeichen"/>
        </w:rPr>
        <w:footnoteRef/>
      </w:r>
      <w:r>
        <w:rPr>
          <w:i/>
        </w:rPr>
        <w:tab/>
        <w:t>wollte</w:t>
      </w:r>
      <w:r>
        <w:rPr/>
        <w:t xml:space="preserve"> Die Verwendung des </w:t>
      </w:r>
      <w:hyperlink r:id="rId325">
        <w:r>
          <w:rPr>
            <w:rStyle w:val="Internetverknpfung"/>
          </w:rPr>
          <w:t>Imperfekts</w:t>
        </w:r>
      </w:hyperlink>
      <w:r>
        <w:rPr/>
        <w:t xml:space="preserve"> zeigt wohl an, dass dies in dieser Szene seine Absicht war.</w:t>
      </w:r>
    </w:p>
  </w:footnote>
  <w:footnote w:id="1774">
    <w:p>
      <w:pPr>
        <w:pStyle w:val="Funote"/>
        <w:rPr/>
      </w:pPr>
      <w:r>
        <w:rPr>
          <w:rStyle w:val="Funotenzeichen"/>
        </w:rPr>
        <w:footnoteRef/>
      </w:r>
      <w:r>
        <w:rPr>
          <w:i/>
        </w:rPr>
        <w:tab/>
        <w:t>als … sahen</w:t>
      </w:r>
      <w:r>
        <w:rPr/>
        <w:t xml:space="preserve"> </w:t>
      </w:r>
      <w:hyperlink r:id="rId326">
        <w:r>
          <w:rPr>
            <w:rStyle w:val="Internetverknpfung"/>
          </w:rPr>
          <w:t>Ptz. conj.</w:t>
        </w:r>
      </w:hyperlink>
      <w:r>
        <w:rPr/>
        <w:t>, als temporaler Nebensatz aufgelöst.</w:t>
      </w:r>
    </w:p>
  </w:footnote>
  <w:footnote w:id="1775">
    <w:p>
      <w:pPr>
        <w:pStyle w:val="Funote"/>
        <w:rPr/>
      </w:pPr>
      <w:r>
        <w:rPr>
          <w:rStyle w:val="Funotenzeichen"/>
        </w:rPr>
        <w:footnoteRef/>
      </w:r>
      <w:r>
        <w:rPr>
          <w:i/>
        </w:rPr>
        <w:tab/>
        <w:t>schrien auf (fingen an zu schreien)</w:t>
      </w:r>
      <w:r>
        <w:rPr/>
        <w:t xml:space="preserve"> Wie in der Klammer kann man den Aorist auch </w:t>
      </w:r>
      <w:hyperlink r:id="rId327">
        <w:r>
          <w:rPr>
            <w:rStyle w:val="Internetverknpfung"/>
          </w:rPr>
          <w:t>ingressiv</w:t>
        </w:r>
      </w:hyperlink>
      <w:r>
        <w:rPr/>
        <w:t xml:space="preserve"> übersetzen, der den Anfang von etwas markiert.</w:t>
      </w:r>
    </w:p>
  </w:footnote>
  <w:footnote w:id="1776">
    <w:p>
      <w:pPr>
        <w:pStyle w:val="Funote"/>
        <w:rPr/>
      </w:pPr>
      <w:r>
        <w:rPr>
          <w:rStyle w:val="Funotenzeichen"/>
        </w:rPr>
        <w:footnoteRef/>
      </w:r>
      <w:r>
        <w:rPr/>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777">
    <w:p>
      <w:pPr>
        <w:pStyle w:val="Funote"/>
        <w:rPr/>
      </w:pPr>
      <w:r>
        <w:rPr>
          <w:rStyle w:val="Funotenzeichen"/>
        </w:rPr>
        <w:footnoteRef/>
      </w:r>
      <w:r>
        <w:rPr/>
        <w:tab/>
        <w:t>begann … zu reden Der Aorist ist hier ingressiv übersetzt, der den Anfang von etwas markiert (vgl. NSS; EÜ). Ansonsten wäre die Übersetzung: „er redete sofort mit ihnen“, oder schöner: „er sprach sie sofort an“ (NGÜ, vgl. GNB).</w:t>
      </w:r>
    </w:p>
  </w:footnote>
  <w:footnote w:id="1778">
    <w:p>
      <w:pPr>
        <w:pStyle w:val="Funote"/>
        <w:rPr/>
      </w:pPr>
      <w:r>
        <w:rPr>
          <w:rStyle w:val="Funotenzeichen"/>
        </w:rPr>
        <w:footnoteRef/>
      </w:r>
      <w:r>
        <w:rPr/>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779">
    <w:p>
      <w:pPr>
        <w:pStyle w:val="Funote"/>
        <w:rPr/>
      </w:pPr>
      <w:r>
        <w:rPr>
          <w:rStyle w:val="Funotenzeichen"/>
        </w:rPr>
        <w:footnoteRef/>
      </w:r>
      <w:r>
        <w:rPr/>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780">
    <w:p>
      <w:pPr>
        <w:pStyle w:val="Funote"/>
        <w:rPr/>
      </w:pPr>
      <w:r>
        <w:rPr>
          <w:rStyle w:val="Funotenzeichen"/>
        </w:rPr>
        <w:footnoteRef/>
      </w:r>
      <w:r>
        <w:rPr/>
        <w:tab/>
        <w:t>was es mit den Broten auf sich hatte W. „hinsichtlich/angesichts/aufgrund der Brote“ Eine andere sinngemäße Übersetzung lautet: „Denn auch durch das Wunder mit den Broten waren sie nicht zur Einsicht gekommen“ (GNB, ähnlich NGÜ, ELB?, LUT?)</w:t>
      </w:r>
    </w:p>
  </w:footnote>
  <w:footnote w:id="1781">
    <w:p>
      <w:pPr>
        <w:pStyle w:val="Funote"/>
        <w:rPr/>
      </w:pPr>
      <w:r>
        <w:rPr>
          <w:rStyle w:val="Funotenzeichen"/>
        </w:rPr>
        <w:footnoteRef/>
      </w:r>
      <w:r>
        <w:rPr>
          <w:i/>
        </w:rPr>
        <w:tab/>
        <w:t>ihr Herz war verstockt (verhärtet)</w:t>
      </w:r>
      <w:r>
        <w:rPr/>
        <w:t xml:space="preserve">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 xml:space="preserve">schwierigkeiten der Jünger zu sprechen. </w:t>
      </w:r>
    </w:p>
  </w:footnote>
  <w:footnote w:id="1782">
    <w:p>
      <w:pPr>
        <w:pStyle w:val="Funote"/>
        <w:rPr/>
      </w:pPr>
      <w:r>
        <w:rPr>
          <w:rStyle w:val="Funotenzeichen"/>
        </w:rPr>
        <w:footnoteRef/>
      </w:r>
      <w:r>
        <w:rPr>
          <w:i/>
        </w:rPr>
        <w:tab/>
        <w:t>nachdem sie übergesetzt hatten</w:t>
      </w:r>
      <w:r>
        <w:rPr/>
        <w:t xml:space="preserve"> Temp. </w:t>
      </w:r>
      <w:hyperlink r:id="rId328">
        <w:r>
          <w:rPr>
            <w:rStyle w:val="Internetverknpfung"/>
          </w:rPr>
          <w:t>Ptz. conj.</w:t>
        </w:r>
      </w:hyperlink>
      <w:r>
        <w:rPr/>
        <w:t>, als vorzeitiger Nebensatz aufgelöst.</w:t>
      </w:r>
    </w:p>
  </w:footnote>
  <w:footnote w:id="1783">
    <w:p>
      <w:pPr>
        <w:pStyle w:val="Funote"/>
        <w:rPr/>
      </w:pPr>
      <w:r>
        <w:rPr>
          <w:rStyle w:val="Funotenzeichen"/>
        </w:rPr>
        <w:footnoteRef/>
      </w:r>
      <w:r>
        <w:rPr/>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784">
    <w:p>
      <w:pPr>
        <w:pStyle w:val="Funote"/>
        <w:rPr/>
      </w:pPr>
      <w:r>
        <w:rPr>
          <w:rStyle w:val="Funotenzeichen"/>
        </w:rPr>
        <w:footnoteRef/>
      </w:r>
      <w:r>
        <w:rPr>
          <w:i/>
        </w:rPr>
        <w:tab/>
        <w:t>erkannten … und</w:t>
      </w:r>
      <w:r>
        <w:rPr/>
        <w:t xml:space="preserve"> Kausales oder temporales </w:t>
      </w:r>
      <w:hyperlink r:id="rId329">
        <w:r>
          <w:rPr>
            <w:rStyle w:val="Internetverknpfung"/>
          </w:rPr>
          <w:t>Ptz. conj.</w:t>
        </w:r>
      </w:hyperlink>
      <w:r>
        <w:rPr/>
        <w:t>, hier beigeordnet aufgelöst.</w:t>
      </w:r>
    </w:p>
  </w:footnote>
  <w:footnote w:id="1785">
    <w:p>
      <w:pPr>
        <w:pStyle w:val="Funote"/>
        <w:rPr/>
      </w:pPr>
      <w:r>
        <w:rPr>
          <w:rStyle w:val="Funotenzeichen"/>
        </w:rPr>
        <w:footnoteRef/>
      </w:r>
      <w:r>
        <w:rPr>
          <w:i/>
        </w:rPr>
        <w:tab/>
        <w:t>die</w:t>
      </w:r>
      <w:r>
        <w:rPr/>
        <w:t xml:space="preserve"> W. „jene“, im Deutschen obsolet.</w:t>
      </w:r>
    </w:p>
  </w:footnote>
  <w:footnote w:id="1786">
    <w:p>
      <w:pPr>
        <w:pStyle w:val="Funote"/>
        <w:rPr/>
      </w:pPr>
      <w:r>
        <w:rPr>
          <w:rStyle w:val="Funotenzeichen"/>
        </w:rPr>
        <w:footnoteRef/>
      </w:r>
      <w:r>
        <w:rPr/>
        <w:tab/>
        <w:t>trugen W. „fingen an zu tragen“, eine pleonastische Verbindung, die typisch für Markus ist. „Anfangen“ hat hier sehr abgeschwächte Bedeutung (Siebenthal 2011, §218e; NSS). Vgl. z.B. Mk 5,17, wo das Verb ebenfalls unübersetzt blieb.</w:t>
      </w:r>
    </w:p>
  </w:footnote>
  <w:footnote w:id="1787">
    <w:p>
      <w:pPr>
        <w:pStyle w:val="Funote"/>
        <w:rPr/>
      </w:pPr>
      <w:r>
        <w:rPr>
          <w:rStyle w:val="Funotenzeichen"/>
        </w:rPr>
        <w:footnoteRef/>
      </w:r>
      <w:r>
        <w:rPr>
          <w:i/>
        </w:rPr>
        <w:tab/>
        <w:t>diejenigen, denen es schlecht ging</w:t>
      </w:r>
      <w:r>
        <w:rPr/>
        <w:t xml:space="preserve"> </w:t>
      </w:r>
      <w:hyperlink r:id="rId330">
        <w:r>
          <w:rPr>
            <w:rStyle w:val="Internetverknpfung"/>
          </w:rPr>
          <w:t>Subst. Ptz.</w:t>
        </w:r>
      </w:hyperlink>
      <w:r>
        <w:rPr/>
        <w:t xml:space="preserve">,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 </w:t>
      </w:r>
    </w:p>
  </w:footnote>
  <w:footnote w:id="1788">
    <w:p>
      <w:pPr>
        <w:pStyle w:val="Funote"/>
        <w:rPr/>
      </w:pPr>
      <w:r>
        <w:rPr>
          <w:rStyle w:val="Funotenzeichen"/>
        </w:rPr>
        <w:footnoteRef/>
      </w:r>
      <w:r>
        <w:rPr/>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789">
    <w:p>
      <w:pPr>
        <w:pStyle w:val="Funote"/>
        <w:rPr/>
      </w:pPr>
      <w:r>
        <w:rPr>
          <w:rStyle w:val="Funotenzeichen"/>
        </w:rPr>
        <w:footnoteRef/>
      </w:r>
      <w:r>
        <w:rPr/>
        <w:tab/>
        <w:t>[Status: Zuverlässig]</w:t>
      </w:r>
    </w:p>
  </w:footnote>
  <w:footnote w:id="1790">
    <w:p>
      <w:pPr>
        <w:pStyle w:val="Funote"/>
        <w:rPr/>
      </w:pPr>
      <w:r>
        <w:rPr>
          <w:rStyle w:val="Funotenzeichen"/>
        </w:rPr>
        <w:footnoteRef/>
      </w:r>
      <w:r>
        <w:rPr>
          <w:i/>
        </w:rPr>
        <w:tab/>
        <w:t>die ... gekommen waren</w:t>
      </w:r>
      <w:r>
        <w:rPr/>
        <w:t xml:space="preserve"> </w:t>
      </w:r>
      <w:hyperlink r:id="rId331">
        <w:r>
          <w:rPr>
            <w:rStyle w:val="Internetverknpfung"/>
          </w:rPr>
          <w:t>attr. Ptz.</w:t>
        </w:r>
      </w:hyperlink>
      <w:r>
        <w:rPr/>
        <w:t xml:space="preserve"> Aor., als vorzeitiger Relativsatz aufgelöst.</w:t>
      </w:r>
    </w:p>
  </w:footnote>
  <w:footnote w:id="1791">
    <w:p>
      <w:pPr>
        <w:pStyle w:val="Funote"/>
        <w:rPr/>
      </w:pPr>
      <w:r>
        <w:rPr>
          <w:rStyle w:val="Funotenzeichen"/>
        </w:rPr>
        <w:footnoteRef/>
      </w:r>
      <w:r>
        <w:rPr>
          <w:i/>
        </w:rPr>
        <w:tab/>
        <w:t>weil (als) sie gesehen hatten (sahen)</w:t>
      </w:r>
      <w:r>
        <w:rPr/>
        <w:t xml:space="preserve"> Kausales oder temporales </w:t>
      </w:r>
      <w:hyperlink r:id="rId332">
        <w:r>
          <w:rPr>
            <w:rStyle w:val="Internetverknpfung"/>
          </w:rPr>
          <w:t>Ptz. conj.</w:t>
        </w:r>
      </w:hyperlink>
      <w:r>
        <w:rPr/>
        <w:t>.</w:t>
      </w:r>
    </w:p>
  </w:footnote>
  <w:footnote w:id="1792">
    <w:p>
      <w:pPr>
        <w:pStyle w:val="Funote"/>
        <w:rPr/>
      </w:pPr>
      <w:r>
        <w:rPr>
          <w:rStyle w:val="Funotenzeichen"/>
        </w:rPr>
        <w:footnoteRef/>
      </w:r>
      <w:r>
        <w:rPr>
          <w:i/>
        </w:rPr>
        <w:tab/>
        <w:t>[mit] unreinen ... [mit] ungewaschenen, Händen</w:t>
      </w:r>
      <w:r>
        <w:rPr/>
        <w:t xml:space="preserve"> </w:t>
      </w:r>
      <w:hyperlink r:id="rId333">
        <w:r>
          <w:rPr>
            <w:rStyle w:val="Internetverknpfung"/>
          </w:rPr>
          <w:t>Instr. Dativ</w:t>
        </w:r>
      </w:hyperlink>
      <w:r>
        <w:rPr/>
        <w:t>.</w:t>
      </w:r>
    </w:p>
  </w:footnote>
  <w:footnote w:id="1793">
    <w:p>
      <w:pPr>
        <w:pStyle w:val="Funote"/>
        <w:rPr/>
      </w:pPr>
      <w:r>
        <w:rPr>
          <w:rStyle w:val="Funotenzeichen"/>
        </w:rPr>
        <w:footnoteRef/>
      </w:r>
      <w:r>
        <w:rPr/>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794">
    <w:p>
      <w:pPr>
        <w:pStyle w:val="Funote"/>
        <w:rPr/>
      </w:pPr>
      <w:r>
        <w:rPr>
          <w:rStyle w:val="Funotenzeichen"/>
        </w:rPr>
        <w:footnoteRef/>
      </w:r>
      <w:r>
        <w:rPr/>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795">
    <w:p>
      <w:pPr>
        <w:pStyle w:val="Funote"/>
        <w:rPr/>
      </w:pPr>
      <w:r>
        <w:rPr>
          <w:rStyle w:val="Funotenzeichen"/>
        </w:rPr>
        <w:footnoteRef/>
      </w:r>
      <w:r>
        <w:rPr/>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796">
    <w:p>
      <w:pPr>
        <w:pStyle w:val="Funote"/>
        <w:rPr/>
      </w:pPr>
      <w:r>
        <w:rPr>
          <w:rStyle w:val="Funotenzeichen"/>
        </w:rPr>
        <w:footnoteRef/>
      </w:r>
      <w:r>
        <w:rPr/>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797">
    <w:p>
      <w:pPr>
        <w:pStyle w:val="Funote"/>
        <w:rPr/>
      </w:pPr>
      <w:r>
        <w:rPr>
          <w:rStyle w:val="Funotenzeichen"/>
        </w:rPr>
        <w:footnoteRef/>
      </w:r>
      <w:r>
        <w:rPr/>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798">
    <w:p>
      <w:pPr>
        <w:pStyle w:val="Funote"/>
        <w:rPr/>
      </w:pPr>
      <w:r>
        <w:rPr>
          <w:rStyle w:val="Funotenzeichen"/>
        </w:rPr>
        <w:footnoteRef/>
      </w:r>
      <w:r>
        <w:rPr/>
        <w:tab/>
        <w:t>nach der Rückkehr vom Markt W. „vom Markt“, ein griechisches Idiom. Möglich wäre vielleicht auch „essen nichts, was vom Markt kommt, ohne es gewaschen zu haben“ (NSS).</w:t>
      </w:r>
    </w:p>
  </w:footnote>
  <w:footnote w:id="1799">
    <w:p>
      <w:pPr>
        <w:pStyle w:val="Funote"/>
        <w:rPr/>
      </w:pPr>
      <w:r>
        <w:rPr>
          <w:rStyle w:val="Funotenzeichen"/>
        </w:rPr>
        <w:footnoteRef/>
      </w:r>
      <w:r>
        <w:rPr/>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800">
    <w:p>
      <w:pPr>
        <w:pStyle w:val="Funote"/>
        <w:rPr/>
      </w:pPr>
      <w:r>
        <w:rPr>
          <w:rStyle w:val="Funotenzeichen"/>
        </w:rPr>
        <w:footnoteRef/>
      </w:r>
      <w:r>
        <w:rPr/>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801">
    <w:p>
      <w:pPr>
        <w:pStyle w:val="Funote"/>
        <w:rPr/>
      </w:pPr>
      <w:r>
        <w:rPr>
          <w:rStyle w:val="Funotenzeichen"/>
        </w:rPr>
        <w:footnoteRef/>
      </w:r>
      <w:r>
        <w:rPr>
          <w:i/>
        </w:rPr>
        <w:tab/>
        <w:t>[mit] unreinen Händen</w:t>
      </w:r>
      <w:r>
        <w:rPr/>
        <w:t xml:space="preserve"> </w:t>
      </w:r>
      <w:hyperlink r:id="rId334">
        <w:r>
          <w:rPr>
            <w:rStyle w:val="Internetverknpfung"/>
          </w:rPr>
          <w:t>Instr. Dativ</w:t>
        </w:r>
      </w:hyperlink>
      <w:r>
        <w:rPr/>
        <w:t>.</w:t>
      </w:r>
    </w:p>
  </w:footnote>
  <w:footnote w:id="1802">
    <w:p>
      <w:pPr>
        <w:pStyle w:val="Funote"/>
        <w:rPr/>
      </w:pPr>
      <w:r>
        <w:rPr>
          <w:rStyle w:val="Funotenzeichen"/>
        </w:rPr>
        <w:footnoteRef/>
      </w:r>
      <w:r>
        <w:rPr>
          <w:i/>
        </w:rPr>
        <w:tab/>
        <w:t>[mit] den Lippen</w:t>
      </w:r>
      <w:r>
        <w:rPr/>
        <w:t xml:space="preserve"> </w:t>
      </w:r>
      <w:hyperlink r:id="rId335">
        <w:r>
          <w:rPr>
            <w:rStyle w:val="Internetverknpfung"/>
          </w:rPr>
          <w:t>Instr. Dativ</w:t>
        </w:r>
      </w:hyperlink>
      <w:r>
        <w:rPr/>
        <w:t>.</w:t>
      </w:r>
    </w:p>
  </w:footnote>
  <w:footnote w:id="1803">
    <w:p>
      <w:pPr>
        <w:pStyle w:val="Funote"/>
        <w:rPr/>
      </w:pPr>
      <w:r>
        <w:rPr>
          <w:rStyle w:val="Funotenzeichen"/>
        </w:rPr>
        <w:footnoteRef/>
      </w:r>
      <w:r>
        <w:rPr/>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804">
    <w:p>
      <w:pPr>
        <w:pStyle w:val="Funote"/>
        <w:rPr/>
      </w:pPr>
      <w:r>
        <w:rPr>
          <w:rStyle w:val="Funotenzeichen"/>
        </w:rPr>
        <w:footnoteRef/>
      </w:r>
      <w:r>
        <w:rPr/>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805">
    <w:p>
      <w:pPr>
        <w:pStyle w:val="Funote"/>
        <w:rPr/>
      </w:pPr>
      <w:r>
        <w:rPr>
          <w:rStyle w:val="Funotenzeichen"/>
        </w:rPr>
        <w:footnoteRef/>
      </w:r>
      <w:r>
        <w:rPr/>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806">
    <w:p>
      <w:pPr>
        <w:pStyle w:val="Funote"/>
        <w:rPr/>
      </w:pPr>
      <w:r>
        <w:rPr>
          <w:rStyle w:val="Funotenzeichen"/>
        </w:rPr>
        <w:footnoteRef/>
      </w:r>
      <w:r>
        <w:rPr>
          <w:i/>
        </w:rPr>
        <w:tab/>
        <w:t>er fuhr fort</w:t>
      </w:r>
      <w:r>
        <w:rPr/>
        <w:t xml:space="preserve"> (V. 9 und 20) übersetzt das </w:t>
      </w:r>
      <w:hyperlink r:id="rId336">
        <w:r>
          <w:rPr>
            <w:rStyle w:val="Internetverknpfung"/>
          </w:rPr>
          <w:t>Imperfekt</w:t>
        </w:r>
      </w:hyperlink>
      <w:r>
        <w:rPr/>
        <w:t xml:space="preserve"> </w:t>
      </w:r>
      <w:r>
        <w:rPr>
          <w:lang w:val="el-GR"/>
        </w:rPr>
        <w:t>ἔλεγεν</w:t>
      </w:r>
      <w:r>
        <w:rPr/>
        <w:t>. Der durative Aspekt zeigt hier wohl an, dass Jesus weiterspricht. Vgl. die ähnliche Übersetzung des Imperfekts in V. 14.</w:t>
      </w:r>
    </w:p>
  </w:footnote>
  <w:footnote w:id="1807">
    <w:p>
      <w:pPr>
        <w:pStyle w:val="Funote"/>
        <w:rPr/>
      </w:pPr>
      <w:r>
        <w:rPr>
          <w:rStyle w:val="Funotenzeichen"/>
        </w:rPr>
        <w:footnoteRef/>
      </w:r>
      <w:r>
        <w:rPr/>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808">
    <w:p>
      <w:pPr>
        <w:pStyle w:val="Funote"/>
        <w:rPr/>
      </w:pPr>
      <w:r>
        <w:rPr>
          <w:rStyle w:val="Funotenzeichen"/>
        </w:rPr>
        <w:footnoteRef/>
      </w:r>
      <w:r>
        <w:rPr/>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809">
    <w:p>
      <w:pPr>
        <w:pStyle w:val="Funote"/>
        <w:rPr/>
      </w:pPr>
      <w:r>
        <w:rPr>
          <w:rStyle w:val="Funotenzeichen"/>
        </w:rPr>
        <w:footnoteRef/>
      </w:r>
      <w:r>
        <w:rPr/>
        <w:tab/>
        <w:t>Anakoluth (z.B. Kleist 1937, S. 208). Jesus hat sich hier offenbar so in Rage geredet, dass er nicht einmal seinen begonnenen Satz zu Ende führt.</w:t>
      </w:r>
    </w:p>
  </w:footnote>
  <w:footnote w:id="1810">
    <w:p>
      <w:pPr>
        <w:pStyle w:val="Funote"/>
        <w:rPr/>
      </w:pPr>
      <w:r>
        <w:rPr>
          <w:rStyle w:val="Funotenzeichen"/>
        </w:rPr>
        <w:footnoteRef/>
      </w:r>
      <w:r>
        <w:rPr/>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811">
    <w:p>
      <w:pPr>
        <w:pStyle w:val="Funote"/>
        <w:rPr/>
      </w:pPr>
      <w:r>
        <w:rPr>
          <w:rStyle w:val="Funotenzeichen"/>
        </w:rPr>
        <w:footnoteRef/>
      </w:r>
      <w:r>
        <w:rPr>
          <w:i/>
        </w:rPr>
        <w:tab/>
        <w:t>nicht mehr, etwas</w:t>
      </w:r>
      <w:r>
        <w:rPr/>
        <w:t xml:space="preserve"> W. „nicht mehr, nichts“, eine doppelte Verneinung, die den Effekt der Aussage (s. die vorige Fußnote) verstärkt.</w:t>
      </w:r>
    </w:p>
  </w:footnote>
  <w:footnote w:id="1812">
    <w:p>
      <w:pPr>
        <w:pStyle w:val="Funote"/>
        <w:rPr/>
      </w:pPr>
      <w:r>
        <w:rPr>
          <w:rStyle w:val="Funotenzeichen"/>
        </w:rPr>
        <w:footnoteRef/>
      </w:r>
      <w:r>
        <w:rPr>
          <w:i/>
        </w:rPr>
        <w:tab/>
        <w:t>[für seinen] Vater oder [seine] Mutter</w:t>
      </w:r>
      <w:r>
        <w:rPr/>
        <w:t xml:space="preserve"> </w:t>
      </w:r>
      <w:hyperlink r:id="rId337">
        <w:r>
          <w:rPr>
            <w:rStyle w:val="Internetverknpfung"/>
          </w:rPr>
          <w:t>Instr. Dat.</w:t>
        </w:r>
      </w:hyperlink>
      <w:r>
        <w:rPr/>
        <w:t xml:space="preserve"> (2x).</w:t>
      </w:r>
    </w:p>
  </w:footnote>
  <w:footnote w:id="1813">
    <w:p>
      <w:pPr>
        <w:pStyle w:val="Funote"/>
        <w:rPr/>
      </w:pPr>
      <w:r>
        <w:rPr>
          <w:rStyle w:val="Funotenzeichen"/>
        </w:rPr>
        <w:footnoteRef/>
      </w:r>
      <w:r>
        <w:rPr/>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814">
    <w:p>
      <w:pPr>
        <w:pStyle w:val="Funote"/>
        <w:rPr/>
      </w:pPr>
      <w:r>
        <w:rPr>
          <w:rStyle w:val="Funotenzeichen"/>
        </w:rPr>
        <w:footnoteRef/>
      </w:r>
      <w:r>
        <w:rPr/>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815">
    <w:p>
      <w:pPr>
        <w:pStyle w:val="Funote"/>
        <w:rPr/>
      </w:pPr>
      <w:r>
        <w:rPr>
          <w:rStyle w:val="Funotenzeichen"/>
        </w:rPr>
        <w:footnoteRef/>
      </w:r>
      <w:r>
        <w:rPr>
          <w:i/>
        </w:rPr>
        <w:tab/>
        <w:t>er rief ... und</w:t>
      </w:r>
      <w:r>
        <w:rPr/>
        <w:t xml:space="preserve"> </w:t>
      </w:r>
      <w:hyperlink r:id="rId338">
        <w:r>
          <w:rPr>
            <w:rStyle w:val="Internetverknpfung"/>
          </w:rPr>
          <w:t>Ptz. conj.</w:t>
        </w:r>
      </w:hyperlink>
      <w:r>
        <w:rPr/>
        <w:t xml:space="preserve"> Aor., temporal-modal, beigeordnet übersetzt.</w:t>
      </w:r>
    </w:p>
  </w:footnote>
  <w:footnote w:id="1816">
    <w:p>
      <w:pPr>
        <w:pStyle w:val="Funote"/>
        <w:rPr/>
      </w:pPr>
      <w:r>
        <w:rPr>
          <w:rStyle w:val="Funotenzeichen"/>
        </w:rPr>
        <w:footnoteRef/>
      </w:r>
      <w:r>
        <w:rPr>
          <w:i/>
        </w:rPr>
        <w:tab/>
        <w:t>sprach nun</w:t>
      </w:r>
      <w:r>
        <w:rPr/>
        <w:t xml:space="preserve"> übersetzt das </w:t>
      </w:r>
      <w:hyperlink r:id="rId339">
        <w:r>
          <w:rPr>
            <w:rStyle w:val="Internetverknpfung"/>
          </w:rPr>
          <w:t>Imperfekt</w:t>
        </w:r>
      </w:hyperlink>
      <w:r>
        <w:rPr/>
        <w:t xml:space="preserve"> </w:t>
      </w:r>
      <w:r>
        <w:rPr>
          <w:lang w:val="el-GR"/>
        </w:rPr>
        <w:t>ἔλεγεν</w:t>
      </w:r>
      <w:r>
        <w:rPr/>
        <w:t>. Der durative Aspekt zeigt hier wohl an, dass Jesus weiterspricht, und zwar jetzt an die Menge gewandt. Vgl. die ähnliche Übersetzung des Imperfekts in V. 9 und 20.</w:t>
      </w:r>
    </w:p>
  </w:footnote>
  <w:footnote w:id="1817">
    <w:p>
      <w:pPr>
        <w:pStyle w:val="Funote"/>
        <w:rPr/>
      </w:pPr>
      <w:r>
        <w:rPr>
          <w:rStyle w:val="Funotenzeichen"/>
        </w:rPr>
        <w:footnoteRef/>
      </w:r>
      <w:r>
        <w:rPr/>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818">
    <w:p>
      <w:pPr>
        <w:pStyle w:val="Funote"/>
        <w:rPr/>
      </w:pPr>
      <w:r>
        <w:rPr>
          <w:rStyle w:val="Funotenzeichen"/>
        </w:rPr>
        <w:footnoteRef/>
      </w:r>
      <w:r>
        <w:rPr/>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819">
    <w:p>
      <w:pPr>
        <w:pStyle w:val="Funote"/>
        <w:rPr/>
      </w:pPr>
      <w:r>
        <w:rPr>
          <w:rStyle w:val="Funotenzeichen"/>
        </w:rPr>
        <w:footnoteRef/>
      </w:r>
      <w:r>
        <w:rPr>
          <w:i/>
        </w:rPr>
        <w:tab/>
        <w:t>was herauskommt</w:t>
      </w:r>
      <w:r>
        <w:rPr/>
        <w:t xml:space="preserve"> und </w:t>
      </w:r>
      <w:r>
        <w:rPr>
          <w:i/>
        </w:rPr>
        <w:t>das verunreinigt</w:t>
      </w:r>
      <w:r>
        <w:rPr/>
        <w:t xml:space="preserve"> </w:t>
      </w:r>
      <w:hyperlink r:id="rId340">
        <w:r>
          <w:rPr>
            <w:rStyle w:val="Internetverknpfung"/>
          </w:rPr>
          <w:t>Subst. Ptz.</w:t>
        </w:r>
      </w:hyperlink>
      <w:r>
        <w:rPr/>
        <w:t xml:space="preserve"> (2x), als Relativsatz aufgelöst. Man könnte das zweite Partizip auch als </w:t>
      </w:r>
      <w:hyperlink r:id="rId341">
        <w:r>
          <w:rPr>
            <w:rStyle w:val="Internetverknpfung"/>
          </w:rPr>
          <w:t>umschreibendes Partizip</w:t>
        </w:r>
      </w:hyperlink>
      <w:r>
        <w:rPr/>
        <w:t xml:space="preserve"> übersetzen (dazu s. die vorige Fußnote): „Vielmehr verunreinigt den Menschen das, was aus dem Menschen herauskommt.“</w:t>
      </w:r>
    </w:p>
  </w:footnote>
  <w:footnote w:id="1820">
    <w:p>
      <w:pPr>
        <w:pStyle w:val="Funote"/>
        <w:rPr/>
      </w:pPr>
      <w:r>
        <w:rPr>
          <w:rStyle w:val="Funotenzeichen"/>
        </w:rPr>
        <w:footnoteRef/>
      </w:r>
      <w:r>
        <w:rPr/>
        <w:tab/>
        <w:t>Textkritik: Dieser Vers fehlt in den frühesten bekannten Handschriften; genaueres im Kommentar</w:t>
      </w:r>
    </w:p>
  </w:footnote>
  <w:footnote w:id="1821">
    <w:p>
      <w:pPr>
        <w:pStyle w:val="Funote"/>
        <w:rPr/>
      </w:pPr>
      <w:r>
        <w:rPr>
          <w:rStyle w:val="Funotenzeichen"/>
        </w:rPr>
        <w:footnoteRef/>
      </w:r>
      <w:r>
        <w:rPr>
          <w:i/>
        </w:rPr>
        <w:tab/>
        <w:t>sagte</w:t>
      </w:r>
      <w:r>
        <w:rPr/>
        <w:t xml:space="preserve"> </w:t>
      </w:r>
      <w:hyperlink r:id="rId342">
        <w:r>
          <w:rPr>
            <w:rStyle w:val="Internetverknpfung"/>
          </w:rPr>
          <w:t>Historisches Präsens</w:t>
        </w:r>
      </w:hyperlink>
      <w:r>
        <w:rPr/>
        <w:t>.</w:t>
      </w:r>
    </w:p>
  </w:footnote>
  <w:footnote w:id="1822">
    <w:p>
      <w:pPr>
        <w:pStyle w:val="Funote"/>
        <w:rPr/>
      </w:pPr>
      <w:r>
        <w:rPr>
          <w:rStyle w:val="Funotenzeichen"/>
        </w:rPr>
        <w:footnoteRef/>
      </w:r>
      <w:r>
        <w:rPr/>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823">
    <w:p>
      <w:pPr>
        <w:pStyle w:val="Funote"/>
        <w:rPr/>
      </w:pPr>
      <w:r>
        <w:rPr>
          <w:rStyle w:val="Funotenzeichen"/>
        </w:rPr>
        <w:footnoteRef/>
      </w:r>
      <w:r>
        <w:rPr/>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824">
    <w:p>
      <w:pPr>
        <w:pStyle w:val="Funote"/>
        <w:rPr/>
      </w:pPr>
      <w:r>
        <w:rPr>
          <w:rStyle w:val="Funotenzeichen"/>
        </w:rPr>
        <w:footnoteRef/>
      </w:r>
      <w:r>
        <w:rPr>
          <w:i/>
        </w:rPr>
        <w:tab/>
        <w:t>Was … herauskommt</w:t>
      </w:r>
      <w:r>
        <w:rPr/>
        <w:t xml:space="preserve"> </w:t>
      </w:r>
      <w:hyperlink r:id="rId343">
        <w:r>
          <w:rPr>
            <w:rStyle w:val="Internetverknpfung"/>
          </w:rPr>
          <w:t>Subst. Ptz.</w:t>
        </w:r>
      </w:hyperlink>
      <w:r>
        <w:rPr/>
        <w:t>, als Relativsatz aufgelöst.</w:t>
      </w:r>
    </w:p>
  </w:footnote>
  <w:footnote w:id="1825">
    <w:p>
      <w:pPr>
        <w:pStyle w:val="Funote"/>
        <w:rPr/>
      </w:pPr>
      <w:r>
        <w:rPr>
          <w:rStyle w:val="Funotenzeichen"/>
        </w:rPr>
        <w:footnoteRef/>
      </w:r>
      <w:r>
        <w:rPr/>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826">
    <w:p>
      <w:pPr>
        <w:pStyle w:val="Funote"/>
        <w:rPr/>
      </w:pPr>
      <w:r>
        <w:rPr>
          <w:rStyle w:val="Funotenzeichen"/>
        </w:rPr>
        <w:footnoteRef/>
      </w:r>
      <w:r>
        <w:rPr/>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827">
    <w:p>
      <w:pPr>
        <w:pStyle w:val="Funote"/>
        <w:rPr/>
      </w:pPr>
      <w:r>
        <w:rPr>
          <w:rStyle w:val="Funotenzeichen"/>
        </w:rPr>
        <w:footnoteRef/>
      </w:r>
      <w:r>
        <w:rPr/>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828">
    <w:p>
      <w:pPr>
        <w:pStyle w:val="Funote"/>
        <w:rPr/>
      </w:pPr>
      <w:r>
        <w:rPr>
          <w:rStyle w:val="Funotenzeichen"/>
        </w:rPr>
        <w:footnoteRef/>
      </w:r>
      <w:r>
        <w:rPr/>
        <w:tab/>
        <w:t>Tyrus war ein Stadtstaat, der im Norden an Galiläa angrenzte. Die Bewohner der Region waren Nichtjuden. Ein zeitgenössischer jüdischer Autor beschreibt sie sinngemäß als „unsere Intimfeinde“ (France 2002, 297).</w:t>
      </w:r>
    </w:p>
  </w:footnote>
  <w:footnote w:id="1829">
    <w:p>
      <w:pPr>
        <w:pStyle w:val="Funote"/>
        <w:rPr/>
      </w:pPr>
      <w:r>
        <w:rPr>
          <w:rStyle w:val="Funotenzeichen"/>
        </w:rPr>
        <w:footnoteRef/>
      </w:r>
      <w:r>
        <w:rPr>
          <w:i/>
        </w:rPr>
        <w:tab/>
        <w:t>brach er auf und</w:t>
      </w:r>
      <w:r>
        <w:rPr/>
        <w:t xml:space="preserve"> sowie </w:t>
      </w:r>
      <w:r>
        <w:rPr>
          <w:i/>
        </w:rPr>
        <w:t>er begab sich … und</w:t>
      </w:r>
      <w:r>
        <w:rPr/>
        <w:t xml:space="preserve"> </w:t>
      </w:r>
      <w:hyperlink r:id="rId344">
        <w:r>
          <w:rPr>
            <w:rStyle w:val="Internetverknpfung"/>
          </w:rPr>
          <w:t>Ptz. conj.</w:t>
        </w:r>
      </w:hyperlink>
      <w:r>
        <w:rPr/>
        <w:t>, beigeordnet aufgelöst.</w:t>
      </w:r>
    </w:p>
  </w:footnote>
  <w:footnote w:id="1830">
    <w:p>
      <w:pPr>
        <w:pStyle w:val="Funote"/>
        <w:rPr/>
      </w:pPr>
      <w:r>
        <w:rPr>
          <w:rStyle w:val="Funotenzeichen"/>
        </w:rPr>
        <w:footnoteRef/>
      </w:r>
      <w:r>
        <w:rPr>
          <w:i/>
        </w:rPr>
        <w:tab/>
        <w:t>von einem unreinen Geist besessen war</w:t>
      </w:r>
      <w:r>
        <w:rPr/>
        <w:t xml:space="preserve"> W. „einen unreinen Geist hatte“</w:t>
      </w:r>
    </w:p>
  </w:footnote>
  <w:footnote w:id="1831">
    <w:p>
      <w:pPr>
        <w:pStyle w:val="Funote"/>
        <w:rPr/>
      </w:pPr>
      <w:r>
        <w:rPr>
          <w:rStyle w:val="Funotenzeichen"/>
        </w:rPr>
        <w:footnoteRef/>
      </w:r>
      <w:r>
        <w:rPr>
          <w:i/>
        </w:rPr>
        <w:tab/>
        <w:t>kam … und</w:t>
      </w:r>
      <w:r>
        <w:rPr/>
        <w:t xml:space="preserve"> </w:t>
      </w:r>
      <w:hyperlink r:id="rId345">
        <w:r>
          <w:rPr>
            <w:rStyle w:val="Internetverknpfung"/>
          </w:rPr>
          <w:t>Ptz. conj.</w:t>
        </w:r>
      </w:hyperlink>
      <w:r>
        <w:rPr/>
        <w:t>, temporal, beigeordnet aufgelöst.</w:t>
      </w:r>
    </w:p>
  </w:footnote>
  <w:footnote w:id="1832">
    <w:p>
      <w:pPr>
        <w:pStyle w:val="Funote"/>
        <w:rPr/>
      </w:pPr>
      <w:r>
        <w:rPr>
          <w:rStyle w:val="Funotenzeichen"/>
        </w:rPr>
        <w:footnoteRef/>
      </w:r>
      <w:r>
        <w:rPr/>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833">
    <w:p>
      <w:pPr>
        <w:pStyle w:val="Funote"/>
        <w:rPr/>
      </w:pPr>
      <w:r>
        <w:rPr>
          <w:rStyle w:val="Funotenzeichen"/>
        </w:rPr>
        <w:footnoteRef/>
      </w:r>
      <w:r>
        <w:rPr>
          <w:i/>
        </w:rPr>
        <w:tab/>
        <w:t>sie bat ihn hartnäckig (immer wieder)</w:t>
      </w:r>
      <w:r>
        <w:rPr/>
        <w:t xml:space="preserve"> Das Verb steht im </w:t>
      </w:r>
      <w:hyperlink r:id="rId346">
        <w:r>
          <w:rPr>
            <w:rStyle w:val="Internetverknpfung"/>
          </w:rPr>
          <w:t>Imperfekt</w:t>
        </w:r>
      </w:hyperlink>
      <w:r>
        <w:rPr/>
        <w:t xml:space="preserve">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834">
    <w:p>
      <w:pPr>
        <w:pStyle w:val="Funote"/>
        <w:rPr/>
      </w:pPr>
      <w:r>
        <w:rPr>
          <w:rStyle w:val="Funotenzeichen"/>
        </w:rPr>
        <w:footnoteRef/>
      </w:r>
      <w:r>
        <w:rPr/>
        <w:tab/>
        <w:t>die Krümel W. »von den Krümeln«, eine Präpositionalphrase, die den partitiven Genitiv ersetzt (NSS).</w:t>
      </w:r>
    </w:p>
  </w:footnote>
  <w:footnote w:id="1835">
    <w:p>
      <w:pPr>
        <w:pStyle w:val="Funote"/>
        <w:rPr/>
      </w:pPr>
      <w:r>
        <w:rPr>
          <w:rStyle w:val="Funotenzeichen"/>
        </w:rPr>
        <w:footnoteRef/>
      </w:r>
      <w:r>
        <w:rPr>
          <w:i/>
        </w:rPr>
        <w:tab/>
        <w:t>Weil du das gesagt hast</w:t>
      </w:r>
      <w:r>
        <w:rPr/>
        <w:t xml:space="preserve"> W. „Aufgrund dieses Wortes/dieser Äußerung bzw. Antwort“</w:t>
      </w:r>
    </w:p>
  </w:footnote>
  <w:footnote w:id="1836">
    <w:p>
      <w:pPr>
        <w:pStyle w:val="Funote"/>
        <w:rPr/>
      </w:pPr>
      <w:r>
        <w:rPr>
          <w:rStyle w:val="Funotenzeichen"/>
        </w:rPr>
        <w:footnoteRef/>
      </w:r>
      <w:r>
        <w:rPr/>
        <w:tab/>
        <w:t>geh D.h. »Du kannst gehen« (NGÜ) oder »Geh nach Hause« (EÜ, GNB). Vgl. 10,52.</w:t>
      </w:r>
    </w:p>
  </w:footnote>
  <w:footnote w:id="1837">
    <w:p>
      <w:pPr>
        <w:pStyle w:val="Funote"/>
        <w:rPr/>
      </w:pPr>
      <w:r>
        <w:rPr>
          <w:rStyle w:val="Funotenzeichen"/>
        </w:rPr>
        <w:footnoteRef/>
      </w:r>
      <w:r>
        <w:rPr>
          <w:i/>
        </w:rPr>
        <w:tab/>
        <w:t>ging zurück … und</w:t>
      </w:r>
      <w:r>
        <w:rPr/>
        <w:t xml:space="preserve"> W. „ging weg“. </w:t>
      </w:r>
      <w:hyperlink r:id="rId347">
        <w:r>
          <w:rPr>
            <w:rStyle w:val="Internetverknpfung"/>
          </w:rPr>
          <w:t>Ptz. conj.</w:t>
        </w:r>
      </w:hyperlink>
      <w:r>
        <w:rPr/>
        <w:t>, beigeordnet aufgelöst.</w:t>
      </w:r>
    </w:p>
  </w:footnote>
  <w:footnote w:id="1838">
    <w:p>
      <w:pPr>
        <w:pStyle w:val="Funote"/>
        <w:rPr/>
      </w:pPr>
      <w:r>
        <w:rPr>
          <w:rStyle w:val="Funotenzeichen"/>
        </w:rPr>
        <w:footnoteRef/>
      </w:r>
      <w:r>
        <w:rPr>
          <w:i/>
        </w:rPr>
        <w:tab/>
        <w:t>reiste … und</w:t>
      </w:r>
      <w:r>
        <w:rPr/>
        <w:t xml:space="preserve"> </w:t>
      </w:r>
      <w:hyperlink r:id="rId348">
        <w:r>
          <w:rPr>
            <w:rStyle w:val="Internetverknpfung"/>
          </w:rPr>
          <w:t>Ptz. conj.</w:t>
        </w:r>
      </w:hyperlink>
      <w:r>
        <w:rPr/>
        <w:t>, beigeordnet aufgelöst.</w:t>
      </w:r>
    </w:p>
  </w:footnote>
  <w:footnote w:id="1839">
    <w:p>
      <w:pPr>
        <w:pStyle w:val="Funote"/>
        <w:rPr/>
      </w:pPr>
      <w:r>
        <w:rPr>
          <w:rStyle w:val="Funotenzeichen"/>
        </w:rPr>
        <w:footnoteRef/>
      </w:r>
      <w:r>
        <w:rPr/>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840">
    <w:p>
      <w:pPr>
        <w:pStyle w:val="Funote"/>
        <w:rPr/>
      </w:pPr>
      <w:r>
        <w:rPr>
          <w:rStyle w:val="Funotenzeichen"/>
        </w:rPr>
        <w:footnoteRef/>
      </w:r>
      <w:r>
        <w:rPr/>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841">
    <w:p>
      <w:pPr>
        <w:pStyle w:val="Funote"/>
        <w:rPr/>
      </w:pPr>
      <w:r>
        <w:rPr>
          <w:rStyle w:val="Funotenzeichen"/>
        </w:rPr>
        <w:footnoteRef/>
      </w:r>
      <w:r>
        <w:rPr/>
        <w:tab/>
        <w:t>ihm die Hand aufzulegen bedeutet offenbar, ihn dadurch zu heilen (Collins 2007, 370).</w:t>
      </w:r>
    </w:p>
  </w:footnote>
  <w:footnote w:id="1842">
    <w:p>
      <w:pPr>
        <w:pStyle w:val="Funote"/>
        <w:rPr/>
      </w:pPr>
      <w:r>
        <w:rPr>
          <w:rStyle w:val="Funotenzeichen"/>
        </w:rPr>
        <w:footnoteRef/>
      </w:r>
      <w:r>
        <w:rPr/>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843">
    <w:p>
      <w:pPr>
        <w:pStyle w:val="Funote"/>
        <w:rPr/>
      </w:pPr>
      <w:r>
        <w:rPr>
          <w:rStyle w:val="Funotenzeichen"/>
        </w:rPr>
        <w:footnoteRef/>
      </w:r>
      <w:r>
        <w:rPr>
          <w:i/>
        </w:rPr>
        <w:tab/>
        <w:t>blickte er ... auf und</w:t>
      </w:r>
      <w:r>
        <w:rPr/>
        <w:t xml:space="preserve"> </w:t>
      </w:r>
      <w:hyperlink r:id="rId349">
        <w:r>
          <w:rPr>
            <w:rStyle w:val="Internetverknpfung"/>
          </w:rPr>
          <w:t>Ptz. conj.</w:t>
        </w:r>
      </w:hyperlink>
      <w:r>
        <w:rPr/>
        <w:t>, beigeordnet aufgelöst.</w:t>
      </w:r>
    </w:p>
  </w:footnote>
  <w:footnote w:id="1844">
    <w:p>
      <w:pPr>
        <w:pStyle w:val="Funote"/>
        <w:rPr/>
      </w:pPr>
      <w:r>
        <w:rPr>
          <w:rStyle w:val="Funotenzeichen"/>
        </w:rPr>
        <w:footnoteRef/>
      </w:r>
      <w:r>
        <w:rPr/>
        <w:tab/>
        <w:t>„</w:t>
      </w:r>
      <w:r>
        <w:rPr/>
        <w:t>Effata!“ Das ist wahrscheinlich eine nicht 100% genau überlieferte aramäische Form (France 2002, 304; Guelich 1989, 395f.).</w:t>
      </w:r>
    </w:p>
  </w:footnote>
  <w:footnote w:id="1845">
    <w:p>
      <w:pPr>
        <w:pStyle w:val="Funote"/>
        <w:rPr/>
      </w:pPr>
      <w:r>
        <w:rPr>
          <w:rStyle w:val="Funotenzeichen"/>
        </w:rPr>
        <w:footnoteRef/>
      </w:r>
      <w:r>
        <w:rPr/>
        <w:tab/>
        <w:t>Hemmung W. „Fessel“ (so die meisten Übersetzungen), MEN: „Gebundenheit“. Es handelt sich um eine übertragene Bedeutungserweiterung von „Fessel“, die hier die Einschränkung der Sprachfertigkeit bezeichnet (LN 23.156).</w:t>
      </w:r>
    </w:p>
  </w:footnote>
  <w:footnote w:id="1846">
    <w:p>
      <w:pPr>
        <w:pStyle w:val="Funote"/>
        <w:rPr/>
      </w:pPr>
      <w:r>
        <w:rPr>
          <w:rStyle w:val="Funotenzeichen"/>
        </w:rPr>
        <w:footnoteRef/>
      </w:r>
      <w:r>
        <w:rPr/>
        <w:tab/>
        <w:t xml:space="preserve">konnte richtig sprechen (Imperfekt) Das Verb bezeichnet hier die Fähigkeit, sprechen zu können (BA </w:t>
      </w:r>
      <w:r>
        <w:rPr>
          <w:lang w:val="el-GR"/>
        </w:rPr>
        <w:t>λαλέω</w:t>
      </w:r>
      <w:r>
        <w:rPr/>
        <w:t>, 2a</w:t>
      </w:r>
      <w:r>
        <w:rPr>
          <w:lang w:val="el-GR"/>
        </w:rPr>
        <w:t>α</w:t>
      </w:r>
      <w:r>
        <w:rPr/>
        <w:t>; NSS).</w:t>
      </w:r>
    </w:p>
  </w:footnote>
  <w:footnote w:id="1847">
    <w:p>
      <w:pPr>
        <w:pStyle w:val="Funote"/>
        <w:rPr/>
      </w:pPr>
      <w:r>
        <w:rPr>
          <w:rStyle w:val="Funotenzeichen"/>
        </w:rPr>
        <w:footnoteRef/>
      </w:r>
      <w:r>
        <w:rPr>
          <w:i/>
        </w:rPr>
        <w:tab/>
        <w:t>und sagten</w:t>
      </w:r>
      <w:r>
        <w:rPr/>
        <w:t xml:space="preserve"> </w:t>
      </w:r>
      <w:hyperlink r:id="rId350">
        <w:r>
          <w:rPr>
            <w:rStyle w:val="Internetverknpfung"/>
          </w:rPr>
          <w:t>Ptz. conj.</w:t>
        </w:r>
      </w:hyperlink>
      <w:r>
        <w:rPr/>
        <w:t>, beigeordnet aufgelöst.</w:t>
      </w:r>
    </w:p>
  </w:footnote>
  <w:footnote w:id="1848">
    <w:p>
      <w:pPr>
        <w:pStyle w:val="Funote"/>
        <w:rPr/>
      </w:pPr>
      <w:r>
        <w:rPr>
          <w:rStyle w:val="Funotenzeichen"/>
        </w:rPr>
        <w:footnoteRef/>
      </w:r>
      <w:r>
        <w:rPr/>
        <w:tab/>
        <w:t>[Status: Zuverlässig]</w:t>
      </w:r>
    </w:p>
  </w:footnote>
  <w:footnote w:id="1849">
    <w:p>
      <w:pPr>
        <w:pStyle w:val="Funote"/>
        <w:rPr/>
      </w:pPr>
      <w:r>
        <w:rPr>
          <w:rStyle w:val="Funotenzeichen"/>
        </w:rPr>
        <w:footnoteRef/>
      </w:r>
      <w:r>
        <w:rPr>
          <w:i/>
        </w:rPr>
        <w:tab/>
        <w:t>rief er zu sich und</w:t>
      </w:r>
      <w:r>
        <w:rPr/>
        <w:t xml:space="preserve"> </w:t>
      </w:r>
      <w:hyperlink r:id="rId351">
        <w:r>
          <w:rPr>
            <w:rStyle w:val="Internetverknpfung"/>
          </w:rPr>
          <w:t>Ptz. conj.</w:t>
        </w:r>
      </w:hyperlink>
      <w:r>
        <w:rPr/>
        <w:t>, beigeordnet aufgelöst.</w:t>
      </w:r>
    </w:p>
  </w:footnote>
  <w:footnote w:id="1850">
    <w:p>
      <w:pPr>
        <w:pStyle w:val="Funote"/>
        <w:rPr/>
      </w:pPr>
      <w:r>
        <w:rPr>
          <w:rStyle w:val="Funotenzeichen"/>
        </w:rPr>
        <w:footnoteRef/>
      </w:r>
      <w:r>
        <w:rPr/>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851">
    <w:p>
      <w:pPr>
        <w:pStyle w:val="Funote"/>
        <w:rPr/>
      </w:pPr>
      <w:r>
        <w:rPr>
          <w:rStyle w:val="Funotenzeichen"/>
        </w:rPr>
        <w:footnoteRef/>
      </w:r>
      <w:r>
        <w:rPr/>
        <w:tab/>
        <w:t>Woher LUT, ZÜR übersetzen »Wie«, doch gemeint ist, woher die Jünger das Brot (pars pro toto für Nahrung) nehmen sollen (Pesch 1976, 403; vgl. GNB, NGÜ, EÜ).</w:t>
      </w:r>
    </w:p>
  </w:footnote>
  <w:footnote w:id="1852">
    <w:p>
      <w:pPr>
        <w:pStyle w:val="Funote"/>
        <w:rPr/>
      </w:pPr>
      <w:r>
        <w:rPr>
          <w:rStyle w:val="Funotenzeichen"/>
        </w:rPr>
        <w:footnoteRef/>
      </w:r>
      <w:r>
        <w:rPr>
          <w:i/>
        </w:rPr>
        <w:tab/>
        <w:t>nachdem er ... genommen und ein Dankgebet gesprochen hatte</w:t>
      </w:r>
      <w:r>
        <w:rPr/>
        <w:t xml:space="preserve"> Temporal-modales </w:t>
      </w:r>
      <w:hyperlink r:id="rId352">
        <w:r>
          <w:rPr>
            <w:rStyle w:val="Internetverknpfung"/>
          </w:rPr>
          <w:t>Ptz. conj.</w:t>
        </w:r>
      </w:hyperlink>
      <w:r>
        <w:rPr/>
        <w:t xml:space="preserve"> Aor., hier als vorzeitiger temporaler Nebensatz aufgelöst. </w:t>
      </w:r>
      <w:r>
        <w:rPr>
          <w:i/>
        </w:rPr>
        <w:t>ein Dankgebet gesprochen</w:t>
      </w:r>
      <w:r>
        <w:rPr/>
        <w:t xml:space="preserve"> W. „gedankt“. Gemeint ist hier jedoch ein Dankgebet.</w:t>
      </w:r>
    </w:p>
  </w:footnote>
  <w:footnote w:id="1853">
    <w:p>
      <w:pPr>
        <w:pStyle w:val="Funote"/>
        <w:rPr/>
      </w:pPr>
      <w:r>
        <w:rPr>
          <w:rStyle w:val="Funotenzeichen"/>
        </w:rPr>
        <w:footnoteRef/>
      </w:r>
      <w:r>
        <w:rPr/>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854">
    <w:p>
      <w:pPr>
        <w:pStyle w:val="Funote"/>
        <w:rPr/>
      </w:pPr>
      <w:r>
        <w:rPr>
          <w:rStyle w:val="Funotenzeichen"/>
        </w:rPr>
        <w:footnoteRef/>
      </w:r>
      <w:r>
        <w:rPr/>
        <w:tab/>
        <w:t>die übrig gebliebenen Brocken W. „die Reste der Brocken“ (Gen. part.; NSS)</w:t>
      </w:r>
    </w:p>
  </w:footnote>
  <w:footnote w:id="1855">
    <w:p>
      <w:pPr>
        <w:pStyle w:val="Funote"/>
        <w:rPr/>
      </w:pPr>
      <w:r>
        <w:rPr>
          <w:rStyle w:val="Funotenzeichen"/>
        </w:rPr>
        <w:footnoteRef/>
      </w:r>
      <w:r>
        <w:rPr>
          <w:i/>
        </w:rPr>
        <w:tab/>
        <w:t>stieg er … und</w:t>
      </w:r>
      <w:r>
        <w:rPr/>
        <w:t xml:space="preserve"> </w:t>
      </w:r>
      <w:hyperlink r:id="rId353">
        <w:r>
          <w:rPr>
            <w:rStyle w:val="Internetverknpfung"/>
          </w:rPr>
          <w:t>Ptz. conj.</w:t>
        </w:r>
      </w:hyperlink>
      <w:r>
        <w:rPr/>
        <w:t>, beigeordnet aufgelöst.</w:t>
      </w:r>
    </w:p>
  </w:footnote>
  <w:footnote w:id="1856">
    <w:p>
      <w:pPr>
        <w:pStyle w:val="Funote"/>
        <w:rPr/>
      </w:pPr>
      <w:r>
        <w:rPr>
          <w:rStyle w:val="Funotenzeichen"/>
        </w:rPr>
        <w:footnoteRef/>
      </w:r>
      <w:r>
        <w:rPr>
          <w:i/>
        </w:rPr>
        <w:tab/>
        <w:t>Dalmanuta</w:t>
      </w:r>
      <w:r>
        <w:rPr/>
        <w:t xml:space="preserve">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857">
    <w:p>
      <w:pPr>
        <w:pStyle w:val="Funote"/>
        <w:rPr/>
      </w:pPr>
      <w:r>
        <w:rPr>
          <w:rStyle w:val="Funotenzeichen"/>
        </w:rPr>
        <w:footnoteRef/>
      </w:r>
      <w:r>
        <w:rPr/>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858">
    <w:p>
      <w:pPr>
        <w:pStyle w:val="Funote"/>
        <w:rPr/>
      </w:pPr>
      <w:r>
        <w:rPr>
          <w:rStyle w:val="Funotenzeichen"/>
        </w:rPr>
        <w:footnoteRef/>
      </w:r>
      <w:r>
        <w:rPr/>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859">
    <w:p>
      <w:pPr>
        <w:pStyle w:val="Funote"/>
        <w:rPr/>
      </w:pPr>
      <w:r>
        <w:rPr>
          <w:rStyle w:val="Funotenzeichen"/>
        </w:rPr>
        <w:footnoteRef/>
      </w:r>
      <w:r>
        <w:rPr/>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860">
    <w:p>
      <w:pPr>
        <w:pStyle w:val="Funote"/>
        <w:rPr/>
      </w:pPr>
      <w:r>
        <w:rPr>
          <w:rStyle w:val="Funotenzeichen"/>
        </w:rPr>
        <w:footnoteRef/>
      </w:r>
      <w:r>
        <w:rPr/>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861">
    <w:p>
      <w:pPr>
        <w:pStyle w:val="Funote"/>
        <w:rPr/>
      </w:pPr>
      <w:r>
        <w:rPr>
          <w:rStyle w:val="Funotenzeichen"/>
        </w:rPr>
        <w:footnoteRef/>
      </w:r>
      <w:r>
        <w:rPr>
          <w:i/>
        </w:rPr>
        <w:tab/>
        <w:t>stöhnte (seufzte) … auf und</w:t>
      </w:r>
      <w:r>
        <w:rPr/>
        <w:t xml:space="preserve"> Modales </w:t>
      </w:r>
      <w:hyperlink r:id="rId354">
        <w:r>
          <w:rPr>
            <w:rStyle w:val="Internetverknpfung"/>
          </w:rPr>
          <w:t>Ptz. conj.</w:t>
        </w:r>
      </w:hyperlink>
      <w:r>
        <w:rPr/>
        <w:t>, beigeordnet aufgelöst.</w:t>
      </w:r>
    </w:p>
  </w:footnote>
  <w:footnote w:id="1862">
    <w:p>
      <w:pPr>
        <w:pStyle w:val="Funote"/>
        <w:rPr/>
      </w:pPr>
      <w:r>
        <w:rPr>
          <w:rStyle w:val="Funotenzeichen"/>
        </w:rPr>
        <w:footnoteRef/>
      </w:r>
      <w:r>
        <w:rPr/>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863">
    <w:p>
      <w:pPr>
        <w:pStyle w:val="Funote"/>
        <w:rPr/>
      </w:pPr>
      <w:r>
        <w:rPr>
          <w:rStyle w:val="Funotenzeichen"/>
        </w:rPr>
        <w:footnoteRef/>
      </w:r>
      <w:r>
        <w:rPr/>
        <w:tab/>
        <w:t>Diese Generation (dieses Pack) ist in Mk beinahe ein Schimpfwort, vgl. deutlich noch Mk 8,38; 9,19 (dazu auch FN ba); ad loc. z.B. van Iersel 1998, S. 262; allgemein EWNT I, S. 294; TWNT I, S. 661 u.ö. Sehr gut daher B/N: »Dieses Pack«.</w:t>
      </w:r>
    </w:p>
  </w:footnote>
  <w:footnote w:id="1864">
    <w:p>
      <w:pPr>
        <w:pStyle w:val="Funote"/>
        <w:rPr/>
      </w:pPr>
      <w:r>
        <w:rPr>
          <w:rStyle w:val="Funotenzeichen"/>
        </w:rPr>
        <w:footnoteRef/>
      </w:r>
      <w:r>
        <w:rPr>
          <w:i/>
        </w:rPr>
        <w:tab/>
        <w:t>er ließ sie [stehen]</w:t>
      </w:r>
      <w:r>
        <w:rPr/>
        <w:t xml:space="preserve"> Temporales </w:t>
      </w:r>
      <w:hyperlink r:id="rId355">
        <w:r>
          <w:rPr>
            <w:rStyle w:val="Internetverknpfung"/>
          </w:rPr>
          <w:t>Ptz. conj.</w:t>
        </w:r>
      </w:hyperlink>
      <w:r>
        <w:rPr/>
        <w:t>, beigeordnet aufgelöst.</w:t>
      </w:r>
    </w:p>
  </w:footnote>
  <w:footnote w:id="1865">
    <w:p>
      <w:pPr>
        <w:pStyle w:val="Funote"/>
        <w:rPr/>
      </w:pPr>
      <w:r>
        <w:rPr>
          <w:rStyle w:val="Funotenzeichen"/>
        </w:rPr>
        <w:footnoteRef/>
      </w:r>
      <w:r>
        <w:rPr>
          <w:i/>
        </w:rPr>
        <w:tab/>
        <w:t>Sie</w:t>
      </w:r>
      <w:r>
        <w:rPr/>
        <w:t xml:space="preserve"> Die meisten Übersetzungen übersetzen sinngemäß „die Jünger“, nicht „sie“, aber es gibt keinen direkten Anhaltspunkt dafür, dass Jesus davon auszunehmen ist.</w:t>
      </w:r>
    </w:p>
  </w:footnote>
  <w:footnote w:id="1866">
    <w:p>
      <w:pPr>
        <w:pStyle w:val="Funote"/>
        <w:rPr/>
      </w:pPr>
      <w:r>
        <w:rPr>
          <w:rStyle w:val="Funotenzeichen"/>
        </w:rPr>
        <w:footnoteRef/>
      </w:r>
      <w:r>
        <w:rPr>
          <w:i/>
        </w:rPr>
        <w:tab/>
        <w:t>sie hatten vergessen (vergaßen)</w:t>
      </w:r>
      <w:r>
        <w:rPr/>
        <w:t xml:space="preserve"> Der Aorist wird hier wohl mit vorzeitiger Bedeutung benutzt.</w:t>
      </w:r>
    </w:p>
  </w:footnote>
  <w:footnote w:id="1867">
    <w:p>
      <w:pPr>
        <w:pStyle w:val="Funote"/>
        <w:rPr/>
      </w:pPr>
      <w:r>
        <w:rPr>
          <w:rStyle w:val="Funotenzeichen"/>
        </w:rPr>
        <w:footnoteRef/>
      </w:r>
      <w:r>
        <w:rPr/>
        <w:tab/>
        <w:t>schärfte ihnen ein Das Verb steht im Imperfekt, was wohl impliziert, dass diese Aussage einen etwas längeren Diskurs zusammenfasst (oder eine häufige Aussage Jesu darstellt) (France 2002, 315). {sagend} Pleonastisches Partizip.</w:t>
      </w:r>
    </w:p>
  </w:footnote>
  <w:footnote w:id="1868">
    <w:p>
      <w:pPr>
        <w:pStyle w:val="Funote"/>
        <w:rPr/>
      </w:pPr>
      <w:r>
        <w:rPr>
          <w:rStyle w:val="Funotenzeichen"/>
        </w:rPr>
        <w:footnoteRef/>
      </w:r>
      <w:r>
        <w:rPr/>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869">
    <w:p>
      <w:pPr>
        <w:pStyle w:val="Funote"/>
        <w:rPr/>
      </w:pPr>
      <w:r>
        <w:rPr>
          <w:rStyle w:val="Funotenzeichen"/>
        </w:rPr>
        <w:footnoteRef/>
      </w:r>
      <w:r>
        <w:rPr/>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870">
    <w:p>
      <w:pPr>
        <w:pStyle w:val="Funote"/>
        <w:rPr/>
      </w:pPr>
      <w:r>
        <w:rPr>
          <w:rStyle w:val="Funotenzeichen"/>
        </w:rPr>
        <w:footnoteRef/>
      </w:r>
      <w:r>
        <w:rPr>
          <w:i/>
        </w:rPr>
        <w:tab/>
        <w:t>der (als er, weil er) Bescheid wusste ([das] bemerkte)</w:t>
      </w:r>
      <w:r>
        <w:rPr/>
        <w:t xml:space="preserve"> Modal-temporales </w:t>
      </w:r>
      <w:hyperlink r:id="rId356">
        <w:r>
          <w:rPr>
            <w:rStyle w:val="Internetverknpfung"/>
          </w:rPr>
          <w:t>Ptz. conj.</w:t>
        </w:r>
      </w:hyperlink>
      <w:r>
        <w:rPr/>
        <w:t xml:space="preserve"> (oder </w:t>
      </w:r>
      <w:hyperlink r:id="rId357">
        <w:r>
          <w:rPr>
            <w:rStyle w:val="Internetverknpfung"/>
          </w:rPr>
          <w:t>attr. Ptz.</w:t>
        </w:r>
      </w:hyperlink>
      <w:r>
        <w:rPr/>
        <w:t>), hier als Relativsatz aufgelöst.</w:t>
      </w:r>
    </w:p>
  </w:footnote>
  <w:footnote w:id="1871">
    <w:p>
      <w:pPr>
        <w:pStyle w:val="Funote"/>
        <w:rPr/>
      </w:pPr>
      <w:r>
        <w:rPr>
          <w:rStyle w:val="Funotenzeichen"/>
        </w:rPr>
        <w:footnoteRef/>
      </w:r>
      <w:r>
        <w:rPr>
          <w:i/>
        </w:rPr>
        <w:tab/>
        <w:t>diskutiert ihr (macht ihr euch Gedanken)</w:t>
      </w:r>
      <w:r>
        <w:rPr/>
        <w:t xml:space="preserve"> Zur Abwägung zwischen den beiden Alternativen s. die Fußnote im vorigen Vers.</w:t>
      </w:r>
    </w:p>
  </w:footnote>
  <w:footnote w:id="1872">
    <w:p>
      <w:pPr>
        <w:pStyle w:val="Funote"/>
        <w:rPr/>
      </w:pPr>
      <w:r>
        <w:rPr>
          <w:rStyle w:val="Funotenzeichen"/>
        </w:rPr>
        <w:footnoteRef/>
      </w:r>
      <w:r>
        <w:rPr>
          <w:i/>
        </w:rPr>
        <w:tab/>
        <w:t>und … [denn immer] noch nicht</w:t>
      </w:r>
      <w:r>
        <w:rPr/>
        <w:t xml:space="preserve">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873">
    <w:p>
      <w:pPr>
        <w:pStyle w:val="Funote"/>
        <w:rPr/>
      </w:pPr>
      <w:r>
        <w:rPr>
          <w:rStyle w:val="Funotenzeichen"/>
        </w:rPr>
        <w:footnoteRef/>
      </w:r>
      <w:r>
        <w:rPr/>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874">
    <w:p>
      <w:pPr>
        <w:pStyle w:val="Funote"/>
        <w:rPr/>
      </w:pPr>
      <w:r>
        <w:rPr>
          <w:rStyle w:val="Funotenzeichen"/>
        </w:rPr>
        <w:footnoteRef/>
      </w:r>
      <w:r>
        <w:rPr/>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875">
    <w:p>
      <w:pPr>
        <w:pStyle w:val="Funote"/>
        <w:rPr/>
      </w:pPr>
      <w:r>
        <w:rPr>
          <w:rStyle w:val="Funotenzeichen"/>
        </w:rPr>
        <w:footnoteRef/>
      </w:r>
      <w:r>
        <w:rPr/>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876">
    <w:p>
      <w:pPr>
        <w:pStyle w:val="Funote"/>
        <w:rPr/>
      </w:pPr>
      <w:r>
        <w:rPr>
          <w:rStyle w:val="Funotenzeichen"/>
        </w:rPr>
        <w:footnoteRef/>
      </w:r>
      <w:r>
        <w:rPr/>
        <w:tab/>
        <w:t>Brote … zerbrochen habe »Brote zerbrechen« steht hier als metonymisches Idiom dafür, dass Jesus sie mit Nahrung versorgt hat (vgl. LN 23.20).</w:t>
      </w:r>
    </w:p>
  </w:footnote>
  <w:footnote w:id="1877">
    <w:p>
      <w:pPr>
        <w:pStyle w:val="Funote"/>
        <w:rPr/>
      </w:pPr>
      <w:r>
        <w:rPr>
          <w:rStyle w:val="Funotenzeichen"/>
        </w:rPr>
        <w:footnoteRef/>
      </w:r>
      <w:r>
        <w:rPr>
          <w:i/>
        </w:rPr>
        <w:tab/>
        <w:t>sagte er (fuhr fort)</w:t>
      </w:r>
      <w:r>
        <w:rPr/>
        <w:t xml:space="preserve"> Das </w:t>
      </w:r>
      <w:hyperlink r:id="rId358">
        <w:r>
          <w:rPr>
            <w:rStyle w:val="Internetverknpfung"/>
          </w:rPr>
          <w:t>Imperfekt</w:t>
        </w:r>
      </w:hyperlink>
      <w:r>
        <w:rPr/>
        <w:t xml:space="preserve"> zeigt hier wohl einfach an, dass Jesus weitersprach oder fortfuhr.</w:t>
      </w:r>
    </w:p>
  </w:footnote>
  <w:footnote w:id="1878">
    <w:p>
      <w:pPr>
        <w:pStyle w:val="Funote"/>
        <w:rPr/>
      </w:pPr>
      <w:r>
        <w:rPr>
          <w:rStyle w:val="Funotenzeichen"/>
        </w:rPr>
        <w:footnoteRef/>
      </w:r>
      <w:r>
        <w:rPr/>
        <w:tab/>
        <w:t>Als, ({Und} ... {und}) W. „und … und“, hier als temporales Satzgefüge verstanden (vgl. Reiser 1983, 119).</w:t>
      </w:r>
    </w:p>
  </w:footnote>
  <w:footnote w:id="1879">
    <w:p>
      <w:pPr>
        <w:pStyle w:val="Funote"/>
        <w:rPr/>
      </w:pPr>
      <w:r>
        <w:rPr>
          <w:rStyle w:val="Funotenzeichen"/>
        </w:rPr>
        <w:footnoteRef/>
      </w:r>
      <w:r>
        <w:rPr>
          <w:i/>
        </w:rPr>
        <w:tab/>
        <w:t>er nahm … und</w:t>
      </w:r>
      <w:r>
        <w:rPr/>
        <w:t xml:space="preserve"> </w:t>
      </w:r>
      <w:hyperlink r:id="rId359">
        <w:r>
          <w:rPr>
            <w:rStyle w:val="Internetverknpfung"/>
          </w:rPr>
          <w:t>Ptz. conj.</w:t>
        </w:r>
      </w:hyperlink>
      <w:r>
        <w:rPr/>
        <w:t>, beigeordnet aufgelöst.</w:t>
      </w:r>
    </w:p>
  </w:footnote>
  <w:footnote w:id="1880">
    <w:p>
      <w:pPr>
        <w:pStyle w:val="Funote"/>
        <w:rPr/>
      </w:pPr>
      <w:r>
        <w:rPr>
          <w:rStyle w:val="Funotenzeichen"/>
        </w:rPr>
        <w:footnoteRef/>
      </w:r>
      <w:r>
        <w:rPr>
          <w:i/>
        </w:rPr>
        <w:tab/>
        <w:t>gespuckt</w:t>
      </w:r>
      <w:r>
        <w:rPr/>
        <w:t xml:space="preserve"> Zur Funktion von Spucke in Wunderheilungen vgl. </w:t>
      </w:r>
      <w:r>
        <w:fldChar w:fldCharType="begin"/>
      </w:r>
      <w:r>
        <w:rPr>
          <w:rStyle w:val="Internetverknpfung"/>
        </w:rPr>
        <w:instrText> HYPERLINK "http://www.offene-bibel.de/wiki/index.php5?title=Markus_7" \l "note_bf"</w:instrText>
      </w:r>
      <w:r>
        <w:rPr>
          <w:rStyle w:val="Internetverknpfung"/>
        </w:rPr>
        <w:fldChar w:fldCharType="separate"/>
      </w:r>
      <w:r>
        <w:rPr>
          <w:rStyle w:val="Internetverknpfung"/>
        </w:rPr>
        <w:t>FN bf</w:t>
      </w:r>
      <w:r>
        <w:rPr>
          <w:rStyle w:val="Internetverknpfung"/>
        </w:rPr>
        <w:fldChar w:fldCharType="end"/>
      </w:r>
      <w:r>
        <w:rPr/>
        <w:t xml:space="preserve"> zu </w:t>
      </w:r>
      <w:r>
        <w:fldChar w:fldCharType="begin"/>
      </w:r>
      <w:r>
        <w:rPr>
          <w:rStyle w:val="Internetverknpfung"/>
        </w:rPr>
        <w:instrText> HYPERLINK "../../../../../../../../../wiki/Markus_7" \l "s33"</w:instrText>
      </w:r>
      <w:r>
        <w:rPr>
          <w:rStyle w:val="Internetverknpfung"/>
        </w:rPr>
        <w:fldChar w:fldCharType="separate"/>
      </w:r>
      <w:r>
        <w:rPr>
          <w:rStyle w:val="Internetverknpfung"/>
        </w:rPr>
        <w:t>Mk 7,33</w:t>
      </w:r>
      <w:r>
        <w:rPr>
          <w:rStyle w:val="Internetverknpfung"/>
        </w:rPr>
        <w:fldChar w:fldCharType="end"/>
      </w:r>
      <w:r>
        <w:rPr/>
        <w:t xml:space="preserve">. Ähnlich wie dort wird auch hier der Brauch des Ausspeiens durch das Motiv des Auflegens der Hände erweitert, das eine für Jesus typische „Medikation“ bei Wunderheilungen gewesen zu sein scheint (s. noch </w:t>
      </w:r>
      <w:r>
        <w:fldChar w:fldCharType="begin"/>
      </w:r>
      <w:r>
        <w:rPr>
          <w:rStyle w:val="Internetverknpfung"/>
        </w:rPr>
        <w:instrText> HYPERLINK "../../../../../../../../../wiki/Markus_1" \l "s41"</w:instrText>
      </w:r>
      <w:r>
        <w:rPr>
          <w:rStyle w:val="Internetverknpfung"/>
        </w:rPr>
        <w:fldChar w:fldCharType="separate"/>
      </w:r>
      <w:r>
        <w:rPr>
          <w:rStyle w:val="Internetverknpfung"/>
        </w:rPr>
        <w:t>Mk 1,41</w:t>
      </w:r>
      <w:r>
        <w:rPr>
          <w:rStyle w:val="Internetverknpfung"/>
        </w:rPr>
        <w:fldChar w:fldCharType="end"/>
      </w:r>
      <w:r>
        <w:rPr/>
        <w:t xml:space="preserve">; </w:t>
      </w:r>
      <w:r>
        <w:fldChar w:fldCharType="begin"/>
      </w:r>
      <w:r>
        <w:rPr>
          <w:rStyle w:val="Internetverknpfung"/>
        </w:rPr>
        <w:instrText> HYPERLINK "../../../../../../../../../wiki/Markus_5" \l "s23"</w:instrText>
      </w:r>
      <w:r>
        <w:rPr>
          <w:rStyle w:val="Internetverknpfung"/>
        </w:rPr>
        <w:fldChar w:fldCharType="separate"/>
      </w:r>
      <w:r>
        <w:rPr>
          <w:rStyle w:val="Internetverknpfung"/>
        </w:rPr>
        <w:t>5,23</w:t>
      </w:r>
      <w:r>
        <w:rPr>
          <w:rStyle w:val="Internetverknpfung"/>
        </w:rPr>
        <w:fldChar w:fldCharType="end"/>
      </w:r>
      <w:r>
        <w:rPr/>
        <w:t>).</w:t>
      </w:r>
    </w:p>
  </w:footnote>
  <w:footnote w:id="1881">
    <w:p>
      <w:pPr>
        <w:pStyle w:val="Funote"/>
        <w:rPr/>
      </w:pPr>
      <w:r>
        <w:rPr>
          <w:rStyle w:val="Funotenzeichen"/>
        </w:rPr>
        <w:footnoteRef/>
      </w:r>
      <w:r>
        <w:rPr>
          <w:i/>
        </w:rPr>
        <w:tab/>
        <w:t>nachdem er … gespuckt und … aufgelegt hatte</w:t>
      </w:r>
      <w:r>
        <w:rPr/>
        <w:t xml:space="preserve"> Temp. </w:t>
      </w:r>
      <w:hyperlink r:id="rId360">
        <w:r>
          <w:rPr>
            <w:rStyle w:val="Internetverknpfung"/>
          </w:rPr>
          <w:t>Ptz. conj.</w:t>
        </w:r>
      </w:hyperlink>
      <w:r>
        <w:rPr/>
        <w:t xml:space="preserve"> (2x), als Nebensatz aufgelöst.</w:t>
      </w:r>
    </w:p>
  </w:footnote>
  <w:footnote w:id="1882">
    <w:p>
      <w:pPr>
        <w:pStyle w:val="Funote"/>
        <w:rPr/>
      </w:pPr>
      <w:r>
        <w:rPr>
          <w:rStyle w:val="Funotenzeichen"/>
        </w:rPr>
        <w:footnoteRef/>
      </w:r>
      <w:r>
        <w:rPr/>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883">
    <w:p>
      <w:pPr>
        <w:pStyle w:val="Funote"/>
        <w:rPr/>
      </w:pPr>
      <w:r>
        <w:rPr>
          <w:rStyle w:val="Funotenzeichen"/>
        </w:rPr>
        <w:footnoteRef/>
      </w:r>
      <w:r>
        <w:rPr/>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884">
    <w:p>
      <w:pPr>
        <w:pStyle w:val="Funote"/>
        <w:rPr/>
      </w:pPr>
      <w:r>
        <w:rPr>
          <w:rStyle w:val="Funotenzeichen"/>
        </w:rPr>
        <w:footnoteRef/>
      </w:r>
      <w:r>
        <w:rPr/>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885">
    <w:p>
      <w:pPr>
        <w:pStyle w:val="Funote"/>
        <w:rPr/>
      </w:pPr>
      <w:r>
        <w:rPr>
          <w:rStyle w:val="Funotenzeichen"/>
        </w:rPr>
        <w:footnoteRef/>
      </w:r>
      <w:r>
        <w:rPr/>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886">
    <w:p>
      <w:pPr>
        <w:pStyle w:val="Funote"/>
        <w:rPr/>
      </w:pPr>
      <w:r>
        <w:rPr>
          <w:rStyle w:val="Funotenzeichen"/>
        </w:rPr>
        <w:footnoteRef/>
      </w:r>
      <w:r>
        <w:rPr/>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887">
    <w:p>
      <w:pPr>
        <w:pStyle w:val="Funote"/>
        <w:rPr/>
      </w:pPr>
      <w:r>
        <w:rPr>
          <w:rStyle w:val="Funotenzeichen"/>
        </w:rPr>
        <w:footnoteRef/>
      </w:r>
      <w:r>
        <w:rPr>
          <w:i/>
        </w:rPr>
        <w:tab/>
        <w:t>wobei er ihm auftrug (sagte)</w:t>
      </w:r>
      <w:r>
        <w:rPr/>
        <w:t xml:space="preserve"> Modales </w:t>
      </w:r>
      <w:hyperlink r:id="rId361">
        <w:r>
          <w:rPr>
            <w:rStyle w:val="Internetverknpfung"/>
          </w:rPr>
          <w:t>Ptz. conj.</w:t>
        </w:r>
      </w:hyperlink>
      <w:r>
        <w:rPr/>
        <w:t>, als Nebensatz aufgelöst. Eine andere Möglichkeit wäre „mit den (folgenden) Worten“.</w:t>
      </w:r>
    </w:p>
  </w:footnote>
  <w:footnote w:id="1888">
    <w:p>
      <w:pPr>
        <w:pStyle w:val="Funote"/>
        <w:rPr/>
      </w:pPr>
      <w:r>
        <w:rPr>
          <w:rStyle w:val="Funotenzeichen"/>
        </w:rPr>
        <w:footnoteRef/>
      </w:r>
      <w:r>
        <w:rPr/>
        <w:tab/>
        <w:t>»Geh auch nicht ins Dorf!« Das ist offenbar so zu verstehen, dass der Mann nicht direkt in Betsaida (=dem Dorf) lebte. Vgl. GNB: »Geh nicht erst nach Betsaida hinein, sondern geh gleich nach Hause!«</w:t>
      </w:r>
    </w:p>
  </w:footnote>
  <w:footnote w:id="1889">
    <w:p>
      <w:pPr>
        <w:pStyle w:val="Funote"/>
        <w:rPr/>
      </w:pPr>
      <w:r>
        <w:rPr>
          <w:rStyle w:val="Funotenzeichen"/>
        </w:rPr>
        <w:footnoteRef/>
      </w:r>
      <w:r>
        <w:rPr/>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890">
    <w:p>
      <w:pPr>
        <w:pStyle w:val="Funote"/>
        <w:rPr/>
      </w:pPr>
      <w:r>
        <w:rPr>
          <w:rStyle w:val="Funotenzeichen"/>
        </w:rPr>
        <w:footnoteRef/>
      </w:r>
      <w:r>
        <w:rPr>
          <w:i/>
        </w:rPr>
        <w:tab/>
        <w:t>{und sagte}</w:t>
      </w:r>
      <w:r>
        <w:rPr/>
        <w:t xml:space="preserve"> </w:t>
      </w:r>
      <w:hyperlink r:id="rId362">
        <w:r>
          <w:rPr>
            <w:rStyle w:val="Internetverknpfung"/>
          </w:rPr>
          <w:t>Pleonastisches Partizip</w:t>
        </w:r>
      </w:hyperlink>
      <w:r>
        <w:rPr/>
        <w:t>.</w:t>
      </w:r>
    </w:p>
  </w:footnote>
  <w:footnote w:id="1891">
    <w:p>
      <w:pPr>
        <w:pStyle w:val="Funote"/>
        <w:rPr/>
      </w:pPr>
      <w:r>
        <w:rPr>
          <w:rStyle w:val="Funotenzeichen"/>
        </w:rPr>
        <w:footnoteRef/>
      </w:r>
      <w:r>
        <w:rPr/>
        <w:tab/>
        <w:t>„</w:t>
      </w:r>
      <w:r>
        <w:rPr>
          <w:i/>
        </w:rPr>
        <w:t>Für wen halten mich die Leute?“</w:t>
      </w:r>
      <w:r>
        <w:rPr/>
        <w:t xml:space="preserve"> Oder „Was sagen die Leute (Menschen), wer ich bin?“ W. etwa „Wen sagen/halten die Leute mich zu sein?“ (</w:t>
      </w:r>
      <w:hyperlink r:id="rId363">
        <w:r>
          <w:rPr>
            <w:rStyle w:val="Internetverknpfung"/>
          </w:rPr>
          <w:t>AcI</w:t>
        </w:r>
      </w:hyperlink>
      <w:r>
        <w:rPr/>
        <w:t>)</w:t>
      </w:r>
    </w:p>
  </w:footnote>
  <w:footnote w:id="1892">
    <w:p>
      <w:pPr>
        <w:pStyle w:val="Funote"/>
        <w:rPr/>
      </w:pPr>
      <w:r>
        <w:rPr>
          <w:rStyle w:val="Funotenzeichen"/>
        </w:rPr>
        <w:footnoteRef/>
      </w:r>
      <w:r>
        <w:rPr>
          <w:i/>
        </w:rPr>
        <w:tab/>
        <w:t>{sagend}</w:t>
      </w:r>
      <w:r>
        <w:rPr/>
        <w:t xml:space="preserve"> </w:t>
      </w:r>
      <w:hyperlink r:id="rId364">
        <w:r>
          <w:rPr>
            <w:rStyle w:val="Internetverknpfung"/>
          </w:rPr>
          <w:t>Pleonastisches Partizip</w:t>
        </w:r>
      </w:hyperlink>
      <w:r>
        <w:rPr/>
        <w:t>.</w:t>
      </w:r>
    </w:p>
  </w:footnote>
  <w:footnote w:id="1893">
    <w:p>
      <w:pPr>
        <w:pStyle w:val="Funote"/>
        <w:rPr/>
      </w:pPr>
      <w:r>
        <w:rPr>
          <w:rStyle w:val="Funotenzeichen"/>
        </w:rPr>
        <w:footnoteRef/>
      </w:r>
      <w:r>
        <w:rPr>
          <w:i/>
        </w:rPr>
        <w:tab/>
        <w:t>Für wen haltet ihr mich?</w:t>
      </w:r>
      <w:r>
        <w:rPr/>
        <w:t xml:space="preserve"> W. etwa „Ihr aber, wen sagt/haltet ihr mich zu sein?“ (</w:t>
      </w:r>
      <w:hyperlink r:id="rId365">
        <w:r>
          <w:rPr>
            <w:rStyle w:val="Internetverknpfung"/>
          </w:rPr>
          <w:t>AcI</w:t>
        </w:r>
      </w:hyperlink>
      <w:r>
        <w:rPr/>
        <w:t>. Vgl. die Frage in V. 27)</w:t>
      </w:r>
    </w:p>
  </w:footnote>
  <w:footnote w:id="1894">
    <w:p>
      <w:pPr>
        <w:pStyle w:val="Funote"/>
        <w:rPr/>
      </w:pPr>
      <w:r>
        <w:rPr>
          <w:rStyle w:val="Funotenzeichen"/>
        </w:rPr>
        <w:footnoteRef/>
      </w:r>
      <w:r>
        <w:rPr>
          <w:i/>
        </w:rPr>
        <w:tab/>
        <w:t>{antwortend}</w:t>
      </w:r>
      <w:r>
        <w:rPr/>
        <w:t xml:space="preserve"> </w:t>
      </w:r>
      <w:hyperlink r:id="rId366">
        <w:r>
          <w:rPr>
            <w:rStyle w:val="Internetverknpfung"/>
          </w:rPr>
          <w:t>Pleonastisches Partizip</w:t>
        </w:r>
      </w:hyperlink>
      <w:r>
        <w:rPr/>
        <w:t>; übersetze schlicht: „Petrus antwortete:...“</w:t>
      </w:r>
    </w:p>
  </w:footnote>
  <w:footnote w:id="1895">
    <w:p>
      <w:pPr>
        <w:pStyle w:val="Funote"/>
        <w:rPr/>
      </w:pPr>
      <w:r>
        <w:rPr>
          <w:rStyle w:val="Funotenzeichen"/>
        </w:rPr>
        <w:footnoteRef/>
      </w:r>
      <w:r>
        <w:rPr/>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896">
    <w:p>
      <w:pPr>
        <w:pStyle w:val="Funote"/>
        <w:rPr/>
      </w:pPr>
      <w:r>
        <w:rPr>
          <w:rStyle w:val="Funotenzeichen"/>
        </w:rPr>
        <w:footnoteRef/>
      </w:r>
      <w:r>
        <w:rPr/>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897">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1898">
    <w:p>
      <w:pPr>
        <w:pStyle w:val="Funote"/>
        <w:rPr/>
      </w:pPr>
      <w:r>
        <w:rPr>
          <w:rStyle w:val="Funotenzeichen"/>
        </w:rPr>
        <w:footnoteRef/>
      </w:r>
      <w:r>
        <w:rPr/>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899">
    <w:p>
      <w:pPr>
        <w:pStyle w:val="Funote"/>
        <w:rPr/>
      </w:pPr>
      <w:r>
        <w:rPr>
          <w:rStyle w:val="Funotenzeichen"/>
        </w:rPr>
        <w:footnoteRef/>
      </w:r>
      <w:r>
        <w:rPr/>
        <w:tab/>
        <w:t>er sagte das ganz offen W. „Diese Aussage machte er mit Offenheit“ (instr. Dat.); gut MEN, ZÜR: „und er sprach das ganz offen aus“, EÜ (vgl. NGÜ): „er redete ganz offen darüber“. Markus bezieht sich hier speziell auf die Lehre aus V. 31 (France 2002, 337).</w:t>
      </w:r>
    </w:p>
  </w:footnote>
  <w:footnote w:id="1900">
    <w:p>
      <w:pPr>
        <w:pStyle w:val="Funote"/>
        <w:rPr/>
      </w:pPr>
      <w:r>
        <w:rPr>
          <w:rStyle w:val="Funotenzeichen"/>
        </w:rPr>
        <w:footnoteRef/>
      </w:r>
      <w:r>
        <w:rPr/>
        <w:tab/>
        <w:t>begann, missbilligend auf ihn einzureden W. „tadeln, zurechtweisen“. Gemeint ist, dass Petrus Jesus solche düsteren Vorhersagen ausreden und ihn zur Vernunft bringen möchte. GNB: „wollte ihm das ausreden“, MEN: „begann auf ihn einzureden“.</w:t>
      </w:r>
    </w:p>
  </w:footnote>
  <w:footnote w:id="1901">
    <w:p>
      <w:pPr>
        <w:pStyle w:val="Funote"/>
        <w:rPr/>
      </w:pPr>
      <w:r>
        <w:rPr>
          <w:rStyle w:val="Funotenzeichen"/>
        </w:rPr>
        <w:footnoteRef/>
      </w:r>
      <w:r>
        <w:rPr/>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902">
    <w:p>
      <w:pPr>
        <w:pStyle w:val="Funote"/>
        <w:rPr/>
      </w:pPr>
      <w:r>
        <w:rPr>
          <w:rStyle w:val="Funotenzeichen"/>
        </w:rPr>
        <w:footnoteRef/>
      </w:r>
      <w:r>
        <w:rPr/>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903">
    <w:p>
      <w:pPr>
        <w:pStyle w:val="Funote"/>
        <w:rPr/>
      </w:pPr>
      <w:r>
        <w:rPr>
          <w:rStyle w:val="Funotenzeichen"/>
        </w:rPr>
        <w:footnoteRef/>
      </w:r>
      <w:r>
        <w:rPr/>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904">
    <w:p>
      <w:pPr>
        <w:pStyle w:val="Funote"/>
        <w:rPr/>
      </w:pPr>
      <w:r>
        <w:rPr>
          <w:rStyle w:val="Funotenzeichen"/>
        </w:rPr>
        <w:footnoteRef/>
      </w:r>
      <w:r>
        <w:rPr/>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905">
    <w:p>
      <w:pPr>
        <w:pStyle w:val="Funote"/>
        <w:rPr/>
      </w:pPr>
      <w:r>
        <w:rPr>
          <w:rStyle w:val="Funotenzeichen"/>
        </w:rPr>
        <w:footnoteRef/>
      </w:r>
      <w:r>
        <w:rPr>
          <w:i/>
        </w:rPr>
        <w:tab/>
        <w:t>rief zu sich … und</w:t>
      </w:r>
      <w:r>
        <w:rPr/>
        <w:t xml:space="preserve"> Temporales </w:t>
      </w:r>
      <w:hyperlink r:id="rId367">
        <w:r>
          <w:rPr>
            <w:rStyle w:val="Internetverknpfung"/>
          </w:rPr>
          <w:t>Ptz. conj.</w:t>
        </w:r>
      </w:hyperlink>
      <w:r>
        <w:rPr/>
        <w:t>, beigeordnet aufgelöst.</w:t>
      </w:r>
    </w:p>
  </w:footnote>
  <w:footnote w:id="1906">
    <w:p>
      <w:pPr>
        <w:pStyle w:val="Funote"/>
        <w:rPr/>
      </w:pPr>
      <w:r>
        <w:rPr>
          <w:rStyle w:val="Funotenzeichen"/>
        </w:rPr>
        <w:footnoteRef/>
      </w:r>
      <w:r>
        <w:rPr/>
        <w:tab/>
        <w:t>mir nachfolgen W. »hinter mir gehen« (vgl. Mk 1,17; 2,14). Manche Übersetzungen: »Wer mein Jünger sein will...« (EÜ, NGÜ) Genau das hat Jesus hier im Blick (France 2002, 339; Pryke 1978, S. 41).</w:t>
      </w:r>
    </w:p>
  </w:footnote>
  <w:footnote w:id="1907">
    <w:p>
      <w:pPr>
        <w:pStyle w:val="Funote"/>
        <w:rPr/>
      </w:pPr>
      <w:r>
        <w:rPr>
          <w:rStyle w:val="Funotenzeichen"/>
        </w:rPr>
        <w:footnoteRef/>
      </w:r>
      <w:r>
        <w:rPr/>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908">
    <w:p>
      <w:pPr>
        <w:pStyle w:val="Funote"/>
        <w:rPr/>
      </w:pPr>
      <w:r>
        <w:rPr>
          <w:rStyle w:val="Funotenzeichen"/>
        </w:rPr>
        <w:footnoteRef/>
      </w:r>
      <w:r>
        <w:rPr/>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909">
    <w:p>
      <w:pPr>
        <w:pStyle w:val="Funote"/>
        <w:rPr/>
      </w:pPr>
      <w:r>
        <w:rPr>
          <w:rStyle w:val="Funotenzeichen"/>
        </w:rPr>
        <w:footnoteRef/>
      </w:r>
      <w:r>
        <w:rPr/>
        <w:tab/>
        <w:t>die gesamte Welt zu gewinnen Das heißt im übertragenen Sinn, (im diesseitigen Leben) den größtmöglichen Erfolg zu erzielen (France 2002, 341).</w:t>
      </w:r>
    </w:p>
  </w:footnote>
  <w:footnote w:id="1910">
    <w:p>
      <w:pPr>
        <w:pStyle w:val="Funote"/>
        <w:rPr/>
      </w:pPr>
      <w:r>
        <w:rPr>
          <w:rStyle w:val="Funotenzeichen"/>
        </w:rPr>
        <w:footnoteRef/>
      </w:r>
      <w:r>
        <w:rPr/>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911">
    <w:p>
      <w:pPr>
        <w:pStyle w:val="Funote"/>
        <w:rPr/>
      </w:pPr>
      <w:r>
        <w:rPr>
          <w:rStyle w:val="Funotenzeichen"/>
        </w:rPr>
        <w:footnoteRef/>
      </w:r>
      <w:r>
        <w:rPr>
          <w:i/>
        </w:rPr>
        <w:tab/>
        <w:t>Generation (Pack)</w:t>
      </w:r>
      <w:r>
        <w:rPr/>
        <w:t xml:space="preserve"> - zu diesem Ausdruck s. </w:t>
      </w:r>
      <w:r>
        <w:fldChar w:fldCharType="begin"/>
      </w:r>
      <w:r>
        <w:rPr>
          <w:rStyle w:val="Internetverknpfung"/>
        </w:rPr>
        <w:instrText> HYPERLINK "http://www.offene-bibel.de/wiki/index.php5?title=Markus_8" \l "note_o"</w:instrText>
      </w:r>
      <w:r>
        <w:rPr>
          <w:rStyle w:val="Internetverknpfung"/>
        </w:rPr>
        <w:fldChar w:fldCharType="separate"/>
      </w:r>
      <w:r>
        <w:rPr>
          <w:rStyle w:val="Internetverknpfung"/>
        </w:rPr>
        <w:t>FN o</w:t>
      </w:r>
      <w:r>
        <w:rPr>
          <w:rStyle w:val="Internetverknpfung"/>
        </w:rPr>
        <w:fldChar w:fldCharType="end"/>
      </w:r>
      <w:r>
        <w:rPr/>
        <w:t xml:space="preserve"> zu </w:t>
      </w:r>
      <w:r>
        <w:fldChar w:fldCharType="begin"/>
      </w:r>
      <w:r>
        <w:rPr>
          <w:rStyle w:val="Internetverknpfung"/>
        </w:rPr>
        <w:instrText> HYPERLINK "../../../../../../../../../wiki/Markus_8" \l "s12"</w:instrText>
      </w:r>
      <w:r>
        <w:rPr>
          <w:rStyle w:val="Internetverknpfung"/>
        </w:rPr>
        <w:fldChar w:fldCharType="separate"/>
      </w:r>
      <w:r>
        <w:rPr>
          <w:rStyle w:val="Internetverknpfung"/>
        </w:rPr>
        <w:t>V. 12</w:t>
      </w:r>
      <w:r>
        <w:rPr>
          <w:rStyle w:val="Internetverknpfung"/>
        </w:rPr>
        <w:fldChar w:fldCharType="end"/>
      </w:r>
      <w:r>
        <w:rPr/>
        <w:t>.</w:t>
      </w:r>
    </w:p>
  </w:footnote>
  <w:footnote w:id="1912">
    <w:p>
      <w:pPr>
        <w:pStyle w:val="Funote"/>
        <w:rPr/>
      </w:pPr>
      <w:r>
        <w:rPr>
          <w:rStyle w:val="Funotenzeichen"/>
        </w:rPr>
        <w:footnoteRef/>
      </w:r>
      <w:r>
        <w:rPr/>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913">
    <w:p>
      <w:pPr>
        <w:pStyle w:val="Funote"/>
        <w:rPr/>
      </w:pPr>
      <w:r>
        <w:rPr>
          <w:rStyle w:val="Funotenzeichen"/>
        </w:rPr>
        <w:footnoteRef/>
      </w:r>
      <w:r>
        <w:rPr/>
        <w:tab/>
        <w:t>[Status: Zuverlässig]</w:t>
      </w:r>
    </w:p>
  </w:footnote>
  <w:footnote w:id="1914">
    <w:p>
      <w:pPr>
        <w:pStyle w:val="Funote"/>
        <w:rPr/>
      </w:pPr>
      <w:r>
        <w:rPr>
          <w:rStyle w:val="Funotenzeichen"/>
        </w:rPr>
        <w:footnoteRef/>
      </w:r>
      <w:r>
        <w:rPr/>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915">
    <w:p>
      <w:pPr>
        <w:pStyle w:val="Funote"/>
        <w:rPr/>
      </w:pPr>
      <w:r>
        <w:rPr>
          <w:rStyle w:val="Funotenzeichen"/>
        </w:rPr>
        <w:footnoteRef/>
      </w:r>
      <w:r>
        <w:rPr/>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916">
    <w:p>
      <w:pPr>
        <w:pStyle w:val="Funote"/>
        <w:rPr/>
      </w:pPr>
      <w:r>
        <w:rPr>
          <w:rStyle w:val="Funotenzeichen"/>
        </w:rPr>
        <w:footnoteRef/>
      </w:r>
      <w:r>
        <w:rPr/>
        <w:tab/>
        <w:t>den Tod nicht schmecken - hebräisches Idiom für »sterben«; auch in Joh 8,52; Heb 2,9 und häufiger in der frühjüdischen Literatur (Stellen bei B/S I, S. 751f; vgl. auch BDAG 195). Verwandt ist vielleicht der Ausdruck »(bitterer) Kelch des Todes« für den Tod in TestAb 16,12; TgN zu Dtn 32,1 und TgN, TgJ, TgF zu Gen 40,23. BB, Camacho/Mateos 1994, CEB, GNT, GW, HfA, NCV, NGÜ, NIRV, NL, NLT, Pesch 1977, S. 66 einfach: »nicht sterben« - das ist wohl die einfachste Lösung.</w:t>
      </w:r>
    </w:p>
  </w:footnote>
  <w:footnote w:id="1917">
    <w:p>
      <w:pPr>
        <w:pStyle w:val="Funote"/>
        <w:rPr/>
      </w:pPr>
      <w:r>
        <w:rPr>
          <w:rStyle w:val="Funotenzeichen"/>
        </w:rPr>
        <w:footnoteRef/>
      </w:r>
      <w:r>
        <w:rPr/>
        <w:tab/>
        <w:t xml:space="preserve">zu </w:t>
      </w:r>
      <w:r>
        <w:rPr>
          <w:i/>
        </w:rPr>
        <w:t>Reich Gottes</w:t>
      </w:r>
      <w:r>
        <w:rPr/>
        <w:t xml:space="preserve"> vgl. Terminologie/</w:t>
      </w:r>
      <w:hyperlink r:id="rId368">
        <w:r>
          <w:rPr>
            <w:rStyle w:val="Internetverknpfung"/>
          </w:rPr>
          <w:t>Reich Gottes</w:t>
        </w:r>
      </w:hyperlink>
      <w:r>
        <w:rPr/>
        <w:t>.</w:t>
      </w:r>
    </w:p>
  </w:footnote>
  <w:footnote w:id="1918">
    <w:p>
      <w:pPr>
        <w:pStyle w:val="Funote"/>
        <w:rPr/>
      </w:pPr>
      <w:r>
        <w:rPr>
          <w:rStyle w:val="Funotenzeichen"/>
        </w:rPr>
        <w:footnoteRef/>
      </w:r>
      <w:r>
        <w:rPr/>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919">
    <w:p>
      <w:pPr>
        <w:pStyle w:val="Funote"/>
        <w:rPr/>
      </w:pPr>
      <w:r>
        <w:rPr>
          <w:rStyle w:val="Funotenzeichen"/>
        </w:rPr>
        <w:footnoteRef/>
      </w:r>
      <w:r>
        <w:rPr/>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920">
    <w:p>
      <w:pPr>
        <w:pStyle w:val="Funote"/>
        <w:rPr/>
      </w:pPr>
      <w:r>
        <w:rPr>
          <w:rStyle w:val="Funotenzeichen"/>
        </w:rPr>
        <w:footnoteRef/>
      </w:r>
      <w:r>
        <w:rPr/>
        <w:tab/>
        <w:t>s. letzte FN</w:t>
      </w:r>
    </w:p>
  </w:footnote>
  <w:footnote w:id="1921">
    <w:p>
      <w:pPr>
        <w:pStyle w:val="Funote"/>
        <w:rPr/>
      </w:pPr>
      <w:r>
        <w:rPr>
          <w:rStyle w:val="Funotenzeichen"/>
        </w:rPr>
        <w:footnoteRef/>
      </w:r>
      <w:r>
        <w:rPr>
          <w:i/>
        </w:rPr>
        <w:tab/>
        <w:t>vor ihnen</w:t>
      </w:r>
      <w:r>
        <w:rPr/>
        <w:t xml:space="preserve"> - viele Üss. stilistisch gut: „vor ihren Augen“, aber Mk verwendet wohl bewusst „ihnen“: Die Geschehnisse der Perikope Mk 9,2-8 sind kein Selbstzweck, sondern </w:t>
      </w:r>
      <w:r>
        <w:rPr>
          <w:i/>
        </w:rPr>
        <w:t>für die Jünger bestimmt</w:t>
      </w:r>
      <w:r>
        <w:rPr/>
        <w:t xml:space="preserve">: </w:t>
      </w:r>
      <w:r>
        <w:rPr>
          <w:i/>
        </w:rPr>
        <w:t>Vor ihnen</w:t>
      </w:r>
      <w:r>
        <w:rPr/>
        <w:t xml:space="preserve"> wird Jesus verwandelt; </w:t>
      </w:r>
      <w:r>
        <w:rPr>
          <w:i/>
        </w:rPr>
        <w:t>ihnen</w:t>
      </w:r>
      <w:r>
        <w:rPr/>
        <w:t xml:space="preserve"> erscheinen Elija mit Mose, und </w:t>
      </w:r>
      <w:r>
        <w:rPr>
          <w:i/>
        </w:rPr>
        <w:t>ihnen</w:t>
      </w:r>
      <w:r>
        <w:rPr/>
        <w:t xml:space="preserve"> („aus der Wolke“) deutet die „Stimme“ aus, was sie da eben gesehen haben.</w:t>
      </w:r>
    </w:p>
  </w:footnote>
  <w:footnote w:id="1922">
    <w:p>
      <w:pPr>
        <w:pStyle w:val="Funote"/>
        <w:rPr/>
      </w:pPr>
      <w:r>
        <w:rPr>
          <w:rStyle w:val="Funotenzeichen"/>
        </w:rPr>
        <w:footnoteRef/>
      </w:r>
      <w:r>
        <w:rPr/>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923">
    <w:p>
      <w:pPr>
        <w:pStyle w:val="Funote"/>
        <w:rPr/>
      </w:pPr>
      <w:r>
        <w:rPr>
          <w:rStyle w:val="Funotenzeichen"/>
        </w:rPr>
        <w:footnoteRef/>
      </w:r>
      <w:r>
        <w:rPr/>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924">
    <w:p>
      <w:pPr>
        <w:pStyle w:val="Funote"/>
        <w:rPr/>
      </w:pPr>
      <w:r>
        <w:rPr>
          <w:rStyle w:val="Funotenzeichen"/>
        </w:rPr>
        <w:footnoteRef/>
      </w:r>
      <w:r>
        <w:rPr/>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925">
    <w:p>
      <w:pPr>
        <w:pStyle w:val="Funote"/>
        <w:rPr/>
      </w:pPr>
      <w:r>
        <w:rPr>
          <w:rStyle w:val="Funotenzeichen"/>
        </w:rPr>
        <w:footnoteRef/>
      </w:r>
      <w:r>
        <w:rPr/>
        <w:tab/>
        <w:t>zu Walker gut Dschulnigg 2007, S. 245: „Walker oder Tuchscherer krempelten Wolle, kratzten Tücher auf und reinigten schmutzige Gewänder. Der Vergleich verdeutlicht, dass die Kleider Jesu in himmlischem Glanz versetzt werden.“</w:t>
      </w:r>
    </w:p>
  </w:footnote>
  <w:footnote w:id="1926">
    <w:p>
      <w:pPr>
        <w:pStyle w:val="Funote"/>
        <w:rPr/>
      </w:pPr>
      <w:r>
        <w:rPr>
          <w:rStyle w:val="Funotenzeichen"/>
        </w:rPr>
        <w:footnoteRef/>
      </w:r>
      <w:r>
        <w:rPr/>
        <w:tab/>
        <w:t>auf der [ganzen] Erde - eigentlich unnötig; natürlich geht es um irdische Walker. Der Sinn ist emphatisch (Cranfield 1959, S. 290), daher [ganzen].</w:t>
      </w:r>
    </w:p>
  </w:footnote>
  <w:footnote w:id="1927">
    <w:p>
      <w:pPr>
        <w:pStyle w:val="Funote"/>
        <w:rPr/>
      </w:pPr>
      <w:r>
        <w:rPr>
          <w:rStyle w:val="Funotenzeichen"/>
        </w:rPr>
        <w:footnoteRef/>
      </w:r>
      <w:r>
        <w:rPr/>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928">
    <w:p>
      <w:pPr>
        <w:pStyle w:val="Funote"/>
        <w:rPr/>
      </w:pPr>
      <w:r>
        <w:rPr>
          <w:rStyle w:val="Funotenzeichen"/>
        </w:rPr>
        <w:footnoteRef/>
      </w:r>
      <w:r>
        <w:rPr/>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929">
    <w:p>
      <w:pPr>
        <w:pStyle w:val="Funote"/>
        <w:rPr/>
      </w:pPr>
      <w:r>
        <w:rPr>
          <w:rStyle w:val="Funotenzeichen"/>
        </w:rPr>
        <w:footnoteRef/>
      </w:r>
      <w:r>
        <w:rPr/>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930">
    <w:p>
      <w:pPr>
        <w:pStyle w:val="Funote"/>
        <w:rPr/>
      </w:pPr>
      <w:r>
        <w:rPr>
          <w:rStyle w:val="Funotenzeichen"/>
        </w:rPr>
        <w:footnoteRef/>
      </w:r>
      <w:r>
        <w:rPr/>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931">
    <w:p>
      <w:pPr>
        <w:pStyle w:val="Funote"/>
        <w:rPr/>
      </w:pPr>
      <w:r>
        <w:rPr>
          <w:rStyle w:val="Funotenzeichen"/>
        </w:rPr>
        <w:footnoteRef/>
      </w:r>
      <w:r>
        <w:rPr/>
        <w:tab/>
        <w:t xml:space="preserve">Und lass uns (so lass uns denn) - konsekutives </w:t>
      </w:r>
      <w:r>
        <w:rPr>
          <w:lang w:val="el-GR"/>
        </w:rPr>
        <w:t>καὶ</w:t>
      </w:r>
      <w:r>
        <w:rPr/>
        <w:t>; »So lass uns denn...« gut nach Reiser 1983, S. 117.</w:t>
      </w:r>
    </w:p>
  </w:footnote>
  <w:footnote w:id="1932">
    <w:p>
      <w:pPr>
        <w:pStyle w:val="Funote"/>
        <w:rPr/>
      </w:pPr>
      <w:r>
        <w:rPr>
          <w:rStyle w:val="Funotenzeichen"/>
        </w:rPr>
        <w:footnoteRef/>
      </w:r>
      <w:r>
        <w:rPr/>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933">
    <w:p>
      <w:pPr>
        <w:pStyle w:val="Funote"/>
        <w:rPr/>
      </w:pPr>
      <w:r>
        <w:rPr>
          <w:rStyle w:val="Funotenzeichen"/>
        </w:rPr>
        <w:footnoteRef/>
      </w:r>
      <w:r>
        <w:rPr>
          <w:i/>
        </w:rPr>
        <w:tab/>
        <w:t>hüllte ein (verbarg, überschattete)</w:t>
      </w:r>
      <w:r>
        <w:rPr/>
        <w:t xml:space="preserve"> - s. nächste Fußnote</w:t>
      </w:r>
    </w:p>
  </w:footnote>
  <w:footnote w:id="1934">
    <w:p>
      <w:pPr>
        <w:pStyle w:val="Funote"/>
        <w:rPr/>
      </w:pPr>
      <w:r>
        <w:rPr>
          <w:rStyle w:val="Funotenzeichen"/>
        </w:rPr>
        <w:footnoteRef/>
      </w:r>
      <w:r>
        <w:rPr/>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935">
    <w:p>
      <w:pPr>
        <w:pStyle w:val="Funote"/>
        <w:rPr/>
      </w:pPr>
      <w:r>
        <w:rPr>
          <w:rStyle w:val="Funotenzeichen"/>
        </w:rPr>
        <w:footnoteRef/>
      </w:r>
      <w:r>
        <w:rPr/>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936">
    <w:p>
      <w:pPr>
        <w:pStyle w:val="Funote"/>
        <w:rPr/>
      </w:pPr>
      <w:r>
        <w:rPr>
          <w:rStyle w:val="Funotenzeichen"/>
        </w:rPr>
        <w:footnoteRef/>
      </w:r>
      <w:r>
        <w:rPr/>
        <w:tab/>
        <w:t>[darum] - »[darum]« gut nach Reiser 1983, S. 145.</w:t>
      </w:r>
    </w:p>
  </w:footnote>
  <w:footnote w:id="1937">
    <w:p>
      <w:pPr>
        <w:pStyle w:val="Funote"/>
        <w:rPr/>
      </w:pPr>
      <w:r>
        <w:rPr>
          <w:rStyle w:val="Funotenzeichen"/>
        </w:rPr>
        <w:footnoteRef/>
      </w:r>
      <w:r>
        <w:rPr/>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938">
    <w:p>
      <w:pPr>
        <w:pStyle w:val="Funote"/>
        <w:rPr/>
      </w:pPr>
      <w:r>
        <w:rPr>
          <w:rStyle w:val="Funotenzeichen"/>
        </w:rPr>
        <w:footnoteRef/>
      </w:r>
      <w:r>
        <w:rPr/>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939">
    <w:p>
      <w:pPr>
        <w:pStyle w:val="Funote"/>
        <w:rPr/>
      </w:pPr>
      <w:r>
        <w:rPr>
          <w:rStyle w:val="Funotenzeichen"/>
        </w:rPr>
        <w:footnoteRef/>
      </w:r>
      <w:r>
        <w:rPr/>
        <w:tab/>
        <w:t xml:space="preserve">V. 9: </w:t>
      </w:r>
      <w:r>
        <w:rPr>
          <w:i/>
        </w:rPr>
        <w:t>vom (aus dem)</w:t>
      </w:r>
      <w:r>
        <w:rPr/>
        <w:t xml:space="preserve"> - </w:t>
      </w:r>
      <w:r>
        <w:rPr>
          <w:lang w:val="el-GR"/>
        </w:rPr>
        <w:t>ἐκ</w:t>
      </w:r>
      <w:r>
        <w:rPr/>
        <w:t xml:space="preserve"> verwendet wie </w:t>
      </w:r>
      <w:r>
        <w:rPr>
          <w:lang w:val="el-GR"/>
        </w:rPr>
        <w:t>ἀπό</w:t>
      </w:r>
      <w:r>
        <w:rPr/>
        <w:t>; vielleicht Semitismus - s. Turner 1929a, S. 282f. Daher auch Textvarianten.</w:t>
      </w:r>
    </w:p>
  </w:footnote>
  <w:footnote w:id="1940">
    <w:p>
      <w:pPr>
        <w:pStyle w:val="Funote"/>
        <w:rPr/>
      </w:pPr>
      <w:r>
        <w:rPr>
          <w:rStyle w:val="Funotenzeichen"/>
        </w:rPr>
        <w:footnoteRef/>
      </w:r>
      <w:r>
        <w:rPr/>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941">
    <w:p>
      <w:pPr>
        <w:pStyle w:val="Funote"/>
        <w:rPr/>
      </w:pPr>
      <w:r>
        <w:rPr>
          <w:rStyle w:val="Funotenzeichen"/>
        </w:rPr>
        <w:footnoteRef/>
      </w:r>
      <w:r>
        <w:rPr/>
        <w:tab/>
        <w:t>erst (außer) - Exzeptivsatz temporal verwendet, wohl Semitismus; vgl. Beyer 1968, S. 132-34; Marcus 2009</w:t>
      </w:r>
    </w:p>
  </w:footnote>
  <w:footnote w:id="1942">
    <w:p>
      <w:pPr>
        <w:pStyle w:val="Funote"/>
        <w:rPr/>
      </w:pPr>
      <w:r>
        <w:rPr>
          <w:rStyle w:val="Funotenzeichen"/>
        </w:rPr>
        <w:footnoteRef/>
      </w:r>
      <w:r>
        <w:rPr/>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943">
    <w:p>
      <w:pPr>
        <w:pStyle w:val="Funote"/>
        <w:rPr/>
      </w:pPr>
      <w:r>
        <w:rPr>
          <w:rStyle w:val="Funotenzeichen"/>
        </w:rPr>
        <w:footnoteRef/>
      </w:r>
      <w:r>
        <w:rPr/>
        <w:tab/>
        <w:t>von den Toten - gemeint ist nicht das „Reich der Toten“, sondern die toten Menschen; vgl. BDAG 668; ad loc. Marcus 2009. Vor allen anderen Toten und als (vorerst) einziger unter den Toten wird der Menschensohn auferstehen.</w:t>
      </w:r>
    </w:p>
  </w:footnote>
  <w:footnote w:id="1944">
    <w:p>
      <w:pPr>
        <w:pStyle w:val="Funote"/>
        <w:rPr/>
      </w:pPr>
      <w:r>
        <w:rPr>
          <w:rStyle w:val="Funotenzeichen"/>
        </w:rPr>
        <w:footnoteRef/>
      </w:r>
      <w:r>
        <w:rPr/>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945">
    <w:p>
      <w:pPr>
        <w:pStyle w:val="Funote"/>
        <w:rPr/>
      </w:pPr>
      <w:r>
        <w:rPr>
          <w:rStyle w:val="Funotenzeichen"/>
        </w:rPr>
        <w:footnoteRef/>
      </w:r>
      <w:r>
        <w:rPr/>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946">
    <w:p>
      <w:pPr>
        <w:pStyle w:val="Funote"/>
        <w:rPr/>
      </w:pPr>
      <w:r>
        <w:rPr>
          <w:rStyle w:val="Funotenzeichen"/>
        </w:rPr>
        <w:footnoteRef/>
      </w:r>
      <w:r>
        <w:rPr/>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947">
    <w:p>
      <w:pPr>
        <w:pStyle w:val="Funote"/>
        <w:rPr/>
      </w:pPr>
      <w:r>
        <w:rPr>
          <w:rStyle w:val="Funotenzeichen"/>
        </w:rPr>
        <w:footnoteRef/>
      </w:r>
      <w:r>
        <w:rPr/>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948">
    <w:p>
      <w:pPr>
        <w:pStyle w:val="Funote"/>
        <w:rPr/>
      </w:pPr>
      <w:r>
        <w:rPr>
          <w:rStyle w:val="Funotenzeichen"/>
        </w:rPr>
        <w:footnoteRef/>
      </w:r>
      <w:r>
        <w:rPr>
          <w:i/>
        </w:rPr>
        <w:tab/>
        <w:t>kommt</w:t>
      </w:r>
      <w:r>
        <w:rPr/>
        <w:t xml:space="preserve"> + </w:t>
      </w:r>
      <w:r>
        <w:rPr>
          <w:i/>
        </w:rPr>
        <w:t>stellt wieder her</w:t>
      </w:r>
      <w:r>
        <w:rPr/>
        <w:t xml:space="preserve"> - Wenn wir Vv. 12f richtig gedeutet haben (vgl. </w:t>
      </w:r>
      <w:r>
        <w:fldChar w:fldCharType="begin"/>
      </w:r>
      <w:r>
        <w:rPr>
          <w:rStyle w:val="Internetverknpfung"/>
        </w:rPr>
        <w:instrText> HYPERLINK "http://www.offene-bibel.de/wiki/index.php5?title=Markus_9" \l "note_ai"</w:instrText>
      </w:r>
      <w:r>
        <w:rPr>
          <w:rStyle w:val="Internetverknpfung"/>
        </w:rPr>
        <w:fldChar w:fldCharType="separate"/>
      </w:r>
      <w:r>
        <w:rPr>
          <w:rStyle w:val="Internetverknpfung"/>
        </w:rPr>
        <w:t>FN ai</w:t>
      </w:r>
      <w:r>
        <w:rPr>
          <w:rStyle w:val="Internetverknpfung"/>
        </w:rPr>
        <w:fldChar w:fldCharType="end"/>
      </w:r>
      <w:r>
        <w:rPr/>
        <w:t xml:space="preserve">, </w:t>
      </w:r>
      <w:r>
        <w:fldChar w:fldCharType="begin"/>
      </w:r>
      <w:r>
        <w:rPr>
          <w:rStyle w:val="Internetverknpfung"/>
        </w:rPr>
        <w:instrText> HYPERLINK "http://www.offene-bibel.de/wiki/index.php5?title=Markus_9" \l "note_al"</w:instrText>
      </w:r>
      <w:r>
        <w:rPr>
          <w:rStyle w:val="Internetverknpfung"/>
        </w:rPr>
        <w:fldChar w:fldCharType="separate"/>
      </w:r>
      <w:r>
        <w:rPr>
          <w:rStyle w:val="Internetverknpfung"/>
        </w:rPr>
        <w:t>FN al</w:t>
      </w:r>
      <w:r>
        <w:rPr>
          <w:rStyle w:val="Internetverknpfung"/>
        </w:rPr>
        <w:fldChar w:fldCharType="end"/>
      </w:r>
      <w:r>
        <w:rPr/>
        <w:t xml:space="preserve">), werden die Verbformen in V. 12 klug verwendet: </w:t>
      </w:r>
      <w:r>
        <w:rPr>
          <w:lang w:val="el-GR"/>
        </w:rPr>
        <w:t>ἐλθὼν</w:t>
      </w:r>
      <w:r>
        <w:rPr/>
        <w:t xml:space="preserve"> </w:t>
      </w:r>
      <w:r>
        <w:rPr>
          <w:i/>
        </w:rPr>
        <w:t>kommt</w:t>
      </w:r>
      <w:r>
        <w:rPr/>
        <w:t xml:space="preserve"> ist Partizip Aorist, </w:t>
      </w:r>
      <w:r>
        <w:rPr>
          <w:lang w:val="el-GR"/>
        </w:rPr>
        <w:t>ἀποκαθιστάνει</w:t>
      </w:r>
      <w:r>
        <w:rPr/>
        <w:t xml:space="preserve"> </w:t>
      </w:r>
      <w:r>
        <w:rPr>
          <w:i/>
        </w:rPr>
        <w:t>stellt wieder her</w:t>
      </w:r>
      <w:r>
        <w:rPr/>
        <w:t xml:space="preserve"> ist Indikativ Präsens. Partizip Aorist hat meist </w:t>
      </w:r>
      <w:r>
        <w:rPr>
          <w:i/>
        </w:rPr>
        <w:t>vorzeitige</w:t>
      </w:r>
      <w:r>
        <w:rPr/>
        <w:t xml:space="preserve"> Bedeutung und wird so zeitlich relativ </w:t>
      </w:r>
      <w:r>
        <w:rPr>
          <w:i/>
        </w:rPr>
        <w:t>vor</w:t>
      </w:r>
      <w:r>
        <w:rPr/>
        <w:t xml:space="preserve"> das Indikativ Präsens </w:t>
      </w:r>
      <w:r>
        <w:rPr>
          <w:i/>
        </w:rPr>
        <w:t>er stellt wieder her</w:t>
      </w:r>
      <w:r>
        <w:rPr/>
        <w:t xml:space="preserve"> eingeordnet. Und Indikativ Präsens kann (1) </w:t>
      </w:r>
      <w:r>
        <w:rPr>
          <w:i/>
        </w:rPr>
        <w:t>gnomische</w:t>
      </w:r>
      <w:r>
        <w:rPr/>
        <w:t xml:space="preserve"> Bedeutung haben; Jesus würde dann etwas über die überzeitliche Wahrheit dessen, was geschrieben steht, aussagen, ohne auf den exakten Zeitpunkt zu achten(„In der Tat: Das mit dem zuerst-Kommen und dem folgenden alles-Wiederherstellen Elija's stimmt“), es kann aber (2) auch </w:t>
      </w:r>
      <w:r>
        <w:rPr>
          <w:i/>
        </w:rPr>
        <w:t>effektive</w:t>
      </w:r>
      <w:r>
        <w:rPr/>
        <w:t xml:space="preserve"> Bedeutung haben und so aussagen, dass es bereits geschehen ist und nun die Effekte dieses eingetreten-Seins in Kraft sind, also „er ist gekommen, </w:t>
      </w:r>
      <w:r>
        <w:rPr>
          <w:i/>
        </w:rPr>
        <w:t>hat</w:t>
      </w:r>
      <w:r>
        <w:rPr/>
        <w:t xml:space="preserve"> alles wiederhergestellt und nun </w:t>
      </w:r>
      <w:r>
        <w:rPr>
          <w:i/>
        </w:rPr>
        <w:t>ist</w:t>
      </w:r>
      <w:r>
        <w:rPr/>
        <w:t xml:space="preserve"> alles wiederhergestellt.“ In V. 12 sind - wieder: wenn wir Vv. 12f richtig gedeutet haben - beide Bedeutungen aktiv: (1) macht V. 12 zu einer sinnvollen Antwort auf die Anfrage der Jünger in V. 11, (2) deckt sich mit der folgenden Richtigstellung in V. 13.</w:t>
      </w:r>
    </w:p>
  </w:footnote>
  <w:footnote w:id="1949">
    <w:p>
      <w:pPr>
        <w:pStyle w:val="Funote"/>
        <w:rPr/>
      </w:pPr>
      <w:r>
        <w:rPr>
          <w:rStyle w:val="Funotenzeichen"/>
        </w:rPr>
        <w:footnoteRef/>
      </w:r>
      <w:r>
        <w:rPr/>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950">
    <w:p>
      <w:pPr>
        <w:pStyle w:val="Funote"/>
        <w:rPr/>
      </w:pPr>
      <w:r>
        <w:rPr>
          <w:rStyle w:val="Funotenzeichen"/>
        </w:rPr>
        <w:footnoteRef/>
      </w:r>
      <w:r>
        <w:rPr/>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951">
    <w:p>
      <w:pPr>
        <w:pStyle w:val="Funote"/>
        <w:rPr/>
      </w:pPr>
      <w:r>
        <w:rPr>
          <w:rStyle w:val="Funotenzeichen"/>
        </w:rPr>
        <w:footnoteRef/>
      </w:r>
      <w:r>
        <w:rPr>
          <w:i/>
        </w:rPr>
        <w:tab/>
        <w:t>auch (sogar)</w:t>
      </w:r>
      <w:r>
        <w:rPr/>
        <w:t xml:space="preserve"> - s. </w:t>
      </w:r>
      <w:r>
        <w:fldChar w:fldCharType="begin"/>
      </w:r>
      <w:r>
        <w:rPr>
          <w:rStyle w:val="Internetverknpfung"/>
        </w:rPr>
        <w:instrText> HYPERLINK "http://www.offene-bibel.de/wiki/index.php5?title=Markus_9" \l "note_an"</w:instrText>
      </w:r>
      <w:r>
        <w:rPr>
          <w:rStyle w:val="Internetverknpfung"/>
        </w:rPr>
        <w:fldChar w:fldCharType="separate"/>
      </w:r>
      <w:r>
        <w:rPr>
          <w:rStyle w:val="Internetverknpfung"/>
        </w:rPr>
        <w:t>FN an</w:t>
      </w:r>
      <w:r>
        <w:rPr>
          <w:rStyle w:val="Internetverknpfung"/>
        </w:rPr>
        <w:fldChar w:fldCharType="end"/>
      </w:r>
    </w:p>
  </w:footnote>
  <w:footnote w:id="1952">
    <w:p>
      <w:pPr>
        <w:pStyle w:val="Funote"/>
        <w:rPr/>
      </w:pPr>
      <w:r>
        <w:rPr>
          <w:rStyle w:val="Funotenzeichen"/>
        </w:rPr>
        <w:footnoteRef/>
      </w:r>
      <w:r>
        <w:rPr/>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953">
    <w:p>
      <w:pPr>
        <w:pStyle w:val="Funote"/>
        <w:rPr/>
      </w:pPr>
      <w:r>
        <w:rPr>
          <w:rStyle w:val="Funotenzeichen"/>
        </w:rPr>
        <w:footnoteRef/>
      </w:r>
      <w:r>
        <w:rPr/>
        <w:tab/>
        <w:t xml:space="preserve">begrüßte ihn [freudig] - [freudig] nach EWNT I, S. 416: </w:t>
      </w:r>
      <w:r>
        <w:rPr>
          <w:lang w:val="el-GR"/>
        </w:rPr>
        <w:t>ἀσπάζομαι</w:t>
      </w:r>
      <w:r>
        <w:rPr/>
        <w:t xml:space="preserve"> „als Ausdruck der Zuneigung, der freudigen Aufnahme“.</w:t>
      </w:r>
    </w:p>
  </w:footnote>
  <w:footnote w:id="1954">
    <w:p>
      <w:pPr>
        <w:pStyle w:val="Funote"/>
        <w:rPr/>
      </w:pPr>
      <w:r>
        <w:rPr>
          <w:rStyle w:val="Funotenzeichen"/>
        </w:rPr>
        <w:footnoteRef/>
      </w:r>
      <w:r>
        <w:rPr/>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955">
    <w:p>
      <w:pPr>
        <w:pStyle w:val="Funote"/>
        <w:rPr/>
      </w:pPr>
      <w:r>
        <w:rPr>
          <w:rStyle w:val="Funotenzeichen"/>
        </w:rPr>
        <w:footnoteRef/>
      </w:r>
      <w:r>
        <w:rPr/>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956">
    <w:p>
      <w:pPr>
        <w:pStyle w:val="Funote"/>
        <w:rPr/>
      </w:pPr>
      <w:r>
        <w:rPr>
          <w:rStyle w:val="Funotenzeichen"/>
        </w:rPr>
        <w:footnoteRef/>
      </w:r>
      <w:r>
        <w:rPr>
          <w:i/>
        </w:rPr>
        <w:tab/>
        <w:t>aus (aus heraus)</w:t>
      </w:r>
      <w:r>
        <w:rPr/>
        <w:t xml:space="preserve"> - vgl. </w:t>
      </w:r>
      <w:r>
        <w:fldChar w:fldCharType="begin"/>
      </w:r>
      <w:r>
        <w:rPr>
          <w:rStyle w:val="Internetverknpfung"/>
        </w:rPr>
        <w:instrText> HYPERLINK "http://www.offene-bibel.de/wiki/index.php5?title=Markus_9" \l "note_ac"</w:instrText>
      </w:r>
      <w:r>
        <w:rPr>
          <w:rStyle w:val="Internetverknpfung"/>
        </w:rPr>
        <w:fldChar w:fldCharType="separate"/>
      </w:r>
      <w:r>
        <w:rPr>
          <w:rStyle w:val="Internetverknpfung"/>
        </w:rPr>
        <w:t>FN ac</w:t>
      </w:r>
      <w:r>
        <w:rPr>
          <w:rStyle w:val="Internetverknpfung"/>
        </w:rPr>
        <w:fldChar w:fldCharType="end"/>
      </w:r>
      <w:r>
        <w:rPr/>
        <w:t xml:space="preserve">: </w:t>
      </w:r>
      <w:r>
        <w:rPr>
          <w:lang w:val="el-GR"/>
        </w:rPr>
        <w:t>ἐκ</w:t>
      </w:r>
      <w:r>
        <w:rPr/>
        <w:t xml:space="preserve"> verwendet wie </w:t>
      </w:r>
      <w:r>
        <w:rPr>
          <w:lang w:val="el-GR"/>
        </w:rPr>
        <w:t>ἀπό</w:t>
      </w:r>
      <w:r>
        <w:rPr/>
        <w:t>; vielleicht Semitismus - s. Turner 1929a, S. 282f.</w:t>
      </w:r>
    </w:p>
  </w:footnote>
  <w:footnote w:id="1957">
    <w:p>
      <w:pPr>
        <w:pStyle w:val="Funote"/>
        <w:rPr/>
      </w:pPr>
      <w:r>
        <w:rPr>
          <w:rStyle w:val="Funotenzeichen"/>
        </w:rPr>
        <w:footnoteRef/>
      </w:r>
      <w:r>
        <w:rPr/>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958">
    <w:p>
      <w:pPr>
        <w:pStyle w:val="Funote"/>
        <w:rPr/>
      </w:pPr>
      <w:r>
        <w:rPr>
          <w:rStyle w:val="Funotenzeichen"/>
        </w:rPr>
        <w:footnoteRef/>
      </w:r>
      <w:r>
        <w:rPr>
          <w:i/>
        </w:rPr>
        <w:tab/>
        <w:t>weil</w:t>
      </w:r>
      <w:r>
        <w:rPr/>
        <w:t xml:space="preserve"> - </w:t>
      </w:r>
      <w:r>
        <w:fldChar w:fldCharType="begin"/>
      </w:r>
      <w:r>
        <w:rPr>
          <w:rStyle w:val="Internetverknpfung"/>
        </w:rPr>
        <w:instrText> HYPERLINK "http://www.offene-bibel.de/wiki/index.php5?title=Partizip" \l "Die_Sinnrichtungen"</w:instrText>
      </w:r>
      <w:r>
        <w:rPr>
          <w:rStyle w:val="Internetverknpfung"/>
        </w:rPr>
        <w:fldChar w:fldCharType="separate"/>
      </w:r>
      <w:r>
        <w:rPr>
          <w:rStyle w:val="Internetverknpfung"/>
        </w:rPr>
        <w:t>adv. Ptc.</w:t>
      </w:r>
      <w:r>
        <w:rPr>
          <w:rStyle w:val="Internetverknpfung"/>
        </w:rPr>
        <w:fldChar w:fldCharType="end"/>
      </w:r>
      <w:r>
        <w:rPr/>
        <w:t>, kausal aufgelöst.</w:t>
      </w:r>
    </w:p>
  </w:footnote>
  <w:footnote w:id="1959">
    <w:p>
      <w:pPr>
        <w:pStyle w:val="Funote"/>
        <w:rPr/>
      </w:pPr>
      <w:r>
        <w:rPr>
          <w:rStyle w:val="Funotenzeichen"/>
        </w:rPr>
        <w:footnoteRef/>
      </w:r>
      <w:r>
        <w:rPr/>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960">
    <w:p>
      <w:pPr>
        <w:pStyle w:val="Funote"/>
        <w:rPr/>
      </w:pPr>
      <w:r>
        <w:rPr>
          <w:rStyle w:val="Funotenzeichen"/>
        </w:rPr>
        <w:footnoteRef/>
      </w:r>
      <w:r>
        <w:rPr/>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961">
    <w:p>
      <w:pPr>
        <w:pStyle w:val="Funote"/>
        <w:rPr/>
      </w:pPr>
      <w:r>
        <w:rPr>
          <w:rStyle w:val="Funotenzeichen"/>
        </w:rPr>
        <w:footnoteRef/>
      </w:r>
      <w:r>
        <w:rPr>
          <w:i/>
        </w:rPr>
        <w:tab/>
        <w:t>anfällt (packt)</w:t>
      </w:r>
      <w:r>
        <w:rPr/>
        <w:t xml:space="preserve"> - meist „packt“. </w:t>
      </w:r>
      <w:r>
        <w:rPr>
          <w:lang w:val="el-GR"/>
        </w:rPr>
        <w:t>καταλαμβάνω</w:t>
      </w:r>
      <w:r>
        <w:rPr/>
        <w:t xml:space="preserve"> kommt von der selben Wurzel wie </w:t>
      </w:r>
      <w:r>
        <w:rPr>
          <w:lang w:val="el-GR"/>
        </w:rPr>
        <w:t>ἐπιλαμβάνομαι</w:t>
      </w:r>
      <w:r>
        <w:rPr/>
        <w:t xml:space="preserve">, das gleichzeitig </w:t>
      </w:r>
      <w:r>
        <w:rPr>
          <w:i/>
        </w:rPr>
        <w:t>terminus technicus</w:t>
      </w:r>
      <w:r>
        <w:rPr/>
        <w:t xml:space="preserve"> für Besessenheit und für den epileptischen Anfall ist (und sogar das Etymon des deutschen „Epilepsie“ ist). In „anfallen“ kommt dieser Zhg. auch im Deutschen zum Ausdruck.</w:t>
      </w:r>
    </w:p>
  </w:footnote>
  <w:footnote w:id="1962">
    <w:p>
      <w:pPr>
        <w:pStyle w:val="Funote"/>
        <w:rPr/>
      </w:pPr>
      <w:r>
        <w:rPr>
          <w:rStyle w:val="Funotenzeichen"/>
        </w:rPr>
        <w:footnoteRef/>
      </w:r>
      <w:r>
        <w:rPr/>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963">
    <w:p>
      <w:pPr>
        <w:pStyle w:val="Funote"/>
        <w:rPr/>
      </w:pPr>
      <w:r>
        <w:rPr>
          <w:rStyle w:val="Funotenzeichen"/>
        </w:rPr>
        <w:footnoteRef/>
      </w:r>
      <w:r>
        <w:rPr>
          <w:i/>
        </w:rPr>
        <w:tab/>
        <w:t>er hat Schaum vor dem Mund (er schäumt)</w:t>
      </w:r>
      <w:r>
        <w:rPr/>
        <w:t xml:space="preserve"> + </w:t>
      </w:r>
      <w:r>
        <w:rPr>
          <w:i/>
        </w:rPr>
        <w:t>er knirscht mit den Zähnen</w:t>
      </w:r>
      <w:r>
        <w:rPr/>
        <w:t xml:space="preserve"> + </w:t>
      </w:r>
      <w:r>
        <w:rPr>
          <w:i/>
        </w:rPr>
        <w:t>er wird [ganz] starr</w:t>
      </w:r>
      <w:r>
        <w:rPr/>
        <w:t xml:space="preserve">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w:t>
      </w:r>
      <w:r>
        <w:rPr>
          <w:i/>
        </w:rPr>
        <w:t>Starr werden</w:t>
      </w:r>
      <w:r>
        <w:rPr/>
        <w:t xml:space="preserve"> gut nach Louw/Nida 23.172.; gemeint ist der Ganzkörperkrampf. Treffender: „Er hat Schaum vor dem Mund, sein Gesicht verzerrt sich und er krampft am ganzen Körper“.</w:t>
      </w:r>
    </w:p>
  </w:footnote>
  <w:footnote w:id="1964">
    <w:p>
      <w:pPr>
        <w:pStyle w:val="Funote"/>
        <w:rPr/>
      </w:pPr>
      <w:r>
        <w:rPr>
          <w:rStyle w:val="Funotenzeichen"/>
        </w:rPr>
        <w:footnoteRef/>
      </w:r>
      <w:r>
        <w:rPr/>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965">
    <w:p>
      <w:pPr>
        <w:pStyle w:val="Funote"/>
        <w:rPr/>
      </w:pPr>
      <w:r>
        <w:rPr>
          <w:rStyle w:val="Funotenzeichen"/>
        </w:rPr>
        <w:footnoteRef/>
      </w:r>
      <w:r>
        <w:rPr/>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966">
    <w:p>
      <w:pPr>
        <w:pStyle w:val="Funote"/>
        <w:rPr/>
      </w:pPr>
      <w:r>
        <w:rPr>
          <w:rStyle w:val="Funotenzeichen"/>
        </w:rPr>
        <w:footnoteRef/>
      </w:r>
      <w:r>
        <w:rPr/>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967">
    <w:p>
      <w:pPr>
        <w:pStyle w:val="Funote"/>
        <w:rPr/>
      </w:pPr>
      <w:r>
        <w:rPr>
          <w:rStyle w:val="Funotenzeichen"/>
        </w:rPr>
        <w:footnoteRef/>
      </w:r>
      <w:r>
        <w:rPr>
          <w:i/>
        </w:rPr>
        <w:tab/>
        <w:t>werde (muss)</w:t>
      </w:r>
      <w:r>
        <w:rPr/>
        <w:t xml:space="preserve"> - sicher modales Futur</w:t>
      </w:r>
    </w:p>
  </w:footnote>
  <w:footnote w:id="1968">
    <w:p>
      <w:pPr>
        <w:pStyle w:val="Funote"/>
        <w:rPr/>
      </w:pPr>
      <w:r>
        <w:rPr>
          <w:rStyle w:val="Funotenzeichen"/>
        </w:rPr>
        <w:footnoteRef/>
      </w:r>
      <w:r>
        <w:rPr>
          <w:i/>
        </w:rPr>
        <w:tab/>
        <w:t>Und als der Geist ihn sah, sofort (Kaum hatte der Geist in gesehen - da)</w:t>
      </w:r>
      <w:r>
        <w:rPr/>
        <w:t xml:space="preserve"> - Das Adverb </w:t>
      </w:r>
      <w:r>
        <w:rPr>
          <w:lang w:val="el-GR"/>
        </w:rPr>
        <w:t>εὐθύς</w:t>
      </w:r>
      <w:r>
        <w:rPr/>
        <w:t xml:space="preserve"> </w:t>
      </w:r>
      <w:r>
        <w:rPr>
          <w:i/>
        </w:rPr>
        <w:t>sofort</w:t>
      </w:r>
      <w:r>
        <w:rPr/>
        <w:t xml:space="preserve"> in „zerrte er ihn sofort in Krämpfen hin und her“ hat im Griechischen die Funktion, Spannung zu erzeugen (vgl. Pryke 1987, S. 87). Daher treffender die in der Klammer angegebene Übersetzung.</w:t>
      </w:r>
    </w:p>
  </w:footnote>
  <w:footnote w:id="1969">
    <w:p>
      <w:pPr>
        <w:pStyle w:val="Funote"/>
        <w:rPr/>
      </w:pPr>
      <w:r>
        <w:rPr>
          <w:rStyle w:val="Funotenzeichen"/>
        </w:rPr>
        <w:footnoteRef/>
      </w:r>
      <w:r>
        <w:rPr/>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970">
    <w:p>
      <w:pPr>
        <w:pStyle w:val="Funote"/>
        <w:rPr/>
      </w:pPr>
      <w:r>
        <w:rPr>
          <w:rStyle w:val="Funotenzeichen"/>
        </w:rPr>
        <w:footnoteRef/>
      </w:r>
      <w:r>
        <w:rPr>
          <w:i/>
        </w:rPr>
        <w:tab/>
        <w:t>und auf die Erde gefallen wälzte er sich schäumend (so dass der Knabe sich mit Schaum vor dem Mund auf der Erde wälzte)</w:t>
      </w:r>
      <w:r>
        <w:rPr/>
        <w:t xml:space="preserve"> - Der Satz drückt die Folgen der heftigen Konvulsionen aus; besser daher konsekutives </w:t>
      </w:r>
      <w:r>
        <w:rPr>
          <w:lang w:val="el-GR"/>
        </w:rPr>
        <w:t>καί</w:t>
      </w:r>
      <w:r>
        <w:rPr/>
        <w:t xml:space="preserve">: </w:t>
      </w:r>
      <w:r>
        <w:rPr>
          <w:i/>
        </w:rPr>
        <w:t>so dass</w:t>
      </w:r>
      <w:r>
        <w:rPr/>
        <w:t xml:space="preserve">. „Auf die Erde gefallen“ ist Partizip Aorist und drückt so das dem „Wälzen“ zeitlich relativ Vorangehende aus; schöner effektiv zu übersetzen: </w:t>
      </w:r>
      <w:r>
        <w:rPr>
          <w:i/>
        </w:rPr>
        <w:t>auf der Erde (liegend)</w:t>
      </w:r>
      <w:r>
        <w:rPr/>
        <w:t>.</w:t>
      </w:r>
    </w:p>
  </w:footnote>
  <w:footnote w:id="1971">
    <w:p>
      <w:pPr>
        <w:pStyle w:val="Funote"/>
        <w:rPr/>
      </w:pPr>
      <w:r>
        <w:rPr>
          <w:rStyle w:val="Funotenzeichen"/>
        </w:rPr>
        <w:footnoteRef/>
      </w:r>
      <w:r>
        <w:rPr/>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972">
    <w:p>
      <w:pPr>
        <w:pStyle w:val="Funote"/>
        <w:rPr/>
      </w:pPr>
      <w:r>
        <w:rPr>
          <w:rStyle w:val="Funotenzeichen"/>
        </w:rPr>
        <w:footnoteRef/>
      </w:r>
      <w:r>
        <w:rPr>
          <w:i/>
        </w:rPr>
        <w:tab/>
        <w:t>sogar (und)</w:t>
      </w:r>
      <w:r>
        <w:rPr/>
        <w:t xml:space="preserve"> + </w:t>
      </w:r>
      <w:r>
        <w:rPr>
          <w:i/>
        </w:rPr>
        <w:t>sogar (sowohl)</w:t>
      </w:r>
      <w:r>
        <w:rPr/>
        <w:t xml:space="preserve"> - sicher emphatisches </w:t>
      </w:r>
      <w:r>
        <w:rPr>
          <w:lang w:val="el-GR"/>
        </w:rPr>
        <w:t>καὶ</w:t>
      </w:r>
      <w:r>
        <w:rPr/>
        <w:t xml:space="preserve">; hierzu gut Dana/Mantey §221.3; zur Funktion im Text siehe </w:t>
      </w:r>
      <w:r>
        <w:fldChar w:fldCharType="begin"/>
      </w:r>
      <w:r>
        <w:rPr>
          <w:rStyle w:val="Internetverknpfung"/>
        </w:rPr>
        <w:instrText> HYPERLINK "http://www.offene-bibel.de/wiki/index.php5?title=Markus_9" \l "note_bl"</w:instrText>
      </w:r>
      <w:r>
        <w:rPr>
          <w:rStyle w:val="Internetverknpfung"/>
        </w:rPr>
        <w:fldChar w:fldCharType="separate"/>
      </w:r>
      <w:r>
        <w:rPr>
          <w:rStyle w:val="Internetverknpfung"/>
        </w:rPr>
        <w:t>bl</w:t>
      </w:r>
      <w:r>
        <w:rPr>
          <w:rStyle w:val="Internetverknpfung"/>
        </w:rPr>
        <w:fldChar w:fldCharType="end"/>
      </w:r>
    </w:p>
  </w:footnote>
  <w:footnote w:id="1973">
    <w:p>
      <w:pPr>
        <w:pStyle w:val="Funote"/>
        <w:rPr/>
      </w:pPr>
      <w:r>
        <w:rPr>
          <w:rStyle w:val="Funotenzeichen"/>
        </w:rPr>
        <w:footnoteRef/>
      </w:r>
      <w:r>
        <w:rPr/>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974">
    <w:p>
      <w:pPr>
        <w:pStyle w:val="Funote"/>
        <w:rPr/>
      </w:pPr>
      <w:r>
        <w:rPr>
          <w:rStyle w:val="Funotenzeichen"/>
        </w:rPr>
        <w:footnoteRef/>
      </w:r>
      <w:r>
        <w:rPr/>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975">
    <w:p>
      <w:pPr>
        <w:pStyle w:val="Funote"/>
        <w:rPr/>
      </w:pPr>
      <w:r>
        <w:rPr>
          <w:rStyle w:val="Funotenzeichen"/>
        </w:rPr>
        <w:footnoteRef/>
      </w:r>
      <w:r>
        <w:rPr/>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976">
    <w:p>
      <w:pPr>
        <w:pStyle w:val="Funote"/>
        <w:rPr/>
      </w:pPr>
      <w:r>
        <w:rPr>
          <w:rStyle w:val="Funotenzeichen"/>
        </w:rPr>
        <w:footnoteRef/>
      </w:r>
      <w:r>
        <w:rPr/>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977">
    <w:p>
      <w:pPr>
        <w:pStyle w:val="Funote"/>
        <w:rPr/>
      </w:pPr>
      <w:r>
        <w:rPr>
          <w:rStyle w:val="Funotenzeichen"/>
        </w:rPr>
        <w:footnoteRef/>
      </w:r>
      <w:r>
        <w:rPr>
          <w:i/>
        </w:rPr>
        <w:tab/>
        <w:t xml:space="preserve">vermag </w:t>
      </w:r>
      <w:r>
        <w:rPr/>
        <w:t xml:space="preserve">Alles </w:t>
      </w:r>
      <w:r>
        <w:rPr>
          <w:i/>
        </w:rPr>
        <w:t>(ist allmächtig)</w:t>
      </w:r>
      <w:r>
        <w:rPr/>
        <w:t xml:space="preserve"> - s. </w:t>
      </w:r>
      <w:r>
        <w:fldChar w:fldCharType="begin"/>
      </w:r>
      <w:r>
        <w:rPr>
          <w:rStyle w:val="Internetverknpfung"/>
        </w:rPr>
        <w:instrText> HYPERLINK "http://www.offene-bibel.de/wiki/index.php5?title=Markus_9" \l "note_bk"</w:instrText>
      </w:r>
      <w:r>
        <w:rPr>
          <w:rStyle w:val="Internetverknpfung"/>
        </w:rPr>
        <w:fldChar w:fldCharType="separate"/>
      </w:r>
      <w:r>
        <w:rPr>
          <w:rStyle w:val="Internetverknpfung"/>
        </w:rPr>
        <w:t>FN bk</w:t>
      </w:r>
      <w:r>
        <w:rPr>
          <w:rStyle w:val="Internetverknpfung"/>
        </w:rPr>
        <w:fldChar w:fldCharType="end"/>
      </w:r>
      <w:r>
        <w:rPr/>
        <w:t>.</w:t>
      </w:r>
    </w:p>
  </w:footnote>
  <w:footnote w:id="1978">
    <w:p>
      <w:pPr>
        <w:pStyle w:val="Funote"/>
        <w:rPr/>
      </w:pPr>
      <w:r>
        <w:rPr>
          <w:rStyle w:val="Funotenzeichen"/>
        </w:rPr>
        <w:footnoteRef/>
      </w:r>
      <w:r>
        <w:rPr/>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979">
    <w:p>
      <w:pPr>
        <w:pStyle w:val="Funote"/>
        <w:rPr/>
      </w:pPr>
      <w:r>
        <w:rPr>
          <w:rStyle w:val="Funotenzeichen"/>
        </w:rPr>
        <w:footnoteRef/>
      </w:r>
      <w:r>
        <w:rPr/>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980">
    <w:p>
      <w:pPr>
        <w:pStyle w:val="Funote"/>
        <w:rPr/>
      </w:pPr>
      <w:r>
        <w:rPr>
          <w:rStyle w:val="Funotenzeichen"/>
        </w:rPr>
        <w:footnoteRef/>
      </w:r>
      <w:r>
        <w:rPr>
          <w:i/>
        </w:rPr>
        <w:tab/>
        <w:t>zusammenlief (herandrängte)</w:t>
      </w:r>
      <w:r>
        <w:rPr/>
        <w:t xml:space="preserve"> - </w:t>
      </w:r>
      <w:r>
        <w:rPr>
          <w:lang w:val="el-GR"/>
        </w:rPr>
        <w:t>ἐπισυντρέχω</w:t>
      </w:r>
      <w:r>
        <w:rPr/>
        <w:t xml:space="preserve"> ist ein Hapax Legomenon im gesamten Griechisch; Wortbildung: </w:t>
      </w:r>
      <w:r>
        <w:rPr>
          <w:lang w:val="el-GR"/>
        </w:rPr>
        <w:t>τρέχω</w:t>
      </w:r>
      <w:r>
        <w:rPr/>
        <w:t xml:space="preserve"> </w:t>
      </w:r>
      <w:r>
        <w:rPr>
          <w:i/>
        </w:rPr>
        <w:t>laufen</w:t>
      </w:r>
      <w:r>
        <w:rPr/>
        <w:t xml:space="preserve"> -&gt; </w:t>
      </w:r>
      <w:r>
        <w:rPr>
          <w:lang w:val="el-GR"/>
        </w:rPr>
        <w:t>συν-τρέχω</w:t>
      </w:r>
      <w:r>
        <w:rPr/>
        <w:t xml:space="preserve"> </w:t>
      </w:r>
      <w:r>
        <w:rPr>
          <w:i/>
        </w:rPr>
        <w:t>zusammen-laufen</w:t>
      </w:r>
      <w:r>
        <w:rPr/>
        <w:t xml:space="preserve"> -&gt; </w:t>
      </w:r>
      <w:r>
        <w:rPr>
          <w:lang w:val="el-GR"/>
        </w:rPr>
        <w:t>ἐπι-συντρέχω</w:t>
      </w:r>
      <w:r>
        <w:rPr/>
        <w:t xml:space="preserve"> </w:t>
      </w:r>
      <w:r>
        <w:rPr>
          <w:i/>
        </w:rPr>
        <w:t>heran-zusammenlaufen</w:t>
      </w:r>
      <w:r>
        <w:rPr/>
        <w:t>; gut Louw/Nida 15.134: „eilig an einen Ort zusammenlaufen“. Redundante Wortbildung („an einen Ort“ ist in „zusammenlaufen“ bereits enthalten); besser daher gesteigert: „herandrängen“.</w:t>
      </w:r>
    </w:p>
  </w:footnote>
  <w:footnote w:id="1981">
    <w:p>
      <w:pPr>
        <w:pStyle w:val="Funote"/>
        <w:rPr/>
      </w:pPr>
      <w:r>
        <w:rPr>
          <w:rStyle w:val="Funotenzeichen"/>
        </w:rPr>
        <w:footnoteRef/>
      </w:r>
      <w:r>
        <w:rPr/>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982">
    <w:p>
      <w:pPr>
        <w:pStyle w:val="Funote"/>
        <w:rPr/>
      </w:pPr>
      <w:r>
        <w:rPr>
          <w:rStyle w:val="Funotenzeichen"/>
        </w:rPr>
        <w:footnoteRef/>
      </w:r>
      <w:r>
        <w:rPr/>
        <w:tab/>
        <w:t>Du stummer und tauber Geist - W. der stumme und taube Geist; Nominativ für Vokativ (Grosvenor/Zerwick). Kein Semitismus; vgl. Doudna 1961, S. 78.</w:t>
      </w:r>
    </w:p>
  </w:footnote>
  <w:footnote w:id="1983">
    <w:p>
      <w:pPr>
        <w:pStyle w:val="Funote"/>
        <w:rPr/>
      </w:pPr>
      <w:r>
        <w:rPr>
          <w:rStyle w:val="Funotenzeichen"/>
        </w:rPr>
        <w:footnoteRef/>
      </w:r>
      <w:r>
        <w:rPr/>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984">
    <w:p>
      <w:pPr>
        <w:pStyle w:val="Funote"/>
        <w:rPr/>
      </w:pPr>
      <w:r>
        <w:rPr>
          <w:rStyle w:val="Funotenzeichen"/>
        </w:rPr>
        <w:footnoteRef/>
      </w:r>
      <w:r>
        <w:rPr>
          <w:i/>
        </w:rPr>
        <w:tab/>
        <w:t>wurde (war)</w:t>
      </w:r>
      <w:r>
        <w:rPr/>
        <w:t xml:space="preserve"> - Nicht: „er </w:t>
      </w:r>
      <w:r>
        <w:rPr>
          <w:i/>
        </w:rPr>
        <w:t>wurde</w:t>
      </w:r>
      <w:r>
        <w:rPr/>
        <w:t xml:space="preserv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985">
    <w:p>
      <w:pPr>
        <w:pStyle w:val="Funote"/>
        <w:rPr/>
      </w:pPr>
      <w:r>
        <w:rPr>
          <w:rStyle w:val="Funotenzeichen"/>
        </w:rPr>
        <w:footnoteRef/>
      </w:r>
      <w:r>
        <w:rPr/>
        <w:tab/>
        <w:t xml:space="preserve">daher (sodass) - resultatives </w:t>
      </w:r>
      <w:r>
        <w:rPr>
          <w:lang w:val="el-GR"/>
        </w:rPr>
        <w:t>ὥστε</w:t>
      </w:r>
      <w:r>
        <w:rPr/>
        <w:t xml:space="preserve"> (Pryke 1978, S. 115) -&gt; „sodass“</w:t>
      </w:r>
    </w:p>
  </w:footnote>
  <w:footnote w:id="1986">
    <w:p>
      <w:pPr>
        <w:pStyle w:val="Funote"/>
        <w:rPr/>
      </w:pPr>
      <w:r>
        <w:rPr>
          <w:rStyle w:val="Funotenzeichen"/>
        </w:rPr>
        <w:footnoteRef/>
      </w:r>
      <w:r>
        <w:rPr>
          <w:i/>
        </w:rPr>
        <w:tab/>
        <w:t>die Meisten (die Menge)</w:t>
      </w:r>
      <w:r>
        <w:rPr/>
        <w:t xml:space="preserve"> - „die Meisten“ i.S.v. „die Menge“; vgl. </w:t>
      </w:r>
      <w:hyperlink r:id="rId369">
        <w:r>
          <w:rPr>
            <w:rStyle w:val="Internetverknpfung"/>
          </w:rPr>
          <w:t>Pape 671, Bed. 3</w:t>
        </w:r>
      </w:hyperlink>
    </w:p>
  </w:footnote>
  <w:footnote w:id="1987">
    <w:p>
      <w:pPr>
        <w:pStyle w:val="Funote"/>
        <w:rPr/>
      </w:pPr>
      <w:r>
        <w:rPr>
          <w:rStyle w:val="Funotenzeichen"/>
        </w:rPr>
        <w:footnoteRef/>
      </w:r>
      <w:r>
        <w:rPr>
          <w:i/>
        </w:rPr>
        <w:tab/>
        <w:t>hieß ihn aufstehen</w:t>
      </w:r>
      <w:r>
        <w:rPr/>
        <w:t xml:space="preserve"> nach Louw/Nida 17.10 („to cause to stand up“); in Anbetracht des Folgesatzes sinnvoller als „weckte ihn auf“ oder gar „erweckte ihn“. Das häufige „richtete ihn auf“ oder „zog ihn hoch“ ist gut; wäre aber eine Doppelung mit dem Folgesatz.</w:t>
      </w:r>
    </w:p>
  </w:footnote>
  <w:footnote w:id="1988">
    <w:p>
      <w:pPr>
        <w:pStyle w:val="Funote"/>
        <w:rPr/>
      </w:pPr>
      <w:r>
        <w:rPr>
          <w:rStyle w:val="Funotenzeichen"/>
        </w:rPr>
        <w:footnoteRef/>
      </w:r>
      <w:r>
        <w:rPr>
          <w:i/>
        </w:rPr>
        <w:tab/>
        <w:t>für sich</w:t>
      </w:r>
      <w:r>
        <w:rPr/>
        <w:t xml:space="preserve"> - versprachlicht hier das Motiv der Sonderbelehrung (siehe Parallelstellen); besser: „Und nachdem er ins Haus gegangen war und sie unter sich waren, fragten ihn seine Jünger“.</w:t>
      </w:r>
    </w:p>
  </w:footnote>
  <w:footnote w:id="1989">
    <w:p>
      <w:pPr>
        <w:pStyle w:val="Funote"/>
        <w:rPr/>
      </w:pPr>
      <w:r>
        <w:rPr>
          <w:rStyle w:val="Funotenzeichen"/>
        </w:rPr>
        <w:footnoteRef/>
      </w:r>
      <w:r>
        <w:rPr/>
        <w:tab/>
        <w:t xml:space="preserve">Dass (warum) - </w:t>
      </w:r>
      <w:r>
        <w:rPr>
          <w:lang w:val="el-GR"/>
        </w:rPr>
        <w:t>ὅτι</w:t>
      </w:r>
      <w:r>
        <w:rPr/>
        <w:t xml:space="preserve"> zur Einleitung von Warum-Fragen; vgl. Turner 1925d, S. 58. So auch fast alle Üss.</w:t>
      </w:r>
    </w:p>
  </w:footnote>
  <w:footnote w:id="1990">
    <w:p>
      <w:pPr>
        <w:pStyle w:val="Funote"/>
        <w:rPr/>
      </w:pPr>
      <w:r>
        <w:rPr>
          <w:rStyle w:val="Funotenzeichen"/>
        </w:rPr>
        <w:footnoteRef/>
      </w:r>
      <w:r>
        <w:rPr/>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991">
    <w:p>
      <w:pPr>
        <w:pStyle w:val="Funote"/>
        <w:rPr/>
      </w:pPr>
      <w:r>
        <w:rPr>
          <w:rStyle w:val="Funotenzeichen"/>
        </w:rPr>
        <w:footnoteRef/>
      </w:r>
      <w:r>
        <w:rPr>
          <w:i/>
        </w:rPr>
        <w:tab/>
        <w:t>aus (gingen sie fort und)</w:t>
      </w:r>
      <w:r>
        <w:rPr/>
        <w:t xml:space="preserve"> - W. „Von dort fortgegangen seiend“</w:t>
      </w:r>
    </w:p>
  </w:footnote>
  <w:footnote w:id="1992">
    <w:p>
      <w:pPr>
        <w:pStyle w:val="Funote"/>
        <w:rPr/>
      </w:pPr>
      <w:r>
        <w:rPr>
          <w:rStyle w:val="Funotenzeichen"/>
        </w:rPr>
        <w:footnoteRef/>
      </w:r>
      <w:r>
        <w:rPr/>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993">
    <w:p>
      <w:pPr>
        <w:pStyle w:val="Funote"/>
        <w:rPr/>
      </w:pPr>
      <w:r>
        <w:rPr>
          <w:rStyle w:val="Funotenzeichen"/>
        </w:rPr>
        <w:footnoteRef/>
      </w:r>
      <w:r>
        <w:rPr>
          <w:i/>
        </w:rPr>
        <w:tab/>
        <w:t>in die Hände der Menschen</w:t>
      </w:r>
      <w:r>
        <w:rPr/>
        <w:t xml:space="preserve"> - Biblizismus, „in die Hand von X“ entspricht „an X“, „in die Gewalt von X“. </w:t>
      </w:r>
    </w:p>
  </w:footnote>
  <w:footnote w:id="1994">
    <w:p>
      <w:pPr>
        <w:pStyle w:val="Funote"/>
        <w:rPr/>
      </w:pPr>
      <w:r>
        <w:rPr>
          <w:rStyle w:val="Funotenzeichen"/>
        </w:rPr>
        <w:footnoteRef/>
      </w:r>
      <w:r>
        <w:rPr/>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995">
    <w:p>
      <w:pPr>
        <w:pStyle w:val="Funote"/>
        <w:rPr/>
      </w:pPr>
      <w:r>
        <w:rPr>
          <w:rStyle w:val="Funotenzeichen"/>
        </w:rPr>
        <w:footnoteRef/>
      </w:r>
      <w:r>
        <w:rPr/>
        <w:tab/>
        <w:t>nachdem (obwohl) - beide Deutungen des Partizips sind möglich; »nachdem« z.B. Gnilka 1979; Marcus 2009; Schenke 2005; »obwohl« Camacho/Mateos 1994; Kleist 1937. Beides trifft die gern gewählte Übersetzung »drei Tage nach seinem Tod wird er auferstehen«</w:t>
      </w:r>
    </w:p>
  </w:footnote>
  <w:footnote w:id="1996">
    <w:p>
      <w:pPr>
        <w:pStyle w:val="Funote"/>
        <w:rPr/>
      </w:pPr>
      <w:r>
        <w:rPr>
          <w:rStyle w:val="Funotenzeichen"/>
        </w:rPr>
        <w:footnoteRef/>
      </w:r>
      <w:r>
        <w:rPr/>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997">
    <w:p>
      <w:pPr>
        <w:pStyle w:val="Funote"/>
        <w:rPr/>
      </w:pPr>
      <w:r>
        <w:rPr>
          <w:rStyle w:val="Funotenzeichen"/>
        </w:rPr>
        <w:footnoteRef/>
      </w:r>
      <w:r>
        <w:rPr>
          <w:i/>
        </w:rPr>
        <w:tab/>
        <w:t>war</w:t>
      </w:r>
      <w:r>
        <w:rPr/>
        <w:t xml:space="preserve">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998">
    <w:p>
      <w:pPr>
        <w:pStyle w:val="Funote"/>
        <w:rPr/>
      </w:pPr>
      <w:r>
        <w:rPr>
          <w:rStyle w:val="Funotenzeichen"/>
        </w:rPr>
        <w:footnoteRef/>
      </w:r>
      <w:r>
        <w:rPr/>
        <w:tab/>
        <w:t>der Größte (größer) - Komparativ als Superlativ; vgl. Cranfield 1959, S. 307.</w:t>
      </w:r>
    </w:p>
  </w:footnote>
  <w:footnote w:id="1999">
    <w:p>
      <w:pPr>
        <w:pStyle w:val="Funote"/>
        <w:rPr/>
      </w:pPr>
      <w:r>
        <w:rPr>
          <w:rStyle w:val="Funotenzeichen"/>
        </w:rPr>
        <w:footnoteRef/>
      </w:r>
      <w:r>
        <w:rPr/>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2000">
    <w:p>
      <w:pPr>
        <w:pStyle w:val="Funote"/>
        <w:rPr/>
      </w:pPr>
      <w:r>
        <w:rPr>
          <w:rStyle w:val="Funotenzeichen"/>
        </w:rPr>
        <w:footnoteRef/>
      </w:r>
      <w:r>
        <w:rPr/>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2001">
    <w:p>
      <w:pPr>
        <w:pStyle w:val="Funote"/>
        <w:rPr/>
      </w:pPr>
      <w:r>
        <w:rPr>
          <w:rStyle w:val="Funotenzeichen"/>
        </w:rPr>
        <w:footnoteRef/>
      </w:r>
      <w:r>
        <w:rPr/>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2002">
    <w:p>
      <w:pPr>
        <w:pStyle w:val="Funote"/>
        <w:rPr/>
      </w:pPr>
      <w:r>
        <w:rPr>
          <w:rStyle w:val="Funotenzeichen"/>
        </w:rPr>
        <w:footnoteRef/>
      </w:r>
      <w:r>
        <w:rPr/>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2003">
    <w:p>
      <w:pPr>
        <w:pStyle w:val="Funote"/>
        <w:rPr/>
      </w:pPr>
      <w:r>
        <w:rPr>
          <w:rStyle w:val="Funotenzeichen"/>
        </w:rPr>
        <w:footnoteRef/>
      </w:r>
      <w:r>
        <w:rPr/>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2004">
    <w:p>
      <w:pPr>
        <w:pStyle w:val="Funote"/>
        <w:rPr/>
      </w:pPr>
      <w:r>
        <w:rPr>
          <w:rStyle w:val="Funotenzeichen"/>
        </w:rPr>
        <w:footnoteRef/>
      </w:r>
      <w:r>
        <w:rPr/>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2005">
    <w:p>
      <w:pPr>
        <w:pStyle w:val="Funote"/>
        <w:rPr/>
      </w:pPr>
      <w:r>
        <w:rPr>
          <w:rStyle w:val="Funotenzeichen"/>
        </w:rPr>
        <w:footnoteRef/>
      </w:r>
      <w:r>
        <w:rPr/>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2006">
    <w:p>
      <w:pPr>
        <w:pStyle w:val="Funote"/>
        <w:rPr/>
      </w:pPr>
      <w:r>
        <w:rPr>
          <w:rStyle w:val="Funotenzeichen"/>
        </w:rPr>
        <w:footnoteRef/>
      </w:r>
      <w:r>
        <w:rPr/>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2007">
    <w:p>
      <w:pPr>
        <w:pStyle w:val="Funote"/>
        <w:rPr/>
      </w:pPr>
      <w:r>
        <w:rPr>
          <w:rStyle w:val="Funotenzeichen"/>
        </w:rPr>
        <w:footnoteRef/>
      </w:r>
      <w:r>
        <w:rPr>
          <w:i/>
        </w:rPr>
        <w:tab/>
        <w:t>mit meinem Namen</w:t>
      </w:r>
      <w:r>
        <w:rPr/>
        <w:t xml:space="preserve"> - </w:t>
      </w:r>
      <w:r>
        <w:rPr>
          <w:lang w:val="el-GR"/>
        </w:rPr>
        <w:t>ἐπὶ τῷ ὀνόματί</w:t>
      </w:r>
      <w:r>
        <w:rPr/>
        <w:t xml:space="preserve"> verwendet wie oben </w:t>
      </w:r>
      <w:r>
        <w:rPr>
          <w:lang w:val="el-GR"/>
        </w:rPr>
        <w:t>ἐν τῷ ὀνόματί</w:t>
      </w:r>
      <w:r>
        <w:rPr/>
        <w:t xml:space="preserve"> (s. </w:t>
      </w:r>
      <w:r>
        <w:fldChar w:fldCharType="begin"/>
      </w:r>
      <w:r>
        <w:rPr>
          <w:rStyle w:val="Internetverknpfung"/>
        </w:rPr>
        <w:instrText> HYPERLINK "http://www.offene-bibel.de/wiki/index.php5?title=Markus_9" \l "note_cp"</w:instrText>
      </w:r>
      <w:r>
        <w:rPr>
          <w:rStyle w:val="Internetverknpfung"/>
        </w:rPr>
        <w:fldChar w:fldCharType="separate"/>
      </w:r>
      <w:r>
        <w:rPr>
          <w:rStyle w:val="Internetverknpfung"/>
        </w:rPr>
        <w:t>FN cp</w:t>
      </w:r>
      <w:r>
        <w:rPr>
          <w:rStyle w:val="Internetverknpfung"/>
        </w:rPr>
        <w:fldChar w:fldCharType="end"/>
      </w:r>
      <w:r>
        <w:rPr/>
        <w:t>); vgl. BDAG: „der Machttaten vollbringt, indem er meinen Namen nennt“. So auch viele Üss.</w:t>
      </w:r>
    </w:p>
  </w:footnote>
  <w:footnote w:id="2008">
    <w:p>
      <w:pPr>
        <w:pStyle w:val="Funote"/>
        <w:rPr/>
      </w:pPr>
      <w:r>
        <w:rPr>
          <w:rStyle w:val="Funotenzeichen"/>
        </w:rPr>
        <w:footnoteRef/>
      </w:r>
      <w:r>
        <w:rPr/>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2009">
    <w:p>
      <w:pPr>
        <w:pStyle w:val="Funote"/>
        <w:rPr/>
      </w:pPr>
      <w:r>
        <w:rPr>
          <w:rStyle w:val="Funotenzeichen"/>
        </w:rPr>
        <w:footnoteRef/>
      </w:r>
      <w:r>
        <w:rPr>
          <w:i/>
        </w:rPr>
        <w:tab/>
        <w:t>schlecht von mir zu sprechen vermag (von mir sprechen kann)</w:t>
      </w:r>
      <w:r>
        <w:rPr/>
        <w:t xml:space="preserve"> - </w:t>
      </w:r>
      <w:r>
        <w:rPr>
          <w:lang w:val="el-GR"/>
        </w:rPr>
        <w:t>δύναμαι</w:t>
      </w:r>
      <w:r>
        <w:rPr/>
        <w:t xml:space="preserve"> </w:t>
      </w:r>
      <w:r>
        <w:rPr>
          <w:i/>
        </w:rPr>
        <w:t>vermögen</w:t>
      </w:r>
      <w:r>
        <w:rPr/>
        <w:t xml:space="preserve"> verwendet als Hilfsverb, besser einfach „verfluchen kann“. Vgl. Turner 1927a, S. 355.</w:t>
      </w:r>
    </w:p>
  </w:footnote>
  <w:footnote w:id="2010">
    <w:p>
      <w:pPr>
        <w:pStyle w:val="Funote"/>
        <w:rPr/>
      </w:pPr>
      <w:r>
        <w:rPr>
          <w:rStyle w:val="Funotenzeichen"/>
        </w:rPr>
        <w:footnoteRef/>
      </w:r>
      <w:r>
        <w:rPr/>
        <w:tab/>
        <w:t>Wer nicht gegen uns ist, ist für uns - auch dies ist ein Sprichwort; s. Cicero, Lig 11 (vgl. Cranfield 1959, S. 310).</w:t>
      </w:r>
    </w:p>
  </w:footnote>
  <w:footnote w:id="2011">
    <w:p>
      <w:pPr>
        <w:pStyle w:val="Funote"/>
        <w:rPr/>
      </w:pPr>
      <w:r>
        <w:rPr>
          <w:rStyle w:val="Funotenzeichen"/>
        </w:rPr>
        <w:footnoteRef/>
      </w:r>
      <w:r>
        <w:rPr/>
        <w:tab/>
        <w:t xml:space="preserve">Zur Strukturellen Zuordnung von Vv. 41f siehe </w:t>
      </w:r>
      <w:r>
        <w:fldChar w:fldCharType="begin"/>
      </w:r>
      <w:r>
        <w:rPr>
          <w:rStyle w:val="Internetverknpfung"/>
        </w:rPr>
        <w:instrText> HYPERLINK "http://www.offene-bibel.de/wiki/index.php5?title=Kommentar:Markus_9" \l "Struktur_der_Studienfassung"</w:instrText>
      </w:r>
      <w:r>
        <w:rPr>
          <w:rStyle w:val="Internetverknpfung"/>
        </w:rPr>
        <w:fldChar w:fldCharType="separate"/>
      </w:r>
      <w:r>
        <w:rPr>
          <w:rStyle w:val="Internetverknpfung"/>
        </w:rPr>
        <w:t>Kommentar</w:t>
      </w:r>
      <w:r>
        <w:rPr>
          <w:rStyle w:val="Internetverknpfung"/>
        </w:rPr>
        <w:fldChar w:fldCharType="end"/>
      </w:r>
      <w:r>
        <w:rPr/>
        <w:t>.</w:t>
      </w:r>
    </w:p>
  </w:footnote>
  <w:footnote w:id="2012">
    <w:p>
      <w:pPr>
        <w:pStyle w:val="Funote"/>
        <w:rPr/>
      </w:pPr>
      <w:r>
        <w:rPr>
          <w:rStyle w:val="Funotenzeichen"/>
        </w:rPr>
        <w:footnoteRef/>
      </w:r>
      <w:r>
        <w:rPr/>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2013">
    <w:p>
      <w:pPr>
        <w:pStyle w:val="Funote"/>
        <w:rPr/>
      </w:pPr>
      <w:r>
        <w:rPr>
          <w:rStyle w:val="Funotenzeichen"/>
        </w:rPr>
        <w:footnoteRef/>
      </w:r>
      <w:r>
        <w:rPr/>
        <w:tab/>
        <w:t>[auch nur] - »einen Becher Wasser zu trinken geben« ist das geringste Werk der Gastfreundschaft (Pesch 1977, S. 110); es wird hier für die sprichwörtlich kleinstmögliche gute Tat verwendet - daher »[auch nur]«.</w:t>
      </w:r>
    </w:p>
  </w:footnote>
  <w:footnote w:id="2014">
    <w:p>
      <w:pPr>
        <w:pStyle w:val="Funote"/>
        <w:rPr/>
      </w:pPr>
      <w:r>
        <w:rPr>
          <w:rStyle w:val="Funotenzeichen"/>
        </w:rPr>
        <w:footnoteRef/>
      </w:r>
      <w:r>
        <w:rPr>
          <w:i/>
        </w:rPr>
        <w:tab/>
        <w:t>einen Becher Wasser zu trinken gibt</w:t>
      </w:r>
      <w:r>
        <w:rPr/>
        <w:t xml:space="preserve"> - im Griechischen figura etymologica: </w:t>
      </w:r>
      <w:r>
        <w:rPr>
          <w:lang w:val="el-GR"/>
        </w:rPr>
        <w:t>ποτίσῃ ποτήριον</w:t>
      </w:r>
      <w:r>
        <w:rPr/>
        <w:t xml:space="preserve"> </w:t>
      </w:r>
      <w:r>
        <w:rPr>
          <w:i/>
        </w:rPr>
        <w:t>[Wer euch] tränkt mit einem Trunk</w:t>
      </w:r>
      <w:r>
        <w:rPr/>
        <w:t xml:space="preserve"> („Trunk“ aber w. „Becher“).</w:t>
      </w:r>
    </w:p>
  </w:footnote>
  <w:footnote w:id="2015">
    <w:p>
      <w:pPr>
        <w:pStyle w:val="Funote"/>
        <w:rPr/>
      </w:pPr>
      <w:r>
        <w:rPr>
          <w:rStyle w:val="Funotenzeichen"/>
        </w:rPr>
        <w:footnoteRef/>
      </w:r>
      <w:r>
        <w:rPr/>
        <w:tab/>
        <w:t>weil (im Namen, dass) - W. »im Namen, dass«, aber gr. Idiom für »weil«; vgl. BDAG, Heitmüller 1903, S. 48.50; ad loc. Cranfield 1959, S. 312; Grosvenor/Zerwick; Taylor 1979, S. 486. So auch viele Üss. Allerdings seltenes Idiom; daher die Varianten.</w:t>
      </w:r>
    </w:p>
  </w:footnote>
  <w:footnote w:id="2016">
    <w:p>
      <w:pPr>
        <w:pStyle w:val="Funote"/>
        <w:rPr/>
      </w:pPr>
      <w:r>
        <w:rPr>
          <w:rStyle w:val="Funotenzeichen"/>
        </w:rPr>
        <w:footnoteRef/>
      </w:r>
      <w:r>
        <w:rPr/>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2017">
    <w:p>
      <w:pPr>
        <w:pStyle w:val="Funote"/>
        <w:rPr/>
      </w:pPr>
      <w:r>
        <w:rPr>
          <w:rStyle w:val="Funotenzeichen"/>
        </w:rPr>
        <w:footnoteRef/>
      </w:r>
      <w:r>
        <w:rPr>
          <w:i/>
        </w:rPr>
        <w:tab/>
        <w:t>wird seinen Lohn nicht verlieren (wird ihn bekommen)</w:t>
      </w:r>
      <w:r>
        <w:rPr/>
        <w:t xml:space="preserve">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2018">
    <w:p>
      <w:pPr>
        <w:pStyle w:val="Funote"/>
        <w:rPr/>
      </w:pPr>
      <w:r>
        <w:rPr>
          <w:rStyle w:val="Funotenzeichen"/>
        </w:rPr>
        <w:footnoteRef/>
      </w:r>
      <w:r>
        <w:rPr>
          <w:i/>
        </w:rPr>
        <w:tab/>
        <w:t>aber (und)</w:t>
      </w:r>
      <w:r>
        <w:rPr/>
        <w:t xml:space="preserve"> - „und“ zur Verknüpfung von Gegensätzen.</w:t>
      </w:r>
    </w:p>
  </w:footnote>
  <w:footnote w:id="2019">
    <w:p>
      <w:pPr>
        <w:pStyle w:val="Funote"/>
        <w:rPr/>
      </w:pPr>
      <w:r>
        <w:rPr>
          <w:rStyle w:val="Funotenzeichen"/>
        </w:rPr>
        <w:footnoteRef/>
      </w:r>
      <w:r>
        <w:rPr/>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2020">
    <w:p>
      <w:pPr>
        <w:pStyle w:val="Funote"/>
        <w:rPr/>
      </w:pPr>
      <w:r>
        <w:rPr>
          <w:rStyle w:val="Funotenzeichen"/>
        </w:rPr>
        <w:footnoteRef/>
      </w:r>
      <w:r>
        <w:rPr/>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2021">
    <w:p>
      <w:pPr>
        <w:pStyle w:val="Funote"/>
        <w:rPr/>
      </w:pPr>
      <w:r>
        <w:rPr>
          <w:rStyle w:val="Funotenzeichen"/>
        </w:rPr>
        <w:footnoteRef/>
      </w:r>
      <w:r>
        <w:rPr/>
        <w:tab/>
        <w:t>ist (wäre) - modales Indikativ; vgl. Kleist 1937, S. 216. So fast alle Üss.</w:t>
      </w:r>
    </w:p>
  </w:footnote>
  <w:footnote w:id="2022">
    <w:p>
      <w:pPr>
        <w:pStyle w:val="Funote"/>
        <w:rPr/>
      </w:pPr>
      <w:r>
        <w:rPr>
          <w:rStyle w:val="Funotenzeichen"/>
        </w:rPr>
        <w:footnoteRef/>
      </w:r>
      <w:r>
        <w:rPr/>
        <w:tab/>
        <w:t>gut (besser) - sicher Positiv als Komparativ; vgl. Zerwick §145. So auch alle Üss. Kein Semitismus; vgl. z.B. Herodot IX.26.7; auch BDR §245.</w:t>
      </w:r>
    </w:p>
  </w:footnote>
  <w:footnote w:id="2023">
    <w:p>
      <w:pPr>
        <w:pStyle w:val="Funote"/>
        <w:rPr/>
      </w:pPr>
      <w:r>
        <w:rPr>
          <w:rStyle w:val="Funotenzeichen"/>
        </w:rPr>
        <w:footnoteRef/>
      </w:r>
      <w:r>
        <w:rPr/>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2024">
    <w:p>
      <w:pPr>
        <w:pStyle w:val="Funote"/>
        <w:rPr/>
      </w:pPr>
      <w:r>
        <w:rPr>
          <w:rStyle w:val="Funotenzeichen"/>
        </w:rPr>
        <w:footnoteRef/>
      </w:r>
      <w:r>
        <w:rPr/>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2025">
    <w:p>
      <w:pPr>
        <w:pStyle w:val="Funote"/>
        <w:rPr/>
      </w:pPr>
      <w:r>
        <w:rPr>
          <w:rStyle w:val="Funotenzeichen"/>
        </w:rPr>
        <w:footnoteRef/>
      </w:r>
      <w:r>
        <w:rPr/>
        <w:tab/>
        <w:t>[Denn] - Asyndese zum Ausdruck kausaler Verhältnisse, so gut Reiser 1983, S. 143.</w:t>
      </w:r>
    </w:p>
  </w:footnote>
  <w:footnote w:id="2026">
    <w:p>
      <w:pPr>
        <w:pStyle w:val="Funote"/>
        <w:rPr/>
      </w:pPr>
      <w:r>
        <w:rPr>
          <w:rStyle w:val="Funotenzeichen"/>
        </w:rPr>
        <w:footnoteRef/>
      </w:r>
      <w:r>
        <w:rPr>
          <w:i/>
        </w:rPr>
        <w:tab/>
        <w:t>Leben</w:t>
      </w:r>
      <w:r>
        <w:rPr/>
        <w:t xml:space="preserve"> wird hier als Wechselbegriff für das „Reich Gottes“ verwendet; so eigtl. alle. „Reich Gottes“ steht ja denn auch statt „Leben“ in V. 47.</w:t>
      </w:r>
    </w:p>
  </w:footnote>
  <w:footnote w:id="2027">
    <w:p>
      <w:pPr>
        <w:pStyle w:val="Funote"/>
        <w:rPr/>
      </w:pPr>
      <w:r>
        <w:rPr>
          <w:rStyle w:val="Funotenzeichen"/>
        </w:rPr>
        <w:footnoteRef/>
      </w:r>
      <w:r>
        <w:rPr>
          <w:i/>
        </w:rPr>
        <w:tab/>
        <w:t>Gehenna (Hölle)</w:t>
      </w:r>
      <w:r>
        <w:rPr/>
        <w:t xml:space="preserve"> - „Gehenna “ war ursprünglich eine griechische Ortsbezeichnung für das Hinnomtal (</w:t>
      </w:r>
      <w:r>
        <w:rPr>
          <w:rtl w:val="true"/>
          <w:lang w:bidi="he-IL"/>
        </w:rPr>
        <w:t>גֵּי הִנּׂם</w:t>
      </w:r>
      <w:r>
        <w:rPr/>
        <w:t xml:space="preserve"> </w:t>
      </w:r>
      <w:r>
        <w:rPr>
          <w:i/>
        </w:rPr>
        <w:t>gê hinnom</w:t>
      </w:r>
      <w:r>
        <w:rPr/>
        <w:t xml:space="preserve">) im Süden Jerusalems. Wohl, weil (s. </w:t>
      </w:r>
      <w:hyperlink r:id="rId370">
        <w:r>
          <w:rPr>
            <w:rStyle w:val="Internetverknpfung"/>
          </w:rPr>
          <w:t>2Kön 16,3</w:t>
        </w:r>
      </w:hyperlink>
      <w:r>
        <w:rPr/>
        <w:t xml:space="preserve">; </w:t>
      </w:r>
      <w:hyperlink r:id="rId371">
        <w:r>
          <w:rPr>
            <w:rStyle w:val="Internetverknpfung"/>
          </w:rPr>
          <w:t>21,6</w:t>
        </w:r>
      </w:hyperlink>
      <w:r>
        <w:rPr/>
        <w:t>) dort unter Ahas und Manasse Kinder geopfert wurden, wurde es nach und nach mythisiert, bis „Gehenna“ als Wechselbegriff für die Feuerhölle verwendet werden konnte.</w:t>
      </w:r>
    </w:p>
  </w:footnote>
  <w:footnote w:id="2028">
    <w:p>
      <w:pPr>
        <w:pStyle w:val="Funote"/>
        <w:rPr/>
      </w:pPr>
      <w:r>
        <w:rPr>
          <w:rStyle w:val="Funotenzeichen"/>
        </w:rPr>
        <w:footnoteRef/>
      </w:r>
      <w:r>
        <w:rPr/>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2029">
    <w:p>
      <w:pPr>
        <w:pStyle w:val="Funote"/>
        <w:rPr/>
      </w:pPr>
      <w:r>
        <w:rPr>
          <w:rStyle w:val="Funotenzeichen"/>
        </w:rPr>
        <w:footnoteRef/>
      </w:r>
      <w:r>
        <w:rPr/>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2030">
    <w:p>
      <w:pPr>
        <w:pStyle w:val="Funote"/>
        <w:rPr/>
      </w:pPr>
      <w:r>
        <w:rPr>
          <w:rStyle w:val="Funotenzeichen"/>
        </w:rPr>
        <w:footnoteRef/>
      </w:r>
      <w:r>
        <w:rPr/>
        <w:tab/>
        <w:t>Textkritik: Vv. 44.46 sind eine Doppelung von V. 48 und fehlen in einigen wichtigen Mss.; daher werden sie heute fast einheitlich als sekundär erklärt.</w:t>
      </w:r>
    </w:p>
  </w:footnote>
  <w:footnote w:id="2031">
    <w:p>
      <w:pPr>
        <w:pStyle w:val="Funote"/>
        <w:rPr/>
      </w:pPr>
      <w:r>
        <w:rPr>
          <w:rStyle w:val="Funotenzeichen"/>
        </w:rPr>
        <w:footnoteRef/>
      </w:r>
      <w:r>
        <w:rPr/>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2032">
    <w:p>
      <w:pPr>
        <w:pStyle w:val="Funote"/>
        <w:rPr/>
      </w:pPr>
      <w:r>
        <w:rPr>
          <w:rStyle w:val="Funotenzeichen"/>
        </w:rPr>
        <w:footnoteRef/>
      </w:r>
      <w:r>
        <w:rPr>
          <w:i/>
          <w:strike/>
        </w:rPr>
        <w:tab/>
        <w:t>Denn</w:t>
      </w:r>
      <w:r>
        <w:rPr>
          <w:i/>
        </w:rPr>
        <w:t xml:space="preserve"> (Denn)</w:t>
      </w:r>
      <w:r>
        <w:rPr/>
        <w:t xml:space="preserve"> - Vv. 49f gehören sehr sicher nicht mit dem vorangehenden Abschnitt zusammen; gemeinsam ist ihnen nur das ominöse „Feuer“, dass hier aber nicht das obige Höllenfeuer meint, sondern etwas Gutes, das zum „Gesalzen-sein“ führt. Zu </w:t>
      </w:r>
      <w:r>
        <w:rPr>
          <w:i/>
          <w:strike/>
        </w:rPr>
        <w:t>denn</w:t>
      </w:r>
      <w:r>
        <w:rPr/>
        <w:t xml:space="preserve"> siehe </w:t>
      </w:r>
      <w:r>
        <w:fldChar w:fldCharType="begin"/>
      </w:r>
      <w:r>
        <w:rPr>
          <w:rStyle w:val="Internetverknpfung"/>
        </w:rPr>
        <w:instrText> HYPERLINK "http://www.offene-bibel.de/wiki/index.php5?title=Markus_9" \l "note_cx"</w:instrText>
      </w:r>
      <w:r>
        <w:rPr>
          <w:rStyle w:val="Internetverknpfung"/>
        </w:rPr>
        <w:fldChar w:fldCharType="separate"/>
      </w:r>
      <w:r>
        <w:rPr>
          <w:rStyle w:val="Internetverknpfung"/>
        </w:rPr>
        <w:t>FN cx</w:t>
      </w:r>
      <w:r>
        <w:rPr>
          <w:rStyle w:val="Internetverknpfung"/>
        </w:rPr>
        <w:fldChar w:fldCharType="end"/>
      </w:r>
      <w:r>
        <w:rPr/>
        <w:t>.</w:t>
      </w:r>
    </w:p>
  </w:footnote>
  <w:footnote w:id="2033">
    <w:p>
      <w:pPr>
        <w:pStyle w:val="Funote"/>
        <w:rPr/>
      </w:pPr>
      <w:r>
        <w:rPr>
          <w:rStyle w:val="Funotenzeichen"/>
        </w:rPr>
        <w:footnoteRef/>
      </w:r>
      <w:r>
        <w:rPr/>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2034">
    <w:p>
      <w:pPr>
        <w:pStyle w:val="Funote"/>
        <w:rPr/>
      </w:pPr>
      <w:r>
        <w:rPr>
          <w:rStyle w:val="Funotenzeichen"/>
        </w:rPr>
        <w:footnoteRef/>
      </w:r>
      <w:r>
        <w:rPr/>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2035">
    <w:p>
      <w:pPr>
        <w:pStyle w:val="Funote"/>
        <w:rPr/>
      </w:pPr>
      <w:r>
        <w:rPr>
          <w:rStyle w:val="Funotenzeichen"/>
        </w:rPr>
        <w:footnoteRef/>
      </w:r>
      <w:r>
        <w:rPr/>
        <w:tab/>
        <w:t>werdet (wollt) - wahrscheinlich deliberatives Futur, um die Frage als rhetorische Frage zu markieren (vgl. Dana/Mantey §178.4; Wallace, S. 570 u.ö.). »wollt« auch in vielen Üss.</w:t>
      </w:r>
    </w:p>
  </w:footnote>
  <w:footnote w:id="2036">
    <w:p>
      <w:pPr>
        <w:pStyle w:val="Funote"/>
        <w:rPr/>
      </w:pPr>
      <w:r>
        <w:rPr>
          <w:rStyle w:val="Funotenzeichen"/>
        </w:rPr>
        <w:footnoteRef/>
      </w:r>
      <w:r>
        <w:rPr/>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2037">
    <w:p>
      <w:pPr>
        <w:pStyle w:val="Funote"/>
        <w:rPr/>
      </w:pPr>
      <w:r>
        <w:rPr>
          <w:rStyle w:val="Funotenzeichen"/>
        </w:rPr>
        <w:footnoteRef/>
      </w:r>
      <w:r>
        <w:rPr/>
        <w:tab/>
        <w:t>und haltet [so] - [so] gut nach Cranfield 1959, S. 317, der den ersten Imperativ als Bedingung für den zweiten liest.</w:t>
      </w:r>
    </w:p>
  </w:footnote>
  <w:footnote w:id="2038">
    <w:p>
      <w:pPr>
        <w:pStyle w:val="Funote"/>
        <w:rPr/>
      </w:pPr>
      <w:r>
        <w:rPr>
          <w:rStyle w:val="Funotenzeichen"/>
        </w:rPr>
        <w:footnoteRef/>
      </w:r>
      <w:r>
        <w:rPr/>
        <w:tab/>
        <w:t>[Status: Zuverlässig]</w:t>
      </w:r>
    </w:p>
  </w:footnote>
  <w:footnote w:id="2039">
    <w:p>
      <w:pPr>
        <w:pStyle w:val="Funote"/>
        <w:rPr/>
      </w:pPr>
      <w:r>
        <w:rPr>
          <w:rStyle w:val="Funotenzeichen"/>
        </w:rPr>
        <w:footnoteRef/>
      </w:r>
      <w:r>
        <w:rPr>
          <w:i/>
        </w:rPr>
        <w:tab/>
        <w:t>brach auf und</w:t>
      </w:r>
      <w:r>
        <w:rPr/>
        <w:t xml:space="preserve"> </w:t>
      </w:r>
      <w:hyperlink r:id="rId372">
        <w:r>
          <w:rPr>
            <w:rStyle w:val="Internetverknpfung"/>
          </w:rPr>
          <w:t>Ptz. conj.</w:t>
        </w:r>
      </w:hyperlink>
      <w:r>
        <w:rPr/>
        <w:t>, beigeordnet aufgelöst.</w:t>
      </w:r>
    </w:p>
  </w:footnote>
  <w:footnote w:id="2040">
    <w:p>
      <w:pPr>
        <w:pStyle w:val="Funote"/>
        <w:rPr/>
      </w:pPr>
      <w:r>
        <w:rPr>
          <w:rStyle w:val="Funotenzeichen"/>
        </w:rPr>
        <w:footnoteRef/>
      </w:r>
      <w:r>
        <w:rPr/>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2041">
    <w:p>
      <w:pPr>
        <w:pStyle w:val="Funote"/>
        <w:rPr/>
      </w:pPr>
      <w:r>
        <w:rPr>
          <w:rStyle w:val="Funotenzeichen"/>
        </w:rPr>
        <w:footnoteRef/>
      </w:r>
      <w:r>
        <w:rPr>
          <w:i/>
        </w:rPr>
        <w:tab/>
        <w:t>Er jedoch erwiderte {und sagte zu ihnen}</w:t>
      </w:r>
      <w:r>
        <w:rPr/>
        <w:t xml:space="preserve"> Die pleonastische Formulierung kann in der Übersetzung gekürzt werden. erwiderte Modales </w:t>
      </w:r>
      <w:hyperlink r:id="rId373">
        <w:r>
          <w:rPr>
            <w:rStyle w:val="Internetverknpfung"/>
          </w:rPr>
          <w:t>Ptz. conj.</w:t>
        </w:r>
      </w:hyperlink>
      <w:r>
        <w:rPr/>
        <w:t>, beigeordnet aufgelöst.</w:t>
      </w:r>
    </w:p>
  </w:footnote>
  <w:footnote w:id="2042">
    <w:p>
      <w:pPr>
        <w:pStyle w:val="Funote"/>
        <w:rPr/>
      </w:pPr>
      <w:r>
        <w:rPr>
          <w:rStyle w:val="Funotenzeichen"/>
        </w:rPr>
        <w:footnoteRef/>
      </w:r>
      <w:r>
        <w:rPr/>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2043">
    <w:p>
      <w:pPr>
        <w:pStyle w:val="Funote"/>
        <w:rPr/>
      </w:pPr>
      <w:r>
        <w:rPr>
          <w:rStyle w:val="Funotenzeichen"/>
        </w:rPr>
        <w:footnoteRef/>
      </w:r>
      <w:r>
        <w:rPr/>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2044">
    <w:p>
      <w:pPr>
        <w:pStyle w:val="Funote"/>
        <w:rPr/>
      </w:pPr>
      <w:r>
        <w:rPr>
          <w:rStyle w:val="Funotenzeichen"/>
        </w:rPr>
        <w:footnoteRef/>
      </w:r>
      <w:r>
        <w:rPr>
          <w:i/>
        </w:rPr>
        <w:tab/>
        <w:t>das soll (darf) ein ([der]) Mensch nicht trennen</w:t>
      </w:r>
      <w:r>
        <w:rPr/>
        <w:t xml:space="preserve"> Das Verb steht in der dritten Person des Imperativs, den man am besten mit Hilfsverb („soll“, „muss“ bzw. negativ „darf“ oder „möge“) oder einem Konjunktiv umschreibt. Hier beschreibt Jesus eine ethische Maxime aufgrund eines Schöpfungsprinzips, daher ist soll am passendsten. </w:t>
      </w:r>
      <w:r>
        <w:rPr>
          <w:i/>
        </w:rPr>
        <w:t>ein ([der]) Mensch</w:t>
      </w:r>
      <w:r>
        <w:rPr/>
        <w:t xml:space="preserve"> Gemeint ist entweder „(irgend)ein Mensch“ oder „der Mensch“ (Synonym zu „Menschheit“), wobei die meisten Übersetzungen sich für die letzte Variante entscheiden.</w:t>
      </w:r>
    </w:p>
  </w:footnote>
  <w:footnote w:id="2045">
    <w:p>
      <w:pPr>
        <w:pStyle w:val="Funote"/>
        <w:rPr/>
      </w:pPr>
      <w:r>
        <w:rPr>
          <w:rStyle w:val="Funotenzeichen"/>
        </w:rPr>
        <w:footnoteRef/>
      </w:r>
      <w:r>
        <w:rPr>
          <w:i/>
        </w:rPr>
        <w:tab/>
        <w:t>Als … da</w:t>
      </w:r>
      <w:r>
        <w:rPr/>
        <w:t xml:space="preserve"> W. „Und … und“, hier als temporales Verhältnis verstanden und übersetzt.</w:t>
      </w:r>
    </w:p>
  </w:footnote>
  <w:footnote w:id="2046">
    <w:p>
      <w:pPr>
        <w:pStyle w:val="Funote"/>
        <w:rPr/>
      </w:pPr>
      <w:r>
        <w:rPr>
          <w:rStyle w:val="Funotenzeichen"/>
        </w:rPr>
        <w:footnoteRef/>
      </w:r>
      <w:r>
        <w:rPr/>
        <w:tab/>
        <w:t>bricht an ihr die Ehe D.h. »bricht so die Ehe, die mit der ersten Frau bestand« (vgl. Collins 2007, 469).</w:t>
      </w:r>
    </w:p>
  </w:footnote>
  <w:footnote w:id="2047">
    <w:p>
      <w:pPr>
        <w:pStyle w:val="Funote"/>
        <w:rPr/>
      </w:pPr>
      <w:r>
        <w:rPr>
          <w:rStyle w:val="Funotenzeichen"/>
        </w:rPr>
        <w:footnoteRef/>
      </w:r>
      <w:r>
        <w:rPr>
          <w:i/>
        </w:rPr>
        <w:tab/>
        <w:t>sie sich ... geschieden hat und</w:t>
      </w:r>
      <w:r>
        <w:rPr/>
        <w:t xml:space="preserve"> </w:t>
      </w:r>
      <w:hyperlink r:id="rId374">
        <w:r>
          <w:rPr>
            <w:rStyle w:val="Internetverknpfung"/>
          </w:rPr>
          <w:t>Ptz. conj.</w:t>
        </w:r>
      </w:hyperlink>
      <w:r>
        <w:rPr/>
        <w:t>, beigeordnet aufgelöst.</w:t>
      </w:r>
    </w:p>
  </w:footnote>
  <w:footnote w:id="2048">
    <w:p>
      <w:pPr>
        <w:pStyle w:val="Funote"/>
        <w:rPr/>
      </w:pPr>
      <w:r>
        <w:rPr>
          <w:rStyle w:val="Funotenzeichen"/>
        </w:rPr>
        <w:footnoteRef/>
      </w:r>
      <w:r>
        <w:rPr/>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2049">
    <w:p>
      <w:pPr>
        <w:pStyle w:val="Funote"/>
        <w:rPr/>
      </w:pPr>
      <w:r>
        <w:rPr>
          <w:rStyle w:val="Funotenzeichen"/>
        </w:rPr>
        <w:footnoteRef/>
      </w:r>
      <w:r>
        <w:rPr/>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2050">
    <w:p>
      <w:pPr>
        <w:pStyle w:val="Funote"/>
        <w:rPr/>
      </w:pPr>
      <w:r>
        <w:rPr>
          <w:rStyle w:val="Funotenzeichen"/>
        </w:rPr>
        <w:footnoteRef/>
      </w:r>
      <w:r>
        <w:rPr>
          <w:i/>
        </w:rPr>
        <w:tab/>
        <w:t>als Jesus [das] sah</w:t>
      </w:r>
      <w:r>
        <w:rPr/>
        <w:t xml:space="preserve"> Temporales </w:t>
      </w:r>
      <w:hyperlink r:id="rId375">
        <w:r>
          <w:rPr>
            <w:rStyle w:val="Internetverknpfung"/>
          </w:rPr>
          <w:t>Ptz. conj.</w:t>
        </w:r>
      </w:hyperlink>
      <w:r>
        <w:rPr/>
        <w:t>, als Nebensatz aufgelöst.</w:t>
      </w:r>
    </w:p>
  </w:footnote>
  <w:footnote w:id="2051">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052">
    <w:p>
      <w:pPr>
        <w:pStyle w:val="Funote"/>
        <w:rPr/>
      </w:pPr>
      <w:r>
        <w:rPr>
          <w:rStyle w:val="Funotenzeichen"/>
        </w:rPr>
        <w:footnoteRef/>
      </w:r>
      <w:r>
        <w:rPr/>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2053">
    <w:p>
      <w:pPr>
        <w:pStyle w:val="Funote"/>
        <w:rPr/>
      </w:pPr>
      <w:r>
        <w:rPr>
          <w:rStyle w:val="Funotenzeichen"/>
        </w:rPr>
        <w:footnoteRef/>
      </w:r>
      <w:r>
        <w:rPr>
          <w:i/>
        </w:rPr>
        <w:tab/>
        <w:t>er nahm sie in die Arme und</w:t>
      </w:r>
      <w:r>
        <w:rPr/>
        <w:t xml:space="preserve"> </w:t>
      </w:r>
      <w:hyperlink r:id="rId376">
        <w:r>
          <w:rPr>
            <w:rStyle w:val="Internetverknpfung"/>
          </w:rPr>
          <w:t>Ptz. conj.</w:t>
        </w:r>
      </w:hyperlink>
      <w:r>
        <w:rPr/>
        <w:t>, beigeordnet aufgelöst.</w:t>
      </w:r>
    </w:p>
  </w:footnote>
  <w:footnote w:id="2054">
    <w:p>
      <w:pPr>
        <w:pStyle w:val="Funote"/>
        <w:rPr/>
      </w:pPr>
      <w:r>
        <w:rPr>
          <w:rStyle w:val="Funotenzeichen"/>
        </w:rPr>
        <w:footnoteRef/>
      </w:r>
      <w:r>
        <w:rPr>
          <w:i/>
        </w:rPr>
        <w:tab/>
        <w:t>indem er … auflegte</w:t>
      </w:r>
      <w:r>
        <w:rPr/>
        <w:t xml:space="preserve"> Modales </w:t>
      </w:r>
      <w:hyperlink r:id="rId377">
        <w:r>
          <w:rPr>
            <w:rStyle w:val="Internetverknpfung"/>
          </w:rPr>
          <w:t>Ptz. conj.</w:t>
        </w:r>
      </w:hyperlink>
      <w:r>
        <w:rPr/>
        <w:t>, als Nebensatz aufgelöst.</w:t>
      </w:r>
    </w:p>
  </w:footnote>
  <w:footnote w:id="2055">
    <w:p>
      <w:pPr>
        <w:pStyle w:val="Funote"/>
        <w:rPr/>
      </w:pPr>
      <w:r>
        <w:rPr>
          <w:rStyle w:val="Funotenzeichen"/>
        </w:rPr>
        <w:footnoteRef/>
      </w:r>
      <w:r>
        <w:rPr>
          <w:i/>
        </w:rPr>
        <w:tab/>
        <w:t>kam angerannt und kniete sich hin</w:t>
      </w:r>
      <w:r>
        <w:rPr/>
        <w:t xml:space="preserve"> Temp. </w:t>
      </w:r>
      <w:hyperlink r:id="rId378">
        <w:r>
          <w:rPr>
            <w:rStyle w:val="Internetverknpfung"/>
          </w:rPr>
          <w:t>Ptz. conj.</w:t>
        </w:r>
      </w:hyperlink>
      <w:r>
        <w:rPr/>
        <w:t xml:space="preserve"> (2x), hier als separater Hauptsatz wiedergeben.</w:t>
      </w:r>
    </w:p>
  </w:footnote>
  <w:footnote w:id="2056">
    <w:p>
      <w:pPr>
        <w:pStyle w:val="Funote"/>
        <w:rPr/>
      </w:pPr>
      <w:r>
        <w:rPr>
          <w:rStyle w:val="Funotenzeichen"/>
        </w:rPr>
        <w:footnoteRef/>
      </w:r>
      <w:r>
        <w:rPr/>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2057">
    <w:p>
      <w:pPr>
        <w:pStyle w:val="Funote"/>
        <w:rPr/>
      </w:pPr>
      <w:r>
        <w:rPr>
          <w:rStyle w:val="Funotenzeichen"/>
        </w:rPr>
        <w:footnoteRef/>
      </w:r>
      <w:r>
        <w:rPr/>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2058">
    <w:p>
      <w:pPr>
        <w:pStyle w:val="Funote"/>
        <w:rPr/>
      </w:pPr>
      <w:r>
        <w:rPr>
          <w:rStyle w:val="Funotenzeichen"/>
        </w:rPr>
        <w:footnoteRef/>
      </w:r>
      <w:r>
        <w:rPr>
          <w:i/>
        </w:rPr>
        <w:tab/>
        <w:t>sah ihn an und</w:t>
      </w:r>
      <w:r>
        <w:rPr/>
        <w:t xml:space="preserve"> Beigeordnet aufgelöstes </w:t>
      </w:r>
      <w:hyperlink r:id="rId379">
        <w:r>
          <w:rPr>
            <w:rStyle w:val="Internetverknpfung"/>
          </w:rPr>
          <w:t>Ptz. conj.</w:t>
        </w:r>
      </w:hyperlink>
      <w:r>
        <w:rPr/>
        <w:t>.</w:t>
      </w:r>
    </w:p>
  </w:footnote>
  <w:footnote w:id="2059">
    <w:p>
      <w:pPr>
        <w:pStyle w:val="Funote"/>
        <w:rPr/>
      </w:pPr>
      <w:r>
        <w:rPr>
          <w:rStyle w:val="Funotenzeichen"/>
        </w:rPr>
        <w:footnoteRef/>
      </w:r>
      <w:r>
        <w:rPr/>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2060">
    <w:p>
      <w:pPr>
        <w:pStyle w:val="Funote"/>
        <w:rPr/>
      </w:pPr>
      <w:r>
        <w:rPr>
          <w:rStyle w:val="Funotenzeichen"/>
        </w:rPr>
        <w:footnoteRef/>
      </w:r>
      <w:r>
        <w:rPr>
          <w:i/>
        </w:rPr>
        <w:tab/>
        <w:t>erschüttert (getroffen; enttäuscht)</w:t>
      </w:r>
      <w:r>
        <w:rPr/>
        <w:t xml:space="preserve">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2061">
    <w:p>
      <w:pPr>
        <w:pStyle w:val="Funote"/>
        <w:rPr/>
      </w:pPr>
      <w:r>
        <w:rPr>
          <w:rStyle w:val="Funotenzeichen"/>
        </w:rPr>
        <w:footnoteRef/>
      </w:r>
      <w:r>
        <w:rPr>
          <w:i/>
        </w:rPr>
        <w:tab/>
        <w:t>war erschüttert … und</w:t>
      </w:r>
      <w:r>
        <w:rPr/>
        <w:t xml:space="preserve"> </w:t>
      </w:r>
      <w:hyperlink r:id="rId380">
        <w:r>
          <w:rPr>
            <w:rStyle w:val="Internetverknpfung"/>
          </w:rPr>
          <w:t>Ptz. conj.</w:t>
        </w:r>
      </w:hyperlink>
      <w:r>
        <w:rPr/>
        <w:t>, beigeordnet aufgelöst.</w:t>
      </w:r>
    </w:p>
  </w:footnote>
  <w:footnote w:id="2062">
    <w:p>
      <w:pPr>
        <w:pStyle w:val="Funote"/>
        <w:rPr/>
      </w:pPr>
      <w:r>
        <w:rPr>
          <w:rStyle w:val="Funotenzeichen"/>
        </w:rPr>
        <w:footnoteRef/>
      </w:r>
      <w:r>
        <w:rPr>
          <w:i/>
        </w:rPr>
        <w:tab/>
        <w:t>er besaß</w:t>
      </w:r>
      <w:r>
        <w:rPr/>
        <w:t xml:space="preserve"> </w:t>
      </w:r>
      <w:hyperlink r:id="rId381">
        <w:r>
          <w:rPr>
            <w:rStyle w:val="Internetverknpfung"/>
          </w:rPr>
          <w:t>Pleonastisches Ptz.</w:t>
        </w:r>
      </w:hyperlink>
    </w:p>
  </w:footnote>
  <w:footnote w:id="2063">
    <w:p>
      <w:pPr>
        <w:pStyle w:val="Funote"/>
        <w:rPr/>
      </w:pPr>
      <w:r>
        <w:rPr>
          <w:rStyle w:val="Funotenzeichen"/>
        </w:rPr>
        <w:footnoteRef/>
      </w:r>
      <w:r>
        <w:rPr>
          <w:i/>
        </w:rPr>
        <w:tab/>
        <w:t>schaute sich um und</w:t>
      </w:r>
      <w:r>
        <w:rPr/>
        <w:t xml:space="preserve"> </w:t>
      </w:r>
      <w:hyperlink r:id="rId382">
        <w:r>
          <w:rPr>
            <w:rStyle w:val="Internetverknpfung"/>
          </w:rPr>
          <w:t>Ptz. conj.</w:t>
        </w:r>
      </w:hyperlink>
      <w:r>
        <w:rPr/>
        <w:t>, beigeordnet aufgelöst. Eine weitere mögliche Auflösung wäre z.B. „mit/nach einem Blick in die Runde“</w:t>
      </w:r>
    </w:p>
  </w:footnote>
  <w:footnote w:id="2064">
    <w:p>
      <w:pPr>
        <w:pStyle w:val="Funote"/>
        <w:rPr/>
      </w:pPr>
      <w:r>
        <w:rPr>
          <w:rStyle w:val="Funotenzeichen"/>
        </w:rPr>
        <w:footnoteRef/>
      </w:r>
      <w:r>
        <w:rPr/>
        <w:tab/>
        <w:t>die Wohlhabenden W. etwa »diejenigen, welche {die} Güter/Reichtümer haben« (subst. Ptz.), oder wie NGÜ: »Menschen, die viel besitzen«</w:t>
      </w:r>
    </w:p>
  </w:footnote>
  <w:footnote w:id="2065">
    <w:p>
      <w:pPr>
        <w:pStyle w:val="Funote"/>
        <w:rPr/>
      </w:pPr>
      <w:r>
        <w:rPr>
          <w:rStyle w:val="Funotenzeichen"/>
        </w:rPr>
        <w:footnoteRef/>
      </w:r>
      <w:r>
        <w:rPr>
          <w:i/>
        </w:rPr>
        <w:tab/>
        <w:t>überrascht (bestürzt, entgeistert)</w:t>
      </w:r>
      <w:r>
        <w:rPr/>
        <w:t xml:space="preserve"> D.h. sie hatten so eine Aussage von Jesus nicht erwartet.</w:t>
      </w:r>
    </w:p>
  </w:footnote>
  <w:footnote w:id="2066">
    <w:p>
      <w:pPr>
        <w:pStyle w:val="Funote"/>
        <w:rPr/>
      </w:pPr>
      <w:r>
        <w:rPr>
          <w:rStyle w:val="Funotenzeichen"/>
        </w:rPr>
        <w:footnoteRef/>
      </w:r>
      <w:r>
        <w:rPr/>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2067">
    <w:p>
      <w:pPr>
        <w:pStyle w:val="Funote"/>
        <w:rPr/>
      </w:pPr>
      <w:r>
        <w:rPr>
          <w:rStyle w:val="Funotenzeichen"/>
        </w:rPr>
        <w:footnoteRef/>
      </w:r>
      <w:r>
        <w:rPr/>
        <w:tab/>
        <w:t>Kinder D.h. etwa »Leute«, eine freundliche Anrede an die Jüngergruppe (vgl. France 2002, 404). Vgl. Joh 21,5, wo die Wiedergabe mit »Männer« etwas angemessener ist und den Vorzug erhielt.</w:t>
      </w:r>
    </w:p>
  </w:footnote>
  <w:footnote w:id="2068">
    <w:p>
      <w:pPr>
        <w:pStyle w:val="Funote"/>
        <w:rPr/>
      </w:pPr>
      <w:r>
        <w:rPr>
          <w:rStyle w:val="Funotenzeichen"/>
        </w:rPr>
        <w:footnoteRef/>
      </w:r>
      <w:r>
        <w:rPr/>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2069">
    <w:p>
      <w:pPr>
        <w:pStyle w:val="Funote"/>
        <w:rPr/>
      </w:pPr>
      <w:r>
        <w:rPr>
          <w:rStyle w:val="Funotenzeichen"/>
        </w:rPr>
        <w:footnoteRef/>
      </w:r>
      <w:r>
        <w:rPr/>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2070">
    <w:p>
      <w:pPr>
        <w:pStyle w:val="Funote"/>
        <w:rPr/>
      </w:pPr>
      <w:r>
        <w:rPr>
          <w:rStyle w:val="Funotenzeichen"/>
        </w:rPr>
        <w:footnoteRef/>
      </w:r>
      <w:r>
        <w:rPr>
          <w:i/>
        </w:rPr>
        <w:tab/>
        <w:t>und sagten</w:t>
      </w:r>
      <w:r>
        <w:rPr/>
        <w:t xml:space="preserve"> </w:t>
      </w:r>
      <w:hyperlink r:id="rId383">
        <w:r>
          <w:rPr>
            <w:rStyle w:val="Internetverknpfung"/>
          </w:rPr>
          <w:t>Ptz. conj.</w:t>
        </w:r>
      </w:hyperlink>
      <w:r>
        <w:rPr/>
        <w:t xml:space="preserve">, beigeordnet aufgelöst. </w:t>
      </w:r>
    </w:p>
  </w:footnote>
  <w:footnote w:id="2071">
    <w:p>
      <w:pPr>
        <w:pStyle w:val="Funote"/>
        <w:rPr/>
      </w:pPr>
      <w:r>
        <w:rPr>
          <w:rStyle w:val="Funotenzeichen"/>
        </w:rPr>
        <w:footnoteRef/>
      </w:r>
      <w:r>
        <w:rPr>
          <w:i/>
        </w:rPr>
        <w:tab/>
        <w:t>sah an und</w:t>
      </w:r>
      <w:r>
        <w:rPr/>
        <w:t xml:space="preserve"> </w:t>
      </w:r>
      <w:hyperlink r:id="rId384">
        <w:r>
          <w:rPr>
            <w:rStyle w:val="Internetverknpfung"/>
          </w:rPr>
          <w:t>Ptz. conj.</w:t>
        </w:r>
      </w:hyperlink>
      <w:r>
        <w:rPr/>
        <w:t xml:space="preserve">, beigeordnet aufgelöst. </w:t>
      </w:r>
    </w:p>
  </w:footnote>
  <w:footnote w:id="2072">
    <w:p>
      <w:pPr>
        <w:pStyle w:val="Funote"/>
        <w:rPr/>
      </w:pPr>
      <w:r>
        <w:rPr>
          <w:rStyle w:val="Funotenzeichen"/>
        </w:rPr>
        <w:footnoteRef/>
      </w:r>
      <w:r>
        <w:rPr>
          <w:i/>
        </w:rPr>
        <w:tab/>
        <w:t>sagte</w:t>
      </w:r>
      <w:r>
        <w:rPr/>
        <w:t xml:space="preserve"> W. „fing an zu sagen“, eine bei Markus typische Wendung, wo „anfangen“ sehr schwache Bedeutung hat.</w:t>
      </w:r>
    </w:p>
  </w:footnote>
  <w:footnote w:id="2073">
    <w:p>
      <w:pPr>
        <w:pStyle w:val="Funote"/>
        <w:rPr/>
      </w:pPr>
      <w:r>
        <w:rPr>
          <w:rStyle w:val="Funotenzeichen"/>
        </w:rPr>
        <w:footnoteRef/>
      </w:r>
      <w:r>
        <w:rPr/>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2074">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075">
    <w:p>
      <w:pPr>
        <w:pStyle w:val="Funote"/>
        <w:rPr/>
      </w:pPr>
      <w:r>
        <w:rPr>
          <w:rStyle w:val="Funotenzeichen"/>
        </w:rPr>
        <w:footnoteRef/>
      </w:r>
      <w:r>
        <w:rPr>
          <w:i/>
        </w:rPr>
        <w:tab/>
        <w:t>der nicht</w:t>
      </w:r>
      <w:r>
        <w:rPr/>
        <w:t xml:space="preserve"> W. „(Es gibt niemanden (V. 29)...,) wenn er nicht“</w:t>
      </w:r>
    </w:p>
  </w:footnote>
  <w:footnote w:id="2076">
    <w:p>
      <w:pPr>
        <w:pStyle w:val="Funote"/>
        <w:rPr/>
      </w:pPr>
      <w:r>
        <w:rPr>
          <w:rStyle w:val="Funotenzeichen"/>
        </w:rPr>
        <w:footnoteRef/>
      </w:r>
      <w:r>
        <w:rPr/>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2077">
    <w:p>
      <w:pPr>
        <w:pStyle w:val="Funote"/>
        <w:rPr/>
      </w:pPr>
      <w:r>
        <w:rPr>
          <w:rStyle w:val="Funotenzeichen"/>
        </w:rPr>
        <w:footnoteRef/>
      </w:r>
      <w:r>
        <w:rPr/>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2078">
    <w:p>
      <w:pPr>
        <w:pStyle w:val="Funote"/>
        <w:rPr/>
      </w:pPr>
      <w:r>
        <w:rPr>
          <w:rStyle w:val="Funotenzeichen"/>
        </w:rPr>
        <w:footnoteRef/>
      </w:r>
      <w:r>
        <w:rPr/>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2079">
    <w:p>
      <w:pPr>
        <w:pStyle w:val="Funote"/>
        <w:rPr/>
      </w:pPr>
      <w:r>
        <w:rPr>
          <w:rStyle w:val="Funotenzeichen"/>
        </w:rPr>
        <w:footnoteRef/>
      </w:r>
      <w:r>
        <w:rPr/>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2080">
    <w:p>
      <w:pPr>
        <w:pStyle w:val="Funote"/>
        <w:rPr/>
      </w:pPr>
      <w:r>
        <w:rPr>
          <w:rStyle w:val="Funotenzeichen"/>
        </w:rPr>
        <w:footnoteRef/>
      </w:r>
      <w:r>
        <w:rPr>
          <w:i/>
        </w:rPr>
        <w:tab/>
        <w:t>nahm beiseite und</w:t>
      </w:r>
      <w:r>
        <w:rPr/>
        <w:t xml:space="preserve"> </w:t>
      </w:r>
      <w:hyperlink r:id="rId385">
        <w:r>
          <w:rPr>
            <w:rStyle w:val="Internetverknpfung"/>
          </w:rPr>
          <w:t>Ptz. conj.</w:t>
        </w:r>
      </w:hyperlink>
      <w:r>
        <w:rPr/>
        <w:t xml:space="preserve">, beigeordnet aufgelöst. </w:t>
      </w:r>
      <w:r>
        <w:rPr>
          <w:i/>
        </w:rPr>
        <w:t>teilte ihnen mit</w:t>
      </w:r>
      <w:r>
        <w:rPr/>
        <w:t xml:space="preserve"> W. „begann ihnen zu sagen“</w:t>
      </w:r>
    </w:p>
  </w:footnote>
  <w:footnote w:id="2081">
    <w:p>
      <w:pPr>
        <w:pStyle w:val="Funote"/>
        <w:rPr/>
      </w:pPr>
      <w:r>
        <w:rPr>
          <w:rStyle w:val="Funotenzeichen"/>
        </w:rPr>
        <w:footnoteRef/>
      </w:r>
      <w:r>
        <w:rPr/>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2082">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2083">
    <w:p>
      <w:pPr>
        <w:pStyle w:val="Funote"/>
        <w:rPr/>
      </w:pPr>
      <w:r>
        <w:rPr>
          <w:rStyle w:val="Funotenzeichen"/>
        </w:rPr>
        <w:footnoteRef/>
      </w:r>
      <w:r>
        <w:rPr>
          <w:i/>
        </w:rPr>
        <w:tab/>
        <w:t>[für] uns</w:t>
      </w:r>
      <w:r>
        <w:rPr/>
        <w:t xml:space="preserve"> </w:t>
      </w:r>
      <w:hyperlink r:id="rId386">
        <w:r>
          <w:rPr>
            <w:rStyle w:val="Internetverknpfung"/>
          </w:rPr>
          <w:t>Dat. commodi</w:t>
        </w:r>
      </w:hyperlink>
      <w:r>
        <w:rPr/>
        <w:t>.</w:t>
      </w:r>
    </w:p>
  </w:footnote>
  <w:footnote w:id="2084">
    <w:p>
      <w:pPr>
        <w:pStyle w:val="Funote"/>
        <w:rPr/>
      </w:pPr>
      <w:r>
        <w:rPr>
          <w:rStyle w:val="Funotenzeichen"/>
        </w:rPr>
        <w:footnoteRef/>
      </w:r>
      <w:r>
        <w:rPr>
          <w:i/>
        </w:rPr>
        <w:tab/>
        <w:t>[für] euch</w:t>
      </w:r>
      <w:r>
        <w:rPr/>
        <w:t xml:space="preserve"> </w:t>
      </w:r>
      <w:hyperlink r:id="rId387">
        <w:r>
          <w:rPr>
            <w:rStyle w:val="Internetverknpfung"/>
          </w:rPr>
          <w:t>Dat. commodi</w:t>
        </w:r>
      </w:hyperlink>
      <w:r>
        <w:rPr/>
        <w:t>.</w:t>
      </w:r>
    </w:p>
  </w:footnote>
  <w:footnote w:id="2085">
    <w:p>
      <w:pPr>
        <w:pStyle w:val="Funote"/>
        <w:rPr/>
      </w:pPr>
      <w:r>
        <w:rPr>
          <w:rStyle w:val="Funotenzeichen"/>
        </w:rPr>
        <w:footnoteRef/>
      </w:r>
      <w:r>
        <w:rPr>
          <w:i/>
        </w:rPr>
        <w:tab/>
        <w:t>Gestatte uns</w:t>
      </w:r>
      <w:r>
        <w:rPr/>
        <w:t xml:space="preserve"> W. „Gib uns“, was wohl eine respektvolle Formulierung ist.</w:t>
      </w:r>
    </w:p>
  </w:footnote>
  <w:footnote w:id="2086">
    <w:p>
      <w:pPr>
        <w:pStyle w:val="Funote"/>
        <w:rPr/>
      </w:pPr>
      <w:r>
        <w:rPr>
          <w:rStyle w:val="Funotenzeichen"/>
        </w:rPr>
        <w:footnoteRef/>
      </w:r>
      <w:r>
        <w:rPr/>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2087">
    <w:p>
      <w:pPr>
        <w:pStyle w:val="Funote"/>
        <w:rPr/>
      </w:pPr>
      <w:r>
        <w:rPr>
          <w:rStyle w:val="Funotenzeichen"/>
        </w:rPr>
        <w:footnoteRef/>
      </w:r>
      <w:r>
        <w:rPr>
          <w:i/>
        </w:rPr>
        <w:tab/>
        <w:t>Becher (Kelch) trinken, den ich trinke</w:t>
      </w:r>
      <w:r>
        <w:rPr/>
        <w:t xml:space="preserve"> - Metapher, die sich auch in </w:t>
      </w:r>
      <w:r>
        <w:fldChar w:fldCharType="begin"/>
      </w:r>
      <w:r>
        <w:rPr>
          <w:rStyle w:val="Internetverknpfung"/>
        </w:rPr>
        <w:instrText> HYPERLINK "../../../../../../../../../wiki/Markus_14" \l "s36"</w:instrText>
      </w:r>
      <w:r>
        <w:rPr>
          <w:rStyle w:val="Internetverknpfung"/>
        </w:rPr>
        <w:fldChar w:fldCharType="separate"/>
      </w:r>
      <w:r>
        <w:rPr>
          <w:rStyle w:val="Internetverknpfung"/>
        </w:rPr>
        <w:t>Mk 14,36</w:t>
      </w:r>
      <w:r>
        <w:rPr>
          <w:rStyle w:val="Internetverknpfung"/>
        </w:rPr>
        <w:fldChar w:fldCharType="end"/>
      </w:r>
      <w:r>
        <w:rPr/>
        <w:t xml:space="preserve"> findet. Diese Stelle, MartPol 14,2 („Ich danke dir, dass ich zu deinen Märtyrern gehören und am Kelch Christi teilhaben darf“), MartJes 5,13 (Jesaja bei seinem gewaltsamen Tod: „Nur für mich hat Gott diesen Kelch gemischt“) und der Ausdruck „(bitterer) Kelch des Todes“ für den Tod in TestAb 16,12; TgN zu Dtn 32,1 und TgN, TgJ, TgF zu Gen 40,23 legen nahe, dass die Rede vom „Kelch“, den jemand trinken muss, metaphorisch für den (gewaltsamen?) Tod (eines Gerechten?) steht. Verwandt ist vielleicht der Ausdruck „den Tod schmecken“ für „sterben“ in </w:t>
      </w:r>
      <w:r>
        <w:fldChar w:fldCharType="begin"/>
      </w:r>
      <w:r>
        <w:rPr>
          <w:rStyle w:val="Internetverknpfung"/>
        </w:rPr>
        <w:instrText> HYPERLINK "../../../../../../../../../wiki/Markus_9" \l "s1"</w:instrText>
      </w:r>
      <w:r>
        <w:rPr>
          <w:rStyle w:val="Internetverknpfung"/>
        </w:rPr>
        <w:fldChar w:fldCharType="separate"/>
      </w:r>
      <w:r>
        <w:rPr>
          <w:rStyle w:val="Internetverknpfung"/>
        </w:rPr>
        <w:t>Mk 9,1</w:t>
      </w:r>
      <w:r>
        <w:rPr>
          <w:rStyle w:val="Internetverknpfung"/>
        </w:rPr>
        <w:fldChar w:fldCharType="end"/>
      </w:r>
      <w:r>
        <w:rPr/>
        <w:t xml:space="preserve">; </w:t>
      </w:r>
      <w:r>
        <w:fldChar w:fldCharType="begin"/>
      </w:r>
      <w:r>
        <w:rPr>
          <w:rStyle w:val="Internetverknpfung"/>
        </w:rPr>
        <w:instrText> HYPERLINK "../../../../../../../../../wiki/Johannes_8" \l "s52"</w:instrText>
      </w:r>
      <w:r>
        <w:rPr>
          <w:rStyle w:val="Internetverknpfung"/>
        </w:rPr>
        <w:fldChar w:fldCharType="separate"/>
      </w:r>
      <w:r>
        <w:rPr>
          <w:rStyle w:val="Internetverknpfung"/>
        </w:rPr>
        <w:t>Joh 8,52</w:t>
      </w:r>
      <w:r>
        <w:rPr>
          <w:rStyle w:val="Internetverknpfung"/>
        </w:rPr>
        <w:fldChar w:fldCharType="end"/>
      </w:r>
      <w:r>
        <w:rPr/>
        <w:t xml:space="preserve">; </w:t>
      </w:r>
      <w:hyperlink r:id="rId388">
        <w:r>
          <w:rPr>
            <w:rStyle w:val="Internetverknpfung"/>
          </w:rPr>
          <w:t>Heb 2,9</w:t>
        </w:r>
      </w:hyperlink>
      <w:r>
        <w:rPr/>
        <w:t xml:space="preserve"> und häufiger in der frühjüdischen Literatur.</w:t>
        <w:br/>
        <w:t>In der Tat ist Johannes der einzige der Zwölf, von dem kein Märtyrertod überliefert ist; er musste Jesu Becher nicht trinken.</w:t>
      </w:r>
    </w:p>
  </w:footnote>
  <w:footnote w:id="2088">
    <w:p>
      <w:pPr>
        <w:pStyle w:val="Funote"/>
        <w:rPr/>
      </w:pPr>
      <w:r>
        <w:rPr>
          <w:rStyle w:val="Funotenzeichen"/>
        </w:rPr>
        <w:footnoteRef/>
      </w:r>
      <w:r>
        <w:rPr/>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2089">
    <w:p>
      <w:pPr>
        <w:pStyle w:val="Funote"/>
        <w:rPr/>
      </w:pPr>
      <w:r>
        <w:rPr>
          <w:rStyle w:val="Funotenzeichen"/>
        </w:rPr>
        <w:footnoteRef/>
      </w:r>
      <w:r>
        <w:rPr>
          <w:i/>
        </w:rPr>
        <w:tab/>
        <w:t>gewähren</w:t>
      </w:r>
      <w:r>
        <w:rPr/>
        <w:t xml:space="preserve"> W. „geben“ (vgl. V. 37)</w:t>
      </w:r>
    </w:p>
  </w:footnote>
  <w:footnote w:id="2090">
    <w:p>
      <w:pPr>
        <w:pStyle w:val="Funote"/>
        <w:rPr/>
      </w:pPr>
      <w:r>
        <w:rPr>
          <w:rStyle w:val="Funotenzeichen"/>
        </w:rPr>
        <w:footnoteRef/>
      </w:r>
      <w:r>
        <w:rPr/>
        <w:tab/>
        <w:t>sondern [das Sitzen steht denjenigen zu], [für] die es vorgesehen (bestimmt, bereitet) ist D.h. »Auf diesen Plätzen werden diejenigen Sitzen, die dafür vorgesehen sind«, und zwar (wie das Passiv anzeigt) von Gott (France 2002, 417). [für] die Dat. commodi.</w:t>
      </w:r>
    </w:p>
  </w:footnote>
  <w:footnote w:id="2091">
    <w:p>
      <w:pPr>
        <w:pStyle w:val="Funote"/>
        <w:rPr/>
      </w:pPr>
      <w:r>
        <w:rPr>
          <w:rStyle w:val="Funotenzeichen"/>
        </w:rPr>
        <w:footnoteRef/>
      </w:r>
      <w:r>
        <w:rPr>
          <w:i/>
        </w:rPr>
        <w:tab/>
        <w:t>als ... hörten</w:t>
      </w:r>
      <w:r>
        <w:rPr/>
        <w:t xml:space="preserve"> </w:t>
      </w:r>
      <w:hyperlink r:id="rId389">
        <w:r>
          <w:rPr>
            <w:rStyle w:val="Internetverknpfung"/>
          </w:rPr>
          <w:t>Ptz. conj.</w:t>
        </w:r>
      </w:hyperlink>
      <w:r>
        <w:rPr/>
        <w:t>, als temporaler Nebensatz aufgelöst.</w:t>
      </w:r>
    </w:p>
  </w:footnote>
  <w:footnote w:id="2092">
    <w:p>
      <w:pPr>
        <w:pStyle w:val="Funote"/>
        <w:rPr/>
      </w:pPr>
      <w:r>
        <w:rPr>
          <w:rStyle w:val="Funotenzeichen"/>
        </w:rPr>
        <w:footnoteRef/>
      </w:r>
      <w:r>
        <w:rPr>
          <w:i/>
        </w:rPr>
        <w:tab/>
        <w:t>waren sie wütend</w:t>
      </w:r>
      <w:r>
        <w:rPr/>
        <w:t xml:space="preserve"> W. „begannen sie, wütend zu sein“</w:t>
      </w:r>
    </w:p>
  </w:footnote>
  <w:footnote w:id="2093">
    <w:p>
      <w:pPr>
        <w:pStyle w:val="Funote"/>
        <w:rPr/>
      </w:pPr>
      <w:r>
        <w:rPr>
          <w:rStyle w:val="Funotenzeichen"/>
        </w:rPr>
        <w:footnoteRef/>
      </w:r>
      <w:r>
        <w:rPr/>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2094">
    <w:p>
      <w:pPr>
        <w:pStyle w:val="Funote"/>
        <w:rPr/>
      </w:pPr>
      <w:r>
        <w:rPr>
          <w:rStyle w:val="Funotenzeichen"/>
        </w:rPr>
        <w:footnoteRef/>
      </w:r>
      <w:r>
        <w:rPr>
          <w:i/>
        </w:rPr>
        <w:tab/>
        <w:t>die Menschen</w:t>
      </w:r>
      <w:r>
        <w:rPr/>
        <w:t xml:space="preserve"> W. „sie“, d.h. ihre Völker oder Untertanen.</w:t>
      </w:r>
    </w:p>
  </w:footnote>
  <w:footnote w:id="2095">
    <w:p>
      <w:pPr>
        <w:pStyle w:val="Funote"/>
        <w:rPr/>
      </w:pPr>
      <w:r>
        <w:rPr>
          <w:rStyle w:val="Funotenzeichen"/>
        </w:rPr>
        <w:footnoteRef/>
      </w:r>
      <w:r>
        <w:rPr/>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2096">
    <w:p>
      <w:pPr>
        <w:pStyle w:val="Funote"/>
        <w:rPr/>
      </w:pPr>
      <w:r>
        <w:rPr>
          <w:rStyle w:val="Funotenzeichen"/>
        </w:rPr>
        <w:footnoteRef/>
      </w:r>
      <w:r>
        <w:rPr/>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2097">
    <w:p>
      <w:pPr>
        <w:pStyle w:val="Funote"/>
        <w:rPr/>
      </w:pPr>
      <w:r>
        <w:rPr>
          <w:rStyle w:val="Funotenzeichen"/>
        </w:rPr>
        <w:footnoteRef/>
      </w:r>
      <w:r>
        <w:rPr/>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2098">
    <w:p>
      <w:pPr>
        <w:pStyle w:val="Funote"/>
        <w:rPr/>
      </w:pPr>
      <w:r>
        <w:rPr>
          <w:rStyle w:val="Funotenzeichen"/>
        </w:rPr>
        <w:footnoteRef/>
      </w:r>
      <w:r>
        <w:rPr>
          <w:i/>
        </w:rPr>
        <w:tab/>
        <w:t>als er hörte</w:t>
      </w:r>
      <w:r>
        <w:rPr/>
        <w:t xml:space="preserve"> </w:t>
      </w:r>
      <w:hyperlink r:id="rId390">
        <w:r>
          <w:rPr>
            <w:rStyle w:val="Internetverknpfung"/>
          </w:rPr>
          <w:t>Ptz. conj.</w:t>
        </w:r>
      </w:hyperlink>
      <w:r>
        <w:rPr/>
        <w:t>, als temporaler Nebensatz aufgelöst.</w:t>
      </w:r>
    </w:p>
  </w:footnote>
  <w:footnote w:id="2099">
    <w:p>
      <w:pPr>
        <w:pStyle w:val="Funote"/>
        <w:rPr/>
      </w:pPr>
      <w:r>
        <w:rPr>
          <w:rStyle w:val="Funotenzeichen"/>
        </w:rPr>
        <w:footnoteRef/>
      </w:r>
      <w:r>
        <w:rPr/>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2100">
    <w:p>
      <w:pPr>
        <w:pStyle w:val="Funote"/>
        <w:rPr/>
      </w:pPr>
      <w:r>
        <w:rPr>
          <w:rStyle w:val="Funotenzeichen"/>
        </w:rPr>
        <w:footnoteRef/>
      </w:r>
      <w:r>
        <w:rPr/>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2101">
    <w:p>
      <w:pPr>
        <w:pStyle w:val="Funote"/>
        <w:rPr/>
      </w:pPr>
      <w:r>
        <w:rPr>
          <w:rStyle w:val="Funotenzeichen"/>
        </w:rPr>
        <w:footnoteRef/>
      </w:r>
      <w:r>
        <w:rPr>
          <w:i/>
        </w:rPr>
        <w:tab/>
        <w:t>warf er … ab, sprang auf und</w:t>
      </w:r>
      <w:r>
        <w:rPr/>
        <w:t xml:space="preserve"> </w:t>
      </w:r>
      <w:hyperlink r:id="rId391">
        <w:r>
          <w:rPr>
            <w:rStyle w:val="Internetverknpfung"/>
          </w:rPr>
          <w:t>Ptz. conj.</w:t>
        </w:r>
      </w:hyperlink>
      <w:r>
        <w:rPr/>
        <w:t xml:space="preserve"> (2x), beigeordnet aufgelöst.</w:t>
      </w:r>
    </w:p>
  </w:footnote>
  <w:footnote w:id="2102">
    <w:p>
      <w:pPr>
        <w:pStyle w:val="Funote"/>
        <w:rPr/>
      </w:pPr>
      <w:r>
        <w:rPr>
          <w:rStyle w:val="Funotenzeichen"/>
        </w:rPr>
        <w:footnoteRef/>
      </w:r>
      <w:r>
        <w:rPr>
          <w:i/>
        </w:rPr>
        <w:tab/>
        <w:t>fragte ihn</w:t>
      </w:r>
      <w:r>
        <w:rPr/>
        <w:t xml:space="preserve"> W. „antwortete ihm und sagte“ Jesus „antwortet“ (d.h. reagiert) hier auf die Situation, vielleicht auf die Zurufe des Bettlers (DBL Greek 646), allerdings mit einer eigenen Frage (vgl. V. 24).</w:t>
      </w:r>
    </w:p>
  </w:footnote>
  <w:footnote w:id="2103">
    <w:p>
      <w:pPr>
        <w:pStyle w:val="Funote"/>
        <w:rPr/>
      </w:pPr>
      <w:r>
        <w:rPr>
          <w:rStyle w:val="Funotenzeichen"/>
        </w:rPr>
        <w:footnoteRef/>
      </w:r>
      <w:r>
        <w:rPr/>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2104">
    <w:p>
      <w:pPr>
        <w:pStyle w:val="Funote"/>
        <w:rPr/>
      </w:pPr>
      <w:r>
        <w:rPr>
          <w:rStyle w:val="Funotenzeichen"/>
        </w:rPr>
        <w:footnoteRef/>
      </w:r>
      <w:r>
        <w:rPr/>
        <w:tab/>
        <w:t>Geh D.h. »Geh nur!« (GNB, NGÜ). Vgl. 7,29. Gemeint ist einfach, dass er geheilt ist und gehen kann, wenn er möchte. Markus stellt Bartimäus also nicht als ungehorsam dar, wenn er sich Jesus im nächsten Vers anschließt (France 2002, 425).</w:t>
      </w:r>
    </w:p>
  </w:footnote>
  <w:footnote w:id="2105">
    <w:p>
      <w:pPr>
        <w:pStyle w:val="Funote"/>
        <w:rPr/>
      </w:pPr>
      <w:r>
        <w:rPr>
          <w:rStyle w:val="Funotenzeichen"/>
        </w:rPr>
        <w:footnoteRef/>
      </w:r>
      <w:r>
        <w:rPr/>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2106">
    <w:p>
      <w:pPr>
        <w:pStyle w:val="Funote"/>
        <w:rPr/>
      </w:pPr>
      <w:r>
        <w:rPr>
          <w:rStyle w:val="Funotenzeichen"/>
        </w:rPr>
        <w:footnoteRef/>
      </w:r>
      <w:r>
        <w:rPr/>
        <w:tab/>
        <w:t>[Status: Zuverlässig]</w:t>
      </w:r>
    </w:p>
  </w:footnote>
  <w:footnote w:id="2107">
    <w:p>
      <w:pPr>
        <w:pStyle w:val="Funote"/>
        <w:rPr/>
      </w:pPr>
      <w:r>
        <w:rPr>
          <w:rStyle w:val="Funotenzeichen"/>
        </w:rPr>
        <w:footnoteRef/>
      </w:r>
      <w:r>
        <w:rPr/>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2108">
    <w:p>
      <w:pPr>
        <w:pStyle w:val="Funote"/>
        <w:rPr/>
      </w:pPr>
      <w:r>
        <w:rPr>
          <w:rStyle w:val="Funotenzeichen"/>
        </w:rPr>
        <w:footnoteRef/>
      </w:r>
      <w:r>
        <w:rPr>
          <w:i/>
        </w:rPr>
        <w:tab/>
        <w:t>Er sagte</w:t>
      </w:r>
      <w:r>
        <w:rPr/>
        <w:t xml:space="preserve"> Modales </w:t>
      </w:r>
      <w:hyperlink r:id="rId392">
        <w:r>
          <w:rPr>
            <w:rStyle w:val="Internetverknpfung"/>
          </w:rPr>
          <w:t>Ptz. conj.</w:t>
        </w:r>
      </w:hyperlink>
      <w:r>
        <w:rPr/>
        <w:t>, als eigenständiger Hauptsatz aufgelöst.</w:t>
      </w:r>
    </w:p>
  </w:footnote>
  <w:footnote w:id="2109">
    <w:p>
      <w:pPr>
        <w:pStyle w:val="Funote"/>
        <w:rPr/>
      </w:pPr>
      <w:r>
        <w:rPr>
          <w:rStyle w:val="Funotenzeichen"/>
        </w:rPr>
        <w:footnoteRef/>
      </w:r>
      <w:r>
        <w:rPr>
          <w:i/>
        </w:rPr>
        <w:tab/>
        <w:t>wenn ihr hineingeht</w:t>
      </w:r>
      <w:r>
        <w:rPr/>
        <w:t xml:space="preserve"> Temporales </w:t>
      </w:r>
      <w:hyperlink r:id="rId393">
        <w:r>
          <w:rPr>
            <w:rStyle w:val="Internetverknpfung"/>
          </w:rPr>
          <w:t>Ptz. conj.</w:t>
        </w:r>
      </w:hyperlink>
      <w:r>
        <w:rPr/>
        <w:t>, als Nebensatz aufgelöst.</w:t>
      </w:r>
    </w:p>
  </w:footnote>
  <w:footnote w:id="2110">
    <w:p>
      <w:pPr>
        <w:pStyle w:val="Funote"/>
        <w:rPr/>
      </w:pPr>
      <w:r>
        <w:rPr>
          <w:rStyle w:val="Funotenzeichen"/>
        </w:rPr>
        <w:footnoteRef/>
      </w:r>
      <w:r>
        <w:rPr/>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2111">
    <w:p>
      <w:pPr>
        <w:pStyle w:val="Funote"/>
        <w:rPr/>
      </w:pPr>
      <w:r>
        <w:rPr>
          <w:rStyle w:val="Funotenzeichen"/>
        </w:rPr>
        <w:footnoteRef/>
      </w:r>
      <w:r>
        <w:rPr>
          <w:i/>
        </w:rPr>
        <w:tab/>
        <w:t>noch nie ein Mensch</w:t>
      </w:r>
      <w:r>
        <w:rPr/>
        <w:t xml:space="preserve"> W. „niemand der Menschen“</w:t>
      </w:r>
    </w:p>
  </w:footnote>
  <w:footnote w:id="2112">
    <w:p>
      <w:pPr>
        <w:pStyle w:val="Funote"/>
        <w:rPr/>
      </w:pPr>
      <w:r>
        <w:rPr>
          <w:rStyle w:val="Funotenzeichen"/>
        </w:rPr>
        <w:footnoteRef/>
      </w:r>
      <w:r>
        <w:rPr/>
        <w:tab/>
        <w:t>Für detaillierte Textkritik vgl. den Exkurs im Kommentar.</w:t>
      </w:r>
    </w:p>
  </w:footnote>
  <w:footnote w:id="2113">
    <w:p>
      <w:pPr>
        <w:pStyle w:val="Funote"/>
        <w:rPr/>
      </w:pPr>
      <w:r>
        <w:rPr>
          <w:rStyle w:val="Funotenzeichen"/>
        </w:rPr>
        <w:footnoteRef/>
      </w:r>
      <w:r>
        <w:rPr/>
        <w:tab/>
        <w:t>macht ihr … dass ihr losbindet Prädikatives Partizip, als Nebensatz aufgelöst. EÜ: »Wie kommt ihr dazu, den Esel loszubinden?«</w:t>
      </w:r>
    </w:p>
  </w:footnote>
  <w:footnote w:id="2114">
    <w:p>
      <w:pPr>
        <w:pStyle w:val="Funote"/>
        <w:rPr/>
      </w:pPr>
      <w:r>
        <w:rPr>
          <w:rStyle w:val="Funotenzeichen"/>
        </w:rPr>
        <w:footnoteRef/>
      </w:r>
      <w:r>
        <w:rPr>
          <w:i/>
        </w:rPr>
        <w:tab/>
        <w:t>die sie … abgeschnitten (abgerissen) hatten</w:t>
      </w:r>
      <w:r>
        <w:rPr/>
        <w:t xml:space="preserve"> Temp. </w:t>
      </w:r>
      <w:hyperlink r:id="rId394">
        <w:r>
          <w:rPr>
            <w:rStyle w:val="Internetverknpfung"/>
          </w:rPr>
          <w:t>Ptz. conj.</w:t>
        </w:r>
      </w:hyperlink>
      <w:r>
        <w:rPr/>
        <w:t>, als Relativsatz aufgelöst.</w:t>
      </w:r>
    </w:p>
  </w:footnote>
  <w:footnote w:id="2115">
    <w:p>
      <w:pPr>
        <w:pStyle w:val="Funote"/>
        <w:rPr/>
      </w:pPr>
      <w:r>
        <w:rPr>
          <w:rStyle w:val="Funotenzeichen"/>
        </w:rPr>
        <w:footnoteRef/>
      </w:r>
      <w:r>
        <w:rPr>
          <w:i/>
        </w:rPr>
        <w:tab/>
        <w:t>riefen immer wieder</w:t>
      </w:r>
      <w:r>
        <w:rPr/>
        <w:t xml:space="preserve"> Das </w:t>
      </w:r>
      <w:hyperlink r:id="rId395">
        <w:r>
          <w:rPr>
            <w:rStyle w:val="Internetverknpfung"/>
          </w:rPr>
          <w:t>Impferfekt</w:t>
        </w:r>
      </w:hyperlink>
      <w:r>
        <w:rPr/>
        <w:t xml:space="preserve"> drückt das, dass die Menschen diese Worte in Sprechchören riefen (oder sangen).</w:t>
      </w:r>
    </w:p>
  </w:footnote>
  <w:footnote w:id="2116">
    <w:p>
      <w:pPr>
        <w:pStyle w:val="Funote"/>
        <w:rPr/>
      </w:pPr>
      <w:r>
        <w:rPr>
          <w:rStyle w:val="Funotenzeichen"/>
        </w:rPr>
        <w:footnoteRef/>
      </w:r>
      <w:r>
        <w:rPr/>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2117">
    <w:p>
      <w:pPr>
        <w:pStyle w:val="Funote"/>
        <w:rPr/>
      </w:pPr>
      <w:r>
        <w:rPr>
          <w:rStyle w:val="Funotenzeichen"/>
        </w:rPr>
        <w:footnoteRef/>
      </w:r>
      <w:r>
        <w:rPr/>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2118">
    <w:p>
      <w:pPr>
        <w:pStyle w:val="Funote"/>
        <w:rPr/>
      </w:pPr>
      <w:r>
        <w:rPr>
          <w:rStyle w:val="Funotenzeichen"/>
        </w:rPr>
        <w:footnoteRef/>
      </w:r>
      <w:r>
        <w:rPr>
          <w:i/>
        </w:rPr>
        <w:tab/>
        <w:t>wurde er hungrig</w:t>
      </w:r>
      <w:r>
        <w:rPr/>
        <w:t xml:space="preserve"> Als </w:t>
      </w:r>
      <w:hyperlink r:id="rId396">
        <w:r>
          <w:rPr>
            <w:rStyle w:val="Internetverknpfung"/>
          </w:rPr>
          <w:t>ingressives Aorist</w:t>
        </w:r>
      </w:hyperlink>
      <w:r>
        <w:rPr/>
        <w:t xml:space="preserve"> übersetzt.</w:t>
      </w:r>
    </w:p>
  </w:footnote>
  <w:footnote w:id="2119">
    <w:p>
      <w:pPr>
        <w:pStyle w:val="Funote"/>
        <w:rPr/>
      </w:pPr>
      <w:r>
        <w:rPr>
          <w:rStyle w:val="Funotenzeichen"/>
        </w:rPr>
        <w:footnoteRef/>
      </w:r>
      <w:r>
        <w:rPr>
          <w:i/>
        </w:rPr>
        <w:tab/>
        <w:t>als er … sah</w:t>
      </w:r>
      <w:r>
        <w:rPr/>
        <w:t xml:space="preserve"> </w:t>
      </w:r>
      <w:hyperlink r:id="rId397">
        <w:r>
          <w:rPr>
            <w:rStyle w:val="Internetverknpfung"/>
          </w:rPr>
          <w:t>Ptz. conj.</w:t>
        </w:r>
      </w:hyperlink>
      <w:r>
        <w:rPr/>
        <w:t>, als temporaler Nebensatz aufgelöst.</w:t>
      </w:r>
    </w:p>
  </w:footnote>
  <w:footnote w:id="2120">
    <w:p>
      <w:pPr>
        <w:pStyle w:val="Funote"/>
        <w:rPr/>
      </w:pPr>
      <w:r>
        <w:rPr>
          <w:rStyle w:val="Funotenzeichen"/>
        </w:rPr>
        <w:footnoteRef/>
      </w:r>
      <w:r>
        <w:rPr>
          <w:i/>
        </w:rPr>
        <w:tab/>
        <w:t>Da (Und) sagte er zu [dem Baum]</w:t>
      </w:r>
      <w:r>
        <w:rPr/>
        <w:t xml:space="preserve"> W. „antwortete und sagte er zu ihm“. Jesus „antwortet“ (d.h. reagiert) hier auf die Situation (DBL Greek 646; vgl. V. 51).</w:t>
      </w:r>
    </w:p>
  </w:footnote>
  <w:footnote w:id="2121">
    <w:p>
      <w:pPr>
        <w:pStyle w:val="Funote"/>
        <w:rPr/>
      </w:pPr>
      <w:r>
        <w:rPr>
          <w:rStyle w:val="Funotenzeichen"/>
        </w:rPr>
        <w:footnoteRef/>
      </w:r>
      <w:r>
        <w:rPr>
          <w:i/>
        </w:rPr>
        <w:tab/>
        <w:t>Nie mehr, bis in Ewigkeit soll jemand</w:t>
      </w:r>
      <w:r>
        <w:rPr/>
        <w:t xml:space="preserve"> W. „nie mehr, bis in Ewigkeit, soll niemand“. Die doppelte Verneinung verstärkt den Schwur.</w:t>
      </w:r>
    </w:p>
  </w:footnote>
  <w:footnote w:id="2122">
    <w:p>
      <w:pPr>
        <w:pStyle w:val="Funote"/>
        <w:rPr/>
      </w:pPr>
      <w:r>
        <w:rPr>
          <w:rStyle w:val="Funotenzeichen"/>
        </w:rPr>
        <w:footnoteRef/>
      </w:r>
      <w:r>
        <w:rPr>
          <w:i/>
        </w:rPr>
        <w:tab/>
        <w:t>Als (Und) ... {und}</w:t>
      </w:r>
      <w:r>
        <w:rPr/>
        <w:t xml:space="preserve"> W. „und … und“, hier als temporale Verknüpfung wiedergegeben.</w:t>
      </w:r>
    </w:p>
  </w:footnote>
  <w:footnote w:id="2123">
    <w:p>
      <w:pPr>
        <w:pStyle w:val="Funote"/>
        <w:rPr/>
      </w:pPr>
      <w:r>
        <w:rPr>
          <w:rStyle w:val="Funotenzeichen"/>
        </w:rPr>
        <w:footnoteRef/>
      </w:r>
      <w:r>
        <w:rPr>
          <w:i/>
        </w:rPr>
        <w:tab/>
        <w:t>ging er … und</w:t>
      </w:r>
      <w:r>
        <w:rPr/>
        <w:t xml:space="preserve"> </w:t>
      </w:r>
      <w:hyperlink r:id="rId398">
        <w:r>
          <w:rPr>
            <w:rStyle w:val="Internetverknpfung"/>
          </w:rPr>
          <w:t>Ptz. conj.</w:t>
        </w:r>
      </w:hyperlink>
      <w:r>
        <w:rPr/>
        <w:t>, beigeordnet aufgelöst.</w:t>
      </w:r>
    </w:p>
  </w:footnote>
  <w:footnote w:id="2124">
    <w:p>
      <w:pPr>
        <w:pStyle w:val="Funote"/>
        <w:rPr/>
      </w:pPr>
      <w:r>
        <w:rPr>
          <w:rStyle w:val="Funotenzeichen"/>
        </w:rPr>
        <w:footnoteRef/>
      </w:r>
      <w:r>
        <w:rPr/>
        <w:tab/>
        <w:t>Taubenverkäufer W. „die Tauben verkauften“ (Subst. Ptz.). Jesus ist gegen Kommerz im Tempelhof, der der Anbetung Gottes vorbehalten sein sollte (vgl. V. 17) (Evans 2001, 169-171).</w:t>
      </w:r>
    </w:p>
  </w:footnote>
  <w:footnote w:id="2125">
    <w:p>
      <w:pPr>
        <w:pStyle w:val="Funote"/>
        <w:rPr/>
      </w:pPr>
      <w:r>
        <w:rPr>
          <w:rStyle w:val="Funotenzeichen"/>
        </w:rPr>
        <w:footnoteRef/>
      </w:r>
      <w:r>
        <w:rPr/>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2126">
    <w:p>
      <w:pPr>
        <w:pStyle w:val="Funote"/>
        <w:rPr/>
      </w:pPr>
      <w:r>
        <w:rPr>
          <w:rStyle w:val="Funotenzeichen"/>
        </w:rPr>
        <w:footnoteRef/>
      </w:r>
      <w:r>
        <w:rPr/>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2127">
    <w:p>
      <w:pPr>
        <w:pStyle w:val="Funote"/>
        <w:rPr/>
      </w:pPr>
      <w:r>
        <w:rPr>
          <w:rStyle w:val="Funotenzeichen"/>
        </w:rPr>
        <w:footnoteRef/>
      </w:r>
      <w:r>
        <w:rPr/>
        <w:tab/>
        <w:t>Haus des Gebets [für] alle Völker (Dat. commodi). Der griechische Text folgt in diesem Zitat wörtlich der LXX und dem hebräischen.</w:t>
      </w:r>
    </w:p>
  </w:footnote>
  <w:footnote w:id="2128">
    <w:p>
      <w:pPr>
        <w:pStyle w:val="Funote"/>
        <w:rPr/>
      </w:pPr>
      <w:r>
        <w:rPr>
          <w:rStyle w:val="Funotenzeichen"/>
        </w:rPr>
        <w:footnoteRef/>
      </w:r>
      <w:r>
        <w:rPr/>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2129">
    <w:p>
      <w:pPr>
        <w:pStyle w:val="Funote"/>
        <w:rPr/>
      </w:pPr>
      <w:r>
        <w:rPr>
          <w:rStyle w:val="Funotenzeichen"/>
        </w:rPr>
        <w:footnoteRef/>
      </w:r>
      <w:r>
        <w:rPr/>
        <w:tab/>
        <w:t>oberste Priester Auf Griechisch „Hohe Priester“. Damit waren ehemalige Hohe Priester gemeint, die weiter im Hohen Rat vertreten waren, aber wahrscheinlich auch Mitglieder der wichtigen Priesterfamilien (France 2002, 335 Fn 51).</w:t>
      </w:r>
    </w:p>
  </w:footnote>
  <w:footnote w:id="2130">
    <w:p>
      <w:pPr>
        <w:pStyle w:val="Funote"/>
        <w:rPr/>
      </w:pPr>
      <w:r>
        <w:rPr>
          <w:rStyle w:val="Funotenzeichen"/>
        </w:rPr>
        <w:footnoteRef/>
      </w:r>
      <w:r>
        <w:rPr>
          <w:i/>
        </w:rPr>
        <w:tab/>
        <w:t>suchten ... fürchteten … war fasziniert</w:t>
      </w:r>
      <w:r>
        <w:rPr/>
        <w:t xml:space="preserve"> Die letzten beiden </w:t>
      </w:r>
      <w:hyperlink r:id="rId399">
        <w:r>
          <w:rPr>
            <w:rStyle w:val="Internetverknpfung"/>
          </w:rPr>
          <w:t>Imperfekte</w:t>
        </w:r>
      </w:hyperlink>
      <w:r>
        <w:rPr/>
        <w:t xml:space="preserve"> erklären die Situation. Der erste könnte auch linear „suchten weiter/ständig [nach einer Möglichkeit]“ oder inchoativ „begannen (erneut) zu suchen“ wiedergegeben werden. Zu </w:t>
      </w:r>
      <w:r>
        <w:rPr>
          <w:i/>
        </w:rPr>
        <w:t>suchten</w:t>
      </w:r>
      <w:r>
        <w:rPr/>
        <w:t xml:space="preserve"> oder inchoativ „begannen zu suchen“ vgl. die parallelen Formulierungen in Mk 12,12; 14,1 und 11.</w:t>
      </w:r>
    </w:p>
  </w:footnote>
  <w:footnote w:id="2131">
    <w:p>
      <w:pPr>
        <w:pStyle w:val="Funote"/>
        <w:rPr/>
      </w:pPr>
      <w:r>
        <w:rPr>
          <w:rStyle w:val="Funotenzeichen"/>
        </w:rPr>
        <w:footnoteRef/>
      </w:r>
      <w:r>
        <w:rPr>
          <w:i/>
        </w:rPr>
        <w:tab/>
        <w:t>das ganze Volk</w:t>
      </w:r>
      <w:r>
        <w:rPr/>
        <w:t xml:space="preserve"> D.h. nicht das Volk der Juden, sondern das Straßenvolk (gr. </w:t>
      </w:r>
      <w:r>
        <w:rPr>
          <w:lang w:val="el-GR"/>
        </w:rPr>
        <w:t>ὄχλος</w:t>
      </w:r>
      <w:r>
        <w:rPr/>
        <w:t xml:space="preserve"> „Menschenmenge“), die Leute, die Jesus zuhörten.</w:t>
      </w:r>
    </w:p>
  </w:footnote>
  <w:footnote w:id="2132">
    <w:p>
      <w:pPr>
        <w:pStyle w:val="Funote"/>
        <w:rPr/>
      </w:pPr>
      <w:r>
        <w:rPr>
          <w:rStyle w:val="Funotenzeichen"/>
        </w:rPr>
        <w:footnoteRef/>
      </w:r>
      <w:r>
        <w:rPr/>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2133">
    <w:p>
      <w:pPr>
        <w:pStyle w:val="Funote"/>
        <w:rPr/>
      </w:pPr>
      <w:r>
        <w:rPr>
          <w:rStyle w:val="Funotenzeichen"/>
        </w:rPr>
        <w:footnoteRef/>
      </w:r>
      <w:r>
        <w:rPr>
          <w:i/>
        </w:rPr>
        <w:tab/>
        <w:t>als sie … vorbeikamen</w:t>
      </w:r>
      <w:r>
        <w:rPr/>
        <w:t xml:space="preserve"> </w:t>
      </w:r>
      <w:hyperlink r:id="rId400">
        <w:r>
          <w:rPr>
            <w:rStyle w:val="Internetverknpfung"/>
          </w:rPr>
          <w:t>Ptz. conj.</w:t>
        </w:r>
      </w:hyperlink>
      <w:r>
        <w:rPr/>
        <w:t>, temporal aufgelöst.</w:t>
      </w:r>
    </w:p>
  </w:footnote>
  <w:footnote w:id="2134">
    <w:p>
      <w:pPr>
        <w:pStyle w:val="Funote"/>
        <w:rPr/>
      </w:pPr>
      <w:r>
        <w:rPr>
          <w:rStyle w:val="Funotenzeichen"/>
        </w:rPr>
        <w:footnoteRef/>
      </w:r>
      <w:r>
        <w:rPr/>
        <w:tab/>
        <w:t>Glauben (Vertrauen) [an] Gott Objektiver Genitiv (Evans 2001, 186).</w:t>
      </w:r>
    </w:p>
  </w:footnote>
  <w:footnote w:id="2135">
    <w:p>
      <w:pPr>
        <w:pStyle w:val="Funote"/>
        <w:rPr/>
      </w:pPr>
      <w:r>
        <w:rPr>
          <w:rStyle w:val="Funotenzeichen"/>
        </w:rPr>
        <w:footnoteRef/>
      </w:r>
      <w:r>
        <w:rPr/>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136">
    <w:p>
      <w:pPr>
        <w:pStyle w:val="Funote"/>
        <w:rPr/>
      </w:pPr>
      <w:r>
        <w:rPr>
          <w:rStyle w:val="Funotenzeichen"/>
        </w:rPr>
        <w:footnoteRef/>
      </w:r>
      <w:r>
        <w:rPr/>
        <w:tab/>
        <w:t>für den wird es eintreffen W. »dem wird es zuteil werden« (vgl. NSS)</w:t>
      </w:r>
    </w:p>
  </w:footnote>
  <w:footnote w:id="2137">
    <w:p>
      <w:pPr>
        <w:pStyle w:val="Funote"/>
        <w:rPr/>
      </w:pPr>
      <w:r>
        <w:rPr>
          <w:rStyle w:val="Funotenzeichen"/>
        </w:rPr>
        <w:footnoteRef/>
      </w:r>
      <w:r>
        <w:rPr>
          <w:i/>
        </w:rPr>
        <w:tab/>
        <w:t>Glaubt [bei] allen [Dingen], für die...</w:t>
      </w:r>
      <w:r>
        <w:rPr/>
        <w:t xml:space="preserve"> W. „Alle [Dinge], für die ihr betet und bittet: glaubt, dass ihr...“</w:t>
      </w:r>
    </w:p>
  </w:footnote>
  <w:footnote w:id="2138">
    <w:p>
      <w:pPr>
        <w:pStyle w:val="Funote"/>
        <w:rPr/>
      </w:pPr>
      <w:r>
        <w:rPr>
          <w:rStyle w:val="Funotenzeichen"/>
        </w:rPr>
        <w:footnoteRef/>
      </w:r>
      <w:r>
        <w:rPr/>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2139">
    <w:p>
      <w:pPr>
        <w:pStyle w:val="Funote"/>
        <w:rPr/>
      </w:pPr>
      <w:r>
        <w:rPr>
          <w:rStyle w:val="Funotenzeichen"/>
        </w:rPr>
        <w:footnoteRef/>
      </w:r>
      <w:r>
        <w:rPr/>
        <w:tab/>
        <w:t>dann werden sie {für euch} eintreffen W. »dann wird es euch zuteil werden« (vgl. NSS)</w:t>
      </w:r>
    </w:p>
  </w:footnote>
  <w:footnote w:id="2140">
    <w:p>
      <w:pPr>
        <w:pStyle w:val="Funote"/>
        <w:rPr/>
      </w:pPr>
      <w:r>
        <w:rPr>
          <w:rStyle w:val="Funotenzeichen"/>
        </w:rPr>
        <w:footnoteRef/>
      </w:r>
      <w:r>
        <w:rPr/>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2141">
    <w:p>
      <w:pPr>
        <w:pStyle w:val="Funote"/>
        <w:rPr/>
      </w:pPr>
      <w:r>
        <w:rPr>
          <w:rStyle w:val="Funotenzeichen"/>
        </w:rPr>
        <w:footnoteRef/>
      </w:r>
      <w:r>
        <w:rPr/>
        <w:tab/>
        <w:t>Textkritik: In einigen der besten Zeugen fehlt V. 26.</w:t>
      </w:r>
    </w:p>
  </w:footnote>
  <w:footnote w:id="2142">
    <w:p>
      <w:pPr>
        <w:pStyle w:val="Funote"/>
        <w:rPr/>
      </w:pPr>
      <w:r>
        <w:rPr>
          <w:rStyle w:val="Funotenzeichen"/>
        </w:rPr>
        <w:footnoteRef/>
      </w:r>
      <w:r>
        <w:rPr/>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2143">
    <w:p>
      <w:pPr>
        <w:pStyle w:val="Funote"/>
        <w:rPr/>
      </w:pPr>
      <w:r>
        <w:rPr>
          <w:rStyle w:val="Funotenzeichen"/>
        </w:rPr>
        <w:footnoteRef/>
      </w:r>
      <w:r>
        <w:rPr/>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2144">
    <w:p>
      <w:pPr>
        <w:pStyle w:val="Funote"/>
        <w:rPr/>
      </w:pPr>
      <w:r>
        <w:rPr>
          <w:rStyle w:val="Funotenzeichen"/>
        </w:rPr>
        <w:footnoteRef/>
      </w:r>
      <w:r>
        <w:rPr/>
        <w:tab/>
        <w:t>{und} Antwortet mir Oder »Wenn ihr mir antwortet...« Der Imperativ steht hier wie in einem semitischen Bedingungssatz für die Bedingung (Evans 2001, 204). GNB: »Die beantwortet mir, dann...«</w:t>
      </w:r>
    </w:p>
  </w:footnote>
  <w:footnote w:id="2145">
    <w:p>
      <w:pPr>
        <w:pStyle w:val="Funote"/>
        <w:rPr/>
      </w:pPr>
      <w:r>
        <w:rPr>
          <w:rStyle w:val="Funotenzeichen"/>
        </w:rPr>
        <w:footnoteRef/>
      </w:r>
      <w:r>
        <w:rPr>
          <w:i/>
        </w:rPr>
        <w:tab/>
        <w:t>{und sagten}</w:t>
      </w:r>
      <w:r>
        <w:rPr/>
        <w:t xml:space="preserve"> Das </w:t>
      </w:r>
      <w:hyperlink r:id="rId401">
        <w:r>
          <w:rPr>
            <w:rStyle w:val="Internetverknpfung"/>
          </w:rPr>
          <w:t>pleonatische Partizip</w:t>
        </w:r>
      </w:hyperlink>
      <w:r>
        <w:rPr/>
        <w:t xml:space="preserve"> leitet die zitierte Rede ein, ist im Deutschen aber unnötig.</w:t>
      </w:r>
    </w:p>
  </w:footnote>
  <w:footnote w:id="2146">
    <w:p>
      <w:pPr>
        <w:pStyle w:val="Funote"/>
        <w:rPr/>
      </w:pPr>
      <w:r>
        <w:rPr>
          <w:rStyle w:val="Funotenzeichen"/>
        </w:rPr>
        <w:footnoteRef/>
      </w:r>
      <w:r>
        <w:rPr/>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2147">
    <w:p>
      <w:pPr>
        <w:pStyle w:val="Funote"/>
        <w:rPr/>
      </w:pPr>
      <w:r>
        <w:rPr>
          <w:rStyle w:val="Funotenzeichen"/>
        </w:rPr>
        <w:footnoteRef/>
      </w:r>
      <w:r>
        <w:rPr/>
        <w:tab/>
        <w:t>[Status: Zuverlässig]</w:t>
      </w:r>
    </w:p>
  </w:footnote>
  <w:footnote w:id="2148">
    <w:p>
      <w:pPr>
        <w:pStyle w:val="Funote"/>
        <w:rPr/>
      </w:pPr>
      <w:r>
        <w:rPr>
          <w:rStyle w:val="Funotenzeichen"/>
        </w:rPr>
        <w:footnoteRef/>
      </w:r>
      <w:r>
        <w:rPr/>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2149">
    <w:p>
      <w:pPr>
        <w:pStyle w:val="Funote"/>
        <w:rPr/>
      </w:pPr>
      <w:r>
        <w:rPr>
          <w:rStyle w:val="Funotenzeichen"/>
        </w:rPr>
        <w:footnoteRef/>
      </w:r>
      <w:r>
        <w:rPr/>
        <w:tab/>
        <w:t>mit ihnen D.h. die Vertreter der jüdischen Führung aus dem vorigen Kapitel, die wegen der Tempelreinigung Streit mit Jesus gesucht hatten (vgl. V. 12) (vgl. France 2002, 458; Collins 2007, 544).</w:t>
      </w:r>
    </w:p>
  </w:footnote>
  <w:footnote w:id="2150">
    <w:p>
      <w:pPr>
        <w:pStyle w:val="Funote"/>
        <w:rPr/>
      </w:pPr>
      <w:r>
        <w:rPr>
          <w:rStyle w:val="Funotenzeichen"/>
        </w:rPr>
        <w:footnoteRef/>
      </w:r>
      <w:r>
        <w:rPr>
          <w:i/>
        </w:rPr>
        <w:tab/>
        <w:t>Mauer</w:t>
      </w:r>
      <w:r>
        <w:rPr/>
        <w:t xml:space="preserve">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w:t>
      </w:r>
      <w:hyperlink r:id="rId402">
        <w:r>
          <w:rPr>
            <w:rStyle w:val="Internetverknpfung"/>
          </w:rPr>
          <w:t>Dalman 1935</w:t>
        </w:r>
      </w:hyperlink>
      <w:r>
        <w:rPr/>
        <w:t>, 316, 309, 334f.).</w:t>
      </w:r>
    </w:p>
  </w:footnote>
  <w:footnote w:id="2151">
    <w:p>
      <w:pPr>
        <w:pStyle w:val="Funote"/>
        <w:rPr/>
      </w:pPr>
      <w:r>
        <w:rPr>
          <w:rStyle w:val="Funotenzeichen"/>
        </w:rPr>
        <w:footnoteRef/>
      </w:r>
      <w:r>
        <w:rPr/>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2152">
    <w:p>
      <w:pPr>
        <w:pStyle w:val="Funote"/>
        <w:rPr/>
      </w:pPr>
      <w:r>
        <w:rPr>
          <w:rStyle w:val="Funotenzeichen"/>
        </w:rPr>
        <w:footnoteRef/>
      </w:r>
      <w:r>
        <w:rPr>
          <w:i/>
        </w:rPr>
        <w:tab/>
        <w:t>Wachtturm</w:t>
      </w:r>
      <w:r>
        <w:rPr/>
        <w:t xml:space="preserve"> und Schutzmauer waren nötig, um die reifenden Trauben vor Eindringlingen zu schützen. Der Turm konnte eine erhöhte Aussichtsplattform, ein einfaches Häuschen oder, recht häufig, ein gemauerter Steinturm sein, der dazu diente, den gesamten Weinberg zu überblicken (</w:t>
      </w:r>
      <w:hyperlink r:id="rId403">
        <w:r>
          <w:rPr>
            <w:rStyle w:val="Internetverknpfung"/>
          </w:rPr>
          <w:t>Dalman 1935</w:t>
        </w:r>
      </w:hyperlink>
      <w:r>
        <w:rPr/>
        <w:t>,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2153">
    <w:p>
      <w:pPr>
        <w:pStyle w:val="Funote"/>
        <w:rPr/>
      </w:pPr>
      <w:r>
        <w:rPr>
          <w:rStyle w:val="Funotenzeichen"/>
        </w:rPr>
        <w:footnoteRef/>
      </w:r>
      <w:r>
        <w:rPr/>
        <w:tab/>
        <w:t>zur [vereinbarten] Zeit Temporaler Dativ. Gemeint ist die in der Pachtvereinbarung abgesprochene Zeit (Evans 2001, 233). Bei einem neuen Weinberg wären bis zur ersten Ernte wenigstens 4 Jahre vergangen (France 2002, 459).</w:t>
      </w:r>
    </w:p>
  </w:footnote>
  <w:footnote w:id="2154">
    <w:p>
      <w:pPr>
        <w:pStyle w:val="Funote"/>
        <w:rPr/>
      </w:pPr>
      <w:r>
        <w:rPr>
          <w:rStyle w:val="Funotenzeichen"/>
        </w:rPr>
        <w:footnoteRef/>
      </w:r>
      <w:r>
        <w:rPr/>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2155">
    <w:p>
      <w:pPr>
        <w:pStyle w:val="Funote"/>
        <w:rPr/>
      </w:pPr>
      <w:r>
        <w:rPr>
          <w:rStyle w:val="Funotenzeichen"/>
        </w:rPr>
        <w:footnoteRef/>
      </w:r>
      <w:r>
        <w:rPr/>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2156">
    <w:p>
      <w:pPr>
        <w:pStyle w:val="Funote"/>
        <w:rPr/>
      </w:pPr>
      <w:r>
        <w:rPr>
          <w:rStyle w:val="Funotenzeichen"/>
        </w:rPr>
        <w:footnoteRef/>
      </w:r>
      <w:r>
        <w:rPr/>
        <w:tab/>
        <w:t>entehrten ihn (behandelten ihn verächtlich) - Vermutlich in Form von Beschimpfungen; viele Üss. daher sinnvoll: »beschimpften ihn« (z.B. BB, EÜ, GN, HER05, HfA).</w:t>
      </w:r>
    </w:p>
  </w:footnote>
  <w:footnote w:id="2157">
    <w:p>
      <w:pPr>
        <w:pStyle w:val="Funote"/>
        <w:rPr/>
      </w:pPr>
      <w:r>
        <w:rPr>
          <w:rStyle w:val="Funotenzeichen"/>
        </w:rPr>
        <w:footnoteRef/>
      </w:r>
      <w:r>
        <w:rPr/>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2158">
    <w:p>
      <w:pPr>
        <w:pStyle w:val="Funote"/>
        <w:rPr/>
      </w:pPr>
      <w:r>
        <w:rPr>
          <w:rStyle w:val="Funotenzeichen"/>
        </w:rPr>
        <w:footnoteRef/>
      </w:r>
      <w:r>
        <w:rPr>
          <w:i/>
        </w:rPr>
        <w:tab/>
        <w:t>verprügelten sie ... brachten sie um</w:t>
      </w:r>
      <w:r>
        <w:rPr/>
        <w:t xml:space="preserve"> Modales </w:t>
      </w:r>
      <w:hyperlink r:id="rId404">
        <w:r>
          <w:rPr>
            <w:rStyle w:val="Internetverknpfung"/>
          </w:rPr>
          <w:t>Ptz. conj.</w:t>
        </w:r>
      </w:hyperlink>
      <w:r>
        <w:rPr/>
        <w:t xml:space="preserve"> (2x), hier als Indikative aufgelöst. </w:t>
      </w:r>
    </w:p>
  </w:footnote>
  <w:footnote w:id="2159">
    <w:p>
      <w:pPr>
        <w:pStyle w:val="Funote"/>
        <w:rPr/>
      </w:pPr>
      <w:r>
        <w:rPr>
          <w:rStyle w:val="Funotenzeichen"/>
        </w:rPr>
        <w:footnoteRef/>
      </w:r>
      <w:r>
        <w:rPr/>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2160">
    <w:p>
      <w:pPr>
        <w:pStyle w:val="Funote"/>
        <w:rPr/>
      </w:pPr>
      <w:r>
        <w:rPr>
          <w:rStyle w:val="Funotenzeichen"/>
        </w:rPr>
        <w:footnoteRef/>
      </w:r>
      <w:r>
        <w:rPr>
          <w:i/>
        </w:rPr>
        <w:tab/>
        <w:t>weil er glaubte (dachte, sich sagte)</w:t>
      </w:r>
      <w:r>
        <w:rPr/>
        <w:t xml:space="preserve"> Kausales (oder modales) </w:t>
      </w:r>
      <w:hyperlink r:id="rId405">
        <w:r>
          <w:rPr>
            <w:rStyle w:val="Internetverknpfung"/>
          </w:rPr>
          <w:t>Ptz. conj.</w:t>
        </w:r>
      </w:hyperlink>
      <w:r>
        <w:rPr/>
        <w:t>, als Nebensatz aufgelöst.</w:t>
      </w:r>
    </w:p>
  </w:footnote>
  <w:footnote w:id="2161">
    <w:p>
      <w:pPr>
        <w:pStyle w:val="Funote"/>
        <w:rPr/>
      </w:pPr>
      <w:r>
        <w:rPr>
          <w:rStyle w:val="Funotenzeichen"/>
        </w:rPr>
        <w:footnoteRef/>
      </w:r>
      <w:r>
        <w:rPr>
          <w:i/>
        </w:rPr>
        <w:tab/>
        <w:t>uns gehören</w:t>
      </w:r>
      <w:r>
        <w:rPr/>
        <w:t xml:space="preserve"> W. „unser sein“. </w:t>
      </w:r>
    </w:p>
  </w:footnote>
  <w:footnote w:id="2162">
    <w:p>
      <w:pPr>
        <w:pStyle w:val="Funote"/>
        <w:rPr/>
      </w:pPr>
      <w:r>
        <w:rPr>
          <w:rStyle w:val="Funotenzeichen"/>
        </w:rPr>
        <w:footnoteRef/>
      </w:r>
      <w:r>
        <w:rPr>
          <w:i/>
        </w:rPr>
        <w:tab/>
        <w:t>sie packten ihn und</w:t>
      </w:r>
      <w:r>
        <w:rPr/>
        <w:t xml:space="preserve"> Modales </w:t>
      </w:r>
      <w:hyperlink r:id="rId406">
        <w:r>
          <w:rPr>
            <w:rStyle w:val="Internetverknpfung"/>
          </w:rPr>
          <w:t>Ptz. conj.</w:t>
        </w:r>
      </w:hyperlink>
      <w:r>
        <w:rPr/>
        <w:t>, beigeordnet aufgelöst.</w:t>
      </w:r>
    </w:p>
  </w:footnote>
  <w:footnote w:id="2163">
    <w:p>
      <w:pPr>
        <w:pStyle w:val="Funote"/>
        <w:rPr/>
      </w:pPr>
      <w:r>
        <w:rPr>
          <w:rStyle w:val="Funotenzeichen"/>
        </w:rPr>
        <w:footnoteRef/>
      </w:r>
      <w:r>
        <w:rPr/>
        <w:tab/>
        <w:t>diese Schriftstelle W. »diese Schrift«, d.h. »den folgenden Abschnitt der Schrift«. Viele Übersetzungen geben das Wort nach LUT mit »Schriftwort« wieder, GNB: »die Stelle in den Heiligen Schriften, wo es heißt«</w:t>
      </w:r>
    </w:p>
  </w:footnote>
  <w:footnote w:id="2164">
    <w:p>
      <w:pPr>
        <w:pStyle w:val="Funote"/>
        <w:rPr/>
      </w:pPr>
      <w:r>
        <w:rPr>
          <w:rStyle w:val="Funotenzeichen"/>
        </w:rPr>
        <w:footnoteRef/>
      </w:r>
      <w:r>
        <w:rPr/>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2165">
    <w:p>
      <w:pPr>
        <w:pStyle w:val="Funote"/>
        <w:rPr/>
      </w:pPr>
      <w:r>
        <w:rPr>
          <w:rStyle w:val="Funotenzeichen"/>
        </w:rPr>
        <w:footnoteRef/>
      </w:r>
      <w:r>
        <w:rPr>
          <w:i/>
        </w:rPr>
        <w:tab/>
        <w:t xml:space="preserve">[Der] Stein, … , </w:t>
      </w:r>
      <w:r>
        <w:rPr>
          <w:i/>
          <w:u w:val="single"/>
        </w:rPr>
        <w:t>der</w:t>
      </w:r>
      <w:r>
        <w:rPr>
          <w:i/>
        </w:rPr>
        <w:t xml:space="preserve"> ist zum Eckstein geworden</w:t>
      </w:r>
      <w:r>
        <w:rPr/>
        <w:t xml:space="preserve"> Die Konstruktion legt Gewicht auf den angesprochenen Gegensatz. Man könnte auch formulieren: „Gerade [der] Stein … ist geworden“. W. „[der] Stein … dieser ist geworden.“</w:t>
      </w:r>
    </w:p>
  </w:footnote>
  <w:footnote w:id="2166">
    <w:p>
      <w:pPr>
        <w:pStyle w:val="Funote"/>
        <w:rPr/>
      </w:pPr>
      <w:r>
        <w:rPr>
          <w:rStyle w:val="Funotenzeichen"/>
        </w:rPr>
        <w:footnoteRef/>
      </w:r>
      <w:r>
        <w:rPr/>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2167">
    <w:p>
      <w:pPr>
        <w:pStyle w:val="Funote"/>
        <w:rPr/>
      </w:pPr>
      <w:r>
        <w:rPr>
          <w:rStyle w:val="Funotenzeichen"/>
        </w:rPr>
        <w:footnoteRef/>
      </w:r>
      <w:r>
        <w:rPr/>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2168">
    <w:p>
      <w:pPr>
        <w:pStyle w:val="Funote"/>
        <w:rPr/>
      </w:pPr>
      <w:r>
        <w:rPr>
          <w:rStyle w:val="Funotenzeichen"/>
        </w:rPr>
        <w:footnoteRef/>
      </w:r>
      <w:r>
        <w:rPr/>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2169">
    <w:p>
      <w:pPr>
        <w:pStyle w:val="Funote"/>
        <w:rPr/>
      </w:pPr>
      <w:r>
        <w:rPr>
          <w:rStyle w:val="Funotenzeichen"/>
        </w:rPr>
        <w:footnoteRef/>
      </w:r>
      <w:r>
        <w:rPr/>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2170">
    <w:p>
      <w:pPr>
        <w:pStyle w:val="Funote"/>
        <w:rPr/>
      </w:pPr>
      <w:r>
        <w:rPr>
          <w:rStyle w:val="Funotenzeichen"/>
        </w:rPr>
        <w:footnoteRef/>
      </w:r>
      <w:r>
        <w:rPr/>
        <w:tab/>
        <w:t>gegen sie gesprochen hatte Etwas freier formuliert, würde man in heutigem Deutsch sagen: „dass sie mit dem Gleichnis gemeint waren“ (vgl. NGÜ, EÜ). MEN: „gegen sie gerichtet hatte“, GNB: „dass das Gleichnis auf sie gemünzt war “.</w:t>
      </w:r>
    </w:p>
  </w:footnote>
  <w:footnote w:id="2171">
    <w:p>
      <w:pPr>
        <w:pStyle w:val="Funote"/>
        <w:rPr/>
      </w:pPr>
      <w:r>
        <w:rPr>
          <w:rStyle w:val="Funotenzeichen"/>
        </w:rPr>
        <w:footnoteRef/>
      </w:r>
      <w:r>
        <w:rPr/>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2172">
    <w:p>
      <w:pPr>
        <w:pStyle w:val="Funote"/>
        <w:rPr/>
      </w:pPr>
      <w:r>
        <w:rPr>
          <w:rStyle w:val="Funotenzeichen"/>
        </w:rPr>
        <w:footnoteRef/>
      </w:r>
      <w:r>
        <w:rPr>
          <w:i/>
        </w:rPr>
        <w:tab/>
        <w:t>als sie ankamen</w:t>
      </w:r>
      <w:r>
        <w:rPr/>
        <w:t xml:space="preserve"> Temporal-modales </w:t>
      </w:r>
      <w:hyperlink r:id="rId407">
        <w:r>
          <w:rPr>
            <w:rStyle w:val="Internetverknpfung"/>
          </w:rPr>
          <w:t>Ptz. conj.</w:t>
        </w:r>
      </w:hyperlink>
      <w:r>
        <w:rPr/>
        <w:t>, mit temporalem Nebensatz übersetzt.</w:t>
      </w:r>
    </w:p>
  </w:footnote>
  <w:footnote w:id="2173">
    <w:p>
      <w:pPr>
        <w:pStyle w:val="Funote"/>
        <w:rPr/>
      </w:pPr>
      <w:r>
        <w:rPr>
          <w:rStyle w:val="Funotenzeichen"/>
        </w:rPr>
        <w:footnoteRef/>
      </w:r>
      <w:r>
        <w:rPr/>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2174">
    <w:p>
      <w:pPr>
        <w:pStyle w:val="Funote"/>
        <w:rPr/>
      </w:pPr>
      <w:r>
        <w:rPr>
          <w:rStyle w:val="Funotenzeichen"/>
        </w:rPr>
        <w:footnoteRef/>
      </w:r>
      <w:r>
        <w:rPr/>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2175">
    <w:p>
      <w:pPr>
        <w:pStyle w:val="Funote"/>
        <w:rPr/>
      </w:pPr>
      <w:r>
        <w:rPr>
          <w:rStyle w:val="Funotenzeichen"/>
        </w:rPr>
        <w:footnoteRef/>
      </w:r>
      <w:r>
        <w:rPr/>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2176">
    <w:p>
      <w:pPr>
        <w:pStyle w:val="Funote"/>
        <w:rPr/>
      </w:pPr>
      <w:r>
        <w:rPr>
          <w:rStyle w:val="Funotenzeichen"/>
        </w:rPr>
        <w:footnoteRef/>
      </w:r>
      <w:r>
        <w:rPr/>
        <w:tab/>
        <w:t>Weg Gottes bezeichnet Gottes Willen für das menschliche Leben (vgl. France 2002, 468; NSS). Die gleiche Wendung findet sich in Apg 18,26 sowie Bar 3,13. Vgl. Apg 16,17; 18,25, aber auch Joh 14,6.</w:t>
      </w:r>
    </w:p>
  </w:footnote>
  <w:footnote w:id="2177">
    <w:p>
      <w:pPr>
        <w:pStyle w:val="Funote"/>
        <w:rPr/>
      </w:pPr>
      <w:r>
        <w:rPr>
          <w:rStyle w:val="Funotenzeichen"/>
        </w:rPr>
        <w:footnoteRef/>
      </w:r>
      <w:r>
        <w:rPr/>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2178">
    <w:p>
      <w:pPr>
        <w:pStyle w:val="Funote"/>
        <w:rPr/>
      </w:pPr>
      <w:r>
        <w:rPr>
          <w:rStyle w:val="Funotenzeichen"/>
        </w:rPr>
        <w:footnoteRef/>
      </w:r>
      <w:r>
        <w:rPr/>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2179">
    <w:p>
      <w:pPr>
        <w:pStyle w:val="Funote"/>
        <w:rPr/>
      </w:pPr>
      <w:r>
        <w:rPr>
          <w:rStyle w:val="Funotenzeichen"/>
        </w:rPr>
        <w:footnoteRef/>
      </w:r>
      <w:r>
        <w:rPr>
          <w:i/>
        </w:rPr>
        <w:tab/>
        <w:t>er erkannte … und</w:t>
      </w:r>
      <w:r>
        <w:rPr/>
        <w:t xml:space="preserve"> Temporal-modales </w:t>
      </w:r>
      <w:hyperlink r:id="rId408">
        <w:r>
          <w:rPr>
            <w:rStyle w:val="Internetverknpfung"/>
          </w:rPr>
          <w:t>Ptz. conj.</w:t>
        </w:r>
      </w:hyperlink>
      <w:r>
        <w:rPr/>
        <w:t xml:space="preserve">, mit „und“-Kombination aufgelöst. Auch die kausale Sinnrichtung wäre denkbar. </w:t>
      </w:r>
    </w:p>
  </w:footnote>
  <w:footnote w:id="2180">
    <w:p>
      <w:pPr>
        <w:pStyle w:val="Funote"/>
        <w:rPr/>
      </w:pPr>
      <w:r>
        <w:rPr>
          <w:rStyle w:val="Funotenzeichen"/>
        </w:rPr>
        <w:footnoteRef/>
      </w:r>
      <w:r>
        <w:rPr>
          <w:i/>
        </w:rPr>
        <w:tab/>
        <w:t>Warum stellt ihr mir eine Falle?</w:t>
      </w:r>
      <w:r>
        <w:rPr/>
        <w:t xml:space="preserve"> Die Pharisäer haben sich schon zweimal vorher an Fangfragen versucht (Mk 8,11; 10,2; vgl. Joh 8,6). Jetzt spricht Jesus den Vorwurf zum ersten Mal aus. Vorher benutzte nur Markus den Begriff. </w:t>
      </w:r>
    </w:p>
  </w:footnote>
  <w:footnote w:id="2181">
    <w:p>
      <w:pPr>
        <w:pStyle w:val="Funote"/>
        <w:rPr/>
      </w:pPr>
      <w:r>
        <w:rPr>
          <w:rStyle w:val="Funotenzeichen"/>
        </w:rPr>
        <w:footnoteRef/>
      </w:r>
      <w:r>
        <w:rPr/>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2182">
    <w:p>
      <w:pPr>
        <w:pStyle w:val="Funote"/>
        <w:rPr/>
      </w:pPr>
      <w:r>
        <w:rPr>
          <w:rStyle w:val="Funotenzeichen"/>
        </w:rPr>
        <w:footnoteRef/>
      </w:r>
      <w:r>
        <w:rPr>
          <w:i/>
        </w:rPr>
        <w:tab/>
        <w:t>Was [dem] Kaiser (Cäsar) gehört...</w:t>
      </w:r>
      <w:r>
        <w:rPr/>
        <w:t xml:space="preserve"> Oder „Des Kaisers [Eigentum] gebt [dem] Kaiser“. W. etwa „was des Kaisers [ist], gebt...“. Ebenso bei </w:t>
      </w:r>
      <w:r>
        <w:rPr>
          <w:i/>
        </w:rPr>
        <w:t>was Gott gehört...</w:t>
      </w:r>
    </w:p>
  </w:footnote>
  <w:footnote w:id="2183">
    <w:p>
      <w:pPr>
        <w:pStyle w:val="Funote"/>
        <w:rPr/>
      </w:pPr>
      <w:r>
        <w:rPr>
          <w:rStyle w:val="Funotenzeichen"/>
        </w:rPr>
        <w:footnoteRef/>
      </w:r>
      <w:r>
        <w:rPr>
          <w:i/>
        </w:rPr>
        <w:tab/>
        <w:t>waren sie sehr erstaunt</w:t>
      </w:r>
      <w:r>
        <w:rPr/>
        <w:t xml:space="preserve"> Die Gute Nachricht trifft den Sinn am besten: „Solch eine Antwort hatten sie nicht von ihm erwartet.“</w:t>
      </w:r>
    </w:p>
  </w:footnote>
  <w:footnote w:id="2184">
    <w:p>
      <w:pPr>
        <w:pStyle w:val="Funote"/>
        <w:rPr/>
      </w:pPr>
      <w:r>
        <w:rPr>
          <w:rStyle w:val="Funotenzeichen"/>
        </w:rPr>
        <w:footnoteRef/>
      </w:r>
      <w:r>
        <w:rPr>
          <w:i/>
        </w:rPr>
        <w:tab/>
        <w:t>geschrieben</w:t>
      </w:r>
      <w:r>
        <w:rPr/>
        <w:t xml:space="preserve"> gemeint ist in der Torah als Gesetz aufgeschrieben</w:t>
      </w:r>
    </w:p>
  </w:footnote>
  <w:footnote w:id="2185">
    <w:p>
      <w:pPr>
        <w:pStyle w:val="Funote"/>
        <w:rPr/>
      </w:pPr>
      <w:r>
        <w:rPr>
          <w:rStyle w:val="Funotenzeichen"/>
        </w:rPr>
        <w:footnoteRef/>
      </w:r>
      <w:r>
        <w:rPr>
          <w:i/>
        </w:rPr>
        <w:tab/>
        <w:t>und eine Frau zurücklässt</w:t>
      </w:r>
      <w:r>
        <w:rPr/>
        <w:t xml:space="preserve"> ist eine Ergänzung des Markus zu diesem Zitat aus dem Dtn.</w:t>
      </w:r>
    </w:p>
  </w:footnote>
  <w:footnote w:id="2186">
    <w:p>
      <w:pPr>
        <w:pStyle w:val="Funote"/>
        <w:rPr/>
      </w:pPr>
      <w:r>
        <w:rPr>
          <w:rStyle w:val="Funotenzeichen"/>
        </w:rPr>
        <w:footnoteRef/>
      </w:r>
      <w:r>
        <w:rPr/>
        <w:tab/>
        <w:t>Der zweite Teil des Zitats stammt aus Gen</w:t>
      </w:r>
    </w:p>
  </w:footnote>
  <w:footnote w:id="2187">
    <w:p>
      <w:pPr>
        <w:pStyle w:val="Funote"/>
        <w:rPr/>
      </w:pPr>
      <w:r>
        <w:rPr>
          <w:rStyle w:val="Funotenzeichen"/>
        </w:rPr>
        <w:footnoteRef/>
      </w:r>
      <w:r>
        <w:rPr/>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2188">
    <w:p>
      <w:pPr>
        <w:pStyle w:val="Funote"/>
        <w:rPr/>
      </w:pPr>
      <w:r>
        <w:rPr>
          <w:rStyle w:val="Funotenzeichen"/>
        </w:rPr>
        <w:footnoteRef/>
      </w:r>
      <w:r>
        <w:rPr/>
        <w:tab/>
        <w:t>Abrahams, Isaaks und Jakobs - Die Erzväter galten als bei Gott lebend (Dschulnigg 2007, 320) und dienen Jesus so gleichzeitig als Beleg aus der Schrift für die Auferstehung.</w:t>
      </w:r>
    </w:p>
  </w:footnote>
  <w:footnote w:id="2189">
    <w:p>
      <w:pPr>
        <w:pStyle w:val="Funote"/>
        <w:rPr/>
      </w:pPr>
      <w:r>
        <w:rPr>
          <w:rStyle w:val="Funotenzeichen"/>
        </w:rPr>
        <w:footnoteRef/>
      </w:r>
      <w:r>
        <w:rPr/>
        <w:tab/>
        <w:t xml:space="preserve">gr. </w:t>
      </w:r>
      <w:r>
        <w:rPr>
          <w:lang w:val="el-GR"/>
        </w:rPr>
        <w:t>συνέσεως</w:t>
      </w:r>
    </w:p>
  </w:footnote>
  <w:footnote w:id="2190">
    <w:p>
      <w:pPr>
        <w:pStyle w:val="Funote"/>
        <w:rPr/>
      </w:pPr>
      <w:r>
        <w:rPr>
          <w:rStyle w:val="Funotenzeichen"/>
        </w:rPr>
        <w:footnoteRef/>
      </w:r>
      <w:r>
        <w:rPr/>
        <w:tab/>
        <w:t>Ps 110,1</w:t>
      </w:r>
    </w:p>
  </w:footnote>
  <w:footnote w:id="2191">
    <w:p>
      <w:pPr>
        <w:pStyle w:val="Funote"/>
        <w:rPr/>
      </w:pPr>
      <w:r>
        <w:rPr>
          <w:rStyle w:val="Funotenzeichen"/>
        </w:rPr>
        <w:footnoteRef/>
      </w:r>
      <w:r>
        <w:rPr/>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2192">
    <w:p>
      <w:pPr>
        <w:pStyle w:val="Funote"/>
        <w:rPr/>
      </w:pPr>
      <w:r>
        <w:rPr>
          <w:rStyle w:val="Funotenzeichen"/>
        </w:rPr>
        <w:footnoteRef/>
      </w:r>
      <w:r>
        <w:rPr>
          <w:i/>
        </w:rPr>
        <w:tab/>
        <w:t>ihr ganzes Leben (ihren ganzen Lebensunterhalt)</w:t>
      </w:r>
      <w:r>
        <w:rPr/>
        <w:t xml:space="preserve"> - </w:t>
      </w:r>
      <w:r>
        <w:rPr>
          <w:i/>
        </w:rPr>
        <w:t>bios</w:t>
      </w:r>
      <w:r>
        <w:rPr/>
        <w:t>,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2193">
    <w:p>
      <w:pPr>
        <w:pStyle w:val="Funote"/>
        <w:rPr/>
      </w:pPr>
      <w:r>
        <w:rPr>
          <w:rStyle w:val="Funotenzeichen"/>
        </w:rPr>
        <w:footnoteRef/>
      </w:r>
      <w:r>
        <w:rPr/>
        <w:tab/>
        <w:t>[Status: Zuverlässig]</w:t>
      </w:r>
    </w:p>
  </w:footnote>
  <w:footnote w:id="2194">
    <w:p>
      <w:pPr>
        <w:pStyle w:val="Funote"/>
        <w:rPr/>
      </w:pPr>
      <w:r>
        <w:rPr>
          <w:rStyle w:val="Funotenzeichen"/>
        </w:rPr>
        <w:footnoteRef/>
      </w:r>
      <w:r>
        <w:rPr/>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195">
    <w:p>
      <w:pPr>
        <w:pStyle w:val="Funote"/>
        <w:rPr/>
      </w:pPr>
      <w:r>
        <w:rPr>
          <w:rStyle w:val="Funotenzeichen"/>
        </w:rPr>
        <w:footnoteRef/>
      </w:r>
      <w:r>
        <w:rPr>
          <w:i/>
        </w:rPr>
        <w:tab/>
        <w:t>als er hinausging</w:t>
      </w:r>
      <w:r>
        <w:rPr/>
        <w:t xml:space="preserve"> - Da das Präsens </w:t>
      </w:r>
      <w:r>
        <w:rPr>
          <w:lang w:val="el-GR"/>
        </w:rPr>
        <w:t>λέγει</w:t>
      </w:r>
      <w:r>
        <w:rPr/>
        <w:t xml:space="preserve"> </w:t>
      </w:r>
      <w:r>
        <w:rPr>
          <w:i/>
        </w:rPr>
        <w:t>er sagt(e)</w:t>
      </w:r>
      <w:r>
        <w:rPr/>
        <w:t xml:space="preserve">, zu dem der temporale Genitivus absolutus </w:t>
      </w:r>
      <w:r>
        <w:rPr>
          <w:lang w:val="el-GR"/>
        </w:rPr>
        <w:t>ἐκπορευομένου</w:t>
      </w:r>
      <w:r>
        <w:rPr/>
        <w:t xml:space="preserve"> </w:t>
      </w:r>
      <w:r>
        <w:rPr>
          <w:i/>
        </w:rPr>
        <w:t>als er hinausgeht/hinausging</w:t>
      </w:r>
      <w:r>
        <w:rPr/>
        <w:t xml:space="preserve"> in gleichzeitiger Relation steht, </w:t>
      </w:r>
      <w:r>
        <w:rPr>
          <w:i/>
        </w:rPr>
        <w:t>historisches</w:t>
      </w:r>
      <w:r>
        <w:rPr/>
        <w:t xml:space="preserve"> Präsens ist (s. nächste Fußnote), ist die präsentische Wiedergabe überwörtlich und sollte vermieden werden.</w:t>
      </w:r>
    </w:p>
  </w:footnote>
  <w:footnote w:id="2196">
    <w:p>
      <w:pPr>
        <w:pStyle w:val="Funote"/>
        <w:rPr/>
      </w:pPr>
      <w:r>
        <w:rPr>
          <w:rStyle w:val="Funotenzeichen"/>
        </w:rPr>
        <w:footnoteRef/>
      </w:r>
      <w:r>
        <w:rPr/>
        <w:tab/>
        <w:t>sagte - Historisches Präsens, vgl. Kmiecik 1997, S. 36; Mateos 1987, S. 81</w:t>
      </w:r>
    </w:p>
  </w:footnote>
  <w:footnote w:id="2197">
    <w:p>
      <w:pPr>
        <w:pStyle w:val="Funote"/>
        <w:rPr/>
      </w:pPr>
      <w:r>
        <w:rPr>
          <w:rStyle w:val="Funotenzeichen"/>
        </w:rPr>
        <w:footnoteRef/>
      </w:r>
      <w:r>
        <w:rPr/>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198">
    <w:p>
      <w:pPr>
        <w:pStyle w:val="Funote"/>
        <w:rPr/>
      </w:pPr>
      <w:r>
        <w:rPr>
          <w:rStyle w:val="Funotenzeichen"/>
        </w:rPr>
        <w:footnoteRef/>
      </w:r>
      <w:r>
        <w:rPr/>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199">
    <w:p>
      <w:pPr>
        <w:pStyle w:val="Funote"/>
        <w:rPr/>
      </w:pPr>
      <w:r>
        <w:rPr>
          <w:rStyle w:val="Funotenzeichen"/>
        </w:rPr>
        <w:footnoteRef/>
      </w:r>
      <w:r>
        <w:rPr/>
        <w:tab/>
        <w:t xml:space="preserve">Der Tempel war Teil einer größeren Tempelanlage (für ein Modell vgl. z.B. </w:t>
      </w:r>
      <w:hyperlink r:id="rId409">
        <w:r>
          <w:rPr>
            <w:rStyle w:val="Internetverknpfung"/>
          </w:rPr>
          <w:t>Reidinger 2004, S. 13</w:t>
        </w:r>
      </w:hyperlink>
      <w:r>
        <w:rPr/>
        <w:t>; daher Plural.</w:t>
      </w:r>
    </w:p>
  </w:footnote>
  <w:footnote w:id="2200">
    <w:p>
      <w:pPr>
        <w:pStyle w:val="Funote"/>
        <w:rPr/>
      </w:pPr>
      <w:r>
        <w:rPr>
          <w:rStyle w:val="Funotenzeichen"/>
        </w:rPr>
        <w:footnoteRef/>
      </w:r>
      <w:r>
        <w:rPr>
          <w:lang w:val="el-GR"/>
        </w:rPr>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201">
    <w:p>
      <w:pPr>
        <w:pStyle w:val="Funote"/>
        <w:rPr/>
      </w:pPr>
      <w:r>
        <w:rPr>
          <w:rStyle w:val="Funotenzeichen"/>
        </w:rPr>
        <w:footnoteRef/>
      </w:r>
      <w:r>
        <w:rPr>
          <w:lang w:val="el-GR"/>
        </w:rPr>
        <w:tab/>
        <w:t>οὐ μὴ</w:t>
      </w:r>
      <w:r>
        <w:rPr/>
        <w:t xml:space="preserve"> </w:t>
      </w:r>
      <w:r>
        <w:rPr>
          <w:i/>
        </w:rPr>
        <w:t>(sicher) nicht</w:t>
      </w:r>
      <w:r>
        <w:rPr/>
        <w:t xml:space="preserve"> ist eine besonders starke Verneinung, sie dient hier aber nur der Intensivierung, um Jesu Äußerung sprachlich zu markieren als (</w:t>
      </w:r>
      <w:r>
        <w:rPr>
          <w:i/>
        </w:rPr>
        <w:t>sichere</w:t>
      </w:r>
      <w:r>
        <w:rPr/>
        <w:t>) Prophezeiung. Das Deutsche verwendet hierfür andere Konstruktionen.</w:t>
      </w:r>
    </w:p>
  </w:footnote>
  <w:footnote w:id="2202">
    <w:p>
      <w:pPr>
        <w:pStyle w:val="Funote"/>
        <w:rPr/>
      </w:pPr>
      <w:r>
        <w:rPr>
          <w:rStyle w:val="Funotenzeichen"/>
        </w:rPr>
        <w:footnoteRef/>
      </w:r>
      <w:r>
        <w:rPr/>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203">
    <w:p>
      <w:pPr>
        <w:pStyle w:val="Funote"/>
        <w:rPr/>
      </w:pPr>
      <w:r>
        <w:rPr>
          <w:rStyle w:val="Funotenzeichen"/>
        </w:rPr>
        <w:footnoteRef/>
      </w:r>
      <w:r>
        <w:rPr/>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204">
    <w:p>
      <w:pPr>
        <w:pStyle w:val="Funote"/>
        <w:rPr/>
      </w:pPr>
      <w:r>
        <w:rPr>
          <w:rStyle w:val="Funotenzeichen"/>
        </w:rPr>
        <w:footnoteRef/>
      </w:r>
      <w:r>
        <w:rPr/>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205">
    <w:p>
      <w:pPr>
        <w:pStyle w:val="Funote"/>
        <w:rPr/>
      </w:pPr>
      <w:r>
        <w:rPr>
          <w:rStyle w:val="Funotenzeichen"/>
        </w:rPr>
        <w:footnoteRef/>
      </w:r>
      <w:r>
        <w:rPr/>
        <w:tab/>
        <w:t xml:space="preserve">Die Redeeinleitung </w:t>
      </w:r>
      <w:r>
        <w:rPr>
          <w:lang w:val="el-GR"/>
        </w:rPr>
        <w:t>Εἰπὸν ἡμῖν</w:t>
      </w:r>
      <w:r>
        <w:rPr/>
        <w:t xml:space="preserve"> </w:t>
      </w:r>
      <w:r>
        <w:rPr>
          <w:i/>
        </w:rPr>
        <w:t>sage uns</w:t>
      </w:r>
      <w:r>
        <w:rPr/>
        <w:t xml:space="preserve"> dient im NT häufiger nur als Bitte um eine Antwort (z.B. </w:t>
      </w:r>
      <w:r>
        <w:fldChar w:fldCharType="begin"/>
      </w:r>
      <w:r>
        <w:rPr>
          <w:rStyle w:val="Internetverknpfung"/>
        </w:rPr>
        <w:instrText> HYPERLINK "../../../../../../../../../wiki/Matth%C3%A4us_22" \l "s17"</w:instrText>
      </w:r>
      <w:r>
        <w:rPr>
          <w:rStyle w:val="Internetverknpfung"/>
        </w:rPr>
        <w:fldChar w:fldCharType="separate"/>
      </w:r>
      <w:r>
        <w:rPr>
          <w:rStyle w:val="Internetverknpfung"/>
        </w:rPr>
        <w:t>Mt 22,17</w:t>
      </w:r>
      <w:r>
        <w:rPr>
          <w:rStyle w:val="Internetverknpfung"/>
        </w:rPr>
        <w:fldChar w:fldCharType="end"/>
      </w:r>
      <w:r>
        <w:rPr/>
        <w:t xml:space="preserve">; </w:t>
      </w:r>
      <w:r>
        <w:fldChar w:fldCharType="begin"/>
      </w:r>
      <w:r>
        <w:rPr>
          <w:rStyle w:val="Internetverknpfung"/>
        </w:rPr>
        <w:instrText> HYPERLINK "../../../../../../../../../wiki/Lukas_20" \l "s20"</w:instrText>
      </w:r>
      <w:r>
        <w:rPr>
          <w:rStyle w:val="Internetverknpfung"/>
        </w:rPr>
        <w:fldChar w:fldCharType="separate"/>
      </w:r>
      <w:r>
        <w:rPr>
          <w:rStyle w:val="Internetverknpfung"/>
        </w:rPr>
        <w:t>Lk 20,2</w:t>
      </w:r>
      <w:r>
        <w:rPr>
          <w:rStyle w:val="Internetverknpfung"/>
        </w:rPr>
        <w:fldChar w:fldCharType="end"/>
      </w:r>
      <w:r>
        <w:rPr/>
        <w:t xml:space="preserve">; </w:t>
      </w:r>
      <w:hyperlink r:id="rId410">
        <w:r>
          <w:rPr>
            <w:rStyle w:val="Internetverknpfung"/>
          </w:rPr>
          <w:t>22,67</w:t>
        </w:r>
      </w:hyperlink>
      <w:r>
        <w:rPr/>
        <w:t xml:space="preserve"> u.ö.); im Deutschen entspricht dem funktional eher eine uneingeleitete Frage.</w:t>
      </w:r>
    </w:p>
  </w:footnote>
  <w:footnote w:id="2206">
    <w:p>
      <w:pPr>
        <w:pStyle w:val="Funote"/>
        <w:rPr/>
      </w:pPr>
      <w:r>
        <w:rPr>
          <w:rStyle w:val="Funotenzeichen"/>
        </w:rPr>
        <w:footnoteRef/>
      </w:r>
      <w:r>
        <w:rPr/>
        <w:tab/>
        <w:t xml:space="preserve">Die Referenz der Demonstrativpronomen </w:t>
      </w:r>
      <w:r>
        <w:rPr>
          <w:lang w:val="el-GR"/>
        </w:rPr>
        <w:t>ταῦτα</w:t>
      </w:r>
      <w:r>
        <w:rPr/>
        <w:t xml:space="preserve"> </w:t>
      </w:r>
      <w:r>
        <w:rPr>
          <w:i/>
        </w:rPr>
        <w:t>dies</w:t>
      </w:r>
      <w:r>
        <w:rPr/>
        <w:t xml:space="preserve"> und </w:t>
      </w:r>
      <w:r>
        <w:rPr>
          <w:lang w:val="el-GR"/>
        </w:rPr>
        <w:t>ταῦτα πάντα</w:t>
      </w:r>
      <w:r>
        <w:rPr/>
        <w:t xml:space="preserve"> </w:t>
      </w:r>
      <w:r>
        <w:rPr>
          <w:i/>
        </w:rPr>
        <w:t>all dies</w:t>
      </w:r>
      <w:r>
        <w:rPr/>
        <w:t xml:space="preserve"> sind in der Exegese umstritten; vgl. dazu den </w:t>
      </w:r>
      <w:r>
        <w:fldChar w:fldCharType="begin"/>
      </w:r>
      <w:r>
        <w:rPr>
          <w:rStyle w:val="Internetverknpfung"/>
        </w:rPr>
        <w:instrText> HYPERLINK "http://www.offene-bibel.de/wiki/index.php5?title=Kommentar:Markus_13" \l "Vv._28-31:_Abschnitt_1"</w:instrText>
      </w:r>
      <w:r>
        <w:rPr>
          <w:rStyle w:val="Internetverknpfung"/>
        </w:rPr>
        <w:fldChar w:fldCharType="separate"/>
      </w:r>
      <w:r>
        <w:rPr>
          <w:rStyle w:val="Internetverknpfung"/>
        </w:rPr>
        <w:t>Kommentar</w:t>
      </w:r>
      <w:r>
        <w:rPr>
          <w:rStyle w:val="Internetverknpfung"/>
        </w:rPr>
        <w:fldChar w:fldCharType="end"/>
      </w:r>
    </w:p>
  </w:footnote>
  <w:footnote w:id="2207">
    <w:p>
      <w:pPr>
        <w:pStyle w:val="Funote"/>
        <w:rPr/>
      </w:pPr>
      <w:r>
        <w:rPr>
          <w:rStyle w:val="Funotenzeichen"/>
        </w:rPr>
        <w:footnoteRef/>
      </w:r>
      <w:r>
        <w:rPr>
          <w:lang w:val="el-GR"/>
        </w:rPr>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208">
    <w:p>
      <w:pPr>
        <w:pStyle w:val="Funote"/>
        <w:rPr/>
      </w:pPr>
      <w:r>
        <w:rPr>
          <w:rStyle w:val="Funotenzeichen"/>
        </w:rPr>
        <w:footnoteRef/>
      </w:r>
      <w:r>
        <w:rPr>
          <w:lang w:val="el-GR"/>
        </w:rPr>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209">
    <w:p>
      <w:pPr>
        <w:pStyle w:val="Funote"/>
        <w:rPr/>
      </w:pPr>
      <w:r>
        <w:rPr>
          <w:rStyle w:val="Funotenzeichen"/>
        </w:rPr>
        <w:footnoteRef/>
      </w:r>
      <w:r>
        <w:rPr/>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210">
    <w:p>
      <w:pPr>
        <w:pStyle w:val="Funote"/>
        <w:rPr/>
      </w:pPr>
      <w:r>
        <w:rPr>
          <w:rStyle w:val="Funotenzeichen"/>
        </w:rPr>
        <w:footnoteRef/>
      </w:r>
      <w:r>
        <w:rPr/>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211">
    <w:p>
      <w:pPr>
        <w:pStyle w:val="Funote"/>
        <w:rPr/>
      </w:pPr>
      <w:r>
        <w:rPr>
          <w:rStyle w:val="Funotenzeichen"/>
        </w:rPr>
        <w:footnoteRef/>
      </w:r>
      <w:r>
        <w:rPr/>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212">
    <w:p>
      <w:pPr>
        <w:pStyle w:val="Funote"/>
        <w:rPr/>
      </w:pPr>
      <w:r>
        <w:rPr>
          <w:rStyle w:val="Funotenzeichen"/>
        </w:rPr>
        <w:footnoteRef/>
      </w:r>
      <w:r>
        <w:rPr/>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213">
    <w:p>
      <w:pPr>
        <w:pStyle w:val="Funote"/>
        <w:rPr/>
      </w:pPr>
      <w:r>
        <w:rPr>
          <w:rStyle w:val="Funotenzeichen"/>
        </w:rPr>
        <w:footnoteRef/>
      </w:r>
      <w:r>
        <w:rPr/>
        <w:tab/>
        <w:t xml:space="preserve">Meist: </w:t>
      </w:r>
      <w:r>
        <w:rPr>
          <w:i/>
        </w:rPr>
        <w:t>denn erheben wird sich...</w:t>
      </w:r>
      <w:r>
        <w:rPr/>
        <w:t xml:space="preserve">; besser aber: </w:t>
      </w:r>
      <w:r>
        <w:rPr>
          <w:i/>
        </w:rPr>
        <w:t>es wird sich nämlich erheben...</w:t>
      </w:r>
      <w:r>
        <w:rPr/>
        <w:t xml:space="preserve"> - das </w:t>
      </w:r>
      <w:r>
        <w:rPr>
          <w:lang w:val="el-GR"/>
        </w:rPr>
        <w:t>γὰρ</w:t>
      </w:r>
      <w:r>
        <w:rPr/>
        <w:t xml:space="preserve"> </w:t>
      </w:r>
      <w:r>
        <w:rPr>
          <w:i/>
        </w:rPr>
        <w:t>denn</w:t>
      </w:r>
      <w:r>
        <w:rPr/>
        <w:t xml:space="preserve"> ist besser als explikatives </w:t>
      </w:r>
      <w:r>
        <w:rPr>
          <w:lang w:val="el-GR"/>
        </w:rPr>
        <w:t>γὰρ</w:t>
      </w:r>
      <w:r>
        <w:rPr/>
        <w:t xml:space="preserve"> </w:t>
      </w:r>
      <w:r>
        <w:rPr>
          <w:i/>
        </w:rPr>
        <w:t>nämlich</w:t>
      </w:r>
      <w:r>
        <w:rPr/>
        <w:t xml:space="preserve"> zu interpretieren; vgl. </w:t>
      </w:r>
      <w:r>
        <w:fldChar w:fldCharType="begin"/>
      </w:r>
      <w:r>
        <w:rPr>
          <w:rStyle w:val="Internetverknpfung"/>
        </w:rPr>
        <w:instrText> HYPERLINK "http://www.offene-bibel.de/wiki/index.php5?title=Kommentar:Markus_13" \l "Vv._5-8:_Abschnitt_1"</w:instrText>
      </w:r>
      <w:r>
        <w:rPr>
          <w:rStyle w:val="Internetverknpfung"/>
        </w:rPr>
        <w:fldChar w:fldCharType="separate"/>
      </w:r>
      <w:r>
        <w:rPr>
          <w:rStyle w:val="Internetverknpfung"/>
        </w:rPr>
        <w:t>Kommentar</w:t>
      </w:r>
      <w:r>
        <w:rPr>
          <w:rStyle w:val="Internetverknpfung"/>
        </w:rPr>
        <w:fldChar w:fldCharType="end"/>
      </w:r>
      <w:r>
        <w:rPr/>
        <w:t>.</w:t>
      </w:r>
    </w:p>
  </w:footnote>
  <w:footnote w:id="2214">
    <w:p>
      <w:pPr>
        <w:pStyle w:val="Funote"/>
        <w:rPr/>
      </w:pPr>
      <w:r>
        <w:rPr>
          <w:rStyle w:val="Funotenzeichen"/>
        </w:rPr>
        <w:footnoteRef/>
      </w:r>
      <w:r>
        <w:rPr>
          <w:i/>
        </w:rPr>
        <w:tab/>
        <w:t>Anfang der Wehen</w:t>
      </w:r>
      <w:r>
        <w:rPr/>
        <w:t xml:space="preserve"> - apokalyptische Formel, die v.a. in der rabbinischen Literatur gebräuchlich ist. Die </w:t>
      </w:r>
      <w:r>
        <w:rPr>
          <w:i/>
        </w:rPr>
        <w:t>(Geburts-)wehen</w:t>
      </w:r>
      <w:r>
        <w:rPr/>
        <w:t xml:space="preserve"> stehen für die Zeit der Not, die vor dem Einbruch der schönen Endzeit ertragen werden müssen (so fast alle Kommentare)</w:t>
      </w:r>
    </w:p>
  </w:footnote>
  <w:footnote w:id="2215">
    <w:p>
      <w:pPr>
        <w:pStyle w:val="Funote"/>
        <w:rPr/>
      </w:pPr>
      <w:r>
        <w:rPr>
          <w:rStyle w:val="Funotenzeichen"/>
        </w:rPr>
        <w:footnoteRef/>
      </w:r>
      <w:r>
        <w:rPr/>
        <w:tab/>
        <w:t>impersonaler Plural; vgl. ad loc. Turner 1924a, S. 382. Pryke 1978, S. 107 hält es hier für ein Passivsubstitut, aber das ist angesichts der direkt folgenden Passivformen nicht sehr wahrscheinlich.</w:t>
      </w:r>
    </w:p>
  </w:footnote>
  <w:footnote w:id="2216">
    <w:p>
      <w:pPr>
        <w:pStyle w:val="Funote"/>
        <w:rPr/>
      </w:pPr>
      <w:r>
        <w:rPr>
          <w:rStyle w:val="Funotenzeichen"/>
        </w:rPr>
        <w:footnoteRef/>
      </w:r>
      <w:r>
        <w:rPr>
          <w:lang w:val="el-GR"/>
        </w:rPr>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217">
    <w:p>
      <w:pPr>
        <w:pStyle w:val="Funote"/>
        <w:rPr/>
      </w:pPr>
      <w:r>
        <w:rPr>
          <w:rStyle w:val="Funotenzeichen"/>
        </w:rPr>
        <w:footnoteRef/>
      </w:r>
      <w:r>
        <w:rPr/>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218">
    <w:p>
      <w:pPr>
        <w:pStyle w:val="Funote"/>
        <w:rPr/>
      </w:pPr>
      <w:r>
        <w:rPr>
          <w:rStyle w:val="Funotenzeichen"/>
        </w:rPr>
        <w:footnoteRef/>
      </w:r>
      <w:r>
        <w:rPr>
          <w:lang w:val="el-GR"/>
        </w:rPr>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219">
    <w:p>
      <w:pPr>
        <w:pStyle w:val="Funote"/>
        <w:rPr/>
      </w:pPr>
      <w:r>
        <w:rPr>
          <w:rStyle w:val="Funotenzeichen"/>
        </w:rPr>
        <w:footnoteRef/>
      </w:r>
      <w:r>
        <w:rPr/>
        <w:tab/>
        <w:t xml:space="preserve">Die Bedeutung dieses Nachsatzes ist etwas unklar. (1) ist nicht klar, ob </w:t>
      </w:r>
      <w:r>
        <w:rPr>
          <w:lang w:val="el-GR"/>
        </w:rPr>
        <w:t>αὐτοῖς</w:t>
      </w:r>
      <w:r>
        <w:rPr/>
        <w:t xml:space="preserve"> </w:t>
      </w:r>
      <w:r>
        <w:rPr>
          <w:i/>
        </w:rPr>
        <w:t>ihnen</w:t>
      </w:r>
      <w:r>
        <w:rPr/>
        <w:t xml:space="preserve"> sich auf die Statthalter und Könige bezieht oder auf die Auslieferer, Prügler, Statthalter und Könige, (2) lässt sich aus V. 9 allein nicht erkennen, worauf das </w:t>
      </w:r>
      <w:r>
        <w:rPr>
          <w:i/>
        </w:rPr>
        <w:t>ihnen zum Zeugnis</w:t>
      </w:r>
      <w:r>
        <w:rPr/>
        <w:t xml:space="preserve"> sich eigentlich beziehen soll. Die Mehrheitsmeinung bei der Interpretation von </w:t>
      </w:r>
      <w:r>
        <w:rPr>
          <w:i/>
        </w:rPr>
        <w:t>V. 10</w:t>
      </w:r>
      <w:r>
        <w:rPr/>
        <w:t xml:space="preserve"> ist aber, dass er parenthetisch das </w:t>
      </w:r>
      <w:r>
        <w:rPr>
          <w:i/>
        </w:rPr>
        <w:t>ihnen zum Zeugnis</w:t>
      </w:r>
      <w:r>
        <w:rPr/>
        <w:t xml:space="preserve"> auslegt und </w:t>
      </w:r>
      <w:r>
        <w:rPr>
          <w:i/>
        </w:rPr>
        <w:t>Zeugnis</w:t>
      </w:r>
      <w:r>
        <w:rPr/>
        <w:t xml:space="preserve">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220">
    <w:p>
      <w:pPr>
        <w:pStyle w:val="Funote"/>
        <w:rPr/>
      </w:pPr>
      <w:r>
        <w:rPr>
          <w:rStyle w:val="Funotenzeichen"/>
        </w:rPr>
        <w:footnoteRef/>
      </w:r>
      <w:r>
        <w:rPr/>
        <w:tab/>
        <w:t xml:space="preserve">Kausales </w:t>
      </w:r>
      <w:r>
        <w:rPr>
          <w:lang w:val="el-GR"/>
        </w:rPr>
        <w:t>καὶ</w:t>
      </w:r>
      <w:r>
        <w:rPr/>
        <w:t>; vgl. Reiser 1983, S. 127; Wilckens.</w:t>
      </w:r>
    </w:p>
  </w:footnote>
  <w:footnote w:id="2221">
    <w:p>
      <w:pPr>
        <w:pStyle w:val="Funote"/>
        <w:rPr/>
      </w:pPr>
      <w:r>
        <w:rPr>
          <w:rStyle w:val="Funotenzeichen"/>
        </w:rPr>
        <w:footnoteRef/>
      </w:r>
      <w:r>
        <w:rPr/>
        <w:tab/>
        <w:t>recht sicher i.S.v. „vor dem Ende“</w:t>
      </w:r>
    </w:p>
  </w:footnote>
  <w:footnote w:id="2222">
    <w:p>
      <w:pPr>
        <w:pStyle w:val="Funote"/>
        <w:rPr/>
      </w:pPr>
      <w:r>
        <w:rPr>
          <w:rStyle w:val="Funotenzeichen"/>
        </w:rPr>
        <w:footnoteRef/>
      </w:r>
      <w:r>
        <w:rPr>
          <w:lang w:val="el-GR"/>
        </w:rPr>
        <w:tab/>
        <w:t>εἰς</w:t>
      </w:r>
      <w:r>
        <w:rPr/>
        <w:t xml:space="preserve"> wird hier verwendet wie </w:t>
      </w:r>
      <w:r>
        <w:rPr>
          <w:lang w:val="el-GR"/>
        </w:rPr>
        <w:t>ἔν</w:t>
      </w:r>
      <w:r>
        <w:rPr/>
        <w:t>; vgl Cranfield 1959, S. 199; Turner 1924b, S. 20</w:t>
      </w:r>
    </w:p>
  </w:footnote>
  <w:footnote w:id="2223">
    <w:p>
      <w:pPr>
        <w:pStyle w:val="Funote"/>
        <w:rPr/>
      </w:pPr>
      <w:r>
        <w:rPr>
          <w:rStyle w:val="Funotenzeichen"/>
        </w:rPr>
        <w:footnoteRef/>
      </w:r>
      <w:r>
        <w:rPr/>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224">
    <w:p>
      <w:pPr>
        <w:pStyle w:val="Funote"/>
        <w:rPr/>
      </w:pPr>
      <w:r>
        <w:rPr>
          <w:rStyle w:val="Funotenzeichen"/>
        </w:rPr>
        <w:footnoteRef/>
      </w:r>
      <w:r>
        <w:rPr/>
        <w:tab/>
        <w:t>theologischer Passiv, eigentlich also besser »das, was Gott euch in jener Stunde eingeben wird«. Vgl. Grosvenor/Zerwick 1993, S. 151</w:t>
      </w:r>
    </w:p>
  </w:footnote>
  <w:footnote w:id="2225">
    <w:p>
      <w:pPr>
        <w:pStyle w:val="Funote"/>
        <w:rPr/>
      </w:pPr>
      <w:r>
        <w:rPr>
          <w:rStyle w:val="Funotenzeichen"/>
        </w:rPr>
        <w:footnoteRef/>
      </w:r>
      <w:r>
        <w:rPr/>
        <w:tab/>
        <w:t xml:space="preserve">wie im Hebräischen dient auch in der Koine </w:t>
      </w:r>
      <w:r>
        <w:rPr>
          <w:i/>
        </w:rPr>
        <w:t>Name</w:t>
      </w:r>
      <w:r>
        <w:rPr/>
        <w:t xml:space="preserve"> als Wechselbegriff für den Namensträger, also </w:t>
      </w:r>
      <w:r>
        <w:rPr>
          <w:i/>
        </w:rPr>
        <w:t>wegen meinem Namen</w:t>
      </w:r>
      <w:r>
        <w:rPr/>
        <w:t xml:space="preserve"> = </w:t>
      </w:r>
      <w:r>
        <w:rPr>
          <w:i/>
        </w:rPr>
        <w:t>wegen mir</w:t>
      </w:r>
      <w:r>
        <w:rPr/>
        <w:t>.</w:t>
      </w:r>
    </w:p>
  </w:footnote>
  <w:footnote w:id="2226">
    <w:p>
      <w:pPr>
        <w:pStyle w:val="Funote"/>
        <w:rPr/>
      </w:pPr>
      <w:r>
        <w:rPr>
          <w:rStyle w:val="Funotenzeichen"/>
        </w:rPr>
        <w:footnoteRef/>
      </w:r>
      <w:r>
        <w:rPr/>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227">
    <w:p>
      <w:pPr>
        <w:pStyle w:val="Funote"/>
        <w:rPr/>
      </w:pPr>
      <w:r>
        <w:rPr>
          <w:rStyle w:val="Funotenzeichen"/>
        </w:rPr>
        <w:footnoteRef/>
      </w:r>
      <w:r>
        <w:rPr>
          <w:lang w:val="el-GR"/>
        </w:rPr>
        <w:tab/>
        <w:t>ὑπομένω</w:t>
      </w:r>
      <w:r>
        <w:rPr/>
        <w:t xml:space="preserve"> steht nicht nur für ausharren i.S.v. warten, sondern - bes. hier - für das Ertragen und Erdulden von Leiden; vgl. EWNT III, S. 968</w:t>
      </w:r>
    </w:p>
  </w:footnote>
  <w:footnote w:id="2228">
    <w:p>
      <w:pPr>
        <w:pStyle w:val="Funote"/>
        <w:rPr/>
      </w:pPr>
      <w:r>
        <w:rPr>
          <w:rStyle w:val="Funotenzeichen"/>
        </w:rPr>
        <w:footnoteRef/>
      </w:r>
      <w:r>
        <w:rPr/>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229">
    <w:p>
      <w:pPr>
        <w:pStyle w:val="Funote"/>
        <w:rPr/>
      </w:pPr>
      <w:r>
        <w:rPr>
          <w:rStyle w:val="Funotenzeichen"/>
        </w:rPr>
        <w:footnoteRef/>
      </w:r>
      <w:r>
        <w:rPr/>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230">
    <w:p>
      <w:pPr>
        <w:pStyle w:val="Funote"/>
        <w:rPr/>
      </w:pPr>
      <w:r>
        <w:rPr>
          <w:rStyle w:val="Funotenzeichen"/>
        </w:rPr>
        <w:footnoteRef/>
      </w:r>
      <w:r>
        <w:rPr/>
        <w:tab/>
        <w:t>Das Motiv der Flucht ins Gebirge ist ein häufigeres Motiv; vgl. z.B. 1Makk 2,28 (s. z.B. Gnilka 1978, S. 195f); umgekehrt kennt man auch das Motiv der Flucht aus dem Umland in die Hauptstadt, vgl. z.B. Jer 4,1ff. (s. z.B. Pesch 1977, S. 292).</w:t>
      </w:r>
    </w:p>
  </w:footnote>
  <w:footnote w:id="2231">
    <w:p>
      <w:pPr>
        <w:pStyle w:val="Funote"/>
        <w:rPr/>
      </w:pPr>
      <w:r>
        <w:rPr>
          <w:rStyle w:val="Funotenzeichen"/>
        </w:rPr>
        <w:footnoteRef/>
      </w:r>
      <w:r>
        <w:rPr/>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232">
    <w:p>
      <w:pPr>
        <w:pStyle w:val="Funote"/>
        <w:rPr/>
      </w:pPr>
      <w:r>
        <w:rPr>
          <w:rStyle w:val="Funotenzeichen"/>
        </w:rPr>
        <w:footnoteRef/>
      </w:r>
      <w:r>
        <w:rPr>
          <w:i/>
        </w:rPr>
        <w:tab/>
        <w:t>nicht hinabsteigen, um hineinzugehen</w:t>
      </w:r>
      <w:r>
        <w:rPr/>
        <w:t xml:space="preserve"> vs. </w:t>
      </w:r>
      <w:r>
        <w:rPr>
          <w:i/>
        </w:rPr>
        <w:t>weder herabsteigen noch hineingehen</w:t>
      </w:r>
      <w:r>
        <w:rPr/>
        <w:t xml:space="preserve">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2233">
    <w:p>
      <w:pPr>
        <w:pStyle w:val="Funote"/>
        <w:rPr/>
      </w:pPr>
      <w:r>
        <w:rPr>
          <w:rStyle w:val="Funotenzeichen"/>
        </w:rPr>
        <w:footnoteRef/>
      </w:r>
      <w:r>
        <w:rPr/>
        <w:tab/>
        <w:t xml:space="preserve">W. </w:t>
      </w:r>
      <w:r>
        <w:rPr>
          <w:i/>
        </w:rPr>
        <w:t>soll sich nicht zurückwenden nach zurück</w:t>
      </w:r>
      <w:r>
        <w:rPr/>
        <w:t>; gemeint ist sicher „nach Hause zurückkehren“.</w:t>
      </w:r>
    </w:p>
  </w:footnote>
  <w:footnote w:id="2234">
    <w:p>
      <w:pPr>
        <w:pStyle w:val="Funote"/>
        <w:rPr/>
      </w:pPr>
      <w:r>
        <w:rPr>
          <w:rStyle w:val="Funotenzeichen"/>
        </w:rPr>
        <w:footnoteRef/>
      </w:r>
      <w:r>
        <w:rPr/>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235">
    <w:p>
      <w:pPr>
        <w:pStyle w:val="Funote"/>
        <w:rPr/>
      </w:pPr>
      <w:r>
        <w:rPr>
          <w:rStyle w:val="Funotenzeichen"/>
        </w:rPr>
        <w:footnoteRef/>
      </w:r>
      <w:r>
        <w:rPr>
          <w:i/>
        </w:rPr>
        <w:tab/>
        <w:t>in jenen Tagen</w:t>
      </w:r>
      <w:r>
        <w:rPr/>
        <w:t xml:space="preserve">: Stereotype alttestamentliche Phrase, die häufig in eschatologischen Kontexten verwendet wird; s. z.B. </w:t>
      </w:r>
      <w:r>
        <w:fldChar w:fldCharType="begin"/>
      </w:r>
      <w:r>
        <w:rPr>
          <w:rStyle w:val="Internetverknpfung"/>
        </w:rPr>
        <w:instrText> HYPERLINK "../../../../../../../../../wiki/Jeremia_3" \l "s16"</w:instrText>
      </w:r>
      <w:r>
        <w:rPr>
          <w:rStyle w:val="Internetverknpfung"/>
        </w:rPr>
        <w:fldChar w:fldCharType="separate"/>
      </w:r>
      <w:r>
        <w:rPr>
          <w:rStyle w:val="Internetverknpfung"/>
        </w:rPr>
        <w:t>Jer 3,16</w:t>
      </w:r>
      <w:r>
        <w:rPr>
          <w:rStyle w:val="Internetverknpfung"/>
        </w:rPr>
        <w:fldChar w:fldCharType="end"/>
      </w:r>
      <w:r>
        <w:rPr/>
        <w:t>.</w:t>
      </w:r>
      <w:r>
        <w:fldChar w:fldCharType="begin"/>
      </w:r>
      <w:r>
        <w:rPr>
          <w:rStyle w:val="Internetverknpfung"/>
        </w:rPr>
        <w:instrText> HYPERLINK "../../../../../../../../../wiki/Jeremia_3" \l "s18"</w:instrText>
      </w:r>
      <w:r>
        <w:rPr>
          <w:rStyle w:val="Internetverknpfung"/>
        </w:rPr>
        <w:fldChar w:fldCharType="separate"/>
      </w:r>
      <w:r>
        <w:rPr>
          <w:rStyle w:val="Internetverknpfung"/>
        </w:rPr>
        <w:t>18</w:t>
      </w:r>
      <w:r>
        <w:rPr>
          <w:rStyle w:val="Internetverknpfung"/>
        </w:rPr>
        <w:fldChar w:fldCharType="end"/>
      </w:r>
      <w:r>
        <w:rPr/>
        <w:t xml:space="preserve">; </w:t>
      </w:r>
      <w:hyperlink r:id="rId411">
        <w:r>
          <w:rPr>
            <w:rStyle w:val="Internetverknpfung"/>
          </w:rPr>
          <w:t>31,29</w:t>
        </w:r>
      </w:hyperlink>
      <w:r>
        <w:rPr/>
        <w:t xml:space="preserve">; </w:t>
      </w:r>
      <w:hyperlink r:id="rId412">
        <w:r>
          <w:rPr>
            <w:rStyle w:val="Internetverknpfung"/>
          </w:rPr>
          <w:t>33,15f</w:t>
        </w:r>
      </w:hyperlink>
      <w:r>
        <w:rPr/>
        <w:t xml:space="preserve">.; </w:t>
      </w:r>
      <w:hyperlink r:id="rId413">
        <w:r>
          <w:rPr>
            <w:rStyle w:val="Internetverknpfung"/>
          </w:rPr>
          <w:t>Joel 3,1</w:t>
        </w:r>
      </w:hyperlink>
      <w:r>
        <w:rPr/>
        <w:t xml:space="preserve">; </w:t>
      </w:r>
      <w:hyperlink r:id="rId414">
        <w:r>
          <w:rPr>
            <w:rStyle w:val="Internetverknpfung"/>
          </w:rPr>
          <w:t>Sach 8,23</w:t>
        </w:r>
      </w:hyperlink>
      <w:r>
        <w:rPr/>
        <w:t xml:space="preserve"> u.ö.</w:t>
      </w:r>
    </w:p>
  </w:footnote>
  <w:footnote w:id="2236">
    <w:p>
      <w:pPr>
        <w:pStyle w:val="Funote"/>
        <w:rPr/>
      </w:pPr>
      <w:r>
        <w:rPr>
          <w:rStyle w:val="Funotenzeichen"/>
        </w:rPr>
        <w:footnoteRef/>
      </w:r>
      <w:r>
        <w:rPr/>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w:t>
      </w:r>
      <w:r>
        <w:rPr>
          <w:i/>
        </w:rPr>
        <w:t>Darum betet, dass es nicht winters geschieht!</w:t>
      </w:r>
    </w:p>
  </w:footnote>
  <w:footnote w:id="2237">
    <w:p>
      <w:pPr>
        <w:pStyle w:val="Funote"/>
        <w:rPr/>
      </w:pPr>
      <w:r>
        <w:rPr>
          <w:rStyle w:val="Funotenzeichen"/>
        </w:rPr>
        <w:footnoteRef/>
      </w:r>
      <w:r>
        <w:rPr/>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238">
    <w:p>
      <w:pPr>
        <w:pStyle w:val="Funote"/>
        <w:rPr/>
      </w:pPr>
      <w:r>
        <w:rPr>
          <w:rStyle w:val="Funotenzeichen"/>
        </w:rPr>
        <w:footnoteRef/>
      </w:r>
      <w:r>
        <w:rPr>
          <w:lang w:val="el-GR"/>
        </w:rPr>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239">
    <w:p>
      <w:pPr>
        <w:pStyle w:val="Funote"/>
        <w:rPr/>
      </w:pPr>
      <w:r>
        <w:rPr>
          <w:rStyle w:val="Funotenzeichen"/>
        </w:rPr>
        <w:footnoteRef/>
      </w:r>
      <w:r>
        <w:rPr/>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240">
    <w:p>
      <w:pPr>
        <w:pStyle w:val="Funote"/>
        <w:rPr/>
      </w:pPr>
      <w:r>
        <w:rPr>
          <w:rStyle w:val="Funotenzeichen"/>
        </w:rPr>
        <w:footnoteRef/>
      </w:r>
      <w:r>
        <w:rPr/>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241">
    <w:p>
      <w:pPr>
        <w:pStyle w:val="Funote"/>
        <w:rPr/>
      </w:pPr>
      <w:r>
        <w:rPr>
          <w:rStyle w:val="Funotenzeichen"/>
        </w:rPr>
        <w:footnoteRef/>
      </w:r>
      <w:r>
        <w:rPr/>
        <w:tab/>
        <w:t>Bailey 2009, S. 360 hat die beiden Ausrufe sehr gut analysiert: Fokalisiert ist in beiden jeweils der Lokativ (</w:t>
      </w:r>
      <w:r>
        <w:rPr>
          <w:i/>
        </w:rPr>
        <w:t>Hier</w:t>
      </w:r>
      <w:r>
        <w:rPr/>
        <w:t xml:space="preserve"> + </w:t>
      </w:r>
      <w:r>
        <w:rPr>
          <w:i/>
        </w:rPr>
        <w:t>dort</w:t>
      </w:r>
      <w:r>
        <w:rPr/>
        <w:t xml:space="preserve">);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w:t>
      </w:r>
      <w:r>
        <w:rPr>
          <w:i/>
        </w:rPr>
        <w:t>Hier!</w:t>
      </w:r>
      <w:r>
        <w:rPr/>
        <w:t xml:space="preserve"> und </w:t>
      </w:r>
      <w:r>
        <w:rPr>
          <w:i/>
        </w:rPr>
        <w:t>dort!</w:t>
      </w:r>
      <w:r>
        <w:rPr/>
        <w:t xml:space="preserve"> auf die verschiedenen Pseudo-christusse verweisen soll; also sinngemäß eher „Dieser hier ist der Christus!“ und „jener dort ist der Christus!“. Ich denke aber, dass das auch bei wörtlicher Übersetzung klar herauskommt.</w:t>
      </w:r>
    </w:p>
  </w:footnote>
  <w:footnote w:id="2242">
    <w:p>
      <w:pPr>
        <w:pStyle w:val="Funote"/>
        <w:rPr/>
      </w:pPr>
      <w:r>
        <w:rPr>
          <w:rStyle w:val="Funotenzeichen"/>
        </w:rPr>
        <w:footnoteRef/>
      </w:r>
      <w:r>
        <w:rPr/>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243">
    <w:p>
      <w:pPr>
        <w:pStyle w:val="Funote"/>
        <w:rPr/>
      </w:pPr>
      <w:r>
        <w:rPr>
          <w:rStyle w:val="Funotenzeichen"/>
        </w:rPr>
        <w:footnoteRef/>
      </w:r>
      <w:r>
        <w:rPr/>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244">
    <w:p>
      <w:pPr>
        <w:pStyle w:val="Funote"/>
        <w:rPr/>
      </w:pPr>
      <w:r>
        <w:rPr>
          <w:rStyle w:val="Funotenzeichen"/>
        </w:rPr>
        <w:footnoteRef/>
      </w:r>
      <w:r>
        <w:rPr/>
        <w:tab/>
        <w:t xml:space="preserve">Das Verb </w:t>
      </w:r>
      <w:r>
        <w:rPr>
          <w:lang w:val="el-GR"/>
        </w:rPr>
        <w:t>ἀποπλανάω</w:t>
      </w:r>
      <w:r>
        <w:rPr/>
        <w:t xml:space="preserve"> hat hier »die Bedeutung eschatologischer Verführung« (EWNT III, S. 236)</w:t>
      </w:r>
    </w:p>
  </w:footnote>
  <w:footnote w:id="2245">
    <w:p>
      <w:pPr>
        <w:pStyle w:val="Funote"/>
        <w:rPr/>
      </w:pPr>
      <w:r>
        <w:rPr>
          <w:rStyle w:val="Funotenzeichen"/>
        </w:rPr>
        <w:footnoteRef/>
      </w:r>
      <w:r>
        <w:rPr/>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t>
      </w:r>
      <w:r>
        <w:rPr>
          <w:i/>
        </w:rPr>
        <w:t>wenn möglich</w:t>
      </w:r>
      <w:r>
        <w:rPr/>
        <w:t xml:space="preserve"> in V. 22 könnte theoretisch auch bedeuten </w:t>
      </w:r>
      <w:r>
        <w:rPr>
          <w:i/>
        </w:rPr>
        <w:t>wo/bei wem immer das möglich ist (=ihnen das gelingt)</w:t>
      </w:r>
      <w:r>
        <w:rPr/>
        <w:t xml:space="preserve">;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w:t>
      </w:r>
      <w:r>
        <w:rPr>
          <w:i/>
        </w:rPr>
        <w:t>und so all jene</w:t>
      </w:r>
      <w:r>
        <w:rPr/>
        <w:t xml:space="preserve"> Erwählten verführen, </w:t>
      </w:r>
      <w:r>
        <w:rPr>
          <w:i/>
        </w:rPr>
        <w:t>bei denen</w:t>
      </w:r>
      <w:r>
        <w:rPr/>
        <w:t xml:space="preserve"> es ihnen gelingt. </w:t>
      </w:r>
      <w:r>
        <w:rPr>
          <w:i/>
        </w:rPr>
        <w:t>Ihr dagegen</w:t>
      </w:r>
      <w:r>
        <w:rPr/>
        <w:t xml:space="preserve">: Achtet auf euch selbst...“ - So aber m.W. niemand und es ist diese Verwendung von </w:t>
      </w:r>
      <w:r>
        <w:rPr>
          <w:lang w:val="el-GR"/>
        </w:rPr>
        <w:t>εἰ</w:t>
      </w:r>
      <w:r>
        <w:rPr/>
        <w:t xml:space="preserve"> auch eher selten, daher können wir getrost bei der angegebenen Standard-übersetzung bleiben.</w:t>
      </w:r>
    </w:p>
  </w:footnote>
  <w:footnote w:id="2246">
    <w:p>
      <w:pPr>
        <w:pStyle w:val="Funote"/>
        <w:rPr/>
      </w:pPr>
      <w:r>
        <w:rPr>
          <w:rStyle w:val="Funotenzeichen"/>
        </w:rPr>
        <w:footnoteRef/>
      </w:r>
      <w:r>
        <w:rPr/>
        <w:tab/>
        <w:t xml:space="preserve">Die Bedeutung von </w:t>
      </w:r>
      <w:r>
        <w:rPr>
          <w:lang w:val="el-GR"/>
        </w:rPr>
        <w:t>πάντα</w:t>
      </w:r>
      <w:r>
        <w:rPr/>
        <w:t xml:space="preserve"> ist in der Exegese umstritten; vgl. dazu den </w:t>
      </w:r>
      <w:r>
        <w:fldChar w:fldCharType="begin"/>
      </w:r>
      <w:r>
        <w:rPr>
          <w:rStyle w:val="Internetverknpfung"/>
        </w:rPr>
        <w:instrText> HYPERLINK "http://www.offene-bibel.de/wiki/index.php5?title=Kommentar:Markus_13" \l "Vv._28-31:_Abschnitt_1"</w:instrText>
      </w:r>
      <w:r>
        <w:rPr>
          <w:rStyle w:val="Internetverknpfung"/>
        </w:rPr>
        <w:fldChar w:fldCharType="separate"/>
      </w:r>
      <w:r>
        <w:rPr>
          <w:rStyle w:val="Internetverknpfung"/>
        </w:rPr>
        <w:t>Kommentar</w:t>
      </w:r>
      <w:r>
        <w:rPr>
          <w:rStyle w:val="Internetverknpfung"/>
        </w:rPr>
        <w:fldChar w:fldCharType="end"/>
      </w:r>
      <w:r>
        <w:rPr/>
        <w:t>.</w:t>
      </w:r>
    </w:p>
  </w:footnote>
  <w:footnote w:id="2247">
    <w:p>
      <w:pPr>
        <w:pStyle w:val="Funote"/>
        <w:rPr/>
      </w:pPr>
      <w:r>
        <w:rPr>
          <w:rStyle w:val="Funotenzeichen"/>
        </w:rPr>
        <w:footnoteRef/>
      </w:r>
      <w:r>
        <w:rPr/>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w:t>
      </w:r>
      <w:hyperlink r:id="rId415">
        <w:r>
          <w:rPr>
            <w:rStyle w:val="Internetverknpfung"/>
          </w:rPr>
          <w:t>CH 8,1</w:t>
        </w:r>
      </w:hyperlink>
      <w:r>
        <w:rPr/>
        <w:t xml:space="preserve">); heute stellen sie in der Engellehre sozusagen „ganz offiziell“ einen der Neun Englischen Chöre: die </w:t>
      </w:r>
      <w:r>
        <w:rPr>
          <w:i/>
        </w:rPr>
        <w:t>virtutes</w:t>
      </w:r>
      <w:r>
        <w:rPr/>
        <w:t xml:space="preserve">, die dafür verantwortlich sind, in Gottes Auftrag Wunder zu wirken. Vermutlich stammt das Bild noch aus der Apokalypse-Schilderung in </w:t>
      </w:r>
      <w:hyperlink r:id="rId416">
        <w:r>
          <w:rPr>
            <w:rStyle w:val="Internetverknpfung"/>
          </w:rPr>
          <w:t>Jes 34,4</w:t>
        </w:r>
      </w:hyperlink>
      <w:r>
        <w:rPr/>
        <w:t>.</w:t>
      </w:r>
    </w:p>
  </w:footnote>
  <w:footnote w:id="2248">
    <w:p>
      <w:pPr>
        <w:pStyle w:val="Funote"/>
        <w:rPr/>
      </w:pPr>
      <w:r>
        <w:rPr>
          <w:rStyle w:val="Funotenzeichen"/>
        </w:rPr>
        <w:footnoteRef/>
      </w:r>
      <w:r>
        <w:rPr/>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249">
    <w:p>
      <w:pPr>
        <w:pStyle w:val="Funote"/>
        <w:rPr/>
      </w:pPr>
      <w:r>
        <w:rPr>
          <w:rStyle w:val="Funotenzeichen"/>
        </w:rPr>
        <w:footnoteRef/>
      </w:r>
      <w:r>
        <w:rPr/>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250">
    <w:p>
      <w:pPr>
        <w:pStyle w:val="Funote"/>
        <w:rPr/>
      </w:pPr>
      <w:r>
        <w:rPr>
          <w:rStyle w:val="Funotenzeichen"/>
        </w:rPr>
        <w:footnoteRef/>
      </w:r>
      <w:r>
        <w:rPr/>
        <w:tab/>
        <w:t xml:space="preserve">Im Singular (anders als im Plural, V. 25) ist die </w:t>
      </w:r>
      <w:r>
        <w:rPr>
          <w:lang w:val="el-GR"/>
        </w:rPr>
        <w:t>δύναμις</w:t>
      </w:r>
      <w:r>
        <w:rPr/>
        <w:t xml:space="preserve"> ein Attribut Gottes/Christi und bezeichnet deren (All)Macht.</w:t>
      </w:r>
    </w:p>
  </w:footnote>
  <w:footnote w:id="2251">
    <w:p>
      <w:pPr>
        <w:pStyle w:val="Funote"/>
        <w:rPr/>
      </w:pPr>
      <w:r>
        <w:rPr>
          <w:rStyle w:val="Funotenzeichen"/>
        </w:rPr>
        <w:footnoteRef/>
      </w:r>
      <w:r>
        <w:rPr>
          <w:lang w:val="el-GR"/>
        </w:rPr>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252">
    <w:p>
      <w:pPr>
        <w:pStyle w:val="Funote"/>
        <w:rPr/>
      </w:pPr>
      <w:r>
        <w:rPr>
          <w:rStyle w:val="Funotenzeichen"/>
        </w:rPr>
        <w:footnoteRef/>
      </w:r>
      <w:r>
        <w:rPr/>
        <w:tab/>
        <w:t>Himmelsrichtungen - W. »Winde«; zur Bedeutung »Himmelsrichtungen« vgl. EWNT I, S. 231. Im Hintergrund steht die im Alten Orient häufigere Verortung der (Personifikationen der) vier Winde an die vier Enden der Erde (s. in der Bibel noch Offb 7,1; auch Ez 37,9; für ein Bsp. in der ägyptischen Ikonographie s. z.B. hier oder hier, S. 328; jeweils dargestellt durch vier geflügelte Tiere). Damit und dadurch stehen die Winde gleichzeitig für die Himmelsrichtungen.</w:t>
      </w:r>
    </w:p>
  </w:footnote>
  <w:footnote w:id="2253">
    <w:p>
      <w:pPr>
        <w:pStyle w:val="Funote"/>
        <w:rPr/>
      </w:pPr>
      <w:r>
        <w:rPr>
          <w:rStyle w:val="Funotenzeichen"/>
        </w:rPr>
        <w:footnoteRef/>
      </w:r>
      <w:r>
        <w:rPr/>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254">
    <w:p>
      <w:pPr>
        <w:pStyle w:val="Funote"/>
        <w:rPr/>
      </w:pPr>
      <w:r>
        <w:rPr>
          <w:rStyle w:val="Funotenzeichen"/>
        </w:rPr>
        <w:footnoteRef/>
      </w:r>
      <w:r>
        <w:rPr/>
        <w:tab/>
        <w:t xml:space="preserve">zu </w:t>
      </w:r>
      <w:r>
        <w:rPr>
          <w:lang w:val="el-GR"/>
        </w:rPr>
        <w:t>Ἀπὸ</w:t>
      </w:r>
      <w:r>
        <w:rPr/>
        <w:t xml:space="preserve"> i.S.v. </w:t>
      </w:r>
      <w:r>
        <w:rPr>
          <w:i/>
        </w:rPr>
        <w:t>über</w:t>
      </w:r>
      <w:r>
        <w:rPr/>
        <w:t xml:space="preserve"> vgl. LSJ (Bed. A7)</w:t>
      </w:r>
    </w:p>
  </w:footnote>
  <w:footnote w:id="2255">
    <w:p>
      <w:pPr>
        <w:pStyle w:val="Funote"/>
        <w:rPr/>
      </w:pPr>
      <w:r>
        <w:rPr>
          <w:rStyle w:val="Funotenzeichen"/>
        </w:rPr>
        <w:footnoteRef/>
      </w:r>
      <w:r>
        <w:rPr/>
        <w:tab/>
        <w:t xml:space="preserve">zu </w:t>
      </w:r>
      <w:r>
        <w:rPr>
          <w:lang w:val="el-GR"/>
        </w:rPr>
        <w:t>ὅταν ἤδη</w:t>
      </w:r>
      <w:r>
        <w:rPr/>
        <w:t xml:space="preserve"> i.S.v. sobald vgl. ad loc. Grosvenor/Zerwick.</w:t>
      </w:r>
    </w:p>
  </w:footnote>
  <w:footnote w:id="2256">
    <w:p>
      <w:pPr>
        <w:pStyle w:val="Funote"/>
        <w:rPr/>
      </w:pPr>
      <w:r>
        <w:rPr>
          <w:rStyle w:val="Funotenzeichen"/>
        </w:rPr>
        <w:footnoteRef/>
      </w:r>
      <w:r>
        <w:rPr/>
        <w:tab/>
        <w:t xml:space="preserve">W. </w:t>
      </w:r>
      <w:r>
        <w:rPr>
          <w:i/>
        </w:rPr>
        <w:t>sein Zweig</w:t>
      </w:r>
      <w:r>
        <w:rPr/>
        <w:t>; kollektiver Singular</w:t>
      </w:r>
    </w:p>
  </w:footnote>
  <w:footnote w:id="2257">
    <w:p>
      <w:pPr>
        <w:pStyle w:val="Funote"/>
        <w:rPr/>
      </w:pPr>
      <w:r>
        <w:rPr>
          <w:rStyle w:val="Funotenzeichen"/>
        </w:rPr>
        <w:footnoteRef/>
      </w:r>
      <w:r>
        <w:rPr/>
        <w:tab/>
        <w:t>sicher i.S.v. Wenn der Saft in die Zweige steigt (so z.B. GN, NGÜ). Sehr schön BB: Wenn seine Zweige frisch austreiben und Blätter bekommen.</w:t>
      </w:r>
    </w:p>
  </w:footnote>
  <w:footnote w:id="2258">
    <w:p>
      <w:pPr>
        <w:pStyle w:val="Funote"/>
        <w:rPr/>
      </w:pPr>
      <w:r>
        <w:rPr>
          <w:rStyle w:val="Funotenzeichen"/>
        </w:rPr>
        <w:footnoteRef/>
      </w:r>
      <w:r>
        <w:rPr/>
        <w:tab/>
        <w:t xml:space="preserve">Zum Gleichnis vgl. den </w:t>
      </w:r>
      <w:r>
        <w:fldChar w:fldCharType="begin"/>
      </w:r>
      <w:r>
        <w:rPr>
          <w:rStyle w:val="Internetverknpfung"/>
        </w:rPr>
        <w:instrText> HYPERLINK "http://www.offene-bibel.de/wiki/index.php5?title=Kommentar:Markus_13" \l "Vv._28-31:_Abschnitt_1"</w:instrText>
      </w:r>
      <w:r>
        <w:rPr>
          <w:rStyle w:val="Internetverknpfung"/>
        </w:rPr>
        <w:fldChar w:fldCharType="separate"/>
      </w:r>
      <w:r>
        <w:rPr>
          <w:rStyle w:val="Internetverknpfung"/>
        </w:rPr>
        <w:t>Kommentar</w:t>
      </w:r>
      <w:r>
        <w:rPr>
          <w:rStyle w:val="Internetverknpfung"/>
        </w:rPr>
        <w:fldChar w:fldCharType="end"/>
      </w:r>
    </w:p>
  </w:footnote>
  <w:footnote w:id="2259">
    <w:p>
      <w:pPr>
        <w:pStyle w:val="Funote"/>
        <w:rPr/>
      </w:pPr>
      <w:r>
        <w:rPr>
          <w:rStyle w:val="Funotenzeichen"/>
        </w:rPr>
        <w:footnoteRef/>
      </w:r>
      <w:r>
        <w:rPr>
          <w:lang w:val="el-GR"/>
        </w:rPr>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260">
    <w:p>
      <w:pPr>
        <w:pStyle w:val="Funote"/>
        <w:rPr/>
      </w:pPr>
      <w:r>
        <w:rPr>
          <w:rStyle w:val="Funotenzeichen"/>
        </w:rPr>
        <w:footnoteRef/>
      </w:r>
      <w:r>
        <w:rPr/>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261">
    <w:p>
      <w:pPr>
        <w:pStyle w:val="Funote"/>
        <w:rPr/>
      </w:pPr>
      <w:r>
        <w:rPr>
          <w:rStyle w:val="Funotenzeichen"/>
        </w:rPr>
        <w:footnoteRef/>
      </w:r>
      <w:r>
        <w:rPr/>
        <w:tab/>
        <w:t xml:space="preserve">Die Bedeutung von </w:t>
      </w:r>
      <w:r>
        <w:rPr>
          <w:lang w:val="el-GR"/>
        </w:rPr>
        <w:t>ταῦτα πάντα</w:t>
      </w:r>
      <w:r>
        <w:rPr/>
        <w:t xml:space="preserve"> </w:t>
      </w:r>
      <w:r>
        <w:rPr>
          <w:i/>
        </w:rPr>
        <w:t>dies alles</w:t>
      </w:r>
      <w:r>
        <w:rPr/>
        <w:t xml:space="preserve"> ist in der Exegese umstritten; vgl. dazu den </w:t>
      </w:r>
      <w:r>
        <w:fldChar w:fldCharType="begin"/>
      </w:r>
      <w:r>
        <w:rPr>
          <w:rStyle w:val="Internetverknpfung"/>
        </w:rPr>
        <w:instrText> HYPERLINK "http://www.offene-bibel.de/wiki/index.php5?title=Kommentar:Markus_13" \l "Vv._28-31:_Abschnitt_1"</w:instrText>
      </w:r>
      <w:r>
        <w:rPr>
          <w:rStyle w:val="Internetverknpfung"/>
        </w:rPr>
        <w:fldChar w:fldCharType="separate"/>
      </w:r>
      <w:r>
        <w:rPr>
          <w:rStyle w:val="Internetverknpfung"/>
        </w:rPr>
        <w:t>Kommentar</w:t>
      </w:r>
      <w:r>
        <w:rPr>
          <w:rStyle w:val="Internetverknpfung"/>
        </w:rPr>
        <w:fldChar w:fldCharType="end"/>
      </w:r>
    </w:p>
  </w:footnote>
  <w:footnote w:id="2262">
    <w:p>
      <w:pPr>
        <w:pStyle w:val="Funote"/>
        <w:rPr/>
      </w:pPr>
      <w:r>
        <w:rPr>
          <w:rStyle w:val="Funotenzeichen"/>
        </w:rPr>
        <w:footnoteRef/>
      </w:r>
      <w:r>
        <w:rPr/>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263">
    <w:p>
      <w:pPr>
        <w:pStyle w:val="Funote"/>
        <w:rPr/>
      </w:pPr>
      <w:r>
        <w:rPr>
          <w:rStyle w:val="Funotenzeichen"/>
        </w:rPr>
        <w:footnoteRef/>
      </w:r>
      <w:r>
        <w:rPr/>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264">
    <w:p>
      <w:pPr>
        <w:pStyle w:val="Funote"/>
        <w:rPr/>
      </w:pPr>
      <w:r>
        <w:rPr>
          <w:rStyle w:val="Funotenzeichen"/>
        </w:rPr>
        <w:footnoteRef/>
      </w:r>
      <w:r>
        <w:rPr/>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265">
    <w:p>
      <w:pPr>
        <w:pStyle w:val="Funote"/>
        <w:rPr/>
      </w:pPr>
      <w:r>
        <w:rPr>
          <w:rStyle w:val="Funotenzeichen"/>
        </w:rPr>
        <w:footnoteRef/>
      </w:r>
      <w:r>
        <w:rPr/>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266">
    <w:p>
      <w:pPr>
        <w:pStyle w:val="Funote"/>
        <w:rPr/>
      </w:pPr>
      <w:r>
        <w:rPr>
          <w:rStyle w:val="Funotenzeichen"/>
        </w:rPr>
        <w:footnoteRef/>
      </w:r>
      <w:r>
        <w:rPr/>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267">
    <w:p>
      <w:pPr>
        <w:pStyle w:val="Funote"/>
        <w:rPr/>
      </w:pPr>
      <w:r>
        <w:rPr>
          <w:rStyle w:val="Funotenzeichen"/>
        </w:rPr>
        <w:footnoteRef/>
      </w:r>
      <w:r>
        <w:rPr/>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268">
    <w:p>
      <w:pPr>
        <w:pStyle w:val="Funote"/>
        <w:rPr/>
      </w:pPr>
      <w:r>
        <w:rPr>
          <w:rStyle w:val="Funotenzeichen"/>
        </w:rPr>
        <w:footnoteRef/>
      </w:r>
      <w:r>
        <w:rPr/>
        <w:tab/>
        <w:t xml:space="preserve">partikularisierendes </w:t>
      </w:r>
      <w:r>
        <w:rPr>
          <w:lang w:val="el-GR"/>
        </w:rPr>
        <w:t>καὶ</w:t>
      </w:r>
      <w:r>
        <w:rPr/>
        <w:t xml:space="preserve">: Der Torhüter ist bereits in </w:t>
      </w:r>
      <w:r>
        <w:rPr>
          <w:i/>
        </w:rPr>
        <w:t>seinen Knechten</w:t>
      </w:r>
      <w:r>
        <w:rPr/>
        <w:t xml:space="preserve"> inkludiert; nun wird noch einmal gesondert auf den Torhüter Bezug genommen</w:t>
      </w:r>
    </w:p>
  </w:footnote>
  <w:footnote w:id="2269">
    <w:p>
      <w:pPr>
        <w:pStyle w:val="Funote"/>
        <w:rPr/>
      </w:pPr>
      <w:r>
        <w:rPr>
          <w:rStyle w:val="Funotenzeichen"/>
        </w:rPr>
        <w:footnoteRef/>
      </w:r>
      <w:r>
        <w:rPr/>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270">
    <w:p>
      <w:pPr>
        <w:pStyle w:val="Funote"/>
        <w:rPr/>
      </w:pPr>
      <w:r>
        <w:rPr>
          <w:rStyle w:val="Funotenzeichen"/>
        </w:rPr>
        <w:footnoteRef/>
      </w:r>
      <w:r>
        <w:rPr/>
        <w:tab/>
        <w:t xml:space="preserve">Der Satz ist spannend, denn er steht sowohl auf der Bildseite als auch auf der Sachseite des Gleichnisses (-&gt;°Gleichnis°) und bezieht sich sowohl auf die </w:t>
      </w:r>
      <w:r>
        <w:rPr>
          <w:i/>
        </w:rPr>
        <w:t>Rückkehr</w:t>
      </w:r>
      <w:r>
        <w:rPr/>
        <w:t xml:space="preserve"> des Hausherrn als auch als die eschatologisch zu verstehende (vgl. </w:t>
      </w:r>
      <w:r>
        <w:fldChar w:fldCharType="begin"/>
      </w:r>
      <w:r>
        <w:rPr>
          <w:rStyle w:val="Internetverknpfung"/>
        </w:rPr>
        <w:instrText> HYPERLINK "http://www.offene-bibel.de/wiki/index.php5?title=Markus_13" \l "note_bg"</w:instrText>
      </w:r>
      <w:r>
        <w:rPr>
          <w:rStyle w:val="Internetverknpfung"/>
        </w:rPr>
        <w:fldChar w:fldCharType="separate"/>
      </w:r>
      <w:r>
        <w:rPr>
          <w:rStyle w:val="Internetverknpfung"/>
        </w:rPr>
        <w:t>Fußnote bg</w:t>
      </w:r>
      <w:r>
        <w:rPr>
          <w:rStyle w:val="Internetverknpfung"/>
        </w:rPr>
        <w:fldChar w:fldCharType="end"/>
      </w:r>
      <w:r>
        <w:rPr/>
        <w:t xml:space="preserve">) </w:t>
      </w:r>
      <w:r>
        <w:rPr>
          <w:i/>
        </w:rPr>
        <w:t>Wiederkunft</w:t>
      </w:r>
      <w:r>
        <w:rPr/>
        <w:t xml:space="preserve"> des </w:t>
      </w:r>
      <w:r>
        <w:rPr>
          <w:i/>
        </w:rPr>
        <w:t>Herrn</w:t>
      </w:r>
      <w:r>
        <w:rPr/>
        <w:t>, also des Menschensohnes.</w:t>
      </w:r>
    </w:p>
  </w:footnote>
  <w:footnote w:id="2271">
    <w:p>
      <w:pPr>
        <w:pStyle w:val="Funote"/>
        <w:rPr/>
      </w:pPr>
      <w:r>
        <w:rPr>
          <w:rStyle w:val="Funotenzeichen"/>
        </w:rPr>
        <w:footnoteRef/>
      </w:r>
      <w:r>
        <w:rPr/>
        <w:tab/>
        <w:t>Abend, Mitternacht, Hahnenschrei und Morgengrauen sind die vier Nachtwachenzeiten der Römer (vgl. Thüsing 2011, S. 115); die Zeitangaben passen also ausgesprochen gut zur Aufgabe des Wache-haltens eines Torwächters.</w:t>
      </w:r>
    </w:p>
  </w:footnote>
  <w:footnote w:id="2272">
    <w:p>
      <w:pPr>
        <w:pStyle w:val="Funote"/>
        <w:rPr/>
      </w:pPr>
      <w:r>
        <w:rPr>
          <w:rStyle w:val="Funotenzeichen"/>
        </w:rPr>
        <w:footnoteRef/>
      </w:r>
      <w:r>
        <w:rPr/>
        <w:tab/>
        <w:t>sehr gut GN: »Was ich euch gesagt habe, gilt für alle«.</w:t>
      </w:r>
    </w:p>
  </w:footnote>
  <w:footnote w:id="2273">
    <w:p>
      <w:pPr>
        <w:pStyle w:val="Funote"/>
        <w:rPr/>
      </w:pPr>
      <w:r>
        <w:rPr>
          <w:rStyle w:val="Funotenzeichen"/>
        </w:rPr>
        <w:footnoteRef/>
      </w:r>
      <w:r>
        <w:rPr/>
        <w:tab/>
        <w:t>[Status: Zuverlässig]</w:t>
      </w:r>
    </w:p>
  </w:footnote>
  <w:footnote w:id="2274">
    <w:p>
      <w:pPr>
        <w:pStyle w:val="Funote"/>
        <w:rPr/>
      </w:pPr>
      <w:r>
        <w:rPr>
          <w:rStyle w:val="Funotenzeichen"/>
        </w:rPr>
        <w:footnoteRef/>
      </w:r>
      <w:r>
        <w:rPr/>
        <w:tab/>
        <w:t xml:space="preserve">Zu den Zeitangaben s. den </w:t>
      </w:r>
      <w:r>
        <w:fldChar w:fldCharType="begin"/>
      </w:r>
      <w:r>
        <w:rPr>
          <w:rStyle w:val="Internetverknpfung"/>
        </w:rPr>
        <w:instrText> HYPERLINK "http://www.offene-bibel.de/wiki/index.php5?title=Kommentar:Markus_14" \l "Exkurs_zur_Zeitrechnung"</w:instrText>
      </w:r>
      <w:r>
        <w:rPr>
          <w:rStyle w:val="Internetverknpfung"/>
        </w:rPr>
        <w:fldChar w:fldCharType="separate"/>
      </w:r>
      <w:r>
        <w:rPr>
          <w:rStyle w:val="Internetverknpfung"/>
        </w:rPr>
        <w:t>Exkurs zur Zeitrechnung</w:t>
      </w:r>
      <w:r>
        <w:rPr>
          <w:rStyle w:val="Internetverknpfung"/>
        </w:rPr>
        <w:fldChar w:fldCharType="end"/>
      </w:r>
      <w:r>
        <w:rPr/>
        <w:t xml:space="preserve">. Das „Pascha“ war die jährliche jüdische Feier des Auszugs aus Ägypten (vgl. näher </w:t>
      </w:r>
      <w:hyperlink r:id="rId417">
        <w:r>
          <w:rPr>
            <w:rStyle w:val="Internetverknpfung"/>
          </w:rPr>
          <w:t>Passa (AT) (WiBiLex)</w:t>
        </w:r>
      </w:hyperlink>
      <w:r>
        <w:rPr/>
        <w:t xml:space="preserve">, zur heutigen Gestalt des Paschafestes gut </w:t>
      </w:r>
      <w:hyperlink r:id="rId418">
        <w:r>
          <w:rPr>
            <w:rStyle w:val="Internetverknpfung"/>
          </w:rPr>
          <w:t>Böckler 2006: Das Geburtstagsfest des Volkes</w:t>
        </w:r>
      </w:hyperlink>
      <w:r>
        <w:rPr/>
        <w:t xml:space="preserve">), das „Fest der ungesäuerten Brote“ ursprünglich ein Frühlingsfest, das direkt an das Paschafest anschloss, eine Woche dauerte und für das charakteristisch war, dass man während dieser Zeit nur Brot ohne Sauerteig (eine Art Hefe) essen durfte (vgl. näher </w:t>
      </w:r>
      <w:hyperlink r:id="rId419">
        <w:r>
          <w:rPr>
            <w:rStyle w:val="Internetverknpfung"/>
          </w:rPr>
          <w:t>Mazzen / Mazzotfest (WiBiLex)</w:t>
        </w:r>
      </w:hyperlink>
      <w:r>
        <w:rPr/>
        <w:t>.</w:t>
      </w:r>
    </w:p>
  </w:footnote>
  <w:footnote w:id="2275">
    <w:p>
      <w:pPr>
        <w:pStyle w:val="Funote"/>
        <w:rPr/>
      </w:pPr>
      <w:r>
        <w:rPr>
          <w:rStyle w:val="Funotenzeichen"/>
        </w:rPr>
        <w:footnoteRef/>
      </w:r>
      <w:r>
        <w:rPr>
          <w:i/>
        </w:rPr>
        <w:tab/>
        <w:t>die Hohepriester und die Schriftgelehrten</w:t>
      </w:r>
      <w:r>
        <w:rPr/>
        <w:t xml:space="preserve"> - „Die Hohepriester“ sind die Priester unter den Mitgliedern des Sanhedrins (=die höchste jüdische Gerichtsinstanz). Die Bezeichnung „die Hohepriester“ fungiert daher im NT oft als Wechselbegriff für den Jerusalemer Sanhedrin selbst; v.a., wenn sie – wie hier – zusammen mit den „Schriftgelehrten“ oder auch den „Ältesten“ oder den „Pharisäern“ genannt werden.</w:t>
      </w:r>
    </w:p>
  </w:footnote>
  <w:footnote w:id="2276">
    <w:p>
      <w:pPr>
        <w:pStyle w:val="Funote"/>
        <w:rPr/>
      </w:pPr>
      <w:r>
        <w:rPr>
          <w:rStyle w:val="Funotenzeichen"/>
        </w:rPr>
        <w:footnoteRef/>
      </w:r>
      <w:r>
        <w:rPr/>
        <w:tab/>
        <w:t>oder: vor den Festgängern – so Jeremias 1960, S. 65-67; dagegen aber z.B. gut Marcus 2009, S. 933.</w:t>
      </w:r>
    </w:p>
  </w:footnote>
  <w:footnote w:id="2277">
    <w:p>
      <w:pPr>
        <w:pStyle w:val="Funote"/>
        <w:rPr/>
      </w:pPr>
      <w:r>
        <w:rPr>
          <w:rStyle w:val="Funotenzeichen"/>
        </w:rPr>
        <w:footnoteRef/>
      </w:r>
      <w:r>
        <w:rPr/>
        <w:tab/>
        <w:t>Da das Pascha-Lamm zu Jesu Zeit nur im Tempel geschlachtet werden und das Pascha-Fest nur in Jerusalem gefeiert werden durfte, war Jerusalem um diese Zeit von gläubigen Juden überfüllt. Es sind einige Tumulte überliefert, die während der Festzeit wegen dieser Pilgermassen ausgebrochen sind; die Sorge der Hohepriester ist also erklärlich.</w:t>
      </w:r>
    </w:p>
  </w:footnote>
  <w:footnote w:id="2278">
    <w:p>
      <w:pPr>
        <w:pStyle w:val="Funote"/>
        <w:rPr/>
      </w:pPr>
      <w:r>
        <w:rPr>
          <w:rStyle w:val="Funotenzeichen"/>
        </w:rPr>
        <w:footnoteRef/>
      </w:r>
      <w:r>
        <w:rPr/>
        <w:tab/>
        <w:t>Simons des Leprakranken - Die Identität dieses Simon ist ungeklärt. Das biblische „Lepra“ meint nicht die selbe Krankheit wie unser heutiges Wort „Lepra“. Ob eine bestimmte andere Krankheit damit gemeint war oder ob der Begriff eine Sammelbezeichnung für verschiedene Hautkrankheiten war, ist ebenfalls noch unklar. Entscheidend ist aber ohnehin nicht, welche Krankheit genau gemeint ist, sondern die Tatsache, dass derartige Hautkrankheiten den Kranken „unrein“ machten und der Aufenthalt Jesu in seinem Haus klar den Normen seiner Zeit widerspricht (vgl. z.B. van Iersel 1998, S. 416; Marcus 2009, S. 933). Jesu Feiern im Haus von Leprösen liegt also auf einer Linie mit seinem Feiern mit Zöllnern und Sündern.</w:t>
      </w:r>
    </w:p>
  </w:footnote>
  <w:footnote w:id="2279">
    <w:p>
      <w:pPr>
        <w:pStyle w:val="Funote"/>
        <w:rPr/>
      </w:pPr>
      <w:r>
        <w:rPr>
          <w:rStyle w:val="Funotenzeichen"/>
        </w:rPr>
        <w:footnoteRef/>
      </w:r>
      <w:r>
        <w:rPr>
          <w:i/>
        </w:rPr>
        <w:tab/>
        <w:t>[bei Tisch] lag</w:t>
      </w:r>
      <w:r>
        <w:rPr/>
        <w:t xml:space="preserve"> – in besonders wohlhabenden Haushalten pflegte man zur Zeit Jesu zu speisen, indem man sich um einen niedrigen Tisch herum auf Liegen niederlegte, mit einem Arm abstützte und mit dem anderen aß.</w:t>
      </w:r>
    </w:p>
  </w:footnote>
  <w:footnote w:id="2280">
    <w:p>
      <w:pPr>
        <w:pStyle w:val="Funote"/>
        <w:rPr/>
      </w:pPr>
      <w:r>
        <w:rPr>
          <w:rStyle w:val="Funotenzeichen"/>
        </w:rPr>
        <w:footnoteRef/>
      </w:r>
      <w:r>
        <w:rPr/>
        <w:tab/>
        <w:t xml:space="preserve">Keiner der drei Synoptiker identifiziert diese Frau. Johannes dagegen berichtet, es sei Maria, die Schwester Marthas, gewesen, verortet aber auch die ganze Szene in das Haus der beiden Schwestern. Ephräm der Syrer war es, der die namenlose Frau im 4. Jh. mit Maria Magdalena </w:t>
      </w:r>
      <w:r>
        <w:rPr>
          <w:i/>
        </w:rPr>
        <w:t>und gleichzeitig</w:t>
      </w:r>
      <w:r>
        <w:rPr/>
        <w:t xml:space="preserve"> mit Maria, der Schwester Marthas, gleichgesetzt hat. Papst Gregor I baut das 591 noch weiter aus und identifiziert auch ihre Sünde: Sie ist eine Prostituierte.</w:t>
        <w:br/>
        <w:t>Für keines von beidem gibt es einen Anhaltspunkt in den biblischen Texten; dennoch ist es diese Vorstellung – die von der Prostituierten Maria Magdalena, die Jesus reuig mit Öl einreibt – die den meisten Christen beim Lesen der Szene so präsent ist, dass die katholische Kirche es 1969 anlässlich einer Kalenderreform für nötig hielt, sie offiziell für falsch zu erklären.</w:t>
      </w:r>
    </w:p>
  </w:footnote>
  <w:footnote w:id="2281">
    <w:p>
      <w:pPr>
        <w:pStyle w:val="Funote"/>
        <w:rPr/>
      </w:pPr>
      <w:r>
        <w:rPr>
          <w:rStyle w:val="Funotenzeichen"/>
        </w:rPr>
        <w:footnoteRef/>
      </w:r>
      <w:r>
        <w:rPr/>
        <w:tab/>
        <w:t>Alabastergefäß voll kostbarem, reinem Nardenparfums - W.: „Ein Alabastergefäß des Parfums der Narde der pistikäs des Werts“; die Reihung von vier Genitiven soll auch stilistisch die exorbitante Kostbarkeit des Parfums zum Ausdruck bringen (France 2002, S. 551).Die Bedeutung von pistikäs ist umstritten. Am verbreitetsten sind die Deutungen, (1) dass „Narde der pistikäs“ der Ausdruck für die Behennuß/Pistazie sei (so schon Lightfoot 1859, S. 446; z.B. auch Black 1967, S. 224; Cranfield 1959, S. 45; Gnilka 1979, S. 221) -&gt; „Pistazienparfum“, und (2), dass das Wort pistikäs von pistis („Treue“) abzuleiten sei (so schon Theophylakt, vgl. Lücking 1993, S. 50; z.B. auch Evans 2001, S. 360; Gundry 2000, S. 812; Spicq 1978b, S. 696) -&gt; „Parfum aus echter Narde / echtes/reines Nardenparfum“. Daneben lassen sich noch viele weitere Deutungen finden; weil eine Lösung der Frage nicht in Aussicht liegt, wählen wir Deutung (2), da sie häufiger in Üss. gewählt wird.</w:t>
      </w:r>
    </w:p>
  </w:footnote>
  <w:footnote w:id="2282">
    <w:p>
      <w:pPr>
        <w:pStyle w:val="Funote"/>
        <w:rPr/>
      </w:pPr>
      <w:r>
        <w:rPr>
          <w:rStyle w:val="Funotenzeichen"/>
        </w:rPr>
        <w:footnoteRef/>
      </w:r>
      <w:r>
        <w:rPr/>
        <w:tab/>
        <w:t>zerbrochen hatte - Häufig liest man in der Exegese, Alabastergefäße wären so hergestellt worden, dass man sie aufbrechen musste, um an den Inhalt zu kommen. Das ist nicht sehr wahrscheinlich; erstens musste der Inhalt ja auch irgendwie in die Gefäße gelangen (so auch France 2002, S. 552); zweitens war Alabaster nicht billig, so dass eine solche Verfertigungsweise recht merkwürdig gewesen wäre, drittens weisen die archäologischen Funde von Alabastergefäßen nicht in die Richtung, dass sie so verfertigt worden wären (so auch Marcus 2009, S. 934; einige Beispiele lassen sich hier betrachten). Vermutlich soll also auch das Zerbrechen nur noch zusätzlich die Verschwendung der Frau unterstreichen: Nicht nur braucht sie die ganze Menge ihres sehr teuren Parfums auf, sondern auch das ebenfalls teure Gefäß macht sie damit unbrauchbar (vgl. Klostermann 1950, S. 142f: „Wenn das Zerbrechen des Flaschenhalses bei der Vewendung nicht einfach das Übliche ist (Billerbeck II 48 f.), so will die Frau in überschwenglicher Verehrung von dem Salböl nichts zurückbehalten, vielleicht auch eine weiter Verwendung des Fläschchens nach diesem Gebrauch unmöglich machen.“).</w:t>
      </w:r>
    </w:p>
  </w:footnote>
  <w:footnote w:id="2283">
    <w:p>
      <w:pPr>
        <w:pStyle w:val="Funote"/>
        <w:rPr/>
      </w:pPr>
      <w:r>
        <w:rPr>
          <w:rStyle w:val="Funotenzeichen"/>
        </w:rPr>
        <w:footnoteRef/>
      </w:r>
      <w:r>
        <w:rPr/>
        <w:tab/>
        <w:t>300 Denare - Mehr als das Jahreseinkommen eines durchschnittlichen Arbeiters. M. Pea 8,8 nennt 200 Denare als jährliches Existenzminimum (vgl. Dschulnigg 2007, S. 357; s. die Üs. bei Open Mishnah); umgerechnet auf heutige Verhältnisse hätte das Parfum also (laut dt. Steuersystem) einen Wert von fast 13.000 €.</w:t>
      </w:r>
    </w:p>
  </w:footnote>
  <w:footnote w:id="2284">
    <w:p>
      <w:pPr>
        <w:pStyle w:val="Funote"/>
        <w:rPr/>
      </w:pPr>
      <w:r>
        <w:rPr>
          <w:rStyle w:val="Funotenzeichen"/>
        </w:rPr>
        <w:footnoteRef/>
      </w:r>
      <w:r>
        <w:rPr>
          <w:i/>
        </w:rPr>
        <w:tab/>
        <w:t>Man hätte dieses Parfum verkaufen können</w:t>
      </w:r>
      <w:r>
        <w:rPr/>
        <w:t xml:space="preserve"> - W. „Dieses Salböl konnte verkauft werden.“</w:t>
      </w:r>
    </w:p>
  </w:footnote>
  <w:footnote w:id="2285">
    <w:p>
      <w:pPr>
        <w:pStyle w:val="Funote"/>
        <w:rPr/>
      </w:pPr>
      <w:r>
        <w:rPr>
          <w:rStyle w:val="Funotenzeichen"/>
        </w:rPr>
        <w:footnoteRef/>
      </w:r>
      <w:r>
        <w:rPr>
          <w:i/>
        </w:rPr>
        <w:tab/>
        <w:t>Was macht ihr ihr Beschwerden?</w:t>
      </w:r>
      <w:r>
        <w:rPr/>
        <w:t xml:space="preserve"> – Gr. Idiom, die Bed. ist etwa „Was lasst ihr sie nicht in Frieden?“ (s. noch </w:t>
      </w:r>
      <w:r>
        <w:fldChar w:fldCharType="begin"/>
      </w:r>
      <w:r>
        <w:rPr>
          <w:rStyle w:val="Internetverknpfung"/>
        </w:rPr>
        <w:instrText> HYPERLINK "../../../../../../../../../wiki/Lukas_11" \l "s7"</w:instrText>
      </w:r>
      <w:r>
        <w:rPr>
          <w:rStyle w:val="Internetverknpfung"/>
        </w:rPr>
        <w:fldChar w:fldCharType="separate"/>
      </w:r>
      <w:r>
        <w:rPr>
          <w:rStyle w:val="Internetverknpfung"/>
        </w:rPr>
        <w:t>Lk 11,7</w:t>
      </w:r>
      <w:r>
        <w:rPr>
          <w:rStyle w:val="Internetverknpfung"/>
        </w:rPr>
        <w:fldChar w:fldCharType="end"/>
      </w:r>
      <w:r>
        <w:rPr/>
        <w:t xml:space="preserve">; </w:t>
      </w:r>
      <w:r>
        <w:fldChar w:fldCharType="begin"/>
      </w:r>
      <w:r>
        <w:rPr>
          <w:rStyle w:val="Internetverknpfung"/>
        </w:rPr>
        <w:instrText> HYPERLINK "../../../../../../../../../wiki/Lukas_18" \l "s5"</w:instrText>
      </w:r>
      <w:r>
        <w:rPr>
          <w:rStyle w:val="Internetverknpfung"/>
        </w:rPr>
        <w:fldChar w:fldCharType="separate"/>
      </w:r>
      <w:r>
        <w:rPr>
          <w:rStyle w:val="Internetverknpfung"/>
        </w:rPr>
        <w:t>18,5</w:t>
      </w:r>
      <w:r>
        <w:rPr>
          <w:rStyle w:val="Internetverknpfung"/>
        </w:rPr>
        <w:fldChar w:fldCharType="end"/>
      </w:r>
      <w:r>
        <w:rPr/>
        <w:t xml:space="preserve">; </w:t>
      </w:r>
      <w:r>
        <w:fldChar w:fldCharType="begin"/>
      </w:r>
      <w:r>
        <w:rPr>
          <w:rStyle w:val="Internetverknpfung"/>
        </w:rPr>
        <w:instrText> HYPERLINK "../../../../../../../../../wiki/Galater_6" \l "s17"</w:instrText>
      </w:r>
      <w:r>
        <w:rPr>
          <w:rStyle w:val="Internetverknpfung"/>
        </w:rPr>
        <w:fldChar w:fldCharType="separate"/>
      </w:r>
      <w:r>
        <w:rPr>
          <w:rStyle w:val="Internetverknpfung"/>
        </w:rPr>
        <w:t>Gal 6,17</w:t>
      </w:r>
      <w:r>
        <w:rPr>
          <w:rStyle w:val="Internetverknpfung"/>
        </w:rPr>
        <w:fldChar w:fldCharType="end"/>
      </w:r>
      <w:r>
        <w:rPr/>
        <w:t>).</w:t>
      </w:r>
    </w:p>
  </w:footnote>
  <w:footnote w:id="2286">
    <w:p>
      <w:pPr>
        <w:pStyle w:val="Funote"/>
        <w:rPr/>
      </w:pPr>
      <w:r>
        <w:rPr>
          <w:rStyle w:val="Funotenzeichen"/>
        </w:rPr>
        <w:footnoteRef/>
      </w:r>
      <w:r>
        <w:rPr/>
        <w:tab/>
        <w:t>gutes Werk - kalon ergon, wie im Dt. ein Terminus technicus für Wohltätigkeit. Im Judentum wurden auch gute Taten an Toten zu solchen »guten Werken« gerechnet; schon hier wird also auf V. 8 vorausverwiesen (vgl. z.B. Dschulnigg 2007, S. 357).</w:t>
      </w:r>
    </w:p>
  </w:footnote>
  <w:footnote w:id="2287">
    <w:p>
      <w:pPr>
        <w:pStyle w:val="Funote"/>
        <w:rPr/>
      </w:pPr>
      <w:r>
        <w:rPr>
          <w:rStyle w:val="Funotenzeichen"/>
        </w:rPr>
        <w:footnoteRef/>
      </w:r>
      <w:r>
        <w:rPr>
          <w:i/>
        </w:rPr>
        <w:tab/>
        <w:t>und</w:t>
      </w:r>
      <w:r>
        <w:rPr/>
        <w:t xml:space="preserve"> - W. „denn“; der Satz ist die Rechtfertigung dafür, warum es in Ordnung ist, etwas Gutes an Jesus zu tun, wenn dies gleichzeitig verhindert, etwas Gutes für die Armen zu tun.</w:t>
      </w:r>
    </w:p>
  </w:footnote>
  <w:footnote w:id="2288">
    <w:p>
      <w:pPr>
        <w:pStyle w:val="Funote"/>
        <w:rPr/>
      </w:pPr>
      <w:r>
        <w:rPr>
          <w:rStyle w:val="Funotenzeichen"/>
        </w:rPr>
        <w:footnoteRef/>
      </w:r>
      <w:r>
        <w:rPr/>
        <w:tab/>
        <w:t>Textkritik: (immer) - so viele Handschriften. Ob dies dritte immer aus stilistischen Gründen zum Urtext hinzugefügt wurde (=&gt; Symmetrie) oder aus dem Urtext gestrichen wurde (=&gt; redundante Wortwdh.), lässt sich nicht entscheiden. Die überwältigende Mehrheit übersetzt es nicht. Sinnvoll wäre es im Kontext allemal: Das Entscheidende an dieser Aussage Jesu ist, dass der aktuelle Zeitpunkt eine absolute Ausnahmesituation ist (s. Anmerkungen).</w:t>
      </w:r>
    </w:p>
  </w:footnote>
  <w:footnote w:id="2289">
    <w:p>
      <w:pPr>
        <w:pStyle w:val="Funote"/>
        <w:rPr/>
      </w:pPr>
      <w:r>
        <w:rPr>
          <w:rStyle w:val="Funotenzeichen"/>
        </w:rPr>
        <w:footnoteRef/>
      </w:r>
      <w:r>
        <w:rPr/>
        <w:tab/>
        <w:t>konnte (hatte) - W. »Was sie hatte«, hier (wie auch sonst manchmal) i.S.v. »vermögen, können«. Mit dieser Wortwahl soll vermutlich angespielt werden auf Jesu Aussage über das letzte Scherflein der Witwe in Mk 12,44: Mk 13 – die Markus-apokalypse – wird gerahmt von zwei Erzählungen von Frauen, die paradigmatisch für den richtigen Gebrauch von Geld (am Ende der Zeit) sind (vgl. z.B. van Iersel 1998, S. 417; Marcus 2009, S. 941).</w:t>
      </w:r>
    </w:p>
  </w:footnote>
  <w:footnote w:id="2290">
    <w:p>
      <w:pPr>
        <w:pStyle w:val="Funote"/>
        <w:rPr/>
      </w:pPr>
      <w:r>
        <w:rPr>
          <w:rStyle w:val="Funotenzeichen"/>
        </w:rPr>
        <w:footnoteRef/>
      </w:r>
      <w:r>
        <w:rPr/>
        <w:tab/>
        <w:t>einzubalsamieren - Hier wird das Verb myrizo statt chrio (»salben«) verwendet. Viele denken, die Parfumierung der Frau habe auf einer zweiten Bedeutungsebene den Sinn, dass Jesus hier zum Messias gesalbt werden sollte (wie z.B. David in 1 Sam 16,13; so z.B. Guijarro/Rodriguez 2011; Park 2012). Doch dafür wäre sehr wahrscheinlich eben chrio statt katacheo (»herabgießen«) und murizo (»einbalsamieren«) verwendet worden (Marcus 2009, S. 396; vgl. ähnlich Lücking 1993, S. 110) und außerdem wohl elaion (»Öl«) statt muron (»Parfum«). Aus diesem Grund muss man die Salbung zunächst wohl doch »nur« als »schlichte Wohltat beim Mahl« verstehen (vgl. Ps 23,5; Jos.Ant 19,239: »[...Er] erschien [...] dort mit gesalbtem Haar, als käme er von einem Trinkgelage [...].«) – und was sie auf der tieferen Ebene bedeutet, sagt Jesus in diesem Vers ja selbst.</w:t>
      </w:r>
    </w:p>
  </w:footnote>
  <w:footnote w:id="2291">
    <w:p>
      <w:pPr>
        <w:pStyle w:val="Funote"/>
        <w:rPr/>
      </w:pPr>
      <w:r>
        <w:rPr>
          <w:rStyle w:val="Funotenzeichen"/>
        </w:rPr>
        <w:footnoteRef/>
      </w:r>
      <w:r>
        <w:rPr/>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In V. 25 außerdem verstärkt durch die Konstruktion ou me + Aorist; die stärkstmögliche Verneinung zukünftiger Geschehnisse im Griechischen. Am sinnvollsten übersetzt daher Zink: »Was ich sage, ist wahr: ...«</w:t>
      </w:r>
    </w:p>
  </w:footnote>
  <w:footnote w:id="2292">
    <w:p>
      <w:pPr>
        <w:pStyle w:val="Funote"/>
        <w:rPr/>
      </w:pPr>
      <w:r>
        <w:rPr>
          <w:rStyle w:val="Funotenzeichen"/>
        </w:rPr>
        <w:footnoteRef/>
      </w:r>
      <w:r>
        <w:rPr/>
        <w:tab/>
        <w:t>dieses Evangelium – »Evangelium« ist hier noch keine Gattungsbezeichnung für eine Textsorte, sondern ein stehender Begriff für die frohe (!) Botschaft über Leiden und Tod Jesu, die die Kirche in der ganzen Welt verkündigen muss (zur Stelle vgl. gut Schillebeeckx 1975, S. 97). »Dieses Evangelium« bezieht sich also zurück auf das, was durch das »Sie hat es vorweggenommen, mich für mein Begräbnis einzubalsamieren« angesprochen ist, nämlich den Tod Jesu – und dieser ist eine »frohe Botschaft«.Richtig daher die Paraphrase von Zink: »Wo immer Menschen einander sagen werden, daß ich starb, um der Welt das Leben zu schenken, da wird man erwähnen, was sie eben getan hat.«</w:t>
      </w:r>
    </w:p>
  </w:footnote>
  <w:footnote w:id="2293">
    <w:p>
      <w:pPr>
        <w:pStyle w:val="Funote"/>
        <w:rPr/>
      </w:pPr>
      <w:r>
        <w:rPr>
          <w:rStyle w:val="Funotenzeichen"/>
        </w:rPr>
        <w:footnoteRef/>
      </w:r>
      <w:r>
        <w:rPr/>
        <w:tab/>
        <w:t>zur rechten Zeit - sehr oft: „bei günstiger Gelegenheit“. Im Gr. steht hier aber eukairos, die „gute rechte-Zeit“, und da sowohl in Vv. 1f. als auch Vv. 3-9 die Zeit das Thema ist, liegt eine andere Übersetzung als „zur rechten Zeit“ sehr fern. Richtig daher MSG: „He started looking for just the right moment to hand im over“.</w:t>
      </w:r>
    </w:p>
  </w:footnote>
  <w:footnote w:id="2294">
    <w:p>
      <w:pPr>
        <w:pStyle w:val="Funote"/>
        <w:rPr/>
      </w:pPr>
      <w:r>
        <w:rPr>
          <w:rStyle w:val="Funotenzeichen"/>
        </w:rPr>
        <w:footnoteRef/>
      </w:r>
      <w:r>
        <w:rPr/>
        <w:tab/>
        <w:t xml:space="preserve">Zur Zeitangabe s. den </w:t>
      </w:r>
      <w:r>
        <w:fldChar w:fldCharType="begin"/>
      </w:r>
      <w:r>
        <w:rPr>
          <w:rStyle w:val="Internetverknpfung"/>
        </w:rPr>
        <w:instrText> HYPERLINK "http://www.offene-bibel.de/wiki/index.php5?title=Kommentar:Markus_14" \l "Exkurs_zur_Zeitrechnung"</w:instrText>
      </w:r>
      <w:r>
        <w:rPr>
          <w:rStyle w:val="Internetverknpfung"/>
        </w:rPr>
        <w:fldChar w:fldCharType="separate"/>
      </w:r>
      <w:r>
        <w:rPr>
          <w:rStyle w:val="Internetverknpfung"/>
        </w:rPr>
        <w:t>Exkurs zur Zeitrechnung</w:t>
      </w:r>
      <w:r>
        <w:rPr>
          <w:rStyle w:val="Internetverknpfung"/>
        </w:rPr>
        <w:fldChar w:fldCharType="end"/>
      </w:r>
      <w:r>
        <w:rPr/>
        <w:t>.</w:t>
      </w:r>
    </w:p>
  </w:footnote>
  <w:footnote w:id="2295">
    <w:p>
      <w:pPr>
        <w:pStyle w:val="Funote"/>
        <w:rPr/>
      </w:pPr>
      <w:r>
        <w:rPr>
          <w:rStyle w:val="Funotenzeichen"/>
        </w:rPr>
        <w:footnoteRef/>
      </w:r>
      <w:r>
        <w:rPr/>
        <w:tab/>
        <w:t>als sie das Pascha[lamm] opferten (an dem man das Pascha[lamm] zu opfern pflegte) (V. 12) + Geht in die Stadt - Weil das Verb ethuon sich sowohl personal („als sie (sc. die Jünger) opferten“) als auch impersonal („an welchem man zu opfern pflegte“) deuten lässt, lassen sich zwei mögliche Situationen der Perikope rekonstruieren: (1) Jesus und seine Jünger sind gerade im Tempelbezirk, wo nach Vorschrift Jesus als der Vorsteher des Paschamahls das Lamm schlachtet, das dann am Abend verspeist werden wird. In dieser Situation fragen die Jünger Jesus, wo sie das Mahl vorbereiten sollen, und er gibt ihnen daher die Anweisung, [aus dem Tempelbezirk hinaus] in die Stadt zu gehen. (2) Jesus und seine Jünger befinden sich zum Zeitpunkt, zu dem „man“ üblicherweise das Paschalamm schlachtet, noch in Bethanien oder auf dem Weg von Bethanien nach Jerusalem, als die Jünger Jesus ihre Frage stellen, und also weist er sie an, [von Bethanien/vom Weg aus] in die Stadt zu gehen.Nach V. 15 ist der Speisesaal bereits vorbereitet, weshalb der größte Teil der noch zu leistenden Vorbereitungen im Braten des Lammes besteht. Weil nach Sitte Jesus es war, der dieses Lamm zu schlachten hatte, würde Rekonstruktion (2) bedeuten, dass Jesus die Jünger ohne ein Lamm zum Kochen schickt. Das macht nicht viel Sinn; wahrscheinlicher ist daher Rekonstruktion (1). So z.B. auch Casey 2004, S. 203f.; Evans 2001, S. 373. Für Rekonstuktion (2) dagegen z.B. France 2002, S. 564; Gundry 2000, S. 820; Marcus 2009, S. 944.</w:t>
      </w:r>
    </w:p>
  </w:footnote>
  <w:footnote w:id="2296">
    <w:p>
      <w:pPr>
        <w:pStyle w:val="Funote"/>
        <w:rPr/>
      </w:pPr>
      <w:r>
        <w:rPr>
          <w:rStyle w:val="Funotenzeichen"/>
        </w:rPr>
        <w:footnoteRef/>
      </w:r>
      <w:hyperlink r:id="rId420">
        <w:r>
          <w:rPr>
            <w:rStyle w:val="Internetverknpfung"/>
          </w:rPr>
          <w:tab/>
          <w:t>Historisches Präsens</w:t>
        </w:r>
      </w:hyperlink>
      <w:r>
        <w:rPr/>
        <w:t xml:space="preserve">. </w:t>
      </w:r>
    </w:p>
  </w:footnote>
  <w:footnote w:id="2297">
    <w:p>
      <w:pPr>
        <w:pStyle w:val="Funote"/>
        <w:rPr/>
      </w:pPr>
      <w:r>
        <w:rPr>
          <w:rStyle w:val="Funotenzeichen"/>
        </w:rPr>
        <w:footnoteRef/>
      </w:r>
      <w:r>
        <w:rPr/>
        <w:tab/>
        <w:t>zwei seiner Jünger - Offenbar keine Mitglieder des Zwölferkreises, s. V. 17. Für das Abendmahl muss dann die Anwesenheit von noch mehr Gästen als nur Jesus und dem Zwölferkreis vorausgesetzt werden (so auch Casey 2004, S. 227f.; Evans 2001, S. 374), und aus diesem Grund muss in V. 15 die Größe des Oberzimmers betont werden. Auch in Vv. 51f. ist wohl von einem Jünger die Rede, der nicht zum Zwölferkreis gehört, dennoch aber mindestens auf dem Ölberg anwesend ist und daher wohl auch im Abendmahlssaal anwesend war. Casey und Evans setzen außerdem die Anwesenheit von Frauen als Selbstverständlichkeit voraus – der Text selbst jedenfalls schweigt sich darüber aus. Vgl. auch Heininger 2005, S. 12 zu Mk 15,40f: Wo sonst blieben die „vielen Frauen“, die Jesus nach Jerusalem gefolgt waren?</w:t>
      </w:r>
    </w:p>
  </w:footnote>
  <w:footnote w:id="2298">
    <w:p>
      <w:pPr>
        <w:pStyle w:val="Funote"/>
        <w:rPr/>
      </w:pPr>
      <w:r>
        <w:rPr>
          <w:rStyle w:val="Funotenzeichen"/>
        </w:rPr>
        <w:footnoteRef/>
      </w:r>
      <w:r>
        <w:rPr>
          <w:i/>
        </w:rPr>
        <w:tab/>
        <w:t>auf euch zutreten</w:t>
      </w:r>
      <w:r>
        <w:rPr/>
        <w:t xml:space="preserve"> - nicht: „</w:t>
      </w:r>
      <w:r>
        <w:rPr>
          <w:i/>
        </w:rPr>
        <w:t>Ihr</w:t>
      </w:r>
      <w:r>
        <w:rPr/>
        <w:t xml:space="preserve"> werdet treffen“ (so viele Üss.), LSJ S. 178: „move from a place to meet a person“ - die Initiative liegt beim Wasserträger. S. die Anmerkungen.</w:t>
      </w:r>
    </w:p>
  </w:footnote>
  <w:footnote w:id="2299">
    <w:p>
      <w:pPr>
        <w:pStyle w:val="Funote"/>
        <w:rPr/>
      </w:pPr>
      <w:r>
        <w:rPr>
          <w:rStyle w:val="Funotenzeichen"/>
        </w:rPr>
        <w:footnoteRef/>
      </w:r>
      <w:r>
        <w:rPr/>
        <w:tab/>
        <w:t xml:space="preserve">Da man zu Jesu Zeit das Paschamahl in Jerusalem zu sich nehmen sollte (s. </w:t>
      </w:r>
      <w:r>
        <w:fldChar w:fldCharType="begin"/>
      </w:r>
      <w:r>
        <w:rPr>
          <w:rStyle w:val="Internetverknpfung"/>
        </w:rPr>
        <w:instrText> HYPERLINK "http://offene-bibel.de/mediawiki/index.php?title=Markus_14" \l "note_d"</w:instrText>
      </w:r>
      <w:r>
        <w:rPr>
          <w:rStyle w:val="Internetverknpfung"/>
        </w:rPr>
        <w:fldChar w:fldCharType="separate"/>
      </w:r>
      <w:r>
        <w:rPr>
          <w:rStyle w:val="Internetverknpfung"/>
        </w:rPr>
        <w:t>FN d</w:t>
      </w:r>
      <w:r>
        <w:rPr>
          <w:rStyle w:val="Internetverknpfung"/>
        </w:rPr>
        <w:fldChar w:fldCharType="end"/>
      </w:r>
      <w:r>
        <w:rPr/>
        <w:t>), war es üblich, die Gastfreundlichkeit von Einheimischen in Anspruch zu nehmen und das Paschamahl in deren Haus zu sich zu nehmen.</w:t>
      </w:r>
    </w:p>
  </w:footnote>
  <w:footnote w:id="2300">
    <w:p>
      <w:pPr>
        <w:pStyle w:val="Funote"/>
        <w:rPr/>
      </w:pPr>
      <w:r>
        <w:rPr>
          <w:rStyle w:val="Funotenzeichen"/>
        </w:rPr>
        <w:footnoteRef/>
      </w:r>
      <w:r>
        <w:rPr/>
        <w:tab/>
        <w:t>vorbereitet ... dort bereitet vor - nämlich Möblierung etc. ist vorbereitet, das Essen aber noch nicht (vgl. z.B. Evans 2001, S. 375).</w:t>
      </w:r>
    </w:p>
  </w:footnote>
  <w:footnote w:id="2301">
    <w:p>
      <w:pPr>
        <w:pStyle w:val="Funote"/>
        <w:spacing w:before="0" w:after="283"/>
        <w:rPr/>
      </w:pPr>
      <w:r>
        <w:rPr>
          <w:rStyle w:val="Funotenzeichen"/>
        </w:rPr>
        <w:footnoteRef/>
      </w:r>
      <w:r>
        <w:rPr>
          <w:i/>
        </w:rPr>
        <w:tab/>
        <w:t>Und während (als) sie zum Essen lagen</w:t>
      </w:r>
      <w:r>
        <w:rPr/>
        <w:t xml:space="preserve"> (V. 18) + </w:t>
      </w:r>
      <w:r>
        <w:rPr>
          <w:i/>
        </w:rPr>
        <w:t>Und als er bei (nach) ihrem Essen</w:t>
      </w:r>
      <w:r>
        <w:rPr/>
        <w:t xml:space="preserve"> (V. 22) – Zu Jesu Zeit liefen ein griechisches Gastmahl, ein jüdisches Festmahl und später auch ein Passamahl alle nach dem selben Muster ab: Nach einer im Sitzen eingenommenen Vorspeise ging man in den Speisesaal, um dort im Liegen den Hauptgang einzunehmen, an den sich danach noch ein längerer Umtrunk anschloss. Das Gebet über dem Brot und das Brotbrechen leitete den Hauptgang ein, das Gebet über dem Kelch war die Brücke zwischen Hauptgang und Umtrunk. Diese Abfolge müssen wir uns auch für das Letzte Abendmahl denken (</w:t>
      </w:r>
      <w:hyperlink r:id="rId421">
        <w:r>
          <w:rPr>
            <w:rStyle w:val="Internetverknpfung"/>
          </w:rPr>
          <w:t>Lk 22,20</w:t>
        </w:r>
      </w:hyperlink>
      <w:r>
        <w:rPr/>
        <w:t xml:space="preserve">; </w:t>
      </w:r>
      <w:r>
        <w:fldChar w:fldCharType="begin"/>
      </w:r>
      <w:r>
        <w:rPr>
          <w:rStyle w:val="Internetverknpfung"/>
        </w:rPr>
        <w:instrText> HYPERLINK "../../../../../../../../../wiki/1_Korinther_11" \l "s25"</w:instrText>
      </w:r>
      <w:r>
        <w:rPr>
          <w:rStyle w:val="Internetverknpfung"/>
        </w:rPr>
        <w:fldChar w:fldCharType="separate"/>
      </w:r>
      <w:r>
        <w:rPr>
          <w:rStyle w:val="Internetverknpfung"/>
        </w:rPr>
        <w:t>1 Kor 11,25</w:t>
      </w:r>
      <w:r>
        <w:rPr>
          <w:rStyle w:val="Internetverknpfung"/>
        </w:rPr>
        <w:fldChar w:fldCharType="end"/>
      </w:r>
      <w:r>
        <w:rPr/>
        <w:t xml:space="preserve">: „Der Becher </w:t>
      </w:r>
      <w:r>
        <w:rPr>
          <w:i/>
        </w:rPr>
        <w:t>nach</w:t>
      </w:r>
      <w:r>
        <w:rPr/>
        <w:t xml:space="preserve"> dem Essen“).</w:t>
        <w:br/>
        <w:t xml:space="preserve">Bei Mk und Mt aber wirkt es wegen der Zeitangaben in Vv. 18.22.23 so, als würde sowohl die Brot- als auch die Becherhandlung </w:t>
      </w:r>
      <w:r>
        <w:rPr>
          <w:i/>
        </w:rPr>
        <w:t>nach</w:t>
      </w:r>
      <w:r>
        <w:rPr/>
        <w:t xml:space="preserve"> Beginn des Essens stattfinden. Mögliche Erklärungen sind:</w:t>
      </w:r>
    </w:p>
    <w:p>
      <w:pPr>
        <w:pStyle w:val="Textkrper"/>
        <w:rPr/>
      </w:pPr>
      <w:r>
        <w:rPr/>
        <w:tab/>
        <w:t xml:space="preserve">1. Die Gemeinde des Markus hat die Feier des Abendmahls vielleicht in einer anderen als der üblichen Abfolge gefeiert und die Brothandlung zur Kelchhandlung ans Ende der Feier verschoben. Markus hätte das dann auch in den Bericht vom Abendmahl „hineingeschrieben“: Während des Hauptgangs macht Jesus seine Judas-Prophezeiung und erst </w:t>
      </w:r>
      <w:r>
        <w:rPr>
          <w:i/>
        </w:rPr>
        <w:t>nach</w:t>
      </w:r>
      <w:r>
        <w:rPr/>
        <w:t xml:space="preserve"> dem Hauptgang folgen Brot- und Becherhandlung. Dann wäre V. 22 zu deuten als: „Als er am Ende ihres Essens ...“</w:t>
        <w:br/>
        <w:t xml:space="preserve">2. Die beiden Präsenspartizipien in V. 18 könnte man unter Umständen auch als „volitive Partizipien“ auffassen (vgl. z.B. </w:t>
      </w:r>
      <w:hyperlink r:id="rId422">
        <w:r>
          <w:rPr>
            <w:rStyle w:val="Internetverknpfung"/>
          </w:rPr>
          <w:t>Mt 27,40</w:t>
        </w:r>
      </w:hyperlink>
      <w:r>
        <w:rPr/>
        <w:t xml:space="preserve">: „Der du den Tempel einreißen und aufrichten </w:t>
      </w:r>
      <w:r>
        <w:rPr>
          <w:i/>
        </w:rPr>
        <w:t>willst</w:t>
      </w:r>
      <w:r>
        <w:rPr/>
        <w:t xml:space="preserve">...“; </w:t>
      </w:r>
      <w:r>
        <w:fldChar w:fldCharType="begin"/>
      </w:r>
      <w:r>
        <w:rPr>
          <w:rStyle w:val="Internetverknpfung"/>
        </w:rPr>
        <w:instrText> HYPERLINK "../../../../../../../../../wiki/Hebr%C3%A4er_11" \l "s6"</w:instrText>
      </w:r>
      <w:r>
        <w:rPr>
          <w:rStyle w:val="Internetverknpfung"/>
        </w:rPr>
        <w:fldChar w:fldCharType="separate"/>
      </w:r>
      <w:r>
        <w:rPr>
          <w:rStyle w:val="Internetverknpfung"/>
        </w:rPr>
        <w:t>Heb 11,6</w:t>
      </w:r>
      <w:r>
        <w:rPr>
          <w:rStyle w:val="Internetverknpfung"/>
        </w:rPr>
        <w:fldChar w:fldCharType="end"/>
      </w:r>
      <w:r>
        <w:rPr/>
        <w:t xml:space="preserve">: „Dem, der Gott nahen </w:t>
      </w:r>
      <w:r>
        <w:rPr>
          <w:i/>
        </w:rPr>
        <w:t>will</w:t>
      </w:r>
      <w:r>
        <w:rPr/>
        <w:t xml:space="preserve">...“ ): „Und als sie lagen und essen </w:t>
      </w:r>
      <w:r>
        <w:rPr>
          <w:i/>
        </w:rPr>
        <w:t>wollten</w:t>
      </w:r>
      <w:r>
        <w:rPr/>
        <w:t>“, d.h., direkt vor dem Hauptgang und dem Umzug ins Speisezimmer.</w:t>
      </w:r>
    </w:p>
    <w:p>
      <w:pPr>
        <w:pStyle w:val="Textkrper"/>
        <w:spacing w:before="0" w:after="283"/>
        <w:rPr/>
      </w:pPr>
      <w:r>
        <w:rPr/>
        <w:tab/>
        <w:t>3. Vielleicht erzählt Markus die Begebenheiten aus dem letzten Abendmahl (Ankündigung des Verrats und Einsetzungsworte) auch einfach unabhängig voneinander, ohne die Erzählung streng chronologisch zu verstehen.</w:t>
      </w:r>
    </w:p>
  </w:footnote>
  <w:footnote w:id="2302">
    <w:p>
      <w:pPr>
        <w:pStyle w:val="Funote"/>
        <w:rPr/>
      </w:pPr>
      <w:r>
        <w:rPr>
          <w:rStyle w:val="Funotenzeichen"/>
        </w:rPr>
        <w:footnoteRef/>
      </w:r>
      <w:r>
        <w:rPr>
          <w:i/>
        </w:rPr>
        <w:tab/>
        <w:t>lagen</w:t>
      </w:r>
      <w:r>
        <w:rPr/>
        <w:t xml:space="preserve"> - S. </w:t>
      </w:r>
      <w:r>
        <w:fldChar w:fldCharType="begin"/>
      </w:r>
      <w:r>
        <w:rPr>
          <w:rStyle w:val="Internetverknpfung"/>
        </w:rPr>
        <w:instrText> HYPERLINK "http://offene-bibel.de/mediawiki/index.php?title=Markus_14" \l "note_f"</w:instrText>
      </w:r>
      <w:r>
        <w:rPr>
          <w:rStyle w:val="Internetverknpfung"/>
        </w:rPr>
        <w:fldChar w:fldCharType="separate"/>
      </w:r>
      <w:r>
        <w:rPr>
          <w:rStyle w:val="Internetverknpfung"/>
        </w:rPr>
        <w:t>FN f</w:t>
      </w:r>
      <w:r>
        <w:rPr>
          <w:rStyle w:val="Internetverknpfung"/>
        </w:rPr>
        <w:fldChar w:fldCharType="end"/>
      </w:r>
      <w:r>
        <w:rPr/>
        <w:t>: Jesus feiert sein Letztes Abendmahl nach dem Muster eines Abendmahls wohlhabender Menschen. Das Liegen ist nicht auf das Datum zurückzuführen, s. die Anmerkungen.</w:t>
      </w:r>
    </w:p>
  </w:footnote>
  <w:footnote w:id="2303">
    <w:p>
      <w:pPr>
        <w:pStyle w:val="Funote"/>
        <w:rPr/>
      </w:pPr>
      <w:r>
        <w:rPr>
          <w:rStyle w:val="Funotenzeichen"/>
        </w:rPr>
        <w:footnoteRef/>
      </w:r>
      <w:r>
        <w:rPr/>
        <w:tab/>
        <w:t>der mit mir isst - Vermutlich ein Zitat von Ps 41,9, wo ein unschuldig Leidender sich darüber beklagt, dass seine Feinde ihn töten wollten und auch sein Freund, dem er vertraute und der mit ihm Brot aß, ihn verderben wolle. Das Präsens ist daher besser gnomisch zu verstehen: Nicht »einer, der aktuell mit uns am Tisch sitzt«, sondern »einer meiner üblichen Tischgenossen«.Miteinander zu essen, Tisch und Schüssel zu teilen (s. V. 20), ist ein Symbol für Freundschaft und Verbundenheit; dass es »einer von euch« ist, »einer der Zwölf«, »einer, der mit mir isst« und »einer, der mit mir in die selbe Schüssel tunkt«, macht den Verrat noch verwerflicher, als er ohnehin schon ist.Zur Verwendung des Artikels vgl. Zerwick §192.</w:t>
      </w:r>
    </w:p>
  </w:footnote>
  <w:footnote w:id="2304">
    <w:p>
      <w:pPr>
        <w:pStyle w:val="Funote"/>
        <w:rPr/>
      </w:pPr>
      <w:r>
        <w:rPr>
          <w:rStyle w:val="Funotenzeichen"/>
        </w:rPr>
        <w:footnoteRef/>
      </w:r>
      <w:r>
        <w:rPr>
          <w:i/>
        </w:rPr>
        <w:tab/>
        <w:t>ausliefern</w:t>
      </w:r>
      <w:r>
        <w:rPr/>
        <w:t xml:space="preserve"> - Leitwort im Mk-Evangelium; stets im Sinne von „feindlichen Institutionen ausliefern“ verwendet (s. </w:t>
      </w:r>
      <w:r>
        <w:fldChar w:fldCharType="begin"/>
      </w:r>
      <w:r>
        <w:rPr>
          <w:rStyle w:val="Internetverknpfung"/>
        </w:rPr>
        <w:instrText> HYPERLINK "../../../../../../../../../wiki/Markus_9" \l "s31"</w:instrText>
      </w:r>
      <w:r>
        <w:rPr>
          <w:rStyle w:val="Internetverknpfung"/>
        </w:rPr>
        <w:fldChar w:fldCharType="separate"/>
      </w:r>
      <w:r>
        <w:rPr>
          <w:rStyle w:val="Internetverknpfung"/>
        </w:rPr>
        <w:t>Mk 9,31</w:t>
      </w:r>
      <w:r>
        <w:rPr>
          <w:rStyle w:val="Internetverknpfung"/>
        </w:rPr>
        <w:fldChar w:fldCharType="end"/>
      </w:r>
      <w:r>
        <w:rPr/>
        <w:t xml:space="preserve">; </w:t>
      </w:r>
      <w:r>
        <w:fldChar w:fldCharType="begin"/>
      </w:r>
      <w:r>
        <w:rPr>
          <w:rStyle w:val="Internetverknpfung"/>
        </w:rPr>
        <w:instrText> HYPERLINK "../../../../../../../../../wiki/Markus_10" \l "s33"</w:instrText>
      </w:r>
      <w:r>
        <w:rPr>
          <w:rStyle w:val="Internetverknpfung"/>
        </w:rPr>
        <w:fldChar w:fldCharType="separate"/>
      </w:r>
      <w:r>
        <w:rPr>
          <w:rStyle w:val="Internetverknpfung"/>
        </w:rPr>
        <w:t>10,33</w:t>
      </w:r>
      <w:r>
        <w:rPr>
          <w:rStyle w:val="Internetverknpfung"/>
        </w:rPr>
        <w:fldChar w:fldCharType="end"/>
      </w:r>
      <w:r>
        <w:rPr/>
        <w:t xml:space="preserve">; </w:t>
      </w:r>
      <w:r>
        <w:fldChar w:fldCharType="begin"/>
      </w:r>
      <w:r>
        <w:rPr>
          <w:rStyle w:val="Internetverknpfung"/>
        </w:rPr>
        <w:instrText> HYPERLINK "../../../../../../../../../wiki/Markus_13" \l "s9"</w:instrText>
      </w:r>
      <w:r>
        <w:rPr>
          <w:rStyle w:val="Internetverknpfung"/>
        </w:rPr>
        <w:fldChar w:fldCharType="separate"/>
      </w:r>
      <w:r>
        <w:rPr>
          <w:rStyle w:val="Internetverknpfung"/>
        </w:rPr>
        <w:t>13,9</w:t>
      </w:r>
      <w:r>
        <w:rPr>
          <w:rStyle w:val="Internetverknpfung"/>
        </w:rPr>
        <w:fldChar w:fldCharType="end"/>
      </w:r>
      <w:r>
        <w:rPr/>
        <w:t>.</w:t>
      </w:r>
      <w:r>
        <w:fldChar w:fldCharType="begin"/>
      </w:r>
      <w:r>
        <w:rPr>
          <w:rStyle w:val="Internetverknpfung"/>
        </w:rPr>
        <w:instrText> HYPERLINK "../../../../../../../../../wiki/Markus_13" \l "s11"</w:instrText>
      </w:r>
      <w:r>
        <w:rPr>
          <w:rStyle w:val="Internetverknpfung"/>
        </w:rPr>
        <w:fldChar w:fldCharType="separate"/>
      </w:r>
      <w:r>
        <w:rPr>
          <w:rStyle w:val="Internetverknpfung"/>
        </w:rPr>
        <w:t>11f</w:t>
      </w:r>
      <w:r>
        <w:rPr>
          <w:rStyle w:val="Internetverknpfung"/>
        </w:rPr>
        <w:fldChar w:fldCharType="end"/>
      </w:r>
      <w:r>
        <w:rPr/>
        <w:t xml:space="preserve">; </w:t>
      </w:r>
      <w:r>
        <w:fldChar w:fldCharType="begin"/>
      </w:r>
      <w:r>
        <w:rPr>
          <w:rStyle w:val="Internetverknpfung"/>
        </w:rPr>
        <w:instrText> HYPERLINK "../../../../../../../../../wiki/Markus_14" \l "s11"</w:instrText>
      </w:r>
      <w:r>
        <w:rPr>
          <w:rStyle w:val="Internetverknpfung"/>
        </w:rPr>
        <w:fldChar w:fldCharType="separate"/>
      </w:r>
      <w:r>
        <w:rPr>
          <w:rStyle w:val="Internetverknpfung"/>
        </w:rPr>
        <w:t>14,11</w:t>
      </w:r>
      <w:r>
        <w:rPr>
          <w:rStyle w:val="Internetverknpfung"/>
        </w:rPr>
        <w:fldChar w:fldCharType="end"/>
      </w:r>
      <w:r>
        <w:rPr/>
        <w:t>.</w:t>
      </w:r>
      <w:r>
        <w:fldChar w:fldCharType="begin"/>
      </w:r>
      <w:r>
        <w:rPr>
          <w:rStyle w:val="Internetverknpfung"/>
        </w:rPr>
        <w:instrText> HYPERLINK "../../../../../../../../../wiki/Markus_14" \l "s21"</w:instrText>
      </w:r>
      <w:r>
        <w:rPr>
          <w:rStyle w:val="Internetverknpfung"/>
        </w:rPr>
        <w:fldChar w:fldCharType="separate"/>
      </w:r>
      <w:r>
        <w:rPr>
          <w:rStyle w:val="Internetverknpfung"/>
        </w:rPr>
        <w:t>21</w:t>
      </w:r>
      <w:r>
        <w:rPr>
          <w:rStyle w:val="Internetverknpfung"/>
        </w:rPr>
        <w:fldChar w:fldCharType="end"/>
      </w:r>
      <w:r>
        <w:rPr/>
        <w:t>.</w:t>
      </w:r>
      <w:r>
        <w:fldChar w:fldCharType="begin"/>
      </w:r>
      <w:r>
        <w:rPr>
          <w:rStyle w:val="Internetverknpfung"/>
        </w:rPr>
        <w:instrText> HYPERLINK "../../../../../../../../../wiki/Markus_14" \l "s42"</w:instrText>
      </w:r>
      <w:r>
        <w:rPr>
          <w:rStyle w:val="Internetverknpfung"/>
        </w:rPr>
        <w:fldChar w:fldCharType="separate"/>
      </w:r>
      <w:r>
        <w:rPr>
          <w:rStyle w:val="Internetverknpfung"/>
        </w:rPr>
        <w:t>42</w:t>
      </w:r>
      <w:r>
        <w:rPr>
          <w:rStyle w:val="Internetverknpfung"/>
        </w:rPr>
        <w:fldChar w:fldCharType="end"/>
      </w:r>
      <w:r>
        <w:rPr/>
        <w:t>.</w:t>
      </w:r>
      <w:r>
        <w:fldChar w:fldCharType="begin"/>
      </w:r>
      <w:r>
        <w:rPr>
          <w:rStyle w:val="Internetverknpfung"/>
        </w:rPr>
        <w:instrText> HYPERLINK "../../../../../../../../../wiki/Markus_14" \l "s44"</w:instrText>
      </w:r>
      <w:r>
        <w:rPr>
          <w:rStyle w:val="Internetverknpfung"/>
        </w:rPr>
        <w:fldChar w:fldCharType="separate"/>
      </w:r>
      <w:r>
        <w:rPr>
          <w:rStyle w:val="Internetverknpfung"/>
        </w:rPr>
        <w:t>44</w:t>
      </w:r>
      <w:r>
        <w:rPr>
          <w:rStyle w:val="Internetverknpfung"/>
        </w:rPr>
        <w:fldChar w:fldCharType="end"/>
      </w:r>
      <w:r>
        <w:rPr/>
        <w:t xml:space="preserve">; </w:t>
      </w:r>
      <w:r>
        <w:fldChar w:fldCharType="begin"/>
      </w:r>
      <w:r>
        <w:rPr>
          <w:rStyle w:val="Internetverknpfung"/>
        </w:rPr>
        <w:instrText> HYPERLINK "../../../../../../../../../wiki/Markus_15" \l "s1"</w:instrText>
      </w:r>
      <w:r>
        <w:rPr>
          <w:rStyle w:val="Internetverknpfung"/>
        </w:rPr>
        <w:fldChar w:fldCharType="separate"/>
      </w:r>
      <w:r>
        <w:rPr>
          <w:rStyle w:val="Internetverknpfung"/>
        </w:rPr>
        <w:t>15,1</w:t>
      </w:r>
      <w:r>
        <w:rPr>
          <w:rStyle w:val="Internetverknpfung"/>
        </w:rPr>
        <w:fldChar w:fldCharType="end"/>
      </w:r>
      <w:r>
        <w:rPr/>
        <w:t>.</w:t>
      </w:r>
      <w:r>
        <w:fldChar w:fldCharType="begin"/>
      </w:r>
      <w:r>
        <w:rPr>
          <w:rStyle w:val="Internetverknpfung"/>
        </w:rPr>
        <w:instrText> HYPERLINK "../../../../../../../../../wiki/Markus_15" \l "s10"</w:instrText>
      </w:r>
      <w:r>
        <w:rPr>
          <w:rStyle w:val="Internetverknpfung"/>
        </w:rPr>
        <w:fldChar w:fldCharType="separate"/>
      </w:r>
      <w:r>
        <w:rPr>
          <w:rStyle w:val="Internetverknpfung"/>
        </w:rPr>
        <w:t>10</w:t>
      </w:r>
      <w:r>
        <w:rPr>
          <w:rStyle w:val="Internetverknpfung"/>
        </w:rPr>
        <w:fldChar w:fldCharType="end"/>
      </w:r>
      <w:r>
        <w:rPr/>
        <w:t>.</w:t>
      </w:r>
      <w:r>
        <w:fldChar w:fldCharType="begin"/>
      </w:r>
      <w:r>
        <w:rPr>
          <w:rStyle w:val="Internetverknpfung"/>
        </w:rPr>
        <w:instrText> HYPERLINK "../../../../../../../../../wiki/Markus_15" \l "s15"</w:instrText>
      </w:r>
      <w:r>
        <w:rPr>
          <w:rStyle w:val="Internetverknpfung"/>
        </w:rPr>
        <w:fldChar w:fldCharType="separate"/>
      </w:r>
      <w:r>
        <w:rPr>
          <w:rStyle w:val="Internetverknpfung"/>
        </w:rPr>
        <w:t>15</w:t>
      </w:r>
      <w:r>
        <w:rPr>
          <w:rStyle w:val="Internetverknpfung"/>
        </w:rPr>
        <w:fldChar w:fldCharType="end"/>
      </w:r>
      <w:r>
        <w:rPr/>
        <w:t>). Vermutlich auf die Verfolgungssituation der ursprünglichen Leser des Markus zurückzuführen, in der Jesusanhänger dazu gezwungen wurden, andere Christen an die Behörden auszuliefern – die Botschaft ist dann die: Auch Jesus und seine Jünger haben schon dieses Schicksal mit euch geteilt.</w:t>
      </w:r>
    </w:p>
  </w:footnote>
  <w:footnote w:id="2305">
    <w:p>
      <w:pPr>
        <w:pStyle w:val="Funote"/>
        <w:rPr/>
      </w:pPr>
      <w:r>
        <w:rPr>
          <w:rStyle w:val="Funotenzeichen"/>
        </w:rPr>
        <w:footnoteRef/>
      </w:r>
      <w:r>
        <w:rPr/>
        <w:tab/>
        <w:t>Textkritik: die (eine) - Einige Handschriften haben hier ein zusätzliches »eine«. Ob die Handschriften damit den Ausdruck verschärfen (»in die selbe Schüssel«) und an die vorigen »eins, eine« (»einer von euch...«, »einer nach dem anderen...«, »einer der Zwölf...«) anpassen oder aus stilistischen Gründen wegen derselben »eins, eine« dieses vierte »eine« streichen wollten, lässt sich nicht entscheiden (so auch Wilckens 2014). Tendenziell für den längeren Text sprechen sich z.B. Cranfield 1959, S. 424; Gundry 2000, S. 837 und Marcus 2009, S. 950 aus; so auch H-R; EÜ. Die meisten Üs. aber übersetzen den kürzeren Text, so daher auch wir.</w:t>
      </w:r>
    </w:p>
  </w:footnote>
  <w:footnote w:id="2306">
    <w:p>
      <w:pPr>
        <w:pStyle w:val="Funote"/>
        <w:rPr/>
      </w:pPr>
      <w:r>
        <w:rPr>
          <w:rStyle w:val="Funotenzeichen"/>
        </w:rPr>
        <w:footnoteRef/>
      </w:r>
      <w:r>
        <w:rPr/>
        <w:tab/>
        <w:t>in die Schüssel tunkt - der Satz meint das selbe wie das vorige »der mit mir isst«: »Einer meiner (üblichen) Tischgenossen«. Zum Eintunken von Speißen in eine Schüssel s. z.B. Rut 2,14; nicht gemeint ist hier Charoset (das Fruchtmus, das zu den vorgeschriebenen Speißen eines Passaseders gehört); auch dieses wurde vermutlich erst einige Jahrzehnte nach Jesu Tod eingeführt (s. Anmerkungen und vgl. Kulp 2005, S. 113).</w:t>
      </w:r>
    </w:p>
  </w:footnote>
  <w:footnote w:id="2307">
    <w:p>
      <w:pPr>
        <w:pStyle w:val="Funote"/>
        <w:rPr/>
      </w:pPr>
      <w:r>
        <w:rPr>
          <w:rStyle w:val="Funotenzeichen"/>
        </w:rPr>
        <w:footnoteRef/>
      </w:r>
      <w:r>
        <w:rPr/>
        <w:tab/>
        <w:t>Menschensohn - Ein weiteres Leitwort bei Markus.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2308">
    <w:p>
      <w:pPr>
        <w:pStyle w:val="Funote"/>
        <w:rPr/>
      </w:pPr>
      <w:r>
        <w:rPr>
          <w:rStyle w:val="Funotenzeichen"/>
        </w:rPr>
        <w:footnoteRef/>
      </w:r>
      <w:r>
        <w:rPr/>
        <w:tab/>
        <w:t>geht - In jüd. Schriften verbreiteter Euphemismus für »Sterben« (vgl. gut z.B. Marcus 2009, S. 951). Bes. häufig bei Joh zu finden, s. z.B. Joh 7,33; 8,21f; 13,3.</w:t>
      </w:r>
    </w:p>
  </w:footnote>
  <w:footnote w:id="2309">
    <w:p>
      <w:pPr>
        <w:pStyle w:val="Funote"/>
        <w:rPr/>
      </w:pPr>
      <w:r>
        <w:rPr>
          <w:rStyle w:val="Funotenzeichen"/>
        </w:rPr>
        <w:footnoteRef/>
      </w:r>
      <w:r>
        <w:rPr/>
        <w:tab/>
        <w:t>wie geschrieben steht - Übliche Formel, um auszudrücken, dass etwas den Prophezeiungen des AT und damit dem Willen Gottes, der sich aus diesen Prophezeiungen herauslesen lässt, entspricht (vgl. z.B. Donner 1994); bei Mk s.. z.B. noch Mk 1,2; 9,12f; 11,17; 14,27. Auf welche Stelle unser Vers sich bezieht, ist aber (wie öfters) ungewiss.</w:t>
      </w:r>
    </w:p>
  </w:footnote>
  <w:footnote w:id="2310">
    <w:p>
      <w:pPr>
        <w:pStyle w:val="Funote"/>
        <w:rPr/>
      </w:pPr>
      <w:r>
        <w:rPr>
          <w:rStyle w:val="Funotenzeichen"/>
        </w:rPr>
        <w:footnoteRef/>
      </w:r>
      <w:r>
        <w:rPr>
          <w:i/>
        </w:rPr>
        <w:tab/>
        <w:t>[Gott] gedankt</w:t>
      </w:r>
      <w:r>
        <w:rPr/>
        <w:t xml:space="preserve"> - Nicht: „[das Brot] gesegnet“. Nach späteren rabbinischen Texten betete man vor dem Hauptgang über dem Brot und nach dem Hauptgang über dem Wein eine sogenannte </w:t>
      </w:r>
      <w:r>
        <w:rPr>
          <w:i/>
        </w:rPr>
        <w:t>Berakah</w:t>
      </w:r>
      <w:r>
        <w:rPr/>
        <w:t xml:space="preserve">; über dem Brot z.B.: „[Gepriesen bist du, Herr unser Gott, König des Alls], der du das Brot der Erde hervorbringst“ (m.Ber. 6,1). Ein ähnliches Gebet müssen wir uns auch bei Jesus denken; die Didache z.B. empfiehlt daher als Eucharistiegebet eine „christianisierte“ Form einer solchen Berakah: „Wir danken dir, unser Vater, für das Leben und die Erkenntnis, die du uns kundgetan hast durch Jesus, deinen Knecht. Dir sei die Herrlichkeit in Ewigkeit!“ (Did 9,3). Dass </w:t>
      </w:r>
      <w:hyperlink r:id="rId423">
        <w:r>
          <w:rPr>
            <w:rStyle w:val="Internetverknpfung"/>
          </w:rPr>
          <w:t>Lk 22,19</w:t>
        </w:r>
      </w:hyperlink>
      <w:r>
        <w:rPr/>
        <w:t xml:space="preserve"> und </w:t>
      </w:r>
      <w:r>
        <w:fldChar w:fldCharType="begin"/>
      </w:r>
      <w:r>
        <w:rPr>
          <w:rStyle w:val="Internetverknpfung"/>
        </w:rPr>
        <w:instrText> HYPERLINK "../../../../../../../../../wiki/1_Korinther_11" \l "s24"</w:instrText>
      </w:r>
      <w:r>
        <w:rPr>
          <w:rStyle w:val="Internetverknpfung"/>
        </w:rPr>
        <w:fldChar w:fldCharType="separate"/>
      </w:r>
      <w:r>
        <w:rPr>
          <w:rStyle w:val="Internetverknpfung"/>
        </w:rPr>
        <w:t>1 Kor 11,24</w:t>
      </w:r>
      <w:r>
        <w:rPr>
          <w:rStyle w:val="Internetverknpfung"/>
        </w:rPr>
        <w:fldChar w:fldCharType="end"/>
      </w:r>
      <w:r>
        <w:rPr/>
        <w:t xml:space="preserve"> statt hier „danken“ statt „segnen“ stehen haben, ist nicht bedeutsam; eine Berakah </w:t>
      </w:r>
      <w:r>
        <w:rPr>
          <w:i/>
        </w:rPr>
        <w:t>ist</w:t>
      </w:r>
      <w:r>
        <w:rPr/>
        <w:t xml:space="preserve"> ein Dankgebet und „Gepriesen bist du, der du / denn du...“ </w:t>
      </w:r>
      <w:r>
        <w:rPr>
          <w:i/>
        </w:rPr>
        <w:t>meint nur</w:t>
      </w:r>
      <w:r>
        <w:rPr/>
        <w:t xml:space="preserve"> „Danke dafür, dass...“.</w:t>
      </w:r>
    </w:p>
  </w:footnote>
  <w:footnote w:id="2311">
    <w:p>
      <w:pPr>
        <w:pStyle w:val="Funote"/>
        <w:rPr/>
      </w:pPr>
      <w:r>
        <w:rPr>
          <w:rStyle w:val="Funotenzeichen"/>
        </w:rPr>
        <w:footnoteRef/>
      </w:r>
      <w:r>
        <w:rPr/>
        <w:tab/>
        <w:t>nachdem er [Gott] gepriesen hatte, brach er [es] - Die üblichen jüdischen Gesten zur Eröffnung einer Hauptmahlzeit (vgl. z.B. gut Hofius 1988, S. 379). Markus scheint diese Handlung ans Ende der Hauptmahlzeit verschoben zu haben (s. dazu FN ab).</w:t>
      </w:r>
    </w:p>
  </w:footnote>
  <w:footnote w:id="2312">
    <w:p>
      <w:pPr>
        <w:pStyle w:val="Funote"/>
        <w:rPr/>
      </w:pPr>
      <w:r>
        <w:rPr>
          <w:rStyle w:val="Funotenzeichen"/>
        </w:rPr>
        <w:footnoteRef/>
      </w:r>
      <w:r>
        <w:rPr/>
        <w:tab/>
        <w:t>tFN: dies - Immer wieder wiederholt worden ist in letzter Zeit die Analyse von Luz, das Neutrum »dies« könne sich nicht auf das Maskulinum »Brot« beziehen und müsse daher die Handlung des Brotbrechens und -verteilens meinen (so z.B. Heininger 2005, S. 44; Niemand 2002, S. 97; Luz 2002, S. 4f; Schröter 2006, S. 128; Trummer 2001, S. 136f). Das ist falsch. Im Griechischen richten sich Demonstrativpronomen sogar häufiger im Genus nach der Subjektsergänzung (hier also das Neutrum »Leib«) als nicht (vgl. HvS §263e; z.St. auch Söding 2002, S. 55; Weidemann 2013, S. 84f). Dass mit »dies« also nicht das Brot, sondern die Handlung bezeichnet wird, ist grammatisch möglich, aber keinesfalls notwendig und auch nicht sehr wahrscheinlich.</w:t>
      </w:r>
    </w:p>
  </w:footnote>
  <w:footnote w:id="2313">
    <w:p>
      <w:pPr>
        <w:pStyle w:val="Funote"/>
        <w:rPr/>
      </w:pPr>
      <w:r>
        <w:rPr>
          <w:rStyle w:val="Funotenzeichen"/>
        </w:rPr>
        <w:footnoteRef/>
      </w:r>
      <w:r>
        <w:rPr/>
        <w:tab/>
        <w:t>Hierzu s. die Anmerkungen.</w:t>
      </w:r>
    </w:p>
  </w:footnote>
  <w:footnote w:id="2314">
    <w:p>
      <w:pPr>
        <w:pStyle w:val="Funote"/>
        <w:rPr/>
      </w:pPr>
      <w:r>
        <w:rPr>
          <w:rStyle w:val="Funotenzeichen"/>
        </w:rPr>
        <w:footnoteRef/>
      </w:r>
      <w:r>
        <w:rPr/>
        <w:tab/>
        <w:t>Becher (Kelch) - Eher „Becher“ als „Kelch“. Das Wort ist bis vor Kurzem intensiver im anglophonen Sprachraum diskutiert worden, da dort in der kath. Kirche bis zur Revision des Römischen Messbuchs die Übersetzung „cup“ („Becher“) in Gebrauch war, nach der Revision aber durch „chalice“ („Kelch“) abgelöst wurde. Im Griechischen steht hier poterion, womit allgemein Trinkgefäße bezeichnet wurden; die Entsprechung von „Kelch“ wäre tendenziell eher kylix. Das Missale übersetzt dennoch „Kelch“, um so der Übersetzungsentscheidung von Hieronymus in der Vulgata zu folgen (calix). Calix aber wurde zu Hieronymus Zeit allgemein für Trinkgefäße verwendet (daher übersetzt er z.B. auch in Mt 10,42 poterion mit calix, wo klar ein Becher gemeint ist), weshalb auch in der VUL beide Deutungen möglich sind. In den dt. Üss. sind beide Varianten gebräuchlich.</w:t>
      </w:r>
    </w:p>
  </w:footnote>
  <w:footnote w:id="2315">
    <w:p>
      <w:pPr>
        <w:pStyle w:val="Funote"/>
        <w:rPr/>
      </w:pPr>
      <w:r>
        <w:rPr>
          <w:rStyle w:val="Funotenzeichen"/>
        </w:rPr>
        <w:footnoteRef/>
      </w:r>
      <w:r>
        <w:rPr>
          <w:i/>
        </w:rPr>
        <w:tab/>
        <w:t>[Gott] gedankt</w:t>
      </w:r>
      <w:r>
        <w:rPr/>
        <w:t xml:space="preserve"> - hierzu s. </w:t>
      </w:r>
      <w:r>
        <w:fldChar w:fldCharType="begin"/>
      </w:r>
      <w:r>
        <w:rPr>
          <w:rStyle w:val="Internetverknpfung"/>
        </w:rPr>
        <w:instrText> HYPERLINK "http://offene-bibel.de/mediawiki/index.php?title=Markus_14" \l "note_aj"</w:instrText>
      </w:r>
      <w:r>
        <w:rPr>
          <w:rStyle w:val="Internetverknpfung"/>
        </w:rPr>
        <w:fldChar w:fldCharType="separate"/>
      </w:r>
      <w:r>
        <w:rPr>
          <w:rStyle w:val="Internetverknpfung"/>
        </w:rPr>
        <w:t>FN aj</w:t>
      </w:r>
      <w:r>
        <w:rPr>
          <w:rStyle w:val="Internetverknpfung"/>
        </w:rPr>
        <w:fldChar w:fldCharType="end"/>
      </w:r>
      <w:r>
        <w:rPr/>
        <w:t>. m.Ber 6,1 empfiehlt als Berakah über dem Weinbecher „[Gepriesen bist du, Herr unser Gott, König des Alls], der du die Frucht des Weinstocks geschaffen hast“; die christianisierte Berakah der Didache lautet „Wir danken dir, unser Vater, für den heiligen Weinstocks Davids, deines Knechtes, den du uns kundgetan hast durch Jesus, deinen Knecht. Dir sei die Herrlichkeit in Ewigkeit!“ (Did 9,2).</w:t>
      </w:r>
    </w:p>
  </w:footnote>
  <w:footnote w:id="2316">
    <w:p>
      <w:pPr>
        <w:pStyle w:val="Funote"/>
        <w:rPr/>
      </w:pPr>
      <w:r>
        <w:rPr>
          <w:rStyle w:val="Funotenzeichen"/>
        </w:rPr>
        <w:footnoteRef/>
      </w:r>
      <w:r>
        <w:rPr/>
        <w:tab/>
        <w:t>Hierzu und zum nächsten Vers s. die Anmerkungen</w:t>
      </w:r>
    </w:p>
  </w:footnote>
  <w:footnote w:id="2317">
    <w:p>
      <w:pPr>
        <w:pStyle w:val="Funote"/>
        <w:rPr/>
      </w:pPr>
      <w:r>
        <w:rPr>
          <w:rStyle w:val="Funotenzeichen"/>
        </w:rPr>
        <w:footnoteRef/>
      </w:r>
      <w:r>
        <w:rPr/>
        <w:tab/>
        <w:t>Textkritik: neuen - Nicht wenige Handschriften haben hier ein zusätzliches »neue« – zweifellos eine Angleichung an Lk 22,20; 1 Kor 11,25 und damit sekundär (so z.B. auch TCNT).</w:t>
      </w:r>
    </w:p>
  </w:footnote>
  <w:footnote w:id="2318">
    <w:p>
      <w:pPr>
        <w:pStyle w:val="Funote"/>
        <w:rPr/>
      </w:pPr>
      <w:r>
        <w:rPr>
          <w:rStyle w:val="Funotenzeichen"/>
        </w:rPr>
        <w:footnoteRef/>
      </w:r>
      <w:r>
        <w:rPr/>
        <w:tab/>
        <w:t>viele - dient vermutlich zum Ausdruck des Zahlenverhältnisses: Einer vergießt sein Blut für viele. S. genauer unten.Auch dieses Wort wird aktuell sehr heftig diskutiert, daher auch hierzu eine etwas längere Erklärung der Diskussion und zur Rechtfertigung der Übersetzung. Hintergrund der Diskussion ist der, dass in der kath. Liturgie in Deutschland lange Zeit die Formulierung »das für euch und für alle vergossen wird« gebräuchlich war. In einem Brief der Kongregation für den Gottesdienst und die Sakramentenordnung von 2006 wurde stattdessen die Übersetzung »für viele« vorgeschrieben, und vor allem infolge eines Folgebriefes von Benedikt XVI. an die deutschen Bischöfe entbrannte ein heftiger und leider seltenst sachlich geführter Streit, der mittlerweile nur noch oberflächlich etwas mit der Übersetzung selbst zu tun hat. Beide Parteien berufen sich auf Jes 53,12. Weil auch dort von jemandem die Rede sei, der für die Sünden anderer stirbt und wegen den gemeinsamen Vokabeln »vergossen« und eben »viele« sei klar, dass Mk hier die Jes-Stelle zitiert. Die einen leiten daraus ab, dass das »viele« in Jesaja wie oft im Hebräischen als »alle« verstanden werden müsse und dass dies demnach auch die Bedeutung des »viele« bei Mk sei; die anderen erkennen zwar die Bedeutung »alle« in Jesaja (und meistens auch Markus!) an, fordern aber dennoch eine »wörtliche« Übersetzung in Mk, damit der Bezug zu Jes erkennbar sei und keine Deutung in die Mk-Übersetzung eingetragen werde. Beide Argumentationen sind sehr problematisch. Zunächst wurde zu ntl Zeiten nicht der heb. Jes-Text verwendet, sondern entweder die LXX-Übersetzung oder ein Targum. Die LXX-Übersetzung lautet aber nicht »Weil er sein Leben in den Tod ausgegossen hat«, sondern »weil er seine Seele in den Tod auslieferte«, die von TgJ »Weil er sein Leben dem Tod übergab«. Der einzige Bezug im Vokabular ist damit das »viele«, und auf dieser Basis von einem »Zitat« zu sprechen, geht durchaus nicht an (so z.B. richtig Chilton 1994, S. 87; Dunn 2003, S. 815f.; Schröter 2006, S. 129; übrigens sogar Benedikt, obwohl er im Folgenden dann doch mit dem Jes-Text argumentiert). Sodann motivisch: Der Gottesknecht im Jes-Text wurde im frühen 1. Jahrhundert überhaupt nicht als Paradigma eines Menschen aufgefasst, der die Sünden anderer Menschen auf sich nimmt – weder in jüdischen noch in christlichen Texten. Im NT z.B. wird Jes 52,13-53,12 insgesamt sieben Mal zitiert – und nur im spätesten Text, 1 Pet 2,22-25, ist er Paradigma dieses Motivs (vgl. z.B. Zager 1996, S. 180f). Aus diesem Grund kommen heute immer mehr Wissenschaftler von der Vorstellung ab, dass das Gottesknechtslied ein Vorbild für die ntl Texte gewesen sei (vgl. z.B. Versnel 2005, S. 215 und die dort zusammengetragene Literatur). Und weiter: Gerade, wenn wir dennoch davon ausgingen, dass hier ein Jes-Zitat vorläge, gingen beide Argumentationen am Text vorbei, denn der Zweck des »Viele« wäre dann wie in Jes nicht die Identifikation einer Zielgruppe der »Leistung« von Gottesknecht und Jesus, sondern der Ausdruck eines Zahlenverhältnisses: Einer nimmt die Verfehlungen von Vielen auf sich / legt für viele Fürsprache ein / vergießt sein Blut für viele; s. ähnlich z.B. 1 Kor 10,17: »Weil es ein Brot ist, sind wir – wir viele – ein Leib.« So ist das »viele« hier wahrscheinlich auch unabhängig von der Jes-Stelle zu verstehen. Und schließlich: Selbst dann, wenn die Übersetzung »alle« sich hier ebenso gut rechtfertigen ließe wie »viele«: Nur von den wenigsten Üss. wird sie gewählt (z.B. GN, KAM); daher nach Kriterium 1b auch von uns nicht. Welche Übersetzung die sinnvollste für eine Messliturgie ist, ist natürlich eine andere Frage.</w:t>
      </w:r>
    </w:p>
  </w:footnote>
  <w:footnote w:id="2319">
    <w:p>
      <w:pPr>
        <w:pStyle w:val="Funote"/>
        <w:rPr/>
      </w:pPr>
      <w:r>
        <w:rPr>
          <w:rStyle w:val="Funotenzeichen"/>
        </w:rPr>
        <w:footnoteRef/>
      </w:r>
      <w:r>
        <w:rPr/>
        <w:tab/>
        <w:t>Zum Gesamtsinn des Verses s. die Anmerkungen. Die Formulierung lässt sich am leichtesten genetisch erklären. Die Vorstellung, dass ein Mensch »für andere« sterben könne, stammt ursprünglich aus dem hellenistischen Kulturraum und ist dort gerade in der ntl. Zeit außerordentlich populär (s. bes. das von Versnel 2005 auf S. 230-244 zusammengetragene Material): Zürnte eine Gottheit einer Person/einem Volk/ ..., konnte ein Mensch ersatzweise für diese Person/dieses Volk/... sterben und so die Gottheit beschwichtigen (vgl. gut z.B. Breytenbach 2003). Relativ rein lässt sich dieser Gedanke z.B. auch in den johanneischen Schriften betrachten (s. z.B. Joh 10,11.15; 15,13; 1 Joh 3,16. Bei unserer Stelle ist diese Vorstellung aber verschmolzen mit einer weiteren Vorstellung; diesmal aus dem jüdischen Kulturraum: Wenn Gott einer Person zürnt, liegt das nach jüd. Vorstellung an den Sünden dieser Person, die wie eine Trennwand zwischen die Person und Gott treten. Eingerissen werden muss diese Trennwand durch en Opfer – durch die Darbringung von Opferblut -, dessen Effekt die Errichtung eines »Bundes« zwischen Gott und dem Opfernden ist (s. Ex 24,8; Sach 9,11; vgl. z.B. Willi-Plein 1993, S. 97f. S. bes. die Variante von Ex 24,8 im etwa zeitgleich zum Mk entstandenen TgO: »Da nahm Mose das Blut und sprengte es auf den Altar, um für das Volk Sühnung zu schaffen...«). Kombiniert lauten die beiden Vorstellungen dann: Jemand, der für jemanden stirbt, wird so zum »Opfer« für diesen zum Zwecke der Sühnung seiner Sünden (vgl. gut Merklein 1986, S. 71). Diese »Vorstellungskombination« wird z.B. auch in Joh 1,29; Röm 3,25f und Heb 9,13-15 auf Jesus übertragen; außerhalb des NT findet sich die Vorstellung z.B. auch in 4 Makk 17,21f. und j.Sanh. 11,5.</w:t>
      </w:r>
    </w:p>
  </w:footnote>
  <w:footnote w:id="2320">
    <w:p>
      <w:pPr>
        <w:pStyle w:val="Funote"/>
        <w:rPr/>
      </w:pPr>
      <w:r>
        <w:rPr>
          <w:rStyle w:val="Funotenzeichen"/>
        </w:rPr>
        <w:footnoteRef/>
      </w:r>
      <w:r>
        <w:rPr/>
        <w:tab/>
        <w:t>[von] ihm erneut (ihn als neuen) - Beide Positionen werden in der Forschung vertreten; für die erste z.B. Gundry 2000, S. 834; Marcus 2009, S. 959; für die zweite z.B. France 2002, S. 572; NSS. »Ihn als neuen« soll dann vom »neuen [Wein]« sprechen und dieser widerum ein Symbol für das »messianische Bankett« sein, das nach dem endgültigen Anbruch des Reiches Gottes stattfinden wird. tirosh, »neuer Wein«, ist im AT aber meist als durchaus innerweltliches, aktuell vorhandenes Getränk gedacht und daher schlicht als »Most« zu übersetzen, und auch syntaktisch ist diese Auflösung ganz unwahrscheinlich. Der Satz ist vielmehr als Todesprophetie aufzufassen: Hiermit trinkt Jesus seinen letzten Becher Wein, doch schon bald – nämlich im Reich Gottes, das Jesus für die näheste Zukunft erwartete – wird er von Neuem mit dem Trinken beginnen.</w:t>
      </w:r>
    </w:p>
  </w:footnote>
  <w:footnote w:id="2321">
    <w:p>
      <w:pPr>
        <w:pStyle w:val="Funote"/>
        <w:rPr/>
      </w:pPr>
      <w:r>
        <w:rPr>
          <w:rStyle w:val="Funotenzeichen"/>
        </w:rPr>
        <w:footnoteRef/>
      </w:r>
      <w:r>
        <w:rPr/>
        <w:tab/>
        <w:t>[Loblieder] gesungen - W. „gelobliedet“; gemeint sind vielleicht die Psalmen 115-118, die man evt. schon zu dieser Zeit, sicher aber später üblicherweise am Ende des Pesachmahls sang (vgl. z.B. France 2002, S. 573). B/N daher: „Jesus und die Jünger sangen den Hymnus, den man nach dem Passahmahl singt...“ Ohnehin wurden aber bei jedem griechischen Symposium religiöse Lieder gesungen; u.a. z.B. ein die abschließende Becherhandlung (s. u.) begleitender „Paian“. Wenn zu Jesu Zeit die Psalmen 115-118 noch nicht der übliche Abschlussgesang des Paschamahl waren, könnte hier gut auch ein solcher gemeint sein.</w:t>
      </w:r>
    </w:p>
  </w:footnote>
  <w:footnote w:id="2322">
    <w:p>
      <w:pPr>
        <w:pStyle w:val="Funote"/>
        <w:rPr/>
      </w:pPr>
      <w:r>
        <w:rPr>
          <w:rStyle w:val="Funotenzeichen"/>
        </w:rPr>
        <w:footnoteRef/>
      </w:r>
      <w:r>
        <w:rPr>
          <w:i/>
        </w:rPr>
        <w:tab/>
        <w:t>Ölberg</w:t>
      </w:r>
      <w:r>
        <w:rPr/>
        <w:t xml:space="preserve"> - Ein Ort bei Jerusalem, zu dem Jesus nach </w:t>
      </w:r>
      <w:r>
        <w:fldChar w:fldCharType="begin"/>
      </w:r>
      <w:r>
        <w:rPr>
          <w:rStyle w:val="Internetverknpfung"/>
        </w:rPr>
        <w:instrText> HYPERLINK "../../../../../../../../../wiki/Lukas_21" \l "s37"</w:instrText>
      </w:r>
      <w:r>
        <w:rPr>
          <w:rStyle w:val="Internetverknpfung"/>
        </w:rPr>
        <w:fldChar w:fldCharType="separate"/>
      </w:r>
      <w:r>
        <w:rPr>
          <w:rStyle w:val="Internetverknpfung"/>
        </w:rPr>
        <w:t>Lk 21,37</w:t>
      </w:r>
      <w:r>
        <w:rPr>
          <w:rStyle w:val="Internetverknpfung"/>
        </w:rPr>
        <w:fldChar w:fldCharType="end"/>
      </w:r>
      <w:r>
        <w:rPr/>
        <w:t xml:space="preserve"> häufiger zum Beten ging und wo er sich schon öfter mit seinen Jüngern versammelt hatte (vgl. </w:t>
      </w:r>
      <w:r>
        <w:fldChar w:fldCharType="begin"/>
      </w:r>
      <w:r>
        <w:rPr>
          <w:rStyle w:val="Internetverknpfung"/>
        </w:rPr>
        <w:instrText> HYPERLINK "../../../../../../../../../wiki/Johannes_18" \l "s2"</w:instrText>
      </w:r>
      <w:r>
        <w:rPr>
          <w:rStyle w:val="Internetverknpfung"/>
        </w:rPr>
        <w:fldChar w:fldCharType="separate"/>
      </w:r>
      <w:r>
        <w:rPr>
          <w:rStyle w:val="Internetverknpfung"/>
        </w:rPr>
        <w:t>Joh 18,2</w:t>
      </w:r>
      <w:r>
        <w:rPr>
          <w:rStyle w:val="Internetverknpfung"/>
        </w:rPr>
        <w:fldChar w:fldCharType="end"/>
      </w:r>
      <w:r>
        <w:rPr/>
        <w:t>).</w:t>
      </w:r>
    </w:p>
  </w:footnote>
  <w:footnote w:id="2323">
    <w:p>
      <w:pPr>
        <w:pStyle w:val="Funote"/>
        <w:rPr/>
      </w:pPr>
      <w:r>
        <w:rPr>
          <w:rStyle w:val="Funotenzeichen"/>
        </w:rPr>
        <w:footnoteRef/>
      </w:r>
      <w:r>
        <w:rPr/>
        <w:tab/>
        <w:t>zu Fall kommen (ärgern) – Beide Üss. sind möglich; letztere dann i.S.v. »an mir Anstoß nehmen« (so die meisten Üss.). Wegen V. 30 ist die primäre Üs. aber die wahrscheinlichere: »die Jünger werden die Glaubensprobe, die ihnen mit dem Leiden Jesu aufgegeben ist, nicht bestehen« (Gnilka 1979, S. 252). So z.B. auch H-R, KAR, WIL, ZÜR.</w:t>
      </w:r>
    </w:p>
  </w:footnote>
  <w:footnote w:id="2324">
    <w:p>
      <w:pPr>
        <w:pStyle w:val="Funote"/>
        <w:rPr/>
      </w:pPr>
      <w:r>
        <w:rPr>
          <w:rStyle w:val="Funotenzeichen"/>
        </w:rPr>
        <w:footnoteRef/>
      </w:r>
      <w:r>
        <w:rPr>
          <w:i/>
        </w:rPr>
        <w:tab/>
        <w:t>Weil geschrieben steht</w:t>
      </w:r>
      <w:r>
        <w:rPr/>
        <w:t xml:space="preserve"> - Wie in </w:t>
      </w:r>
      <w:r>
        <w:fldChar w:fldCharType="begin"/>
      </w:r>
      <w:r>
        <w:rPr>
          <w:rStyle w:val="Internetverknpfung"/>
        </w:rPr>
        <w:instrText> HYPERLINK "../../../../../../../../../wiki/Markus_9" \l "s11"</w:instrText>
      </w:r>
      <w:r>
        <w:rPr>
          <w:rStyle w:val="Internetverknpfung"/>
        </w:rPr>
        <w:fldChar w:fldCharType="separate"/>
      </w:r>
      <w:r>
        <w:rPr>
          <w:rStyle w:val="Internetverknpfung"/>
        </w:rPr>
        <w:t>Mk 9,11</w:t>
      </w:r>
      <w:r>
        <w:rPr>
          <w:rStyle w:val="Internetverknpfung"/>
        </w:rPr>
        <w:fldChar w:fldCharType="end"/>
      </w:r>
      <w:r>
        <w:rPr/>
        <w:t xml:space="preserve">; </w:t>
      </w:r>
      <w:r>
        <w:fldChar w:fldCharType="begin"/>
      </w:r>
      <w:r>
        <w:rPr>
          <w:rStyle w:val="Internetverknpfung"/>
        </w:rPr>
        <w:instrText> HYPERLINK "../../../../../../../../../wiki/Markus_14" \l "s21"</w:instrText>
      </w:r>
      <w:r>
        <w:rPr>
          <w:rStyle w:val="Internetverknpfung"/>
        </w:rPr>
        <w:fldChar w:fldCharType="separate"/>
      </w:r>
      <w:r>
        <w:rPr>
          <w:rStyle w:val="Internetverknpfung"/>
        </w:rPr>
        <w:t>14,21</w:t>
      </w:r>
      <w:r>
        <w:rPr>
          <w:rStyle w:val="Internetverknpfung"/>
        </w:rPr>
        <w:fldChar w:fldCharType="end"/>
      </w:r>
      <w:r>
        <w:rPr/>
        <w:t xml:space="preserve"> zeigt sich hier, dass nach Markus Jesus schon längst aus dem Alten Testament die dort vorgezeichneten Geschehnisse um seine Passion weiß (vgl. auch </w:t>
      </w:r>
      <w:r>
        <w:fldChar w:fldCharType="begin"/>
      </w:r>
      <w:r>
        <w:rPr>
          <w:rStyle w:val="Internetverknpfung"/>
        </w:rPr>
        <w:instrText> HYPERLINK "../../../../../../../../../wiki/Markus_9" \l "s31"</w:instrText>
      </w:r>
      <w:r>
        <w:rPr>
          <w:rStyle w:val="Internetverknpfung"/>
        </w:rPr>
        <w:fldChar w:fldCharType="separate"/>
      </w:r>
      <w:r>
        <w:rPr>
          <w:rStyle w:val="Internetverknpfung"/>
        </w:rPr>
        <w:t>Mk 9,31</w:t>
      </w:r>
      <w:r>
        <w:rPr>
          <w:rStyle w:val="Internetverknpfung"/>
        </w:rPr>
        <w:fldChar w:fldCharType="end"/>
      </w:r>
      <w:r>
        <w:rPr/>
        <w:t xml:space="preserve">; </w:t>
      </w:r>
      <w:r>
        <w:fldChar w:fldCharType="begin"/>
      </w:r>
      <w:r>
        <w:rPr>
          <w:rStyle w:val="Internetverknpfung"/>
        </w:rPr>
        <w:instrText> HYPERLINK "../../../../../../../../../wiki/Markus_10" \l "s34"</w:instrText>
      </w:r>
      <w:r>
        <w:rPr>
          <w:rStyle w:val="Internetverknpfung"/>
        </w:rPr>
        <w:fldChar w:fldCharType="separate"/>
      </w:r>
      <w:r>
        <w:rPr>
          <w:rStyle w:val="Internetverknpfung"/>
        </w:rPr>
        <w:t>10,34</w:t>
      </w:r>
      <w:r>
        <w:rPr>
          <w:rStyle w:val="Internetverknpfung"/>
        </w:rPr>
        <w:fldChar w:fldCharType="end"/>
      </w:r>
      <w:r>
        <w:rPr/>
        <w:t>) und und um die Notwendigkeit, mit der diese ablaufen werden.</w:t>
      </w:r>
    </w:p>
  </w:footnote>
  <w:footnote w:id="2325">
    <w:p>
      <w:pPr>
        <w:pStyle w:val="Funote"/>
        <w:rPr/>
      </w:pPr>
      <w:r>
        <w:rPr>
          <w:rStyle w:val="Funotenzeichen"/>
        </w:rPr>
        <w:footnoteRef/>
      </w:r>
      <w:r>
        <w:rPr/>
        <w:tab/>
        <w:t xml:space="preserve">Deutliches, aber freies Zitat aus </w:t>
      </w:r>
      <w:hyperlink r:id="rId424">
        <w:r>
          <w:rPr>
            <w:rStyle w:val="Internetverknpfung"/>
          </w:rPr>
          <w:t>Sach 13,7</w:t>
        </w:r>
      </w:hyperlink>
      <w:r>
        <w:rPr/>
        <w:t xml:space="preserve">. Dort aber fordert Gott </w:t>
      </w:r>
      <w:r>
        <w:rPr>
          <w:i/>
        </w:rPr>
        <w:t>andere</w:t>
      </w:r>
      <w:r>
        <w:rPr/>
        <w:t xml:space="preserve"> auf, den Hirten zu schlagen – hier dagegen führt er selbst das Schwert.</w:t>
      </w:r>
    </w:p>
  </w:footnote>
  <w:footnote w:id="2326">
    <w:p>
      <w:pPr>
        <w:pStyle w:val="Funote"/>
        <w:rPr/>
      </w:pPr>
      <w:r>
        <w:rPr>
          <w:rStyle w:val="Funotenzeichen"/>
        </w:rPr>
        <w:footnoteRef/>
      </w:r>
      <w:r>
        <w:rPr/>
        <w:tab/>
        <w:t>zweimaligen Krähen des Hahns - der zweite Hahnenschrei markiert in der griechisch-römischen Literatur den Anbruch des Morgens (vgl. Brown 1994, S. 137; Gnilka 1979, S. 254; Klostermann 1950, S. 149); die dritte Zeitangabe meint also das selbe wie die Vorangegangene.</w:t>
      </w:r>
    </w:p>
  </w:footnote>
  <w:footnote w:id="2327">
    <w:p>
      <w:pPr>
        <w:pStyle w:val="Funote"/>
        <w:rPr/>
      </w:pPr>
      <w:r>
        <w:rPr>
          <w:rStyle w:val="Funotenzeichen"/>
        </w:rPr>
        <w:footnoteRef/>
      </w:r>
      <w:r>
        <w:rPr/>
        <w:tab/>
        <w:t>[überaus] vehement - Gr. ekperissos; sonst unbelegtes Wort, dass perissos („überaus“) wohl noch einmal steigert; vgl. Brown 1994, S. 138.</w:t>
      </w:r>
    </w:p>
  </w:footnote>
  <w:footnote w:id="2328">
    <w:p>
      <w:pPr>
        <w:pStyle w:val="Funote"/>
        <w:rPr/>
      </w:pPr>
      <w:r>
        <w:rPr>
          <w:rStyle w:val="Funotenzeichen"/>
        </w:rPr>
        <w:footnoteRef/>
      </w:r>
      <w:r>
        <w:rPr/>
        <w:tab/>
        <w:t>miniatur|rechts|Ölpresse in Kafarnaum. By Abraham [CC BY-SA 4.0], from Wikimedia Commons Getsemani - Der Name kommt vom Aramäischen gat schemane („Ölpresse“). Nach Joh 18,1 war das Grundstück ein „Garten“, und in der Tat dürfte eine Ölpresse mindestens in der Nähe der Olivengärten auf dem Ölberg gestanden haben. Seit dem frühen 4. Jh. wird daher als dieser Ort eine Höhle verehrt, in der eine solche Platz gehabt hätte; ob dies wirklich Jesu „Getsemani“ war und wo das Grundstück sonst gewesen sein könnte, lässt sich aber nicht mehr mit Sicherheit sagen.</w:t>
      </w:r>
    </w:p>
  </w:footnote>
  <w:footnote w:id="2329">
    <w:p>
      <w:pPr>
        <w:pStyle w:val="Funote"/>
        <w:rPr/>
      </w:pPr>
      <w:r>
        <w:rPr>
          <w:rStyle w:val="Funotenzeichen"/>
        </w:rPr>
        <w:footnoteRef/>
      </w:r>
      <w:r>
        <w:rPr/>
        <w:tab/>
        <w:t>begann, erschreckt und verängstigt zu sein - Hendiadyoin: Die Beschreibung von Jesu Empfindungen mit zwei Wörtern mit verwandter Bedeutung soll die Beschreibung noch intensivieren. Sinnvoll daher NeÜ: „Er wurde von schrecklicher Angst und von Grauen gepackt“, JJ: „Er fing an, sehr bestürzt und geängstigt zu sein“; schön auch B/N, H-R, LUT17, MEN, PAT, R-S, ZÜR: „Er begann, zu zittern und zu zagen.“</w:t>
      </w:r>
    </w:p>
  </w:footnote>
  <w:footnote w:id="2330">
    <w:p>
      <w:pPr>
        <w:pStyle w:val="Funote"/>
        <w:rPr/>
      </w:pPr>
      <w:r>
        <w:rPr>
          <w:rStyle w:val="Funotenzeichen"/>
        </w:rPr>
        <w:footnoteRef/>
      </w:r>
      <w:r>
        <w:rPr/>
        <w:tab/>
        <w:t>Meine Seele ist zu Tode betrübt – d.h. entweder »so traurig, dass es sich wie Sterben anfühlt« (Pfäfflin: »Sterbenstraurig ists mir zumute«) oder »so traurig, dass ich davon bald umkomme« (HfA: »Ich zerbreche beinahe unter der Last, die ich zu tragen habe«; NeÜ: »Die Qualen meiner Seele bringen mich fast um«). Theoretisch möglich, aber sicher falsch ist BB, die sich wohl an Jon 4,9 LXX orientieren: »Ich bin ganz verzweifelt. Am liebsten wäre ich tot.« – Jesus will ja gerade nicht sterben.</w:t>
      </w:r>
    </w:p>
  </w:footnote>
  <w:footnote w:id="2331">
    <w:p>
      <w:pPr>
        <w:pStyle w:val="Funote"/>
        <w:rPr/>
      </w:pPr>
      <w:r>
        <w:rPr>
          <w:rStyle w:val="Funotenzeichen"/>
        </w:rPr>
        <w:footnoteRef/>
      </w:r>
      <w:r>
        <w:rPr/>
        <w:tab/>
        <w:t>warf er sich (fiel er) auf die Erde - Im Judentum der Antike betete man für gewöhnlich stehend (vgl. Mk 6,41; Lk 18,11 u.ö.). Das kniende Beten mit zu Boden geneigtem Haupt (Mt 26,39: Er „fiel auf sein Gesicht“) ist daher ungewöhnlich, wenn auch nicht ohne Parallelen (vgl. Offb 5,14; TestJob 1,13; 9,14; JosAs 14,3; auch Lk 5,12), und drückt besondere Unterwürfigkeit (oder, weniger wahrscheinlich, große Panik (so Gundry 2000, S. 855)) aus.</w:t>
      </w:r>
    </w:p>
  </w:footnote>
  <w:footnote w:id="2332">
    <w:p>
      <w:pPr>
        <w:pStyle w:val="Funote"/>
        <w:rPr/>
      </w:pPr>
      <w:r>
        <w:rPr>
          <w:rStyle w:val="Funotenzeichen"/>
        </w:rPr>
        <w:footnoteRef/>
      </w:r>
      <w:r>
        <w:rPr>
          <w:i/>
        </w:rPr>
        <w:tab/>
        <w:t>die Stunde vorüberginge</w:t>
      </w:r>
      <w:r>
        <w:rPr/>
        <w:t xml:space="preserve"> - gemeint ist, wie V. 41 klar macht, die Stunde, da er verraten würde.</w:t>
      </w:r>
    </w:p>
  </w:footnote>
  <w:footnote w:id="2333">
    <w:p>
      <w:pPr>
        <w:pStyle w:val="Funote"/>
        <w:rPr/>
      </w:pPr>
      <w:r>
        <w:rPr>
          <w:rStyle w:val="Funotenzeichen"/>
        </w:rPr>
        <w:footnoteRef/>
      </w:r>
      <w:r>
        <w:rPr/>
        <w:tab/>
        <w:t>Abba, Vater - Gr. abba ho pater; wie in Röm 8,15 und Gal 4,6 folgt hier auf den aramäischen Vokativ »Oh Vater« der griechische gleichbedeutende Vokativ »Oh Vater«; daraus und aus den beiden parallelen Stellen dürfen wir wohl ableiten, dass es sich hier um eine im Urchristentum verbreitete Anrede Gottes zur Einleitung eines Gebets handelt (vgl. z.B. Brown 1994, S. 175), die vielleicht darauf zurückzuführen ist, dass Jesus selbst seinen Anhängern empfohlen hat, im Gebet Gott genau so anzusprechen: abba, »Vater!« (vgl. das in FN q zu Mt 6,9 zu »Vater« vs. »Vater unser im Himmel« Gesagte).</w:t>
      </w:r>
    </w:p>
  </w:footnote>
  <w:footnote w:id="2334">
    <w:p>
      <w:pPr>
        <w:pStyle w:val="Funote"/>
        <w:rPr/>
      </w:pPr>
      <w:r>
        <w:rPr>
          <w:rStyle w:val="Funotenzeichen"/>
        </w:rPr>
        <w:footnoteRef/>
      </w:r>
      <w:r>
        <w:rPr/>
        <w:tab/>
        <w:t>Becher (Kelch) - Metapher, die sich auch in Mk 10,38 findet. Der »Becher« an sich ist eine unspezifische Metapher für das Schicksal eines Menschen; s. Ps 11,6; 16,5; Ez 23,31-33; Hab 2,16; wohl auch Ps 23,5. Ps 16,5 und 23,5 zeigen, dass das durch dieses Bild bestimmte Schicksal auch positiv sein kann, meist wird die Metapher aber negativ gefüllt: Besonders verbreitet ist (1) das speziellere Bild vom »Zornesbecher« (JHWH gibt jmdm den Becher seines Zorns zu trinken = JHWH verdammt jmdn zu Leid und/oder Tod; s. Ps 75,9; Jes 51,17.22; Jer 25,15-18; 49,12; 51,7; Klg 4,21; Klg 4,21; Ez 23,31-34; Sach 12,2; Offb 14,10; 16,19); bes. um die Abfassungszeit des Mk verbreitet ist (2) außerdem das Bild vom Becher als dem »Schicksal des Märtyrertodes«, s. MartPol 14,2 (»Ich danke dir, dass ich zu deinen Märtyrern gehören und am Becher Christi teilhaben darf«), MartJes 5,13 (Jesaja bei seinem gewaltsamen Tod: »Nur für mich hat Gott diesen Becher gemischt«) und der Ausdruck »(bitterer) Becher des Todes« in TestAb 16,12; TgN zu Dtn 32,1 und TgN, TgJ, TgF zu Gen 40,23. Verwandt ist vielleicht auch der Ausdruck »den Tod schmecken« für »sterben« in Mk 9,1; Joh 8,52; Heb 2,9 und häufiger in der frühjüdischen Literatur. (2) ist sicher auch hier gemeint; so aber einzig GN, die in einer FN auf das »frühjüdische Bild vom Becher des Märtyrertodes« verweisen.Die meisten anderen Üss. - wenn sie nicht bloß wörtlich übersetzen - deuten den Becher als Metapher für Leid: CEB, GNB, HfA, God's Word, NCV, NeÜ, NGÜ, NIRV, NL, NLB, Weymouth u.a. ergänzen entweder »bitterer Kelch« oder häufiger »Kelch des Leidens«. Hilfreicher B/S: »Mach, daß ich diesen Leidensbecher nicht austrinken muss.«; KAM: »Erspare mir diese schwere Stunde und bewahre mich vor diesem Leiden!«; T4T: »Rescue me so that I do not have to suffer now!«. Auch BB erläutert in einer FN, der Becher stehe »für das Leiden, das Jesus bevorsteht« (ebenso die Easy-to-Read Version).</w:t>
      </w:r>
    </w:p>
  </w:footnote>
  <w:footnote w:id="2335">
    <w:p>
      <w:pPr>
        <w:pStyle w:val="Funote"/>
        <w:rPr/>
      </w:pPr>
      <w:r>
        <w:rPr>
          <w:rStyle w:val="Funotenzeichen"/>
        </w:rPr>
        <w:footnoteRef/>
      </w:r>
      <w:r>
        <w:rPr>
          <w:i/>
        </w:rPr>
        <w:tab/>
        <w:t>darum, dass (damit)</w:t>
      </w:r>
      <w:r>
        <w:rPr/>
        <w:t xml:space="preserve"> - das entsprechende gr. Wort könnte sich sowohl nur auf „betet“ als auch auf beide Verben beziehen: Entweder ist das nicht-in-Versuchung-Geraten dasjenige, worum gebeten werden soll, oder der Effekt des Wachens und Betens.</w:t>
      </w:r>
    </w:p>
  </w:footnote>
  <w:footnote w:id="2336">
    <w:p>
      <w:pPr>
        <w:pStyle w:val="Funote"/>
        <w:rPr/>
      </w:pPr>
      <w:r>
        <w:rPr>
          <w:rStyle w:val="Funotenzeichen"/>
        </w:rPr>
        <w:footnoteRef/>
      </w:r>
      <w:r>
        <w:rPr/>
        <w:tab/>
        <w:t>Geist – Fleisch - Gemeint ist nicht der Hl. Geist im Gegensatz zum Menschen, wie z.B. B/S deuten (»Der Heilige Geist macht mutig, aber als bloße Menschen sind wir feige«), sondern etwas wie in Röm 7,14-24 und Gal 5,16-25: Auch im gut gesinnten Menschen liegen stets diese seine gute Gesinnung und seine menschliche Schwäche miteinander im Streit; um mit der guten Gesinnung daher die menschliche Schwäche zu überkommen, bedarf es des Gebets. Sinngemäß daher richtig HfA (ähnlich KAM): »Ich weiß, ihr wollt das Beste, aber aus eigener Kraft könnt ihr es nicht erreichen«; auch God's Word und Names of God: »You want to do what's right, but you're weak«; T4T: »You want to do what I say, but you are not strong enough to actually do it«; Worldwide English: »A person's heart can want to do it, but his body is weak.«</w:t>
      </w:r>
    </w:p>
  </w:footnote>
  <w:footnote w:id="2337">
    <w:p>
      <w:pPr>
        <w:pStyle w:val="Funote"/>
        <w:rPr/>
      </w:pPr>
      <w:r>
        <w:rPr>
          <w:rStyle w:val="Funotenzeichen"/>
        </w:rPr>
        <w:footnoteRef/>
      </w:r>
      <w:r>
        <w:rPr/>
        <w:tab/>
        <w:t>Textkritik: Viele wichtige Handschriften auch: „Und nachdem er erneut gekommen war, fand er sie schlafend [vor]“. Schwierige Entscheidung; EÜ16 folgt z.B. der Variante im Fließtext, LUT17 dagegen der alternativen Variante. Diese ist aber eher zu erklären als eine Angleichung sowohl an V. 39 als auch an die fast gleichlautende Parallelstelle Mt 26,43, als dass man unsere Primär-variante als eine Abwandlung der Sekundär-variante zur Herstellung stilistisch besserer Varianz werten sollte (denn warum sollte dann das palin („erneut“) nur drei Wörter nach hinten verschoben worden sein, anstatt es zu streichen?).</w:t>
      </w:r>
    </w:p>
  </w:footnote>
  <w:footnote w:id="2338">
    <w:p>
      <w:pPr>
        <w:pStyle w:val="Funote"/>
        <w:rPr/>
      </w:pPr>
      <w:r>
        <w:rPr>
          <w:rStyle w:val="Funotenzeichen"/>
        </w:rPr>
        <w:footnoteRef/>
      </w:r>
      <w:r>
        <w:rPr/>
        <w:tab/>
        <w:t>Vorausgesetzt, aber nicht ausgeführt ist hier eine erneute Aufforderung Jesu an die Jünger.</w:t>
      </w:r>
    </w:p>
  </w:footnote>
  <w:footnote w:id="2339">
    <w:p>
      <w:pPr>
        <w:pStyle w:val="Funote"/>
        <w:rPr/>
      </w:pPr>
      <w:r>
        <w:rPr>
          <w:rStyle w:val="Funotenzeichen"/>
        </w:rPr>
        <w:footnoteRef/>
      </w:r>
      <w:r>
        <w:rPr/>
        <w:tab/>
        <w:t>Vorausgesetzt, aber nicht ausgeführt, ist, dass Jesus ein drittes Mal fortgeht und betet. Es ist sehr deutlich: Zunehmend gerät hier nicht in den Fokus, was Jesus tut und wie er empfindet, sondern die Schwäche der Jünger.</w:t>
      </w:r>
    </w:p>
  </w:footnote>
  <w:footnote w:id="2340">
    <w:p>
      <w:pPr>
        <w:pStyle w:val="Funote"/>
        <w:rPr/>
      </w:pPr>
      <w:r>
        <w:rPr>
          <w:rStyle w:val="Funotenzeichen"/>
        </w:rPr>
        <w:footnoteRef/>
      </w:r>
      <w:r>
        <w:rPr/>
        <w:tab/>
        <w:t>Von nun an könnt ihr schlafen und euch ausruhen, es langt. - Sehr schwieriger Vers; besondere Schwierigkeiten macht das allein stehende apechei (»es langt«), das daher von einigen Handschriften gestrichen, von anderen um to telos ergänzt worden ist: »Das Ziel ist erlangt«. Jedes der Worte macht hier Schwierigkeiten: # Von nun an (a) wird von fast allen übersetzt mit »immer noch« oder »schon wieder«; diese Bedeutung ist aber unbelegt. (b) Seine gewöhnliche Bed. ist »von jetzt an«; (c) einige haben außerdem vorgeschlagen, es stehe hier für »den Rest« (nämlich der Nacht: »Wollt ihr den Rest [der Nacht] schlafen?« (z.B. Marcus 2009, S. 980) (d) oder könne auch als bloßes Funktionswort (»dann also«) gebraucht werden: »Dann schlaft also!« (z.B. Brown 1994, S. 208). # Ihr könnt schlafen und euch ausruhen: Die beiden Verben könnten von ihrer Form her sowohl Imperativ als auch Indikativ und der Satz sowohl ein Frage- als auch ein Aussagesatz sein, möglich ist daher jede der folgenden Versionen:(a) Eine Erlaubnis (permissiver Imperativ): »Ihr dürft schlafen und euch ausruhen.«(b) Ein sarkastischer Befehl: »Dann schlaft doch! Ruht euch nur aus!«(c) Eine Feststellung, die wohl als Vorwurf verstanden werden muss: »Ihr schlaft und ruht euch aus!«(d) Eine Frage, die dann ebenfalls als Vorwurf verstanden werden müsste: »Ihr schlaft und ruht euch aus!?« # Es langt: (a) »Es langt,« ihr könnt aufhören, euch darum zu bemühen, wach zu bleiben (unsere Deutung).(b) »Es langt [mit eurem Schlafen]!« (viele Üss.; z.B. B/S, KAM, T4T, The Passion Translation, The Voice, WIL)(c) »Er (nämlich Judas) hat's erlangt«, nämlich das Geld für seinen Verrat (Brown 1994, S. 201: »The money is paid«).(d) »Sie ist erlangt«, also erreicht – nämlich die Zeit, da Jesu verraten wird (BB, MSG, NGÜ, NLT, R-S: »Es ist so weit!)«(e) »Das Ziel ist erlangt« / »Es ist erlangt« / »Das Ziel ist erlangt? [Nein:] ...« / »Es ist erlangt? [Nein:] ...« Vier Varianten der selben Deutung, die sich an der Hinzufügung von to telos (»das Ziel«) in einigen Handschriften orientieren. Einige halten to telos für ursprünglich; andere gauben, to telos sei sekundär und sei für diese Deutung auch nicht notwendig. So JJ: »Das Erwartete ist da!«; auch Evans 2001, S. 416; Marcus 2009, S. 980.(f) »Er (nämlich Judas) ist fern«; so Gundry 2000, S. 857, der davon ausgeht, das zwischen dieser Äußerung und dem direkt nachfolgenden Satz eine längere Zeitspanne vergeht und dass Jesus den Jüngern deshalb für diese Zeit das Schlafen erlaubt. Besser dann aber »Er ist fern? [Nein,] ...«</w:t>
      </w:r>
    </w:p>
  </w:footnote>
  <w:footnote w:id="2341">
    <w:p>
      <w:pPr>
        <w:pStyle w:val="Funote"/>
        <w:rPr/>
      </w:pPr>
      <w:r>
        <w:rPr>
          <w:rStyle w:val="Funotenzeichen"/>
        </w:rPr>
        <w:footnoteRef/>
      </w:r>
      <w:r>
        <w:rPr/>
        <w:tab/>
        <w:t>Menge - unspezifische Bezeichnung, die sich sowohl auf eine „Zivilistenmenge“ – einen „Mob“ (CEB) – beziehen könnte als auch auf ein großes Kommando aus Tempelwächtern und Polizeitruppen. Die Bewaffnung ist nicht aussagekräftig: Auch Zivilisten konnten Schwerter tragen, auch Soldaten Keulen. Dass sie „von den Hohepriestern usw.“ kommen, macht letzteres etwas wahrscheinlicher; letztlich lässt es sich aber nicht mit Sicherheit sagen, wie die „Menge“ zusammengesetzt war und sowohl eine Übersetzung mit „Mob“ als auch eine Übersetzung der Keulen mit „Schlagstöcken“, um die Träger eindeutig als Polizisten zu identifizieren (so schön Lohfink 2011, S. 385), wäre eine Überinterpretation.</w:t>
      </w:r>
    </w:p>
  </w:footnote>
  <w:footnote w:id="2342">
    <w:p>
      <w:pPr>
        <w:pStyle w:val="Funote"/>
        <w:rPr/>
      </w:pPr>
      <w:r>
        <w:rPr>
          <w:rStyle w:val="Funotenzeichen"/>
        </w:rPr>
        <w:footnoteRef/>
      </w:r>
      <w:r>
        <w:rPr/>
        <w:tab/>
        <w:t>Schwertern und Keulen - auffälliger, als es auf den ersten Blick scheint. Die Geschehnisse tragen sich zu in der Nacht vom 14. auf den 15. Nisan, der Pascha-Nacht. Für diese Festnacht galten aber die gleichen Vorschriften wie für den Sabbat (s. Ex 12,16; Lev 23,7; Num 28,18) und zu diesen gehörte auch das Verbot, Lasten – und also auch Waffen – zu tragen (vgl. Dalman 1922, S. 89). Außer Kraft gesetzt war dieses Gebot nur in Fällen der Todesgefahr (s. t.Sab 15,11; b.Yom 84b), in denen man also z.B. Waffen benötigte, um sein Leben zu retten. Übertrat man wissentlich dieses Verbot, war die angemessene Strafe der Tod (s. Num 15,30-36). Aus der Perspektive des Lesers, der weiß, dass von Jesus natürlich keine Todesgefahr ausgeht, wird also klar: Die Bewaffneten versündigen sich hier sehr schwer.</w:t>
      </w:r>
    </w:p>
  </w:footnote>
  <w:footnote w:id="2343">
    <w:p>
      <w:pPr>
        <w:pStyle w:val="Funote"/>
        <w:rPr/>
      </w:pPr>
      <w:r>
        <w:rPr>
          <w:rStyle w:val="Funotenzeichen"/>
        </w:rPr>
        <w:footnoteRef/>
      </w:r>
      <w:r>
        <w:rPr>
          <w:i/>
        </w:rPr>
        <w:tab/>
        <w:t>Hohepriestern und Schriftgelehrten und Ältesten</w:t>
      </w:r>
      <w:r>
        <w:rPr/>
        <w:t xml:space="preserve"> - Wie in </w:t>
      </w:r>
      <w:r>
        <w:fldChar w:fldCharType="begin"/>
      </w:r>
      <w:r>
        <w:rPr>
          <w:rStyle w:val="Internetverknpfung"/>
        </w:rPr>
        <w:instrText> HYPERLINK "../../../../../../../../../wiki/Markus_8" \l "s31"</w:instrText>
      </w:r>
      <w:r>
        <w:rPr>
          <w:rStyle w:val="Internetverknpfung"/>
        </w:rPr>
        <w:fldChar w:fldCharType="separate"/>
      </w:r>
      <w:r>
        <w:rPr>
          <w:rStyle w:val="Internetverknpfung"/>
        </w:rPr>
        <w:t>Mk 8,31</w:t>
      </w:r>
      <w:r>
        <w:rPr>
          <w:rStyle w:val="Internetverknpfung"/>
        </w:rPr>
        <w:fldChar w:fldCharType="end"/>
      </w:r>
      <w:r>
        <w:rPr/>
        <w:t xml:space="preserve"> die drei Gruppen, die an der Spitze der jüd. Religion standen.</w:t>
      </w:r>
    </w:p>
  </w:footnote>
  <w:footnote w:id="2344">
    <w:p>
      <w:pPr>
        <w:pStyle w:val="Funote"/>
        <w:rPr/>
      </w:pPr>
      <w:r>
        <w:rPr>
          <w:rStyle w:val="Funotenzeichen"/>
        </w:rPr>
        <w:footnoteRef/>
      </w:r>
      <w:r>
        <w:rPr/>
        <w:tab/>
        <w:t>küssen (V. 44), küsste (V. 45) - Die Handlung an sich ist nicht bedeutsam; der Kuss (meist auf die Stirn, die Wange oder die Hand) war eine gewöhnliche Form der Begrüßung (s. Ex 4,27; Apg 20,37; Röm 16,16; 1 Kor 16,20; 1 Thess 5,26; 1 Pet 5,14), besonders zwischen Lehrern und ihren Schülern (s. 1 Esra 4,47; t.Hag 2,1; b.Hag 14b; b.Sot 13a). Wie hier aber der Kuss zu bewerten ist, ist klar gesagt: Er ist ein Signal zur Verhaftung Jesu. Mk 14,44 greift damit das verbreitete Motiv des heuchlerischen Kusses auf; s. noch in Gen 27,26f.; 2 Sam 15,5; 20,9; Spr 7,13; 27,6; Sir 29,5. Unterstrichen wird dies noch damit, dass der Kuss als Signal ja gar nicht nötig wäre; schon durch das »Rabbi!« in V. 45 wird ja Jesus identifizierbar.In V. 45 wird ein leicht anderes Wort für »küssen« verwendet als in V. 44: kataphileo (vs. phileo). Das Präfix kata- kann theoretisch das Verb intensivieren (daher z.B. Ernst 1981, S. 433: »küsste ihn innig«), ist aber hier wohl eher wie auch sonst oft im ntl. Griechisch bedeutungslos (auch in Gen 31,28.55 LXX, Ex 4,27 LXX wird kataphileo statt phileo für den normalen Begrüßungskuss verwendet; Marcus 2009, S. 991.). Ganz unwahrscheinlich ist daher auch, dass das Präfix hier ausdrücken soll, dass Judas Jesus wie in Lk 7,45 auf einen tiefer liegenden Körperteil wie die Füße küsst, wie das z.B. Gundry 2000, S. 859 will.</w:t>
      </w:r>
    </w:p>
  </w:footnote>
  <w:footnote w:id="2345">
    <w:p>
      <w:pPr>
        <w:pStyle w:val="Funote"/>
        <w:rPr/>
      </w:pPr>
      <w:r>
        <w:rPr>
          <w:rStyle w:val="Funotenzeichen"/>
        </w:rPr>
        <w:footnoteRef/>
      </w:r>
      <w:r>
        <w:rPr/>
        <w:tab/>
        <w:t>Textkritik: Rabbi, Rabbi! - In wenigen Handschriften findet sich auch ein doppeltes „Rabbi“; so daher auch z.B. bei JJ, SLT, TAF. Welche Version die ursprüngliche ist, ist schwer entscheidbar, die Bezeugung des doppelten „Rabbi“ ist aber so schlecht, dass man sich deshalb guten Gewissens mit den meisten Üss. für unsere Primärvariante entscheiden kann.</w:t>
      </w:r>
    </w:p>
  </w:footnote>
  <w:footnote w:id="2346">
    <w:p>
      <w:pPr>
        <w:pStyle w:val="Funote"/>
        <w:rPr/>
      </w:pPr>
      <w:r>
        <w:rPr>
          <w:rStyle w:val="Funotenzeichen"/>
        </w:rPr>
        <w:footnoteRef/>
      </w:r>
      <w:r>
        <w:rPr/>
        <w:tab/>
        <w:t>Ein Gewisser von den Dabeistehenden - Doppelt unspezifischer Ausdruck. Nach Mt und Lk war es einer der Jünger, nach Joh Petrus. Gundry 2000, S. 860 glaubt dagegen, die Rede sei hier von einem der Soldaten, da nur von diesen gesagt sei, dass sie Schwerter hätten. Beides sagt Mk aber gerade nicht; hier ist der Handelnde (wie in Mk 14,69f.; 15,35.39 „einer der Dabeistehenden“; Inhaber einer so unbedeutenden Nebenrolle, dass es nicht nötig ist, ihn näher zu charakterisieren. Richtig daher wohl Brown 1994, S. 266; Evans 2001, S. 424: Die Rede ist von einem, der zu keiner der beiden Parteiungen gehört, sondern zufällig zugegen ist. Gerade nicht also: „One of the disciples“ (T4T), „Einer von den Männern, die bei Jesus standen“ (HfA, NeÜ, NGÜ, NLT) oder gar „Einer von den Männern, die bei Jesus waren, wollte das verhindern. Er zog sein Schwert...“ (KAM).</w:t>
      </w:r>
    </w:p>
  </w:footnote>
  <w:footnote w:id="2347">
    <w:p>
      <w:pPr>
        <w:pStyle w:val="Funote"/>
        <w:rPr/>
      </w:pPr>
      <w:r>
        <w:rPr>
          <w:rStyle w:val="Funotenzeichen"/>
        </w:rPr>
        <w:footnoteRef/>
      </w:r>
      <w:r>
        <w:rPr/>
        <w:tab/>
        <w:t>In JosAnt XIV,366 und t.Par 3,8 findet sich jeweils eine Erzählung, in der einem Hohepriester das Ohr abgeschnitten wird, wodurch dieser aufgrund dieses körperlichen Makels fortan nicht mehr dazu geeignet ist, Hohepriester zu sein (s. Lev 21,16-23; in V. 18 fügt LXX gar noch explizit hinzu: „Keiner, dessen Ohr abgeschnitten ist [darf den Dienst am Allerheiligsten versehen]“). So verstehen auch unsere Stelle Daube 1960; Lampe 1984; Lohmeyer 1951, S. 322; Rostovtzeff 1934 und Viviano 1989: Der Angriff auf den Diener des Hohepriesters ist als symbolische Handlung zu verstehen, mit der dem Hohepriester über diese Handlung an seinem Repräsentanten die Eignung zum Hohepriestertum abgesprochen wird.</w:t>
      </w:r>
    </w:p>
  </w:footnote>
  <w:footnote w:id="2348">
    <w:p>
      <w:pPr>
        <w:pStyle w:val="Funote"/>
        <w:rPr/>
      </w:pPr>
      <w:r>
        <w:rPr>
          <w:rStyle w:val="Funotenzeichen"/>
        </w:rPr>
        <w:footnoteRef/>
      </w:r>
      <w:r>
        <w:rPr/>
        <w:tab/>
        <w:t>antwortete - markinisches apokrinomai (dazu vgl. Kleist 1937, S. 162f.): „Antworten“ hier nicht als Reaktion auf eine Anrede oder Frage, sondern auf einen Sachverhalt oder Tatbestand: Jesus ergreift das Wort und nimmt Bezug auf die Tatsache, dass seine Häscher mit Schwertern und Keulen gegen ihn ausgezogen sind.</w:t>
      </w:r>
    </w:p>
  </w:footnote>
  <w:footnote w:id="2349">
    <w:p>
      <w:pPr>
        <w:pStyle w:val="Funote"/>
        <w:rPr/>
      </w:pPr>
      <w:r>
        <w:rPr>
          <w:rStyle w:val="Funotenzeichen"/>
        </w:rPr>
        <w:footnoteRef/>
      </w:r>
      <w:r>
        <w:rPr/>
        <w:tab/>
        <w:t>Räuber (Rebellen, Aufwiegler) - Gr. lästäs. Etwa zeitgleich zur Abfassung des Mk ist dieser Begriff bei Josephus beinahe terminus technicus für Aufwiegler, für »präpolitische Rebellen«, die auf der Seite der jüdischen Landbevölkerung gegen die römische Macht im Land kämpften (vgl. z.B. Horsley/Hanson 1985, S. 48). So wollen das Wort auch hier einige Exegeten verstehen, weil Jesus doch nie wie ein »Räuber« eines Gewaltverbrechens bezichtigt worden sei (z.B. Evans 2001, S. 424; auch CJB, PAT). Gemeint sind hier aber wohl doch Räuber: Der Gebrauch von Waffen in dieser Festnacht wäre nur in Lebensgefahr zulässig gewesen (s.o.); Jesu Häscher sind also ausgezogen wie gegen einen, von dem Lebensgefahr ausgeht. Die häufige allgemeine Üs. »Verbrecher« verfehlt dies.</w:t>
      </w:r>
    </w:p>
  </w:footnote>
  <w:footnote w:id="2350">
    <w:p>
      <w:pPr>
        <w:pStyle w:val="Funote"/>
        <w:rPr/>
      </w:pPr>
      <w:r>
        <w:rPr>
          <w:rStyle w:val="Funotenzeichen"/>
        </w:rPr>
        <w:footnoteRef/>
      </w:r>
      <w:r>
        <w:rPr/>
        <w:tab/>
        <w:t>Tag für Tag (Tagsüber) - Beide Üss. sind möglich, die primäre Üs. findet sich in fast allen Üss. und ist auch sonst stets die Bed. des Ausdrucks im Mk. Die Schwierigkeit bei dieser Üs. ist aber, dass Jesus nach der Logik des Mk durchaus nicht »Tag für Tag« im Tempel war; von seinem Wirken dort wird ausschließlich in Mk 11,17; Mk 11,27-12,44 berichtet, wo er sich zwei Tage lang im Tempel aufhielt. Einige wollen daher sattdessen mit »Tagsüber« übersetzen (z.B. Marcus 2009, S. 993): »Tagsüber war ich doch im Tempel, ihr aber wollt mich nachts ergreifen!« Doch für diesen Aufenthalt tagsüber wird von keiner Lehrtätigkeit Jesu berichtet, so dass dies eher unwahrscheinlich ist.</w:t>
      </w:r>
    </w:p>
  </w:footnote>
  <w:footnote w:id="2351">
    <w:p>
      <w:pPr>
        <w:pStyle w:val="Funote"/>
        <w:rPr/>
      </w:pPr>
      <w:r>
        <w:rPr>
          <w:rStyle w:val="Funotenzeichen"/>
        </w:rPr>
        <w:footnoteRef/>
      </w:r>
      <w:r>
        <w:rPr>
          <w:i/>
        </w:rPr>
        <w:tab/>
        <w:t>im Tempel</w:t>
      </w:r>
      <w:r>
        <w:rPr/>
        <w:t xml:space="preserve"> - gemeint ist der öffentlich zugängliche Vorhof des Tempels.</w:t>
      </w:r>
    </w:p>
  </w:footnote>
  <w:footnote w:id="2352">
    <w:p>
      <w:pPr>
        <w:pStyle w:val="Funote"/>
        <w:rPr/>
      </w:pPr>
      <w:r>
        <w:rPr>
          <w:rStyle w:val="Funotenzeichen"/>
        </w:rPr>
        <w:footnoteRef/>
      </w:r>
      <w:r>
        <w:rPr>
          <w:i/>
        </w:rPr>
        <w:tab/>
        <w:t>[Es sei], dass die Schriften erfüllt werden!</w:t>
      </w:r>
      <w:r>
        <w:rPr/>
        <w:t xml:space="preserve"> - D.h.: „Nun wohl, die Schriften müssen erfüllt werden!“, imperativisches </w:t>
      </w:r>
      <w:r>
        <w:rPr>
          <w:i/>
        </w:rPr>
        <w:t>hina</w:t>
      </w:r>
      <w:r>
        <w:rPr/>
        <w:t xml:space="preserve">: Das „dass“/„damit“ markiert hier, dass das Folgende erfüllt werden </w:t>
      </w:r>
      <w:r>
        <w:rPr>
          <w:i/>
        </w:rPr>
        <w:t>muss</w:t>
      </w:r>
      <w:r>
        <w:rPr/>
        <w:t xml:space="preserve">. An konkrete Schriftstellen ist hier wohl nicht gedacht; die „Schriften“ sind hier eher ein Ausdruck für „Gottes Wille, der sich (auch) aus den heiligen Schriften herauslesen lässt“: Gottes </w:t>
      </w:r>
      <w:r>
        <w:rPr>
          <w:i/>
        </w:rPr>
        <w:t>Heilsplan</w:t>
      </w:r>
      <w:r>
        <w:rPr/>
        <w:t xml:space="preserve"> muss erfüllt werden, nämlich der, dass Jesus unter die Verbrecher gerechnet und hingerichtet wird. Jesus fügt sich mit diesem Ausruf in sein Schicksal, was dann Anlass für die Flucht seiner Anhänger im nächsten Vers ist.</w:t>
      </w:r>
    </w:p>
  </w:footnote>
  <w:footnote w:id="2353">
    <w:p>
      <w:pPr>
        <w:pStyle w:val="Funote"/>
        <w:rPr/>
      </w:pPr>
      <w:r>
        <w:rPr>
          <w:rStyle w:val="Funotenzeichen"/>
        </w:rPr>
        <w:footnoteRef/>
      </w:r>
      <w:r>
        <w:rPr/>
        <w:tab/>
        <w:t>folgte ihm - wohl nicht: „folgte ihm [im Gegensatz zu den anderen, die flohen]“: Imperfekt (statt Aorist wie „fliehen“); gesagt wird, dass auch der junge Mann „ein Nachfolger Jesu war“. Daher nicht „Ein junger Mann allerdings folgte Jesus“ (HfA, NeÜ, NGÜ) o.Ä. Auch er flieht, aber auf bes. schmachvolle Weise; s. die Anmerkungen.</w:t>
      </w:r>
    </w:p>
  </w:footnote>
  <w:footnote w:id="2354">
    <w:p>
      <w:pPr>
        <w:pStyle w:val="Funote"/>
        <w:rPr/>
      </w:pPr>
      <w:r>
        <w:rPr>
          <w:rStyle w:val="Funotenzeichen"/>
        </w:rPr>
        <w:footnoteRef/>
      </w:r>
      <w:r>
        <w:rPr>
          <w:i/>
        </w:rPr>
        <w:tab/>
        <w:t>Leinentuch</w:t>
      </w:r>
      <w:r>
        <w:rPr/>
        <w:t xml:space="preserve"> - hierzu s. die Anmerkungen.</w:t>
      </w:r>
    </w:p>
  </w:footnote>
  <w:footnote w:id="2355">
    <w:p>
      <w:pPr>
        <w:pStyle w:val="Funote"/>
        <w:rPr/>
      </w:pPr>
      <w:r>
        <w:rPr>
          <w:rStyle w:val="Funotenzeichen"/>
        </w:rPr>
        <w:footnoteRef/>
      </w:r>
      <w:r>
        <w:rPr/>
        <w:tab/>
        <w:t>V. 53 gehört entgegen der üblichen Aufteilung wohl noch zur vorigen Perikope: Das Mk ist häufig strukturiert nach dem Strukturprinzip des sog. „markinischen Sandwich“: Eine Perikope wird in zwei Perikopen aufgeteilt und eine dritte Perikope zwischen die beiden Teile geschoben. Hier gehört V. 54 deutlich Vv. 66-72, aufzuteilen ist also wohl: Vv. 43-53 - V. 54 - Vv. 55-65 - Vv. 66-72.</w:t>
      </w:r>
    </w:p>
  </w:footnote>
  <w:footnote w:id="2356">
    <w:p>
      <w:pPr>
        <w:pStyle w:val="Funote"/>
        <w:rPr/>
      </w:pPr>
      <w:r>
        <w:rPr>
          <w:rStyle w:val="Funotenzeichen"/>
        </w:rPr>
        <w:footnoteRef/>
      </w:r>
      <w:r>
        <w:rPr>
          <w:i/>
        </w:rPr>
        <w:tab/>
        <w:t>oberste Priester</w:t>
      </w:r>
      <w:r>
        <w:rPr/>
        <w:t xml:space="preserve"> Auf Griechisch ebenfalls „Hohepriester“. </w:t>
      </w:r>
    </w:p>
  </w:footnote>
  <w:footnote w:id="2357">
    <w:p>
      <w:pPr>
        <w:pStyle w:val="Funote"/>
        <w:rPr/>
      </w:pPr>
      <w:r>
        <w:rPr>
          <w:rStyle w:val="Funotenzeichen"/>
        </w:rPr>
        <w:footnoteRef/>
      </w:r>
      <w:r>
        <w:rPr>
          <w:i/>
        </w:rPr>
        <w:tab/>
        <w:t>saß er (setzte er sich)</w:t>
      </w:r>
      <w:r>
        <w:rPr/>
        <w:t xml:space="preserve"> - Aufgelöstes „war“+attr. Ptz., das wohl so verstanden werden muss, dass Petrus schon saß – und sich nicht eben erst setzte. Es scheint ein Zeitsprung stattgefunden zu haben. Darum wird der Aor. im ersten Satzteil gelegentlich als Plqpf. übersetzt. </w:t>
      </w:r>
    </w:p>
  </w:footnote>
  <w:footnote w:id="2358">
    <w:p>
      <w:pPr>
        <w:pStyle w:val="Funote"/>
        <w:rPr/>
      </w:pPr>
      <w:r>
        <w:rPr>
          <w:rStyle w:val="Funotenzeichen"/>
        </w:rPr>
        <w:footnoteRef/>
      </w:r>
      <w:r>
        <w:rPr/>
        <w:tab/>
        <w:t>Dienern (Wächtern) - Das griechische Wort kann sowohl auf Diener meinen (so Gnilka 1979 2 1989; Collins 2007) als auch hochgestellte Untergebene oder Wächter (so NET Fußnote 78 zu Mk 14,54)</w:t>
      </w:r>
    </w:p>
  </w:footnote>
  <w:footnote w:id="2359">
    <w:p>
      <w:pPr>
        <w:pStyle w:val="Funote"/>
        <w:rPr/>
      </w:pPr>
      <w:r>
        <w:rPr>
          <w:rStyle w:val="Funotenzeichen"/>
        </w:rPr>
        <w:footnoteRef/>
      </w:r>
      <w:r>
        <w:rPr>
          <w:i/>
        </w:rPr>
        <w:tab/>
        <w:t>Licht (Feuer)</w:t>
      </w:r>
      <w:r>
        <w:rPr/>
        <w:t xml:space="preserve"> - Da man sich an Licht nicht wärmen kann, steht es hier metonymisch für Feuer (vgl. Louw/Nida 2,5; a.dt.Ü.).</w:t>
      </w:r>
    </w:p>
  </w:footnote>
  <w:footnote w:id="2360">
    <w:p>
      <w:pPr>
        <w:pStyle w:val="Funote"/>
        <w:rPr/>
      </w:pPr>
      <w:r>
        <w:rPr>
          <w:rStyle w:val="Funotenzeichen"/>
        </w:rPr>
        <w:footnoteRef/>
      </w:r>
      <w:r>
        <w:rPr>
          <w:i/>
        </w:rPr>
        <w:tab/>
        <w:t>von Hand erbauten</w:t>
      </w:r>
      <w:r>
        <w:rPr/>
        <w:t xml:space="preserve"> - D.h. „von Menschen/menschlichen Händen“.</w:t>
      </w:r>
    </w:p>
  </w:footnote>
  <w:footnote w:id="2361">
    <w:p>
      <w:pPr>
        <w:pStyle w:val="Funote"/>
        <w:rPr/>
      </w:pPr>
      <w:r>
        <w:rPr>
          <w:rStyle w:val="Funotenzeichen"/>
        </w:rPr>
        <w:footnoteRef/>
      </w:r>
      <w:r>
        <w:rPr/>
        <w:tab/>
        <w:t xml:space="preserve">Zumindest in der uns überlieferten fraglichen Situation in </w:t>
      </w:r>
      <w:r>
        <w:fldChar w:fldCharType="begin"/>
      </w:r>
      <w:r>
        <w:rPr>
          <w:rStyle w:val="Internetverknpfung"/>
        </w:rPr>
        <w:instrText> HYPERLINK "../../../../../../../../../wiki/Johannes_2" \l "s19"</w:instrText>
      </w:r>
      <w:r>
        <w:rPr>
          <w:rStyle w:val="Internetverknpfung"/>
        </w:rPr>
        <w:fldChar w:fldCharType="separate"/>
      </w:r>
      <w:r>
        <w:rPr>
          <w:rStyle w:val="Internetverknpfung"/>
        </w:rPr>
        <w:t>Joh 2,19</w:t>
      </w:r>
      <w:r>
        <w:rPr>
          <w:rStyle w:val="Internetverknpfung"/>
        </w:rPr>
        <w:fldChar w:fldCharType="end"/>
      </w:r>
      <w:r>
        <w:rPr/>
        <w:t xml:space="preserve"> sagt Jesus aber nicht, dass er den Tempel abreißen würde, sondern er fordert die jüdischen Führer dazu auf, spielt aber in Wirklichkeit auf seinen eigenen Körper an (</w:t>
      </w:r>
      <w:r>
        <w:fldChar w:fldCharType="begin"/>
      </w:r>
      <w:r>
        <w:rPr>
          <w:rStyle w:val="Internetverknpfung"/>
        </w:rPr>
        <w:instrText> HYPERLINK "../../../../../../../../../wiki/Johannes_2" \l "s21"</w:instrText>
      </w:r>
      <w:r>
        <w:rPr>
          <w:rStyle w:val="Internetverknpfung"/>
        </w:rPr>
        <w:fldChar w:fldCharType="separate"/>
      </w:r>
      <w:r>
        <w:rPr>
          <w:rStyle w:val="Internetverknpfung"/>
        </w:rPr>
        <w:t>2,21-22</w:t>
      </w:r>
      <w:r>
        <w:rPr>
          <w:rStyle w:val="Internetverknpfung"/>
        </w:rPr>
        <w:fldChar w:fldCharType="end"/>
      </w:r>
      <w:r>
        <w:rPr/>
        <w:t xml:space="preserve">). Vielleicht stellt diese Verdrehung die gemachte Falschaussage dar. </w:t>
      </w:r>
    </w:p>
  </w:footnote>
  <w:footnote w:id="2362">
    <w:p>
      <w:pPr>
        <w:pStyle w:val="Funote"/>
        <w:rPr/>
      </w:pPr>
      <w:r>
        <w:rPr>
          <w:rStyle w:val="Funotenzeichen"/>
        </w:rPr>
        <w:footnoteRef/>
      </w:r>
      <w:r>
        <w:rPr/>
        <w:tab/>
        <w:t>[trat] - So NSS nach BA. Vgl. a.dt.Ü.</w:t>
      </w:r>
    </w:p>
  </w:footnote>
  <w:footnote w:id="2363">
    <w:p>
      <w:pPr>
        <w:pStyle w:val="Funote"/>
        <w:rPr/>
      </w:pPr>
      <w:r>
        <w:rPr>
          <w:rStyle w:val="Funotenzeichen"/>
        </w:rPr>
        <w:footnoteRef/>
      </w:r>
      <w:r>
        <w:rPr>
          <w:i/>
        </w:rPr>
        <w:tab/>
        <w:t>trat in die Mitte und</w:t>
      </w:r>
      <w:r>
        <w:rPr/>
        <w:t xml:space="preserve"> - Attr. Ptz. mit Und-Kombination aufgelöst.</w:t>
      </w:r>
    </w:p>
  </w:footnote>
  <w:footnote w:id="2364">
    <w:p>
      <w:pPr>
        <w:pStyle w:val="Funote"/>
        <w:rPr/>
      </w:pPr>
      <w:r>
        <w:rPr>
          <w:rStyle w:val="Funotenzeichen"/>
        </w:rPr>
        <w:footnoteRef/>
      </w:r>
      <w:r>
        <w:rPr>
          <w:i/>
        </w:rPr>
        <w:tab/>
        <w:t>schwieg [weiter]</w:t>
      </w:r>
      <w:r>
        <w:rPr/>
        <w:t xml:space="preserve"> - Das hier verwendete </w:t>
      </w:r>
      <w:hyperlink r:id="rId425">
        <w:r>
          <w:rPr>
            <w:rStyle w:val="Internetverknpfung"/>
          </w:rPr>
          <w:t>Imperfekt</w:t>
        </w:r>
      </w:hyperlink>
      <w:r>
        <w:rPr/>
        <w:t xml:space="preserve"> drückt eine wiederholte oder fortgesetzte Handlung aus. </w:t>
      </w:r>
    </w:p>
  </w:footnote>
  <w:footnote w:id="2365">
    <w:p>
      <w:pPr>
        <w:pStyle w:val="Funote"/>
        <w:rPr/>
      </w:pPr>
      <w:r>
        <w:rPr>
          <w:rStyle w:val="Funotenzeichen"/>
        </w:rPr>
        <w:footnoteRef/>
      </w:r>
      <w:r>
        <w:rPr>
          <w:i/>
        </w:rPr>
        <w:tab/>
        <w:t>Allmächtiger</w:t>
      </w:r>
      <w:r>
        <w:rPr/>
        <w:t xml:space="preserve"> - Eine jüdische Bezeichnung Gottes, um das Aussprechen eines Gottesnamens oder -titels zu vermeiden (TWNT </w:t>
      </w:r>
      <w:r>
        <w:rPr>
          <w:lang w:val="el-GR"/>
        </w:rPr>
        <w:t>δύναμις</w:t>
      </w:r>
      <w:r>
        <w:rPr/>
        <w:t xml:space="preserve"> C.I.c). Der Platz an der rechten Seite des Gastgebers gilt im Orient als Ehrenplatz. </w:t>
      </w:r>
    </w:p>
  </w:footnote>
  <w:footnote w:id="2366">
    <w:p>
      <w:pPr>
        <w:pStyle w:val="Funote"/>
        <w:rPr/>
      </w:pPr>
      <w:r>
        <w:rPr>
          <w:rStyle w:val="Funotenzeichen"/>
        </w:rPr>
        <w:footnoteRef/>
      </w:r>
      <w:r>
        <w:rPr>
          <w:i/>
        </w:rPr>
        <w:tab/>
        <w:t>wie er an der rechten [Seite] des Allmächtigen sitzt</w:t>
      </w:r>
      <w:r>
        <w:rPr/>
        <w:t xml:space="preserve"> - ein Zitat von </w:t>
      </w:r>
      <w:r>
        <w:fldChar w:fldCharType="begin"/>
      </w:r>
      <w:r>
        <w:rPr>
          <w:rStyle w:val="Internetverknpfung"/>
        </w:rPr>
        <w:instrText> HYPERLINK "../../../../../../../../../wiki/Psalm_110" \l "s1"</w:instrText>
      </w:r>
      <w:r>
        <w:rPr>
          <w:rStyle w:val="Internetverknpfung"/>
        </w:rPr>
        <w:fldChar w:fldCharType="separate"/>
      </w:r>
      <w:r>
        <w:rPr>
          <w:rStyle w:val="Internetverknpfung"/>
        </w:rPr>
        <w:t>Ps 110,1</w:t>
      </w:r>
      <w:r>
        <w:rPr>
          <w:rStyle w:val="Internetverknpfung"/>
        </w:rPr>
        <w:fldChar w:fldCharType="end"/>
      </w:r>
    </w:p>
  </w:footnote>
  <w:footnote w:id="2367">
    <w:p>
      <w:pPr>
        <w:pStyle w:val="Funote"/>
        <w:rPr/>
      </w:pPr>
      <w:r>
        <w:rPr>
          <w:rStyle w:val="Funotenzeichen"/>
        </w:rPr>
        <w:footnoteRef/>
      </w:r>
      <w:r>
        <w:rPr/>
        <w:tab/>
        <w:t xml:space="preserve">Das Reiten auf Wolken war eine Handlung, die im vorderen Orient nur Göttern zugeschrieben wurde. </w:t>
      </w:r>
    </w:p>
  </w:footnote>
  <w:footnote w:id="2368">
    <w:p>
      <w:pPr>
        <w:pStyle w:val="Funote"/>
        <w:rPr/>
      </w:pPr>
      <w:r>
        <w:rPr>
          <w:rStyle w:val="Funotenzeichen"/>
        </w:rPr>
        <w:footnoteRef/>
      </w:r>
      <w:r>
        <w:rPr/>
        <w:tab/>
        <w:t>AcP. Oder: „werdet ihn sitzen und kommen sehen“. Beide beschriebenen Handlungen stellen Jesus nicht nur als den versprochenen Retter (Messias), sondern auch als göttlich dar. Durch dieses Bekenntnis hat Jesus die falschen Zeugenaussagen unnötig gemacht und den jüdischen Führern einen Beweis gegeben, um ihn wegen Blasphemie anzuklagen, worauf nach dem Gesetz die Todesstrafe stand.</w:t>
      </w:r>
    </w:p>
  </w:footnote>
  <w:footnote w:id="2369">
    <w:p>
      <w:pPr>
        <w:pStyle w:val="Funote"/>
        <w:rPr/>
      </w:pPr>
      <w:r>
        <w:rPr>
          <w:rStyle w:val="Funotenzeichen"/>
        </w:rPr>
        <w:footnoteRef/>
      </w:r>
      <w:r>
        <w:rPr/>
        <w:tab/>
        <w:t>zerriss seine Kleider - Als Zeichen des Entsetzens riss man bei Gotteslästerung seine Kleider mit einem Ruck am Kragen ein (s. m.San vii 5; vgl. NSS). In Levitikus 21#s10 Lev 21,10 wird aber dem Hohepriester explizit unteragt, seine hohepriesterliche Kleidung zu zerreißen; einmal mehr erweist sich der Hohepriester so als seines Amtes nicht würdig.</w:t>
      </w:r>
    </w:p>
  </w:footnote>
  <w:footnote w:id="2370">
    <w:p>
      <w:pPr>
        <w:pStyle w:val="Funote"/>
        <w:rPr/>
      </w:pPr>
      <w:r>
        <w:rPr>
          <w:rStyle w:val="Funotenzeichen"/>
        </w:rPr>
        <w:footnoteRef/>
      </w:r>
      <w:r>
        <w:rPr/>
        <w:tab/>
        <w:t>Gotteslästerung - Als »gotteslästerlich« erachtet wird wohl hier Jesu Anspruch, dereinst an der rechten Seite Gottes zu sitzen (was sonst nur von besonderen legendarischen Figuren wie Abraham, Moses und David gesagt werden konnte) und auf den Wolken des Himmels wiederzukommen (was sonst nur von Göttern gesagt wird, z.B. in Ps 104,3): Jesus stellt sich hier auf eine Ebene mit Gott. Nach R. Abbahu etwa wird es daher ein Mensch bereuen, wenn er behauptet, Gott zu sein, der Menschensohn zu sein oder in den Himmel aufzufahren (j.Ta'an 2,1). Vgl. zur Gotteslästerung v.a. Bock 2007.</w:t>
      </w:r>
    </w:p>
  </w:footnote>
  <w:footnote w:id="2371">
    <w:p>
      <w:pPr>
        <w:pStyle w:val="Funote"/>
        <w:rPr/>
      </w:pPr>
      <w:r>
        <w:rPr>
          <w:rStyle w:val="Funotenzeichen"/>
        </w:rPr>
        <w:footnoteRef/>
      </w:r>
      <w:r>
        <w:rPr/>
        <w:tab/>
        <w:t>D.h. „schuldig zu sein und den Tod zu verdienen“ (LN 88.313). Anders aufgelöst: „Und sie alle urteilten, dass er des Todes schuldig war.“</w:t>
      </w:r>
    </w:p>
  </w:footnote>
  <w:footnote w:id="2372">
    <w:p>
      <w:pPr>
        <w:pStyle w:val="Funote"/>
        <w:rPr/>
      </w:pPr>
      <w:r>
        <w:rPr>
          <w:rStyle w:val="Funotenzeichen"/>
        </w:rPr>
        <w:footnoteRef/>
      </w:r>
      <w:r>
        <w:rPr/>
        <w:tab/>
        <w:t>spuckten ... verhüllten ... prügelten ... sagten - W. „begannen zu spucken und ...“; ein sog. „markinisches archomai“ („beginnen“, vgl. dazu Kleist 1937, S. 154f.), das nicht ins Dt. zu übersetzen ist (so auch Kleist 1937, S. 229). Viele Üss. (z.B. GN, LUT17, NeÜ, NGÜ) übersetzen es doch.</w:t>
      </w:r>
    </w:p>
  </w:footnote>
  <w:footnote w:id="2373">
    <w:p>
      <w:pPr>
        <w:pStyle w:val="Funote"/>
        <w:rPr/>
      </w:pPr>
      <w:r>
        <w:rPr>
          <w:rStyle w:val="Funotenzeichen"/>
        </w:rPr>
        <w:footnoteRef/>
      </w:r>
      <w:r>
        <w:rPr/>
        <w:tab/>
        <w:t>Textkritik - Nicht wenige Handschriften haben mit Mt 26,68 „Prophezeie uns, Christus: Wer ists, der dich schlägt?“; fast ebenso Lk 22,64: „Prophezeie: Wer ists, der dich schlägt?“. Gleichzeitig findet es sich in so vielen Handschriften nicht, dass es klar sekundär ist und wohl aus Mt in diese Handschriften eingetragen wurde. Textkritisch ist dies für unsere Stelle nicht sehr problematisch, an sich aber höchst interessant, da Mt und Lk ihre Evv. von Mk abgeschrieben haben, ohne einander zu kennen – und sich dieser Zusatz dennoch in beiden Evv. findet, nicht aber im Mk (ein sog. „Minor Agreement“). Vermutlich ist es zu erklären als eine Schöpfung des Lukas, die von Schreibern dann ins Mt eingetragen und von dort dann auch in einige Handschriften des Mk übernommen wurde (vgl. bes. Neirynck 1991; Streeter 1930, S. 325-8).</w:t>
      </w:r>
    </w:p>
  </w:footnote>
  <w:footnote w:id="2374">
    <w:p>
      <w:pPr>
        <w:pStyle w:val="Funote"/>
        <w:rPr/>
      </w:pPr>
      <w:r>
        <w:rPr>
          <w:rStyle w:val="Funotenzeichen"/>
        </w:rPr>
        <w:footnoteRef/>
      </w:r>
      <w:r>
        <w:rPr/>
        <w:tab/>
        <w:t>nahmen sich seiner mit Ohrfeigen an - W. „sie nahmen ihn mit Ohrfeigen“, wohl dir. Übersetzung einer lat. Redewendung (verberibus eum acceperunt, BDR §5,4) mit der obigen Bed. Einige Üs. geben dagegen „nehmen“ die Bed. „in Empfang nehmen“, was evt. auch möglich ist: „sie nahmen ihn mit Schlägen in Empfang“ (z.B. MEN, MNT, PAT, ZÜR; wohl auch Grosvenor/Zerwick).</w:t>
      </w:r>
    </w:p>
  </w:footnote>
  <w:footnote w:id="2375">
    <w:p>
      <w:pPr>
        <w:pStyle w:val="Funote"/>
        <w:rPr/>
      </w:pPr>
      <w:r>
        <w:rPr>
          <w:rStyle w:val="Funotenzeichen"/>
        </w:rPr>
        <w:footnoteRef/>
      </w:r>
      <w:r>
        <w:rPr>
          <w:i/>
        </w:rPr>
        <w:tab/>
        <w:t>unten im Hof</w:t>
      </w:r>
      <w:r>
        <w:rPr/>
        <w:t xml:space="preserve"> (V. 66), </w:t>
      </w:r>
      <w:r>
        <w:rPr>
          <w:i/>
        </w:rPr>
        <w:t>in den Vorhof</w:t>
      </w:r>
      <w:r>
        <w:rPr/>
        <w:t xml:space="preserve"> (V. 68) - Das Haus des Hohepriesters müssen wir uns also wohl vorstellen als ein zweistöckiges Gebäude, zu dem auch erstens ein nach außen hin offener, aber wohl von einem Tor abgetrennter (s. </w:t>
      </w:r>
      <w:hyperlink r:id="rId426">
        <w:r>
          <w:rPr>
            <w:rStyle w:val="Internetverknpfung"/>
          </w:rPr>
          <w:t>Mt 26,71</w:t>
        </w:r>
      </w:hyperlink>
      <w:r>
        <w:rPr/>
        <w:t>) Innenhof und zweitens ein davor gelegener Außen- oder Vorhof gehörte. Jesus wird im Obergeschoss vernommen, Petrus hält sich mit Tempelwächtern und einigen Hausbediensteten im Innenhof auf. Um 1970 wurde in Jerusalem das sogenannte „</w:t>
      </w:r>
      <w:hyperlink r:id="rId427">
        <w:r>
          <w:rPr>
            <w:rStyle w:val="Internetverknpfung"/>
          </w:rPr>
          <w:t>Burnt House</w:t>
        </w:r>
      </w:hyperlink>
      <w:r>
        <w:rPr/>
        <w:t>“ gefunden, ein (nur!) etwa 13x15m großes (und damit!) vergleichsweise luxuriöses Gebäude der Familie Qathros aus der Priesteraristokratie. Auch dieses war zweistöckig und hatte einen entsprechenden Innenhof; die Beschreibung ist also realistisch. Der Innenhof dieses Hauses hat die Maße von nur etwa 2,5x2m, säße man in einem solchen Innenhof also um ein Feuer, säße man sehr dicht gedrängt.</w:t>
      </w:r>
    </w:p>
  </w:footnote>
  <w:footnote w:id="2376">
    <w:p>
      <w:pPr>
        <w:pStyle w:val="Funote"/>
        <w:rPr/>
      </w:pPr>
      <w:r>
        <w:rPr>
          <w:rStyle w:val="Funotenzeichen"/>
        </w:rPr>
        <w:footnoteRef/>
      </w:r>
      <w:r>
        <w:rPr/>
        <w:tab/>
        <w:t>mit - Vgl. Mk 3|14: »Er bestimmt zwölf, damit sie mit ihm seien«; ausgesagt wird also hier wohl, dass Petrus einer der Anhänger Jesus sei (HfA: »Du gehörst doch auch zu diesem Jesus aus Nazareth!«).</w:t>
      </w:r>
    </w:p>
  </w:footnote>
  <w:footnote w:id="2377">
    <w:p>
      <w:pPr>
        <w:pStyle w:val="Funote"/>
        <w:rPr/>
      </w:pPr>
      <w:r>
        <w:rPr>
          <w:rStyle w:val="Funotenzeichen"/>
        </w:rPr>
        <w:footnoteRef/>
      </w:r>
      <w:r>
        <w:rPr/>
        <w:tab/>
        <w:t>leugnete - Nicht: „leugnete es“. Zur Abfassungszeit des Mk war arneomai („leugnen“) ein beladener Begriff, mit dem Christen, mit dem man auch bezeichnete, wenn Christen, die ob ihres Christseins verfolgt und verhört wurden, sich von Jesus lossagten. Petrus wird hier schon anfanghaft zum Apostat (vgl. Lampe 1973, S. 353; Marcus 2009, S. 1023). S. die Anmerkungen.In V. 70 steht „leugnen“ anders als in V. 68 nicht im Aorist, sondern im Imperfekt; ebenso wie das palin („erneut“) unterstreicht hier also die Wortform, dass Petrus hier schon zum zweiten Mal leugnet.</w:t>
      </w:r>
    </w:p>
  </w:footnote>
  <w:footnote w:id="2378">
    <w:p>
      <w:pPr>
        <w:pStyle w:val="Funote"/>
        <w:rPr/>
      </w:pPr>
      <w:r>
        <w:rPr>
          <w:rStyle w:val="Funotenzeichen"/>
        </w:rPr>
        <w:footnoteRef/>
      </w:r>
      <w:r>
        <w:rPr/>
        <w:tab/>
        <w:t>Oder: „Weder weiß ich noch verstehe ich. Was sagst du?“, aber vgl. m.Sheb viii 3.6, wo ein Befragter sich „dumm stellt“: „Ich weiß nicht, was du sagst“. So deutet Mk klar auch Mt 26,70. Vielleicht auch: „Weder kenne ich [ihn] noch verstehe ich, was du sagst“; so könnte Lk 22,57 Mk verstanden haben: „Ich kenne ihn nicht, Weib!“Das „weder ... noch“ ist beim Hendyadioin „wissen und verstehen“ eigentlich ungrammatisch und unterstreicht so die Entschiedenheit, mit der Petrus die Unterstellung der Magd von sich weist (vgl. Brown 1994, S. 600; Gundry 2000, S. 888).</w:t>
      </w:r>
    </w:p>
  </w:footnote>
  <w:footnote w:id="2379">
    <w:p>
      <w:pPr>
        <w:pStyle w:val="Funote"/>
        <w:rPr/>
      </w:pPr>
      <w:r>
        <w:rPr>
          <w:rStyle w:val="Funotenzeichen"/>
        </w:rPr>
        <w:footnoteRef/>
      </w:r>
      <w:r>
        <w:rPr>
          <w:i/>
        </w:rPr>
        <w:tab/>
        <w:t>er ging hinaus nach draußen in den Vorhof</w:t>
      </w:r>
      <w:r>
        <w:rPr/>
        <w:t xml:space="preserve"> - im Gr. drei Ausdrücke, deren jedes bedeutet, dass Petrus sich vom Hof und damit auch von Jesus entfernt: </w:t>
      </w:r>
      <w:r>
        <w:rPr>
          <w:i/>
        </w:rPr>
        <w:t>exälthen</w:t>
      </w:r>
      <w:r>
        <w:rPr/>
        <w:t xml:space="preserve"> („erging hinaus“) </w:t>
      </w:r>
      <w:r>
        <w:rPr>
          <w:i/>
        </w:rPr>
        <w:t>exo</w:t>
      </w:r>
      <w:r>
        <w:rPr/>
        <w:t xml:space="preserve"> („nach draußen“) </w:t>
      </w:r>
      <w:r>
        <w:rPr>
          <w:i/>
        </w:rPr>
        <w:t>eis to proaulion</w:t>
      </w:r>
      <w:r>
        <w:rPr/>
        <w:t xml:space="preserve"> („in den Vorhof“); im Gr. '</w:t>
      </w:r>
      <w:r>
        <w:rPr>
          <w:i/>
        </w:rPr>
        <w:t>proaulion</w:t>
      </w:r>
      <w:r>
        <w:rPr/>
        <w:t xml:space="preserve"> („Vorhof“) kommt ebenso wie im Dt. schon sprachlich zum Ausdruck, dass es nicht mehr der „Hof“ (</w:t>
      </w:r>
      <w:r>
        <w:rPr>
          <w:i/>
        </w:rPr>
        <w:t>aulä</w:t>
      </w:r>
      <w:r>
        <w:rPr/>
        <w:t>) ist. Petrus distanziert sich.</w:t>
      </w:r>
    </w:p>
  </w:footnote>
  <w:footnote w:id="2380">
    <w:p>
      <w:pPr>
        <w:pStyle w:val="Funote"/>
        <w:rPr/>
      </w:pPr>
      <w:r>
        <w:rPr>
          <w:rStyle w:val="Funotenzeichen"/>
        </w:rPr>
        <w:footnoteRef/>
      </w:r>
      <w:r>
        <w:rPr/>
        <w:tab/>
        <w:t>Textkritik: {und ein Hahn krähte} (V. 68), zum zweiten Mal ({zum zweiten Mal}) (V. 72) - Schwierige textkritische Frage; in vielen wichtigen Handschriften finden sich diese Worte, in vielen wichtigen Handschriften fehlen sie. Entweder wurden die in V. 68 gestrichen, um Mk an Mt und Lk anzugleichen, oder sie wurden hinzugefügt, um Jesu Prophezeiung in V. 30 sich deutlicher erfüllen zu lassen (vgl. TCGNT, S. 115f.), und entweder wurden die in V. 72 gestrichen, weil nur von einem Hahnenschrei die Rede ist, oder auch sie wurden aus dem selben Grund hinzugefügt. In einigen Handschriften finden sich die Worte aus V. 72, nicht aber die aus V. 68. Wären beide ursprünglich, gäbe es keinen guten Grund, die in V. 68 zu streichen, wenn doch in V. 72 von einem zweiten Hahnenschrei die Rede wäre; dass V. 68 sekundär und V. 72 ursprünglich ist, ist daher etwas wahrscheinlicher. Das würde dann auch erklären, warum in Mt und Lk nur von einem Hahnenschrei die Rede ist: Auch bei Mk würde dann nur von einem Hahnenschrei berichtet, obwohl dieser als der „zweite Hahnenschrei“ bezeichnet wird (so richtig Willker). So z.B. auch EÜ; anders z.B LUT.</w:t>
      </w:r>
    </w:p>
  </w:footnote>
  <w:footnote w:id="2381">
    <w:p>
      <w:pPr>
        <w:pStyle w:val="Funote"/>
        <w:rPr/>
      </w:pPr>
      <w:r>
        <w:rPr>
          <w:rStyle w:val="Funotenzeichen"/>
        </w:rPr>
        <w:footnoteRef/>
      </w:r>
      <w:r>
        <w:rPr/>
        <w:tab/>
        <w:t>sagte - W. „begann sie zu sagen“; ein sog. „markinisches archomai“ („beginnen“, vgl. dazu Kleist 1937, S. 154f.), das nicht ins Dt. zu übersetzen ist (so auch Kleist 1937, S. 229). Einige Üss. übersetzen es aber doch (z.B. LUT17).</w:t>
      </w:r>
    </w:p>
  </w:footnote>
  <w:footnote w:id="2382">
    <w:p>
      <w:pPr>
        <w:pStyle w:val="Funote"/>
        <w:rPr/>
      </w:pPr>
      <w:r>
        <w:rPr>
          <w:rStyle w:val="Funotenzeichen"/>
        </w:rPr>
        <w:footnoteRef/>
      </w:r>
      <w:r>
        <w:rPr>
          <w:i/>
        </w:rPr>
        <w:tab/>
        <w:t>gehör(s)t zu</w:t>
      </w:r>
      <w:r>
        <w:rPr/>
        <w:t xml:space="preserve"> - W. „ist von“.</w:t>
      </w:r>
    </w:p>
  </w:footnote>
  <w:footnote w:id="2383">
    <w:p>
      <w:pPr>
        <w:pStyle w:val="Funote"/>
        <w:rPr/>
      </w:pPr>
      <w:r>
        <w:rPr>
          <w:rStyle w:val="Funotenzeichen"/>
        </w:rPr>
        <w:footnoteRef/>
      </w:r>
      <w:r>
        <w:rPr/>
        <w:tab/>
        <w:t>Textkritik: Einige Handschriften fügen hinzu: „... und deine Sprache ist ähnlich“ (nämlich der von Jesus); so auch JJ, SLT, TAF. Dies könnte gut auch ursprünglich sein (so z.B. Cranfield 1959, S. 447; die Version von Mt („deine Sprache verrät dich“) wäre dann eine kontextgemäßere Paraphrase), wird aber von fast allen Üss. als sekundär angesehen. Einzig deshalb auch hier; letztlich ist diese Frage aber nicht entscheidbar.Dass Galiläer eine leicht andere Aussprache hatten als der Rest Israels, ist recht gut bezeugt; s. b.Ber 32a; b.Meg 24b; b.Erub 53b.</w:t>
      </w:r>
    </w:p>
  </w:footnote>
  <w:footnote w:id="2384">
    <w:p>
      <w:pPr>
        <w:pStyle w:val="Funote"/>
        <w:rPr/>
      </w:pPr>
      <w:r>
        <w:rPr>
          <w:rStyle w:val="Funotenzeichen"/>
        </w:rPr>
        <w:footnoteRef/>
      </w:r>
      <w:r>
        <w:rPr/>
        <w:tab/>
        <w:t>verfluchte - W. „begann zu verfluchen“; ein sog. „markinisches archomai“ („beginnen“, vgl. dazu Kleist 1937, S. 154f.), das nicht ins Dt. zu übersetzen ist (so auch Kleist 1937, S. 229). Viele Üss. übersetzen es aber doch.Die Üs. „verfluchen“ ist treffender als das intransitive „fluchen“, das sich in den meisten Üss. findet, da auch das Gr. anathematizo stets ein Objekt hat (s. z.B. Num 21,2f. LXX; Dtn 13,5; 20,17 LXX; Ri 1,17; 21,11 LXX u.ö.). Petrus „stößt“ also keine „Flüche aus“, sondern er „verflucht jemanden“. Dieser „Jemand“ könnte Petrus selbst sein – im Alten Israel konnte man etwas durch eine Selbstverfluchung schwören, nach dem Muster „Ich schwöre X, und wenn es unwahr ist, soll mir Y wiederfahren“; s. z.B. 1 Sam 20,12f.; 2 Sam 3,9; Ijob 31; Ps 7,4-6; so z.B. schön B/N („Petrus aber schwor heilige Eide und sagte: ‚Ich will verflucht sein, wenn ich den Mann kenne...‘“), JJ, MEN („Er aber fing an, sich zu verfluchen...“), SLT, Stier, TAF –, viele Exegeten denken aber, dass Petrus wahrscheinlicher hier Jesus verflucht (z.B. Brown 1994, S. 605; Gundry 2000, S. 890; Lampe 1973, S. 354; Marcus 2009, S. 1019f.), was Leser zur Zeit der Christenverfolgung sicher mindestens mitgelesen hätten (s. die Anmerkungen). So übersetzt leider nur WIL: „Er aber begann nun, ihn zu verfluchen und zu schwören: ‚Ich kenne diesen Menschen nicht...!‘“</w:t>
      </w:r>
    </w:p>
  </w:footnote>
  <w:footnote w:id="2385">
    <w:p>
      <w:pPr>
        <w:pStyle w:val="Funote"/>
        <w:rPr/>
      </w:pPr>
      <w:r>
        <w:rPr>
          <w:rStyle w:val="Funotenzeichen"/>
        </w:rPr>
        <w:footnoteRef/>
      </w:r>
      <w:r>
        <w:rPr>
          <w:i/>
        </w:rPr>
        <w:tab/>
        <w:t>das Wort, wie</w:t>
      </w:r>
      <w:r>
        <w:rPr/>
        <w:t xml:space="preserve"> - redundanter Ausdruck (gewöhnlicher: „erinnerte sich an das Wort, </w:t>
      </w:r>
      <w:r>
        <w:rPr>
          <w:i/>
        </w:rPr>
        <w:t>das</w:t>
      </w:r>
      <w:r>
        <w:rPr/>
        <w:t xml:space="preserve"> Jesus gesagt hatte“ oder „erinnerte sich </w:t>
      </w:r>
      <w:r>
        <w:rPr>
          <w:strike/>
        </w:rPr>
        <w:t>an das Wort</w:t>
      </w:r>
      <w:r>
        <w:rPr/>
        <w:t>, wie Jesus gesagt hatte“); sowohl „das Wort“ als auch „wie“ verweist den Leser zurück auf den Ausspruch Jesu in V. 30.</w:t>
      </w:r>
    </w:p>
  </w:footnote>
  <w:footnote w:id="2386">
    <w:p>
      <w:pPr>
        <w:pStyle w:val="Funote"/>
        <w:rPr/>
      </w:pPr>
      <w:r>
        <w:rPr>
          <w:rStyle w:val="Funotenzeichen"/>
        </w:rPr>
        <w:footnoteRef/>
      </w:r>
      <w:r>
        <w:rPr/>
        <w:tab/>
        <w:t>brach in Tränen aus - sehr schwieriger Ausdruck im Gr.; Bed. unsicher. W. „Und überworfen/draufgeworfen habend, weinte er“. Vorgeschlagen wurde: # „[Sich] hineingeworfen habend [nämlich ins Weinen], weinte er“, also „Er fing an zu weinen/brach in Tränen aus“ (so wird das Wort mit Infinitiv (nicht aber als Partizip mit finitem Verb!) auch verwendet von Diogenes Laertius, Vit 6.27 und Plutarch, De Phyt Orac 402B (wohl nicht PTebt 50,12); so auch VUL, Syr, Theophylakt; einige Handschriften haben stattdessen auch „fing an zu weinen“; so daher z.B. auch BDR §308, EWNT, LN; Cranfield 1959, Ernst 1981; auch die meisten dt. Üss. # „[Seinen Geist darauf] geworfen habend, weinte er“, also „Als er daran dachte, ...“. So z.B. LSJ; auch Dschulnigg 2007; auch viele engl. Üss. Dann wäre der Satz aber merkwürdig redundant mit dem „Da erinnerte sich Petrus...“ (so richtig Gundry 2000, S. 891). # „[Sich hinaus]geworfen habend, weinte er“, also „Hinausgestürmt seiend, ...“; so z.B. Brown 1994; Marcus 2009. Doch für diese Verwendung fehlen die Parallelen. # „[Sich etwas] übergeworfen habend, weinte er“, nämlich ein Kleidungsstück über den Kopf, wie häufiger ein Ausdrck der Trauer. So schon Theophylakt, Field 1899, S. 41-43; auch ZÜR1931. Doch hier fehlte ein Objekt des Verbs. # „[Sich] auf [den Boden] geworfen habend, weinte er“; so z.B. B/N, MNT, viele engl. Üss. Aber auch hier fehlen die Parallelen.</w:t>
      </w:r>
    </w:p>
  </w:footnote>
  <w:footnote w:id="2387">
    <w:p>
      <w:pPr>
        <w:pStyle w:val="Funote"/>
        <w:rPr/>
      </w:pPr>
      <w:r>
        <w:rPr>
          <w:rStyle w:val="Funotenzeichen"/>
        </w:rPr>
        <w:footnoteRef/>
      </w:r>
      <w:r>
        <w:rPr/>
        <w:tab/>
        <w:t>[Status: Zuverlässig]</w:t>
      </w:r>
    </w:p>
  </w:footnote>
  <w:footnote w:id="2388">
    <w:p>
      <w:pPr>
        <w:pStyle w:val="Funote"/>
        <w:rPr/>
      </w:pPr>
      <w:r>
        <w:rPr>
          <w:rStyle w:val="Funotenzeichen"/>
        </w:rPr>
        <w:footnoteRef/>
      </w:r>
      <w:r>
        <w:rPr/>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389">
    <w:p>
      <w:pPr>
        <w:pStyle w:val="Funote"/>
        <w:rPr/>
      </w:pPr>
      <w:r>
        <w:rPr>
          <w:rStyle w:val="Funotenzeichen"/>
        </w:rPr>
        <w:footnoteRef/>
      </w:r>
      <w:r>
        <w:rPr/>
        <w:tab/>
        <w:t>Historisches Präsens</w:t>
      </w:r>
    </w:p>
  </w:footnote>
  <w:footnote w:id="2390">
    <w:p>
      <w:pPr>
        <w:pStyle w:val="Funote"/>
        <w:rPr/>
      </w:pPr>
      <w:r>
        <w:rPr>
          <w:rStyle w:val="Funotenzeichen"/>
        </w:rPr>
        <w:footnoteRef/>
      </w:r>
      <w:r>
        <w:rPr>
          <w:b/>
          <w:lang w:val="el-GR"/>
        </w:rPr>
        <w:tab/>
        <w:t>προσκυνεο</w:t>
      </w:r>
      <w:r>
        <w:rPr/>
        <w:t xml:space="preserve"> wird im Kontext des NT immer nur in Hinblick auf die Verehrung eines Gottes verwendet.</w:t>
      </w:r>
    </w:p>
  </w:footnote>
  <w:footnote w:id="2391">
    <w:p>
      <w:pPr>
        <w:pStyle w:val="Funote"/>
        <w:rPr/>
      </w:pPr>
      <w:r>
        <w:rPr>
          <w:rStyle w:val="Funotenzeichen"/>
        </w:rPr>
        <w:footnoteRef/>
      </w:r>
      <w:r>
        <w:rPr/>
        <w:tab/>
        <w:t>Historisches Präsens</w:t>
      </w:r>
    </w:p>
  </w:footnote>
  <w:footnote w:id="2392">
    <w:p>
      <w:pPr>
        <w:pStyle w:val="Funote"/>
        <w:rPr/>
      </w:pPr>
      <w:r>
        <w:rPr>
          <w:rStyle w:val="Funotenzeichen"/>
        </w:rPr>
        <w:footnoteRef/>
      </w:r>
      <w:r>
        <w:rPr/>
        <w:tab/>
        <w:t>Historisches Präsens</w:t>
      </w:r>
    </w:p>
  </w:footnote>
  <w:footnote w:id="2393">
    <w:p>
      <w:pPr>
        <w:pStyle w:val="Funote"/>
        <w:rPr/>
      </w:pPr>
      <w:r>
        <w:rPr>
          <w:rStyle w:val="Funotenzeichen"/>
        </w:rPr>
        <w:footnoteRef/>
      </w:r>
      <w:r>
        <w:rPr/>
        <w:tab/>
        <w:t>Sollte in Lesefassug entfallen. Vers 28 fehlt in den wichtigsten und frühsten Zeugen. Eine nachträgliches Hinzufügen aufgrund von Lk 22,37 scheint wahrscheinlicher als eine nachträgliche Streichung (TCNT, S.99).</w:t>
      </w:r>
    </w:p>
  </w:footnote>
  <w:footnote w:id="2394">
    <w:p>
      <w:pPr>
        <w:pStyle w:val="Funote"/>
        <w:rPr/>
      </w:pPr>
      <w:r>
        <w:rPr>
          <w:rStyle w:val="Funotenzeichen"/>
        </w:rPr>
        <w:footnoteRef/>
      </w:r>
      <w:r>
        <w:rPr/>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395">
    <w:p>
      <w:pPr>
        <w:pStyle w:val="Funote"/>
        <w:rPr/>
      </w:pPr>
      <w:r>
        <w:rPr>
          <w:rStyle w:val="Funotenzeichen"/>
        </w:rPr>
        <w:footnoteRef/>
      </w:r>
      <w:r>
        <w:rPr/>
        <w:tab/>
        <w:t>Imperfekt consecutivum</w:t>
      </w:r>
    </w:p>
  </w:footnote>
  <w:footnote w:id="2396">
    <w:p>
      <w:pPr>
        <w:pStyle w:val="Funote"/>
        <w:rPr/>
      </w:pPr>
      <w:r>
        <w:rPr>
          <w:rStyle w:val="Funotenzeichen"/>
        </w:rPr>
        <w:footnoteRef/>
      </w:r>
      <w:r>
        <w:rPr/>
        <w:tab/>
        <w:t>Ptz. fem. - Daher Frauen ergänzt.</w:t>
      </w:r>
    </w:p>
  </w:footnote>
  <w:footnote w:id="2397">
    <w:p>
      <w:pPr>
        <w:pStyle w:val="Funote"/>
        <w:rPr/>
      </w:pPr>
      <w:r>
        <w:rPr>
          <w:rStyle w:val="Funotenzeichen"/>
        </w:rPr>
        <w:footnoteRef/>
      </w:r>
      <w:r>
        <w:rPr/>
        <w:tab/>
        <w:t>[Status: Zuverlässig]</w:t>
      </w:r>
    </w:p>
  </w:footnote>
  <w:footnote w:id="2398">
    <w:p>
      <w:pPr>
        <w:pStyle w:val="Funote"/>
        <w:rPr/>
      </w:pPr>
      <w:r>
        <w:rPr>
          <w:rStyle w:val="Funotenzeichen"/>
        </w:rPr>
        <w:footnoteRef/>
      </w:r>
      <w:hyperlink r:id="rId428">
        <w:r>
          <w:rPr>
            <w:rStyle w:val="Internetverknpfung"/>
          </w:rPr>
          <w:tab/>
          <w:t>Gen. abs.</w:t>
        </w:r>
      </w:hyperlink>
      <w:r>
        <w:rPr/>
        <w:t xml:space="preserve">, temporal aufgelöst </w:t>
      </w:r>
    </w:p>
  </w:footnote>
  <w:footnote w:id="2399">
    <w:p>
      <w:pPr>
        <w:pStyle w:val="Funote"/>
        <w:rPr/>
      </w:pPr>
      <w:r>
        <w:rPr>
          <w:rStyle w:val="Funotenzeichen"/>
        </w:rPr>
        <w:footnoteRef/>
      </w:r>
      <w:r>
        <w:rPr/>
        <w:tab/>
        <w:t>Bezeichnung der Mutter nach dem Sohn: BDR § 162,3</w:t>
      </w:r>
    </w:p>
  </w:footnote>
  <w:footnote w:id="2400">
    <w:p>
      <w:pPr>
        <w:pStyle w:val="Funote"/>
        <w:rPr/>
      </w:pPr>
      <w:r>
        <w:rPr>
          <w:rStyle w:val="Funotenzeichen"/>
        </w:rPr>
        <w:footnoteRef/>
      </w:r>
      <w:r>
        <w:rPr/>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401">
    <w:p>
      <w:pPr>
        <w:pStyle w:val="Funote"/>
        <w:rPr/>
      </w:pPr>
      <w:r>
        <w:rPr>
          <w:rStyle w:val="Funotenzeichen"/>
        </w:rPr>
        <w:footnoteRef/>
      </w:r>
      <w:r>
        <w:rPr>
          <w:lang w:val="el-GR"/>
        </w:rPr>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402">
    <w:p>
      <w:pPr>
        <w:pStyle w:val="Funote"/>
        <w:rPr/>
      </w:pPr>
      <w:r>
        <w:rPr>
          <w:rStyle w:val="Funotenzeichen"/>
        </w:rPr>
        <w:footnoteRef/>
      </w:r>
      <w:hyperlink r:id="rId429">
        <w:r>
          <w:rPr>
            <w:rStyle w:val="Internetverknpfung"/>
          </w:rPr>
          <w:tab/>
          <w:t>Gen. abs.</w:t>
        </w:r>
      </w:hyperlink>
      <w:r>
        <w:rPr/>
        <w:t xml:space="preserve">, temporal aufgelöst </w:t>
      </w:r>
    </w:p>
  </w:footnote>
  <w:footnote w:id="2403">
    <w:p>
      <w:pPr>
        <w:pStyle w:val="Funote"/>
        <w:rPr/>
      </w:pPr>
      <w:r>
        <w:rPr>
          <w:rStyle w:val="Funotenzeichen"/>
        </w:rPr>
        <w:footnoteRef/>
      </w:r>
      <w:hyperlink r:id="rId430">
        <w:r>
          <w:rPr>
            <w:rStyle w:val="Internetverknpfung"/>
          </w:rPr>
          <w:tab/>
          <w:t>Ptz. coni.</w:t>
        </w:r>
      </w:hyperlink>
      <w:r>
        <w:rPr/>
        <w:t>, temporal aufgelöst</w:t>
      </w:r>
    </w:p>
  </w:footnote>
  <w:footnote w:id="2404">
    <w:p>
      <w:pPr>
        <w:pStyle w:val="Funote"/>
        <w:rPr/>
      </w:pPr>
      <w:r>
        <w:rPr>
          <w:rStyle w:val="Funotenzeichen"/>
        </w:rPr>
        <w:footnoteRef/>
      </w:r>
      <w:hyperlink r:id="rId431">
        <w:r>
          <w:rPr>
            <w:rStyle w:val="Internetverknpfung"/>
          </w:rPr>
          <w:tab/>
          <w:t>Ptz. coni.</w:t>
        </w:r>
      </w:hyperlink>
      <w:r>
        <w:rPr/>
        <w:t>, temporal aufgelöst</w:t>
      </w:r>
    </w:p>
  </w:footnote>
  <w:footnote w:id="2405">
    <w:p>
      <w:pPr>
        <w:pStyle w:val="Funote"/>
        <w:rPr/>
      </w:pPr>
      <w:r>
        <w:rPr>
          <w:rStyle w:val="Funotenzeichen"/>
        </w:rPr>
        <w:footnoteRef/>
      </w:r>
      <w:hyperlink r:id="rId432">
        <w:r>
          <w:rPr>
            <w:rStyle w:val="Internetverknpfung"/>
          </w:rPr>
          <w:tab/>
          <w:t>Historisches Präsens</w:t>
        </w:r>
      </w:hyperlink>
      <w:r>
        <w:rPr/>
        <w:t>.</w:t>
      </w:r>
    </w:p>
  </w:footnote>
  <w:footnote w:id="2406">
    <w:p>
      <w:pPr>
        <w:pStyle w:val="Funote"/>
        <w:rPr/>
      </w:pPr>
      <w:r>
        <w:rPr>
          <w:rStyle w:val="Funotenzeichen"/>
        </w:rPr>
        <w:footnoteRef/>
      </w:r>
      <w:r>
        <w:rPr/>
        <w:tab/>
        <w:t>Die rechte Seite war die glückverheißende Seite (Gnilka 1979, 341).</w:t>
      </w:r>
    </w:p>
  </w:footnote>
  <w:footnote w:id="2407">
    <w:p>
      <w:pPr>
        <w:pStyle w:val="Funote"/>
        <w:rPr/>
      </w:pPr>
      <w:r>
        <w:rPr>
          <w:rStyle w:val="Funotenzeichen"/>
        </w:rPr>
        <w:footnoteRef/>
      </w:r>
      <w:r>
        <w:rPr/>
        <w:tab/>
        <w:t>Die Stola, eine lange Stoffbahn, wurde nicht angezogen, sondern umgeworfen. Aber im dt. Sprachgebrauch werfen wir keine Kleidung um, sd. eine Jacke oder ein Tuch; das ist hier aber nicht gemeint: die Stola ist die normale Bekleidung</w:t>
      </w:r>
    </w:p>
  </w:footnote>
  <w:footnote w:id="2408">
    <w:p>
      <w:pPr>
        <w:pStyle w:val="Funote"/>
        <w:rPr/>
      </w:pPr>
      <w:r>
        <w:rPr>
          <w:rStyle w:val="Funotenzeichen"/>
        </w:rPr>
        <w:footnoteRef/>
      </w:r>
      <w:r>
        <w:rPr/>
        <w:tab/>
        <w:t>Die Botschaft des Engels wird präsentisch eingeführt, um darauf hinzuweisen, dass sie das Zentrum dieser Perikope ist(Gnilka 1979, 340).</w:t>
      </w:r>
    </w:p>
  </w:footnote>
  <w:footnote w:id="2409">
    <w:p>
      <w:pPr>
        <w:pStyle w:val="Funote"/>
        <w:rPr/>
      </w:pPr>
      <w:r>
        <w:rPr>
          <w:rStyle w:val="Funotenzeichen"/>
        </w:rPr>
        <w:footnoteRef/>
      </w:r>
      <w:r>
        <w:rPr/>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410">
    <w:p>
      <w:pPr>
        <w:pStyle w:val="Funote"/>
        <w:rPr/>
      </w:pPr>
      <w:r>
        <w:rPr>
          <w:rStyle w:val="Funotenzeichen"/>
        </w:rPr>
        <w:footnoteRef/>
      </w:r>
      <w:r>
        <w:rPr/>
        <w:tab/>
        <w:t>Also Jesus.</w:t>
      </w:r>
    </w:p>
  </w:footnote>
  <w:footnote w:id="2411">
    <w:p>
      <w:pPr>
        <w:pStyle w:val="Funote"/>
        <w:rPr/>
      </w:pPr>
      <w:r>
        <w:rPr>
          <w:rStyle w:val="Funotenzeichen"/>
        </w:rPr>
        <w:footnoteRef/>
      </w:r>
      <w:r>
        <w:rPr/>
        <w:tab/>
        <w:t xml:space="preserve">Man kann das </w:t>
      </w:r>
      <w:r>
        <w:rPr>
          <w:lang w:val="el-GR"/>
        </w:rPr>
        <w:t>ὅτι</w:t>
      </w:r>
      <w:r>
        <w:rPr/>
        <w:t xml:space="preserve"> auch als </w:t>
      </w:r>
      <w:hyperlink r:id="rId433">
        <w:r>
          <w:rPr>
            <w:rStyle w:val="Internetverknpfung"/>
          </w:rPr>
          <w:t>Ὅτι recitativum"&gt;</w:t>
        </w:r>
        <w:r>
          <w:rPr>
            <w:rStyle w:val="Internetverknpfung"/>
            <w:lang w:val="el-GR"/>
          </w:rPr>
          <w:t>Ὅτι</w:t>
        </w:r>
        <w:r>
          <w:rPr>
            <w:rStyle w:val="Internetverknpfung"/>
          </w:rPr>
          <w:t xml:space="preserve"> recitativum</w:t>
        </w:r>
      </w:hyperlink>
      <w:r>
        <w:rPr/>
        <w:t xml:space="preserve"> auffassen, das eine wörtliche Rede einleitet und dann nicht übersetzt wird: Er geht euch voran nach Galiläa</w:t>
      </w:r>
    </w:p>
  </w:footnote>
  <w:footnote w:id="2412">
    <w:p>
      <w:pPr>
        <w:pStyle w:val="Funote"/>
        <w:rPr/>
      </w:pPr>
      <w:r>
        <w:rPr>
          <w:rStyle w:val="Funotenzeichen"/>
        </w:rPr>
        <w:footnoteRef/>
      </w:r>
      <w:hyperlink r:id="rId434">
        <w:r>
          <w:rPr>
            <w:rStyle w:val="Internetverknpfung"/>
          </w:rPr>
          <w:tab/>
          <w:t>Ptz. coni.</w:t>
        </w:r>
      </w:hyperlink>
      <w:r>
        <w:rPr/>
        <w:t>, beiordnend aufgelöst</w:t>
      </w:r>
    </w:p>
  </w:footnote>
  <w:footnote w:id="2413">
    <w:p>
      <w:pPr>
        <w:pStyle w:val="Funote"/>
        <w:rPr/>
      </w:pPr>
      <w:r>
        <w:rPr>
          <w:rStyle w:val="Funotenzeichen"/>
        </w:rPr>
        <w:footnoteRef/>
      </w:r>
      <w:r>
        <w:rPr/>
        <w:tab/>
        <w:t>Vgl. auch Markus 4,41; 5,15.33.42</w:t>
      </w:r>
    </w:p>
  </w:footnote>
  <w:footnote w:id="2414">
    <w:p>
      <w:pPr>
        <w:pStyle w:val="Funote"/>
        <w:rPr/>
      </w:pPr>
      <w:r>
        <w:rPr>
          <w:rStyle w:val="Funotenzeichen"/>
        </w:rPr>
        <w:footnoteRef/>
      </w:r>
      <w:r>
        <w:rPr/>
        <w:tab/>
        <w:t>oder: nämlich (dann am Schluss des Satzes: sie fürchteten sich nämlich)</w:t>
      </w:r>
    </w:p>
  </w:footnote>
  <w:footnote w:id="2415">
    <w:p>
      <w:pPr>
        <w:pStyle w:val="Funote"/>
        <w:rPr/>
      </w:pPr>
      <w:r>
        <w:rPr>
          <w:rStyle w:val="Funotenzeichen"/>
        </w:rPr>
        <w:footnoteRef/>
      </w:r>
      <w:r>
        <w:rPr/>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416">
    <w:p>
      <w:pPr>
        <w:pStyle w:val="Funote"/>
        <w:rPr/>
      </w:pPr>
      <w:r>
        <w:rPr>
          <w:rStyle w:val="Funotenzeichen"/>
        </w:rPr>
        <w:footnoteRef/>
      </w:r>
      <w:r>
        <w:rPr/>
        <w:tab/>
        <w:t>Partizip aufgelöst</w:t>
      </w:r>
    </w:p>
  </w:footnote>
  <w:footnote w:id="2417">
    <w:p>
      <w:pPr>
        <w:pStyle w:val="Funote"/>
        <w:rPr/>
      </w:pPr>
      <w:r>
        <w:rPr>
          <w:rStyle w:val="Funotenzeichen"/>
        </w:rPr>
        <w:footnoteRef/>
      </w:r>
      <w:r>
        <w:rPr/>
        <w:tab/>
        <w:t>Nach griechischer Tischsitte war es üblich, beim Essen zu liegen.</w:t>
      </w:r>
    </w:p>
  </w:footnote>
  <w:footnote w:id="2418">
    <w:p>
      <w:pPr>
        <w:pStyle w:val="Funote"/>
        <w:rPr/>
      </w:pPr>
      <w:r>
        <w:rPr>
          <w:rStyle w:val="Funotenzeichen"/>
        </w:rPr>
        <w:footnoteRef/>
      </w:r>
      <w:hyperlink r:id="rId435">
        <w:r>
          <w:rPr>
            <w:rStyle w:val="Internetverknpfung"/>
          </w:rPr>
          <w:tab/>
          <w:t>Generisches Maskulinum</w:t>
        </w:r>
      </w:hyperlink>
    </w:p>
  </w:footnote>
  <w:footnote w:id="2419">
    <w:p>
      <w:pPr>
        <w:pStyle w:val="Funote"/>
        <w:rPr/>
      </w:pPr>
      <w:r>
        <w:rPr>
          <w:rStyle w:val="Funotenzeichen"/>
        </w:rPr>
        <w:footnoteRef/>
      </w:r>
      <w:r>
        <w:rPr/>
        <w:tab/>
        <w:t>Viele Handschriften haben zusätzlich die Worte „Und mit ihren Händen …“.</w:t>
      </w:r>
    </w:p>
  </w:footnote>
  <w:footnote w:id="2420">
    <w:p>
      <w:pPr>
        <w:pStyle w:val="Funote"/>
        <w:rPr/>
      </w:pPr>
      <w:r>
        <w:rPr>
          <w:rStyle w:val="Funotenzeichen"/>
        </w:rPr>
        <w:footnoteRef/>
      </w:r>
      <w:r>
        <w:rPr/>
        <w:tab/>
        <w:t>Absoluter Genitiv</w:t>
      </w:r>
    </w:p>
  </w:footnote>
  <w:footnote w:id="2421">
    <w:p>
      <w:pPr>
        <w:pStyle w:val="Funote"/>
        <w:rPr/>
      </w:pPr>
      <w:r>
        <w:rPr>
          <w:rStyle w:val="Funotenzeichen"/>
        </w:rPr>
        <w:footnoteRef/>
      </w:r>
      <w:r>
        <w:rPr/>
        <w:tab/>
        <w:t>[Status: Zuverlässig]</w:t>
      </w:r>
    </w:p>
  </w:footnote>
  <w:footnote w:id="2422">
    <w:p>
      <w:pPr>
        <w:pStyle w:val="Funote"/>
        <w:rPr/>
      </w:pPr>
      <w:r>
        <w:rPr>
          <w:rStyle w:val="Funotenzeichen"/>
        </w:rPr>
        <w:footnoteRef/>
      </w:r>
      <w:r>
        <w:rPr/>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423">
    <w:p>
      <w:pPr>
        <w:pStyle w:val="Funote"/>
        <w:rPr/>
      </w:pPr>
      <w:r>
        <w:rPr>
          <w:rStyle w:val="Funotenzeichen"/>
        </w:rPr>
        <w:footnoteRef/>
      </w:r>
      <w:r>
        <w:rPr/>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424">
    <w:p>
      <w:pPr>
        <w:pStyle w:val="Funote"/>
        <w:rPr/>
      </w:pPr>
      <w:r>
        <w:rPr>
          <w:rStyle w:val="Funotenzeichen"/>
        </w:rPr>
        <w:footnoteRef/>
      </w:r>
      <w:r>
        <w:rPr/>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425">
    <w:p>
      <w:pPr>
        <w:pStyle w:val="Funote"/>
        <w:rPr/>
      </w:pPr>
      <w:r>
        <w:rPr>
          <w:rStyle w:val="Funotenzeichen"/>
        </w:rPr>
        <w:footnoteRef/>
      </w:r>
      <w:r>
        <w:rPr/>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426">
    <w:p>
      <w:pPr>
        <w:pStyle w:val="Funote"/>
        <w:rPr/>
      </w:pPr>
      <w:r>
        <w:rPr>
          <w:rStyle w:val="Funotenzeichen"/>
        </w:rPr>
        <w:footnoteRef/>
      </w:r>
      <w:r>
        <w:rPr>
          <w:lang w:val="el-GR"/>
        </w:rPr>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427">
    <w:p>
      <w:pPr>
        <w:pStyle w:val="Funote"/>
        <w:rPr/>
      </w:pPr>
      <w:r>
        <w:rPr>
          <w:rStyle w:val="Funotenzeichen"/>
        </w:rPr>
        <w:footnoteRef/>
      </w:r>
      <w:r>
        <w:rPr/>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428">
    <w:p>
      <w:pPr>
        <w:pStyle w:val="Funote"/>
        <w:rPr/>
      </w:pPr>
      <w:r>
        <w:rPr>
          <w:rStyle w:val="Funotenzeichen"/>
        </w:rPr>
        <w:footnoteRef/>
      </w:r>
      <w:r>
        <w:rPr/>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429">
    <w:p>
      <w:pPr>
        <w:pStyle w:val="Funote"/>
        <w:rPr/>
      </w:pPr>
      <w:r>
        <w:rPr>
          <w:rStyle w:val="Funotenzeichen"/>
        </w:rPr>
        <w:footnoteRef/>
      </w:r>
      <w:r>
        <w:rPr/>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430">
    <w:p>
      <w:pPr>
        <w:pStyle w:val="Funote"/>
        <w:rPr/>
      </w:pPr>
      <w:r>
        <w:rPr>
          <w:rStyle w:val="Funotenzeichen"/>
        </w:rPr>
        <w:footnoteRef/>
      </w:r>
      <w:r>
        <w:rPr>
          <w:lang w:val="el-GR"/>
        </w:rPr>
        <w:tab/>
        <w:t>ἰδοὺ</w:t>
      </w:r>
      <w:r>
        <w:rPr/>
        <w:t xml:space="preserve"> i.d.R. (wie auch hier) nicht mehr als bloße Fokuspartikel.</w:t>
      </w:r>
    </w:p>
  </w:footnote>
  <w:footnote w:id="2431">
    <w:p>
      <w:pPr>
        <w:pStyle w:val="Funote"/>
        <w:rPr/>
      </w:pPr>
      <w:r>
        <w:rPr>
          <w:rStyle w:val="Funotenzeichen"/>
        </w:rPr>
        <w:footnoteRef/>
      </w:r>
      <w:r>
        <w:rPr/>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432">
    <w:p>
      <w:pPr>
        <w:pStyle w:val="Funote"/>
        <w:rPr/>
      </w:pPr>
      <w:r>
        <w:rPr>
          <w:rStyle w:val="Funotenzeichen"/>
        </w:rPr>
        <w:footnoteRef/>
      </w:r>
      <w:r>
        <w:rPr/>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433">
    <w:p>
      <w:pPr>
        <w:pStyle w:val="Funote"/>
        <w:rPr/>
      </w:pPr>
      <w:r>
        <w:rPr>
          <w:rStyle w:val="Funotenzeichen"/>
        </w:rPr>
        <w:footnoteRef/>
      </w:r>
      <w:r>
        <w:rPr/>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434">
    <w:p>
      <w:pPr>
        <w:pStyle w:val="Funote"/>
        <w:rPr/>
      </w:pPr>
      <w:r>
        <w:rPr>
          <w:rStyle w:val="Funotenzeichen"/>
        </w:rPr>
        <w:footnoteRef/>
      </w:r>
      <w:r>
        <w:rPr/>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435">
    <w:p>
      <w:pPr>
        <w:pStyle w:val="Funote"/>
        <w:rPr/>
      </w:pPr>
      <w:r>
        <w:rPr>
          <w:rStyle w:val="Funotenzeichen"/>
        </w:rPr>
        <w:footnoteRef/>
      </w:r>
      <w:r>
        <w:rPr/>
        <w:tab/>
        <w:t xml:space="preserve">S. zu </w:t>
      </w:r>
      <w:r>
        <w:rPr>
          <w:i/>
        </w:rPr>
        <w:t>{und}</w:t>
      </w:r>
      <w:r>
        <w:rPr/>
        <w:t xml:space="preserve"> in V. 49.</w:t>
      </w:r>
    </w:p>
  </w:footnote>
  <w:footnote w:id="2436">
    <w:p>
      <w:pPr>
        <w:pStyle w:val="Funote"/>
        <w:rPr/>
      </w:pPr>
      <w:r>
        <w:rPr>
          <w:rStyle w:val="Funotenzeichen"/>
        </w:rPr>
        <w:footnoteRef/>
      </w:r>
      <w:r>
        <w:rPr/>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437">
    <w:p>
      <w:pPr>
        <w:pStyle w:val="Funote"/>
        <w:rPr/>
      </w:pPr>
      <w:r>
        <w:rPr>
          <w:rStyle w:val="Funotenzeichen"/>
        </w:rPr>
        <w:footnoteRef/>
      </w:r>
      <w:r>
        <w:rPr/>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438">
    <w:p>
      <w:pPr>
        <w:pStyle w:val="Funote"/>
        <w:rPr/>
      </w:pPr>
      <w:r>
        <w:rPr>
          <w:rStyle w:val="Funotenzeichen"/>
        </w:rPr>
        <w:footnoteRef/>
      </w:r>
      <w:r>
        <w:rPr/>
        <w:tab/>
        <w:t>W.: »den ihn Fürchtenden«; Ptz. mit der Funktion des dativus commodi (daher: »für«) (vgl. Culy et al. 2010, S. 44; NSS).</w:t>
      </w:r>
    </w:p>
  </w:footnote>
  <w:footnote w:id="2439">
    <w:p>
      <w:pPr>
        <w:pStyle w:val="Funote"/>
        <w:rPr/>
      </w:pPr>
      <w:r>
        <w:rPr>
          <w:rStyle w:val="Funotenzeichen"/>
        </w:rPr>
        <w:footnoteRef/>
      </w:r>
      <w:r>
        <w:rPr/>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440">
    <w:p>
      <w:pPr>
        <w:pStyle w:val="Funote"/>
        <w:rPr/>
      </w:pPr>
      <w:r>
        <w:rPr>
          <w:rStyle w:val="Funotenzeichen"/>
        </w:rPr>
        <w:footnoteRef/>
      </w:r>
      <w:r>
        <w:rPr/>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441">
    <w:p>
      <w:pPr>
        <w:pStyle w:val="Funote"/>
        <w:rPr/>
      </w:pPr>
      <w:r>
        <w:rPr>
          <w:rStyle w:val="Funotenzeichen"/>
        </w:rPr>
        <w:footnoteRef/>
      </w:r>
      <w:r>
        <w:rPr/>
        <w:tab/>
        <w:t>Doppelpunkt sehr gut mit EÜ, Schneider 1977, S. 54 und dem unrevidierten NTL (leider nicht mehr im revidierten): Was folgt, sind einzelne Ausfaltungen des Sammelbegriffs „Machttaten“ in V. 51a.</w:t>
      </w:r>
    </w:p>
  </w:footnote>
  <w:footnote w:id="2442">
    <w:p>
      <w:pPr>
        <w:pStyle w:val="Funote"/>
        <w:rPr/>
      </w:pPr>
      <w:r>
        <w:rPr>
          <w:rStyle w:val="Funotenzeichen"/>
        </w:rPr>
        <w:footnoteRef/>
      </w:r>
      <w:r>
        <w:rPr/>
        <w:tab/>
        <w:t>„</w:t>
      </w:r>
      <w:r>
        <w:rPr/>
        <w:t>zerstreuen“ ist im AT ein Ausdruck, der vor Allem verwendet wird, wenn davon die Rede ist, dass eine Armee vernichtend geschlagen wird (vgl. die Parallelstellen).</w:t>
      </w:r>
    </w:p>
  </w:footnote>
  <w:footnote w:id="2443">
    <w:p>
      <w:pPr>
        <w:pStyle w:val="Funote"/>
        <w:rPr/>
      </w:pPr>
      <w:r>
        <w:rPr>
          <w:rStyle w:val="Funotenzeichen"/>
        </w:rPr>
        <w:footnoteRef/>
      </w:r>
      <w:r>
        <w:rPr/>
        <w:tab/>
        <w:t xml:space="preserve">zur „Hochmut“ im alten Judentum vgl. das in </w:t>
      </w:r>
      <w:r>
        <w:fldChar w:fldCharType="begin"/>
      </w:r>
      <w:r>
        <w:rPr>
          <w:rStyle w:val="Internetverknpfung"/>
        </w:rPr>
        <w:instrText> HYPERLINK "http://archive.org/stream/KommentarZumNeuenTestamentAusTalmudUndMidraschVol.2/Kommentar.Strack.Billerbeck.v.2" \l "page/n115/mode/1up"</w:instrText>
      </w:r>
      <w:r>
        <w:rPr>
          <w:rStyle w:val="Internetverknpfung"/>
        </w:rPr>
        <w:fldChar w:fldCharType="separate"/>
      </w:r>
      <w:r>
        <w:rPr>
          <w:rStyle w:val="Internetverknpfung"/>
        </w:rPr>
        <w:t>B/S 1924, S. 101ff.</w:t>
      </w:r>
      <w:r>
        <w:rPr>
          <w:rStyle w:val="Internetverknpfung"/>
        </w:rPr>
        <w:fldChar w:fldCharType="end"/>
      </w:r>
      <w:r>
        <w:rPr/>
        <w:t xml:space="preserve"> zusammengetragene Material</w:t>
      </w:r>
    </w:p>
  </w:footnote>
  <w:footnote w:id="2444">
    <w:p>
      <w:pPr>
        <w:pStyle w:val="Funote"/>
        <w:rPr/>
      </w:pPr>
      <w:r>
        <w:rPr>
          <w:rStyle w:val="Funotenzeichen"/>
        </w:rPr>
        <w:footnoteRef/>
      </w:r>
      <w:r>
        <w:rPr/>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445">
    <w:p>
      <w:pPr>
        <w:pStyle w:val="Funote"/>
        <w:rPr/>
      </w:pPr>
      <w:r>
        <w:rPr>
          <w:rStyle w:val="Funotenzeichen"/>
        </w:rPr>
        <w:footnoteRef/>
      </w:r>
      <w:r>
        <w:rPr/>
        <w:tab/>
        <w:t xml:space="preserve">Da Gott die </w:t>
      </w:r>
      <w:r>
        <w:rPr>
          <w:lang w:val="el-GR"/>
        </w:rPr>
        <w:t>δυνάστας</w:t>
      </w:r>
      <w:r>
        <w:rPr/>
        <w:t xml:space="preserve"> von ihren </w:t>
      </w:r>
      <w:r>
        <w:rPr>
          <w:i/>
        </w:rPr>
        <w:t>Thronen</w:t>
      </w:r>
      <w:r>
        <w:rPr/>
        <w:t xml:space="preserve"> stürzt, ist „Machthaber“ hier die kontextuell wesentlich passendere Übertragung.</w:t>
      </w:r>
    </w:p>
  </w:footnote>
  <w:footnote w:id="2446">
    <w:p>
      <w:pPr>
        <w:pStyle w:val="Funote"/>
        <w:rPr/>
      </w:pPr>
      <w:r>
        <w:rPr>
          <w:rStyle w:val="Funotenzeichen"/>
        </w:rPr>
        <w:footnoteRef/>
      </w:r>
      <w:r>
        <w:rPr/>
        <w:tab/>
        <w:t>V. 52b kontrastiert eine Aufwärtsbewegung mit der hieriegen Abwärtsbewegung des „Stürzens“; im Deutschen besser ausdrücklich zu machen, etwa als „herabstürzen“.</w:t>
      </w:r>
    </w:p>
  </w:footnote>
  <w:footnote w:id="2447">
    <w:p>
      <w:pPr>
        <w:pStyle w:val="Funote"/>
        <w:rPr/>
      </w:pPr>
      <w:r>
        <w:rPr>
          <w:rStyle w:val="Funotenzeichen"/>
        </w:rPr>
        <w:footnoteRef/>
      </w:r>
      <w:r>
        <w:rPr/>
        <w:tab/>
        <w:t>die Wortstellung VV 52-53 sollte beibehalten werden, da sie eine chiastische Doppelstruktur hat: V 52: V - S / V - S; V 53: S - V / S - V</w:t>
      </w:r>
    </w:p>
  </w:footnote>
  <w:footnote w:id="2448">
    <w:p>
      <w:pPr>
        <w:pStyle w:val="Funote"/>
        <w:rPr/>
      </w:pPr>
      <w:r>
        <w:rPr>
          <w:rStyle w:val="Funotenzeichen"/>
        </w:rPr>
        <w:footnoteRef/>
      </w:r>
      <w:r>
        <w:rPr/>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449">
    <w:p>
      <w:pPr>
        <w:pStyle w:val="Funote"/>
        <w:rPr/>
      </w:pPr>
      <w:r>
        <w:rPr>
          <w:rStyle w:val="Funotenzeichen"/>
        </w:rPr>
        <w:footnoteRef/>
      </w:r>
      <w:r>
        <w:rPr/>
        <w:tab/>
        <w:t>»Mit leeren Händen« nach BA 870</w:t>
      </w:r>
    </w:p>
  </w:footnote>
  <w:footnote w:id="2450">
    <w:p>
      <w:pPr>
        <w:pStyle w:val="Funote"/>
        <w:rPr/>
      </w:pPr>
      <w:r>
        <w:rPr>
          <w:rStyle w:val="Funotenzeichen"/>
        </w:rPr>
        <w:footnoteRef/>
      </w:r>
      <w:r>
        <w:rPr/>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451">
    <w:p>
      <w:pPr>
        <w:pStyle w:val="Funote"/>
        <w:spacing w:before="0" w:after="283"/>
        <w:rPr/>
      </w:pPr>
      <w:r>
        <w:rPr>
          <w:rStyle w:val="Funotenzeichen"/>
        </w:rPr>
        <w:footnoteRef/>
      </w:r>
      <w:r>
        <w:rPr/>
        <w:tab/>
        <w:t xml:space="preserve">Ein weiterer grammatischer Zweifelsfall: Es ist fraglich, wie V 54b, 55a und 55b sich zueinander verhalten. Vorgeschlagen wurde, </w:t>
      </w:r>
    </w:p>
    <w:p>
      <w:pPr>
        <w:pStyle w:val="Textkrper"/>
        <w:numPr>
          <w:ilvl w:val="0"/>
          <w:numId w:val="4"/>
        </w:numPr>
        <w:tabs>
          <w:tab w:val="left" w:pos="0" w:leader="none"/>
        </w:tabs>
        <w:spacing w:before="0" w:after="0"/>
        <w:ind w:left="707" w:hanging="283"/>
        <w:rPr/>
      </w:pPr>
      <w:r>
        <w:rPr/>
        <w:tab/>
        <w:t xml:space="preserve">dass V 55a Parenthese ist und V 55b nicht mehr, sondern dativus commodi zu 54b („Gott hat sich erbarmt - wie er ja auch schon unseren Vätern verheißen hat - zugunsten von Abraham und seinen Nachkommen.“) - dies ist heute die Mehrheitsmeinung, </w:t>
      </w:r>
    </w:p>
    <w:p>
      <w:pPr>
        <w:pStyle w:val="Textkrper"/>
        <w:numPr>
          <w:ilvl w:val="0"/>
          <w:numId w:val="4"/>
        </w:numPr>
        <w:tabs>
          <w:tab w:val="left" w:pos="0" w:leader="none"/>
        </w:tabs>
        <w:spacing w:before="0" w:after="0"/>
        <w:ind w:left="707" w:hanging="283"/>
        <w:rPr/>
      </w:pPr>
      <w:r>
        <w:rPr/>
        <w:tab/>
        <w:t xml:space="preserve">dass V 55a eine Art „Nachsatz“ ist, V 55b zu diesem Nachsatz gehört und „verheißen hat“ näher bestimmt („Gott hat sich erbarmt - wie er ja auch schon unseren Väter zugunsten von Abraham und seinen Nachfahren auf ewig verheißen hat“), oder </w:t>
      </w:r>
    </w:p>
    <w:p>
      <w:pPr>
        <w:pStyle w:val="Textkrper"/>
        <w:numPr>
          <w:ilvl w:val="0"/>
          <w:numId w:val="4"/>
        </w:numPr>
        <w:tabs>
          <w:tab w:val="left" w:pos="0" w:leader="none"/>
        </w:tabs>
        <w:ind w:left="707" w:hanging="283"/>
        <w:rPr/>
      </w:pPr>
      <w:r>
        <w:rPr/>
        <w:tab/>
        <w:t>dass V 55b inkongruente Apposition zu V 55a ist („Gott hat sich erbarmt - wie er unseren Vätern (d.h. Abraham und seinen Nachkommen auf ewig) verheißen hat“).</w:t>
      </w:r>
    </w:p>
    <w:p>
      <w:pPr>
        <w:pStyle w:val="Textkrper"/>
        <w:rPr/>
      </w:pPr>
      <w:r>
        <w:rPr/>
        <w:tab/>
        <w:t>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w:t>
      </w:r>
    </w:p>
    <w:p>
      <w:pPr>
        <w:pStyle w:val="Textkrper"/>
        <w:spacing w:before="0" w:after="283"/>
        <w:rPr/>
      </w:pPr>
      <w:r>
        <w:rPr/>
        <w:tab/>
        <w:t>Der Sinn ist dann, dass mit Mariens Empfängnis des Messias die Verheißung Gottes an Abraham in Erfüllung geht, dass er sich ihm und seinen Nachfahren gegenüber gemäß seiner Bundestreue verhalten würde.</w:t>
      </w:r>
    </w:p>
  </w:footnote>
  <w:footnote w:id="2452">
    <w:p>
      <w:pPr>
        <w:pStyle w:val="Funote"/>
        <w:rPr/>
      </w:pPr>
      <w:r>
        <w:rPr>
          <w:rStyle w:val="Funotenzeichen"/>
        </w:rPr>
        <w:footnoteRef/>
      </w:r>
      <w:r>
        <w:rPr/>
        <w:tab/>
        <w:t>wörtl.: „gesagt hat“. Semitismus; im Hebräischen steht auch für „verheißen“ das gewöhnliche „sagen“ (vgl. Grosvenor/Zerwick 1993, S. 174).</w:t>
      </w:r>
    </w:p>
  </w:footnote>
  <w:footnote w:id="2453">
    <w:p>
      <w:pPr>
        <w:pStyle w:val="Funote"/>
        <w:rPr/>
      </w:pPr>
      <w:r>
        <w:rPr>
          <w:rStyle w:val="Funotenzeichen"/>
        </w:rPr>
        <w:footnoteRef/>
      </w:r>
      <w:r>
        <w:rPr/>
        <w:tab/>
        <w:t>[Status: Zuverlässig]</w:t>
      </w:r>
    </w:p>
  </w:footnote>
  <w:footnote w:id="2454">
    <w:p>
      <w:pPr>
        <w:pStyle w:val="Funote"/>
        <w:rPr/>
      </w:pPr>
      <w:r>
        <w:rPr>
          <w:rStyle w:val="Funotenzeichen"/>
        </w:rPr>
        <w:footnoteRef/>
      </w:r>
      <w:r>
        <w:rPr/>
        <w:tab/>
        <w:t>Partizip Präsens Aktiv zu Nebensatz aufgelöst</w:t>
      </w:r>
    </w:p>
  </w:footnote>
  <w:footnote w:id="2455">
    <w:p>
      <w:pPr>
        <w:pStyle w:val="Funote"/>
        <w:rPr/>
      </w:pPr>
      <w:r>
        <w:rPr>
          <w:rStyle w:val="Funotenzeichen"/>
        </w:rPr>
        <w:footnoteRef/>
      </w:r>
      <w:r>
        <w:rPr/>
        <w:tab/>
        <w:t>Nach dem Tod von Herodes dem Großen (4 v. Chr.) wurde sein Herrschaftgebiet in mehrere Fürstentümer aufgeteilt, deren Herrscher Tetrarchen (Vierfürsten) genannt wurden.</w:t>
      </w:r>
    </w:p>
  </w:footnote>
  <w:footnote w:id="2456">
    <w:p>
      <w:pPr>
        <w:pStyle w:val="Funote"/>
        <w:rPr/>
      </w:pPr>
      <w:r>
        <w:rPr>
          <w:rStyle w:val="Funotenzeichen"/>
        </w:rPr>
        <w:footnoteRef/>
      </w:r>
      <w:r>
        <w:rPr/>
        <w:tab/>
        <w:t>Partizip Präsens Aktiv gleichgeordnet aufgelöst</w:t>
      </w:r>
    </w:p>
  </w:footnote>
  <w:footnote w:id="2457">
    <w:p>
      <w:pPr>
        <w:pStyle w:val="Funote"/>
        <w:rPr/>
      </w:pPr>
      <w:r>
        <w:rPr>
          <w:rStyle w:val="Funotenzeichen"/>
        </w:rPr>
        <w:footnoteRef/>
      </w:r>
      <w:r>
        <w:rPr/>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458">
    <w:p>
      <w:pPr>
        <w:pStyle w:val="Funote"/>
        <w:rPr/>
      </w:pPr>
      <w:r>
        <w:rPr>
          <w:rStyle w:val="Funotenzeichen"/>
        </w:rPr>
        <w:footnoteRef/>
      </w:r>
      <w:r>
        <w:rPr/>
        <w:tab/>
        <w:t>Partizip Präsens Medium/Passiv zu einem Nebensatz aufgelöst</w:t>
      </w:r>
    </w:p>
  </w:footnote>
  <w:footnote w:id="2459">
    <w:p>
      <w:pPr>
        <w:pStyle w:val="Funote"/>
        <w:rPr/>
      </w:pPr>
      <w:r>
        <w:rPr>
          <w:rStyle w:val="Funotenzeichen"/>
        </w:rPr>
        <w:footnoteRef/>
      </w:r>
      <w:r>
        <w:rPr/>
        <w:tab/>
        <w:t>Oder: Wer hat euch angewiesen, vor dem kommenden Zorn die Flucht zu ergreifen?</w:t>
      </w:r>
    </w:p>
  </w:footnote>
  <w:footnote w:id="2460">
    <w:p>
      <w:pPr>
        <w:pStyle w:val="Funote"/>
        <w:rPr/>
      </w:pPr>
      <w:r>
        <w:rPr>
          <w:rStyle w:val="Funotenzeichen"/>
        </w:rPr>
        <w:footnoteRef/>
      </w:r>
      <w:r>
        <w:rPr/>
        <w:tab/>
        <w:t>Oder: Tut also Werke, die der Reue angemessen sind / Bringt also Früchte, wie es der Umkehr entspricht</w:t>
      </w:r>
    </w:p>
  </w:footnote>
  <w:footnote w:id="2461">
    <w:p>
      <w:pPr>
        <w:pStyle w:val="Funote"/>
        <w:rPr/>
      </w:pPr>
      <w:r>
        <w:rPr>
          <w:rStyle w:val="Funotenzeichen"/>
        </w:rPr>
        <w:footnoteRef/>
      </w:r>
      <w:r>
        <w:rPr/>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462">
    <w:p>
      <w:pPr>
        <w:pStyle w:val="Funote"/>
        <w:rPr/>
      </w:pPr>
      <w:r>
        <w:rPr>
          <w:rStyle w:val="Funotenzeichen"/>
        </w:rPr>
        <w:footnoteRef/>
      </w:r>
      <w:r>
        <w:rPr/>
        <w:tab/>
        <w:t>Substantiviertes Adjektiv als Satzsubjekt zu einem Nebensatz aufgelöst.</w:t>
      </w:r>
    </w:p>
  </w:footnote>
  <w:footnote w:id="2463">
    <w:p>
      <w:pPr>
        <w:pStyle w:val="Funote"/>
        <w:rPr/>
      </w:pPr>
      <w:r>
        <w:rPr>
          <w:rStyle w:val="Funotenzeichen"/>
        </w:rPr>
        <w:footnoteRef/>
      </w:r>
      <w:r>
        <w:rPr/>
        <w:tab/>
        <w:t>Relativischer Anschluss</w:t>
      </w:r>
    </w:p>
  </w:footnote>
  <w:footnote w:id="2464">
    <w:p>
      <w:pPr>
        <w:pStyle w:val="Funote"/>
        <w:rPr/>
      </w:pPr>
      <w:r>
        <w:rPr>
          <w:rStyle w:val="Funotenzeichen"/>
        </w:rPr>
        <w:footnoteRef/>
      </w:r>
      <w:r>
        <w:rPr/>
        <w:tab/>
        <w:t>Das Lösen von Schuhriemen galt als Sklavenarbeit</w:t>
      </w:r>
    </w:p>
  </w:footnote>
  <w:footnote w:id="2465">
    <w:p>
      <w:pPr>
        <w:pStyle w:val="Funote"/>
        <w:rPr/>
      </w:pPr>
      <w:r>
        <w:rPr>
          <w:rStyle w:val="Funotenzeichen"/>
        </w:rPr>
        <w:footnoteRef/>
      </w:r>
      <w:r>
        <w:rPr/>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466">
    <w:p>
      <w:pPr>
        <w:pStyle w:val="Funote"/>
        <w:rPr/>
      </w:pPr>
      <w:r>
        <w:rPr>
          <w:rStyle w:val="Funotenzeichen"/>
        </w:rPr>
        <w:footnoteRef/>
      </w:r>
      <w:r>
        <w:rPr/>
        <w:tab/>
        <w:t>Genitivus absolutus mit Partizip Aorist Passiv und Partizip Präsens Medium/Passiv zu einem gemeinsamen Nebensatz aufgelöst</w:t>
      </w:r>
    </w:p>
  </w:footnote>
  <w:footnote w:id="2467">
    <w:p>
      <w:pPr>
        <w:pStyle w:val="Funote"/>
        <w:rPr/>
      </w:pPr>
      <w:r>
        <w:rPr>
          <w:rStyle w:val="Funotenzeichen"/>
        </w:rPr>
        <w:footnoteRef/>
      </w:r>
      <w:r>
        <w:rPr/>
        <w:tab/>
        <w:t>Partizip Präsens gleichgeordnet aufgelöst</w:t>
      </w:r>
    </w:p>
  </w:footnote>
  <w:footnote w:id="2468">
    <w:p>
      <w:pPr>
        <w:pStyle w:val="Funote"/>
        <w:rPr/>
      </w:pPr>
      <w:r>
        <w:rPr>
          <w:rStyle w:val="Funotenzeichen"/>
        </w:rPr>
        <w:footnoteRef/>
      </w:r>
      <w:r>
        <w:rPr/>
        <w:tab/>
        <w:t>[Status: Zuverlässig]</w:t>
      </w:r>
    </w:p>
  </w:footnote>
  <w:footnote w:id="2469">
    <w:p>
      <w:pPr>
        <w:pStyle w:val="Funote"/>
        <w:rPr/>
      </w:pPr>
      <w:r>
        <w:rPr>
          <w:rStyle w:val="Funotenzeichen"/>
        </w:rPr>
        <w:footnoteRef/>
      </w:r>
      <w:r>
        <w:rPr/>
        <w:tab/>
        <w:t>Lokativer Genitiv.</w:t>
      </w:r>
    </w:p>
  </w:footnote>
  <w:footnote w:id="2470">
    <w:p>
      <w:pPr>
        <w:pStyle w:val="Funote"/>
        <w:rPr/>
      </w:pPr>
      <w:r>
        <w:rPr>
          <w:rStyle w:val="Funotenzeichen"/>
        </w:rPr>
        <w:footnoteRef/>
      </w:r>
      <w:r>
        <w:rPr/>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471">
    <w:p>
      <w:pPr>
        <w:pStyle w:val="Funote"/>
        <w:rPr/>
      </w:pPr>
      <w:r>
        <w:rPr>
          <w:rStyle w:val="Funotenzeichen"/>
        </w:rPr>
        <w:footnoteRef/>
      </w:r>
      <w:r>
        <w:rPr/>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472">
    <w:p>
      <w:pPr>
        <w:pStyle w:val="Funote"/>
        <w:rPr/>
      </w:pPr>
      <w:r>
        <w:rPr>
          <w:rStyle w:val="Funotenzeichen"/>
        </w:rPr>
        <w:footnoteRef/>
      </w:r>
      <w:r>
        <w:rPr>
          <w:i/>
        </w:rPr>
        <w:tab/>
        <w:t>war</w:t>
      </w:r>
      <w:r>
        <w:rPr/>
        <w:t xml:space="preserve"> Gr. „ist“</w:t>
      </w:r>
    </w:p>
  </w:footnote>
  <w:footnote w:id="2473">
    <w:p>
      <w:pPr>
        <w:pStyle w:val="Funote"/>
        <w:rPr/>
      </w:pPr>
      <w:r>
        <w:rPr>
          <w:rStyle w:val="Funotenzeichen"/>
        </w:rPr>
        <w:footnoteRef/>
      </w:r>
      <w:hyperlink r:id="rId436">
        <w:r>
          <w:rPr>
            <w:rStyle w:val="Internetverknpfung"/>
          </w:rPr>
          <w:tab/>
          <w:t>Historisches Präsens</w:t>
        </w:r>
      </w:hyperlink>
      <w:r>
        <w:rPr/>
        <w:t>.</w:t>
      </w:r>
    </w:p>
  </w:footnote>
  <w:footnote w:id="2474">
    <w:p>
      <w:pPr>
        <w:pStyle w:val="Funote"/>
        <w:rPr/>
      </w:pPr>
      <w:r>
        <w:rPr>
          <w:rStyle w:val="Funotenzeichen"/>
        </w:rPr>
        <w:footnoteRef/>
      </w:r>
      <w:r>
        <w:rPr>
          <w:i/>
        </w:rPr>
        <w:tab/>
        <w:t>Männer (Kinder)</w:t>
      </w:r>
      <w:r>
        <w:rPr/>
        <w:t xml:space="preserve">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 </w:t>
      </w:r>
    </w:p>
  </w:footnote>
  <w:footnote w:id="2475">
    <w:p>
      <w:pPr>
        <w:pStyle w:val="Funote"/>
        <w:rPr/>
      </w:pPr>
      <w:r>
        <w:rPr>
          <w:rStyle w:val="Funotenzeichen"/>
        </w:rPr>
        <w:footnoteRef/>
      </w:r>
      <w:r>
        <w:rPr/>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476">
    <w:p>
      <w:pPr>
        <w:pStyle w:val="Funote"/>
        <w:rPr/>
      </w:pPr>
      <w:r>
        <w:rPr>
          <w:rStyle w:val="Funotenzeichen"/>
        </w:rPr>
        <w:footnoteRef/>
      </w:r>
      <w:r>
        <w:rPr>
          <w:i/>
        </w:rPr>
        <w:tab/>
        <w:t>[doch einmal] auf der rechten Seite des Bootes</w:t>
      </w:r>
      <w:r>
        <w:rPr/>
        <w:t xml:space="preserve"> Die Einfügung </w:t>
      </w:r>
      <w:r>
        <w:rPr>
          <w:i/>
        </w:rPr>
        <w:t>[doch einmal]</w:t>
      </w:r>
      <w:r>
        <w:rPr/>
        <w:t xml:space="preserve"> soll wie die griechische Wortstellung die von Jesus vorgeschlagene Alternative hervorheben. </w:t>
      </w:r>
    </w:p>
  </w:footnote>
  <w:footnote w:id="2477">
    <w:p>
      <w:pPr>
        <w:pStyle w:val="Funote"/>
        <w:rPr/>
      </w:pPr>
      <w:r>
        <w:rPr>
          <w:rStyle w:val="Funotenzeichen"/>
        </w:rPr>
        <w:footnoteRef/>
      </w:r>
      <w:r>
        <w:rPr>
          <w:i/>
        </w:rPr>
        <w:tab/>
        <w:t>Als Simon Petrus hörte</w:t>
      </w:r>
      <w:r>
        <w:rPr/>
        <w:t xml:space="preserve"> Temporales, als Nebensatz aufgelöstes Ptc. coni. </w:t>
      </w:r>
    </w:p>
  </w:footnote>
  <w:footnote w:id="2478">
    <w:p>
      <w:pPr>
        <w:pStyle w:val="Funote"/>
        <w:rPr/>
      </w:pPr>
      <w:r>
        <w:rPr>
          <w:rStyle w:val="Funotenzeichen"/>
        </w:rPr>
        <w:footnoteRef/>
      </w:r>
      <w:r>
        <w:rPr/>
        <w:tab/>
        <w:t>er war nämlich (denn) nackt Das griechische Wort lässt offen, ob Petrus ganz nackt oder nur teilweise entkleidet war. Daher wäre auch die etwas freiere Alternativübersetzung denkbar: „er hatte es nämlich abgelegt“ o.ä. (vgl. NGÜ).</w:t>
      </w:r>
    </w:p>
  </w:footnote>
  <w:footnote w:id="2479">
    <w:p>
      <w:pPr>
        <w:pStyle w:val="Funote"/>
        <w:rPr/>
      </w:pPr>
      <w:r>
        <w:rPr>
          <w:rStyle w:val="Funotenzeichen"/>
        </w:rPr>
        <w:footnoteRef/>
      </w:r>
      <w:r>
        <w:rPr/>
        <w:tab/>
        <w:t>Die Juden nannten den See Tiberias das „Meer von Galiläa“.</w:t>
      </w:r>
    </w:p>
  </w:footnote>
  <w:footnote w:id="2480">
    <w:p>
      <w:pPr>
        <w:pStyle w:val="Funote"/>
        <w:rPr/>
      </w:pPr>
      <w:r>
        <w:rPr>
          <w:rStyle w:val="Funotenzeichen"/>
        </w:rPr>
        <w:footnoteRef/>
      </w:r>
      <w:r>
        <w:rPr>
          <w:i/>
        </w:rPr>
        <w:tab/>
        <w:t>[mit] dem Boot</w:t>
      </w:r>
      <w:r>
        <w:rPr/>
        <w:t xml:space="preserve"> Instrumentaler Dativ. </w:t>
      </w:r>
    </w:p>
  </w:footnote>
  <w:footnote w:id="2481">
    <w:p>
      <w:pPr>
        <w:pStyle w:val="Funote"/>
        <w:rPr/>
      </w:pPr>
      <w:r>
        <w:rPr>
          <w:rStyle w:val="Funotenzeichen"/>
        </w:rPr>
        <w:footnoteRef/>
      </w:r>
      <w:r>
        <w:rPr>
          <w:i/>
        </w:rPr>
        <w:tab/>
        <w:t>Dabei zogen sie das Netz [mit] den Fischen [hinter sich] her</w:t>
      </w:r>
      <w:r>
        <w:rPr/>
        <w:t xml:space="preserve"> Als modaler HS aufgelöstes Ptc. coni. </w:t>
      </w:r>
      <w:r>
        <w:rPr>
          <w:i/>
        </w:rPr>
        <w:t>Netz [mit] den Fischen</w:t>
      </w:r>
      <w:r>
        <w:rPr/>
        <w:t xml:space="preserve"> W. „Netz der Fische“, wohl appositiver Genitiv. </w:t>
      </w:r>
    </w:p>
  </w:footnote>
  <w:footnote w:id="2482">
    <w:p>
      <w:pPr>
        <w:pStyle w:val="Funote"/>
        <w:rPr/>
      </w:pPr>
      <w:r>
        <w:rPr>
          <w:rStyle w:val="Funotenzeichen"/>
        </w:rPr>
        <w:footnoteRef/>
      </w:r>
      <w:r>
        <w:rPr>
          <w:i/>
        </w:rPr>
        <w:tab/>
        <w:t>vorbereitetes</w:t>
      </w:r>
      <w:r>
        <w:rPr/>
        <w:t xml:space="preserve"> und </w:t>
      </w:r>
      <w:r>
        <w:rPr>
          <w:i/>
        </w:rPr>
        <w:t>daraufgelegt</w:t>
      </w:r>
      <w:r>
        <w:rPr/>
        <w:t xml:space="preserve"> AcP mit zwei Partizipien, im ersten Fall adjektivisch, im zweiten Fall als eigenständig angehängter NS übersetzt. Auch möglich wäre eine Konstruktion mit einem doppelten Infinitiv-NS. </w:t>
      </w:r>
    </w:p>
  </w:footnote>
  <w:footnote w:id="2483">
    <w:p>
      <w:pPr>
        <w:pStyle w:val="Funote"/>
        <w:rPr/>
      </w:pPr>
      <w:r>
        <w:rPr>
          <w:rStyle w:val="Funotenzeichen"/>
        </w:rPr>
        <w:footnoteRef/>
      </w:r>
      <w:hyperlink r:id="rId437">
        <w:r>
          <w:rPr>
            <w:rStyle w:val="Internetverknpfung"/>
          </w:rPr>
          <w:tab/>
          <w:t>Genitivus partitivus</w:t>
        </w:r>
      </w:hyperlink>
      <w:r>
        <w:rPr/>
        <w:t>.</w:t>
      </w:r>
    </w:p>
  </w:footnote>
  <w:footnote w:id="2484">
    <w:p>
      <w:pPr>
        <w:pStyle w:val="Funote"/>
        <w:rPr/>
      </w:pPr>
      <w:r>
        <w:rPr>
          <w:rStyle w:val="Funotenzeichen"/>
        </w:rPr>
        <w:footnoteRef/>
      </w:r>
      <w:r>
        <w:rPr>
          <w:i/>
        </w:rPr>
        <w:tab/>
        <w:t>obwohl es so viele waren</w:t>
      </w:r>
      <w:r>
        <w:rPr/>
        <w:t xml:space="preserve"> Als konzessiver NS aufgelöster Gen. abs. </w:t>
      </w:r>
    </w:p>
  </w:footnote>
  <w:footnote w:id="2485">
    <w:p>
      <w:pPr>
        <w:pStyle w:val="Funote"/>
        <w:rPr/>
      </w:pPr>
      <w:r>
        <w:rPr>
          <w:rStyle w:val="Funotenzeichen"/>
        </w:rPr>
        <w:footnoteRef/>
      </w:r>
      <w:r>
        <w:rPr>
          <w:i/>
        </w:rPr>
        <w:tab/>
        <w:t>[von] den Jüngern</w:t>
      </w:r>
      <w:r>
        <w:rPr/>
        <w:t xml:space="preserve"> Genitivus partitivus. </w:t>
      </w:r>
    </w:p>
  </w:footnote>
  <w:footnote w:id="2486">
    <w:p>
      <w:pPr>
        <w:pStyle w:val="Funote"/>
        <w:rPr/>
      </w:pPr>
      <w:r>
        <w:rPr>
          <w:rStyle w:val="Funotenzeichen"/>
        </w:rPr>
        <w:footnoteRef/>
      </w:r>
      <w:r>
        <w:rPr>
          <w:i/>
        </w:rPr>
        <w:tab/>
        <w:t>kam und nahm</w:t>
      </w:r>
      <w:r>
        <w:rPr/>
        <w:t xml:space="preserve"> Jew. </w:t>
      </w:r>
      <w:hyperlink r:id="rId438">
        <w:r>
          <w:rPr>
            <w:rStyle w:val="Internetverknpfung"/>
          </w:rPr>
          <w:t>Historisches Präsens</w:t>
        </w:r>
      </w:hyperlink>
      <w:r>
        <w:rPr/>
        <w:t>.</w:t>
      </w:r>
    </w:p>
  </w:footnote>
  <w:footnote w:id="2487">
    <w:p>
      <w:pPr>
        <w:pStyle w:val="Funote"/>
        <w:rPr/>
      </w:pPr>
      <w:r>
        <w:rPr>
          <w:rStyle w:val="Funotenzeichen"/>
        </w:rPr>
        <w:footnoteRef/>
      </w:r>
      <w:r>
        <w:rPr/>
        <w:tab/>
        <w:t>Part. Aor. pass.</w:t>
      </w:r>
    </w:p>
  </w:footnote>
  <w:footnote w:id="2488">
    <w:p>
      <w:pPr>
        <w:pStyle w:val="Funote"/>
        <w:rPr/>
      </w:pPr>
      <w:r>
        <w:rPr>
          <w:rStyle w:val="Funotenzeichen"/>
        </w:rPr>
        <w:footnoteRef/>
      </w:r>
      <w:r>
        <w:rPr/>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489">
    <w:p>
      <w:pPr>
        <w:pStyle w:val="Funote"/>
        <w:rPr/>
      </w:pPr>
      <w:r>
        <w:rPr>
          <w:rStyle w:val="Funotenzeichen"/>
        </w:rPr>
        <w:footnoteRef/>
      </w:r>
      <w:r>
        <w:rPr/>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490">
    <w:p>
      <w:pPr>
        <w:pStyle w:val="Funote"/>
        <w:rPr/>
      </w:pPr>
      <w:r>
        <w:rPr>
          <w:rStyle w:val="Funotenzeichen"/>
        </w:rPr>
        <w:footnoteRef/>
      </w:r>
      <w:r>
        <w:rPr>
          <w:i/>
        </w:rPr>
        <w:tab/>
        <w:t>nachdem er das gesagt hatte</w:t>
      </w:r>
      <w:r>
        <w:rPr/>
        <w:t xml:space="preserve"> Als temporaler Nebensatz aufgelöstes Ptc. coni.</w:t>
      </w:r>
    </w:p>
  </w:footnote>
  <w:footnote w:id="2491">
    <w:p>
      <w:pPr>
        <w:pStyle w:val="Funote"/>
        <w:rPr/>
      </w:pPr>
      <w:r>
        <w:rPr>
          <w:rStyle w:val="Funotenzeichen"/>
        </w:rPr>
        <w:footnoteRef/>
      </w:r>
      <w:r>
        <w:rPr>
          <w:i/>
        </w:rPr>
        <w:tab/>
        <w:t>Als er sich umwandte</w:t>
      </w:r>
      <w:r>
        <w:rPr/>
        <w:t xml:space="preserve"> Als temporaler Nebensatz aufgelöstes Ptc. coni.</w:t>
      </w:r>
    </w:p>
  </w:footnote>
  <w:footnote w:id="2492">
    <w:p>
      <w:pPr>
        <w:pStyle w:val="Funote"/>
        <w:rPr/>
      </w:pPr>
      <w:r>
        <w:rPr>
          <w:rStyle w:val="Funotenzeichen"/>
        </w:rPr>
        <w:footnoteRef/>
      </w:r>
      <w:r>
        <w:rPr>
          <w:i/>
        </w:rPr>
        <w:tab/>
        <w:t>sah, dass … folgte</w:t>
      </w:r>
      <w:r>
        <w:rPr/>
        <w:t xml:space="preserve"> AcP. </w:t>
      </w:r>
    </w:p>
  </w:footnote>
  <w:footnote w:id="2493">
    <w:p>
      <w:pPr>
        <w:pStyle w:val="Funote"/>
        <w:rPr/>
      </w:pPr>
      <w:r>
        <w:rPr>
          <w:rStyle w:val="Funotenzeichen"/>
        </w:rPr>
        <w:footnoteRef/>
      </w:r>
      <w:r>
        <w:rPr/>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494">
    <w:p>
      <w:pPr>
        <w:pStyle w:val="Funote"/>
        <w:rPr/>
      </w:pPr>
      <w:r>
        <w:rPr>
          <w:rStyle w:val="Funotenzeichen"/>
        </w:rPr>
        <w:footnoteRef/>
      </w:r>
      <w:r>
        <w:rPr>
          <w:i/>
        </w:rPr>
        <w:tab/>
        <w:t>will, dass er bleibt</w:t>
      </w:r>
      <w:r>
        <w:rPr/>
        <w:t xml:space="preserve"> AcI. </w:t>
      </w:r>
    </w:p>
  </w:footnote>
  <w:footnote w:id="2495">
    <w:p>
      <w:pPr>
        <w:pStyle w:val="Funote"/>
        <w:rPr/>
      </w:pPr>
      <w:r>
        <w:rPr>
          <w:rStyle w:val="Funotenzeichen"/>
        </w:rPr>
        <w:footnoteRef/>
      </w:r>
      <w:r>
        <w:rPr/>
        <w:tab/>
        <w:t>[Status: Zuverlässig]</w:t>
      </w:r>
    </w:p>
  </w:footnote>
  <w:footnote w:id="2496">
    <w:p>
      <w:pPr>
        <w:pStyle w:val="Funote"/>
        <w:rPr/>
      </w:pPr>
      <w:r>
        <w:rPr>
          <w:rStyle w:val="Funotenzeichen"/>
        </w:rPr>
        <w:footnoteRef/>
      </w:r>
      <w:r>
        <w:rPr/>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497">
    <w:p>
      <w:pPr>
        <w:pStyle w:val="Funote"/>
        <w:rPr/>
      </w:pPr>
      <w:r>
        <w:rPr>
          <w:rStyle w:val="Funotenzeichen"/>
        </w:rPr>
        <w:footnoteRef/>
      </w:r>
      <w:r>
        <w:rPr/>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498">
    <w:p>
      <w:pPr>
        <w:pStyle w:val="Funote"/>
        <w:rPr/>
      </w:pPr>
      <w:r>
        <w:rPr>
          <w:rStyle w:val="Funotenzeichen"/>
        </w:rPr>
        <w:footnoteRef/>
      </w:r>
      <w:r>
        <w:rPr>
          <w:i/>
        </w:rPr>
        <w:tab/>
        <w:t>alle zusammen [als] Gemeinschaft (?, beisammen)</w:t>
      </w:r>
      <w:r>
        <w:rPr/>
        <w:t xml:space="preserve"> - W. „waren sie alle zusammen beisammen“, ein offensichtlich redundanter Ausdruck. Daher und wegen der Verwendung der Wortgruppe </w:t>
      </w:r>
      <w:r>
        <w:rPr>
          <w:i/>
        </w:rPr>
        <w:t>epi to auto</w:t>
      </w:r>
      <w:r>
        <w:rPr/>
        <w:t xml:space="preserve"> („beisammen“, ein aus mehreren Worten bestehendes Adverb) in Vv. 44.47 (s. </w:t>
      </w:r>
      <w:r>
        <w:fldChar w:fldCharType="begin"/>
      </w:r>
      <w:r>
        <w:rPr>
          <w:rStyle w:val="Internetverknpfung"/>
        </w:rPr>
        <w:instrText> HYPERLINK "http://offene-bibel.de/wiki/Apostelgeschichte_2" \l "note_bm"</w:instrText>
      </w:r>
      <w:r>
        <w:rPr>
          <w:rStyle w:val="Internetverknpfung"/>
        </w:rPr>
        <w:fldChar w:fldCharType="separate"/>
      </w:r>
      <w:r>
        <w:rPr>
          <w:rStyle w:val="Internetverknpfung"/>
        </w:rPr>
        <w:t>FN bm</w:t>
      </w:r>
      <w:r>
        <w:rPr>
          <w:rStyle w:val="Internetverknpfung"/>
        </w:rPr>
        <w:fldChar w:fldCharType="end"/>
      </w:r>
      <w:r>
        <w:rPr/>
        <w:t>) besser wie dort zu deuten als Hebraismus mit der Bedeutung „als Gemeinschaft; gemeinschaftlich“ (s. dort).</w:t>
        <w:br/>
        <w:t xml:space="preserve">Zusammen mit dem „alle“, von dem auf den ersten Blick nicht klar ist, auf wen es zu beziehen ist, muss man daher am ehesten so auflösen: „Alle“ bezieht sich auf die 120 Jünger aus </w:t>
      </w:r>
      <w:r>
        <w:fldChar w:fldCharType="begin"/>
      </w:r>
      <w:r>
        <w:rPr>
          <w:rStyle w:val="Internetverknpfung"/>
        </w:rPr>
        <w:instrText> HYPERLINK "../../../../../../../../../wiki/Apostelgeschichte_1" \l "s15"</w:instrText>
      </w:r>
      <w:r>
        <w:rPr>
          <w:rStyle w:val="Internetverknpfung"/>
        </w:rPr>
        <w:fldChar w:fldCharType="separate"/>
      </w:r>
      <w:r>
        <w:rPr>
          <w:rStyle w:val="Internetverknpfung"/>
        </w:rPr>
        <w:t>Apg 1,15</w:t>
      </w:r>
      <w:r>
        <w:rPr>
          <w:rStyle w:val="Internetverknpfung"/>
        </w:rPr>
        <w:fldChar w:fldCharType="end"/>
      </w:r>
      <w:r>
        <w:rPr/>
        <w:t xml:space="preserve">, die sich in der Zwischenzeit getrennt hatten, nun aber </w:t>
      </w:r>
      <w:r>
        <w:rPr>
          <w:i/>
        </w:rPr>
        <w:t>alle</w:t>
      </w:r>
      <w:r>
        <w:rPr/>
        <w:t xml:space="preserve"> wieder „als Gemeinschaft“ </w:t>
      </w:r>
      <w:r>
        <w:rPr>
          <w:i/>
        </w:rPr>
        <w:t>zusammen</w:t>
      </w:r>
      <w:r>
        <w:rPr/>
        <w:t>gekommen sind.</w:t>
      </w:r>
    </w:p>
  </w:footnote>
  <w:footnote w:id="2499">
    <w:p>
      <w:pPr>
        <w:pStyle w:val="Funote"/>
        <w:rPr/>
      </w:pPr>
      <w:r>
        <w:rPr>
          <w:rStyle w:val="Funotenzeichen"/>
        </w:rPr>
        <w:footnoteRef/>
      </w:r>
      <w:r>
        <w:rPr/>
        <w:tab/>
        <w:t>tFN: in dem sie [gerade] saßen (V. 2) + Es hielten sich [gerade] auf (V. 5) - W. „wo sie sitzend waren“ bzw. „Es waren wohnend“; periphrastisches Imperfekt, das man besser mit „gerade“ wiedergeben sollte.</w:t>
      </w:r>
    </w:p>
  </w:footnote>
  <w:footnote w:id="2500">
    <w:p>
      <w:pPr>
        <w:pStyle w:val="Funote"/>
        <w:rPr/>
      </w:pPr>
      <w:r>
        <w:rPr>
          <w:rStyle w:val="Funotenzeichen"/>
        </w:rPr>
        <w:footnoteRef/>
      </w:r>
      <w:r>
        <w:rPr/>
        <w:tab/>
        <w:t>tFN: mit heiligem Geist - „heiliger Geist“ hier unerklärlicherweise ohne Artikel.</w:t>
      </w:r>
    </w:p>
  </w:footnote>
  <w:footnote w:id="2501">
    <w:p>
      <w:pPr>
        <w:pStyle w:val="Funote"/>
        <w:rPr/>
      </w:pPr>
      <w:r>
        <w:rPr>
          <w:rStyle w:val="Funotenzeichen"/>
        </w:rPr>
        <w:footnoteRef/>
      </w:r>
      <w:r>
        <w:rPr/>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502">
    <w:p>
      <w:pPr>
        <w:pStyle w:val="Funote"/>
        <w:rPr/>
      </w:pPr>
      <w:r>
        <w:rPr>
          <w:rStyle w:val="Funotenzeichen"/>
        </w:rPr>
        <w:footnoteRef/>
      </w:r>
      <w:r>
        <w:rPr/>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503">
    <w:p>
      <w:pPr>
        <w:pStyle w:val="Funote"/>
        <w:rPr/>
      </w:pPr>
      <w:r>
        <w:rPr>
          <w:rStyle w:val="Funotenzeichen"/>
        </w:rPr>
        <w:footnoteRef/>
      </w:r>
      <w:r>
        <w:rPr>
          <w:i/>
        </w:rPr>
        <w:tab/>
        <w:t>fromme</w:t>
      </w:r>
      <w:r>
        <w:rPr/>
        <w:t xml:space="preserve"> - W. „haltende“, nämlich „[Fasten] haltende“ Männer.</w:t>
      </w:r>
    </w:p>
  </w:footnote>
  <w:footnote w:id="2504">
    <w:p>
      <w:pPr>
        <w:pStyle w:val="Funote"/>
        <w:rPr/>
      </w:pPr>
      <w:r>
        <w:rPr>
          <w:rStyle w:val="Funotenzeichen"/>
        </w:rPr>
        <w:footnoteRef/>
      </w:r>
      <w:r>
        <w:rPr>
          <w:i/>
        </w:rPr>
        <w:tab/>
        <w:t>Getön</w:t>
      </w:r>
      <w:r>
        <w:rPr/>
        <w:t xml:space="preserve"> - Könnte sich sowohl auf das Geräusch des Geistes als auch auf den Lärm der durcheinanderprophezeienden Jünger beziehen.</w:t>
      </w:r>
    </w:p>
  </w:footnote>
  <w:footnote w:id="2505">
    <w:p>
      <w:pPr>
        <w:pStyle w:val="Funote"/>
        <w:rPr/>
      </w:pPr>
      <w:r>
        <w:rPr>
          <w:rStyle w:val="Funotenzeichen"/>
        </w:rPr>
        <w:footnoteRef/>
      </w:r>
      <w:r>
        <w:rPr/>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506">
    <w:p>
      <w:pPr>
        <w:pStyle w:val="Funote"/>
        <w:rPr/>
      </w:pPr>
      <w:r>
        <w:rPr>
          <w:rStyle w:val="Funotenzeichen"/>
        </w:rPr>
        <w:footnoteRef/>
      </w:r>
      <w:r>
        <w:rPr/>
        <w:tab/>
        <w:t xml:space="preserve">Mit </w:t>
      </w:r>
      <w:r>
        <w:rPr>
          <w:i/>
        </w:rPr>
        <w:t>Parther</w:t>
      </w:r>
      <w:r>
        <w:rPr/>
        <w:t xml:space="preserve">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507">
    <w:p>
      <w:pPr>
        <w:pStyle w:val="Funote"/>
        <w:rPr/>
      </w:pPr>
      <w:r>
        <w:rPr>
          <w:rStyle w:val="Funotenzeichen"/>
        </w:rPr>
        <w:footnoteRef/>
      </w:r>
      <w:r>
        <w:rPr/>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508">
    <w:p>
      <w:pPr>
        <w:pStyle w:val="Funote"/>
        <w:rPr/>
      </w:pPr>
      <w:r>
        <w:rPr>
          <w:rStyle w:val="Funotenzeichen"/>
        </w:rPr>
        <w:footnoteRef/>
      </w:r>
      <w:r>
        <w:rPr/>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509">
    <w:p>
      <w:pPr>
        <w:pStyle w:val="Funote"/>
        <w:rPr/>
      </w:pPr>
      <w:r>
        <w:rPr>
          <w:rStyle w:val="Funotenzeichen"/>
        </w:rPr>
        <w:footnoteRef/>
      </w:r>
      <w:r>
        <w:rPr>
          <w:i/>
        </w:rPr>
        <w:tab/>
        <w:t>rühmen</w:t>
      </w:r>
      <w:r>
        <w:rPr/>
        <w:t xml:space="preserve"> - W. „reden“.</w:t>
      </w:r>
    </w:p>
  </w:footnote>
  <w:footnote w:id="2510">
    <w:p>
      <w:pPr>
        <w:pStyle w:val="Funote"/>
        <w:rPr/>
      </w:pPr>
      <w:r>
        <w:rPr>
          <w:rStyle w:val="Funotenzeichen"/>
        </w:rPr>
        <w:footnoteRef/>
      </w:r>
      <w:r>
        <w:rPr>
          <w:i/>
        </w:rPr>
        <w:tab/>
        <w:t>Was mag dies sein?</w:t>
      </w:r>
      <w:r>
        <w:rPr/>
        <w:t xml:space="preserve"> - Häufigerer Ausdruck der Ratlosigkeit, s. z.B. </w:t>
      </w:r>
      <w:r>
        <w:fldChar w:fldCharType="begin"/>
      </w:r>
      <w:r>
        <w:rPr>
          <w:rStyle w:val="Internetverknpfung"/>
        </w:rPr>
        <w:instrText> HYPERLINK "../../../../../../../../../wiki/Apostelgeschichte_17" \l "s20"</w:instrText>
      </w:r>
      <w:r>
        <w:rPr>
          <w:rStyle w:val="Internetverknpfung"/>
        </w:rPr>
        <w:fldChar w:fldCharType="separate"/>
      </w:r>
      <w:r>
        <w:rPr>
          <w:rStyle w:val="Internetverknpfung"/>
        </w:rPr>
        <w:t>Apg 17,20</w:t>
      </w:r>
      <w:r>
        <w:rPr>
          <w:rStyle w:val="Internetverknpfung"/>
        </w:rPr>
        <w:fldChar w:fldCharType="end"/>
      </w:r>
      <w:r>
        <w:rPr/>
        <w:t xml:space="preserve">; ähnlich </w:t>
      </w:r>
      <w:r>
        <w:fldChar w:fldCharType="begin"/>
      </w:r>
      <w:r>
        <w:rPr>
          <w:rStyle w:val="Internetverknpfung"/>
        </w:rPr>
        <w:instrText> HYPERLINK "../../../../../../../../../wiki/Lukas_15" \l "s26"</w:instrText>
      </w:r>
      <w:r>
        <w:rPr>
          <w:rStyle w:val="Internetverknpfung"/>
        </w:rPr>
        <w:fldChar w:fldCharType="separate"/>
      </w:r>
      <w:r>
        <w:rPr>
          <w:rStyle w:val="Internetverknpfung"/>
        </w:rPr>
        <w:t>Lk 15,26</w:t>
      </w:r>
      <w:r>
        <w:rPr>
          <w:rStyle w:val="Internetverknpfung"/>
        </w:rPr>
        <w:fldChar w:fldCharType="end"/>
      </w:r>
      <w:r>
        <w:rPr/>
        <w:t xml:space="preserve">; </w:t>
      </w:r>
      <w:r>
        <w:fldChar w:fldCharType="begin"/>
      </w:r>
      <w:r>
        <w:rPr>
          <w:rStyle w:val="Internetverknpfung"/>
        </w:rPr>
        <w:instrText> HYPERLINK "../../../../../../../../../wiki/Lukas_18" \l "s36"</w:instrText>
      </w:r>
      <w:r>
        <w:rPr>
          <w:rStyle w:val="Internetverknpfung"/>
        </w:rPr>
        <w:fldChar w:fldCharType="separate"/>
      </w:r>
      <w:r>
        <w:rPr>
          <w:rStyle w:val="Internetverknpfung"/>
        </w:rPr>
        <w:t>18,36</w:t>
      </w:r>
      <w:r>
        <w:rPr>
          <w:rStyle w:val="Internetverknpfung"/>
        </w:rPr>
        <w:fldChar w:fldCharType="end"/>
      </w:r>
      <w:r>
        <w:rPr/>
        <w:t xml:space="preserve">; </w:t>
      </w:r>
      <w:hyperlink r:id="rId439">
        <w:r>
          <w:rPr>
            <w:rStyle w:val="Internetverknpfung"/>
          </w:rPr>
          <w:t>Apg 10,17</w:t>
        </w:r>
      </w:hyperlink>
      <w:r>
        <w:rPr/>
        <w:t>. Viele Üss. daher richtig: „Was soll das bedeuten!?“</w:t>
      </w:r>
    </w:p>
  </w:footnote>
  <w:footnote w:id="2511">
    <w:p>
      <w:pPr>
        <w:pStyle w:val="Funote"/>
        <w:rPr/>
      </w:pPr>
      <w:r>
        <w:rPr>
          <w:rStyle w:val="Funotenzeichen"/>
        </w:rPr>
        <w:footnoteRef/>
      </w:r>
      <w:r>
        <w:rPr/>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512">
    <w:p>
      <w:pPr>
        <w:pStyle w:val="Funote"/>
        <w:rPr/>
      </w:pPr>
      <w:r>
        <w:rPr>
          <w:rStyle w:val="Funotenzeichen"/>
        </w:rPr>
        <w:footnoteRef/>
      </w:r>
      <w:r>
        <w:rPr/>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513">
    <w:p>
      <w:pPr>
        <w:pStyle w:val="Funote"/>
        <w:rPr/>
      </w:pPr>
      <w:r>
        <w:rPr>
          <w:rStyle w:val="Funotenzeichen"/>
        </w:rPr>
        <w:footnoteRef/>
      </w:r>
      <w:r>
        <w:rPr/>
        <w:tab/>
        <w:t>tFN: W. »[liebe] judäische/jüdische Männer« (V. 14) bzw. »[liebe] israelitische Männer« (V. 22); bzw. »[liebe] brüderliche Männer« (V. 29.37); »Männer« wird hier wie im klass. Gr. nur als Einleitung eines Vokativs verwendet und ist im Dt. auszusparen (vgl. BDR §242).</w:t>
      </w:r>
    </w:p>
  </w:footnote>
  <w:footnote w:id="2514">
    <w:p>
      <w:pPr>
        <w:pStyle w:val="Funote"/>
        <w:rPr/>
      </w:pPr>
      <w:r>
        <w:rPr>
          <w:rStyle w:val="Funotenzeichen"/>
        </w:rPr>
        <w:footnoteRef/>
      </w:r>
      <w:r>
        <w:rPr>
          <w:i/>
        </w:rPr>
        <w:tab/>
        <w:t>ihr euch Aufhaltenden (all ihr Wohenden)</w:t>
      </w:r>
      <w:r>
        <w:rPr/>
        <w:t xml:space="preserve"> - Gemeint sind wahrscheinlich wieder wie in V. 5 die ausländischen Juden, die zum Wochenfest nach Jerusalem gekommen waren; s. </w:t>
      </w:r>
      <w:r>
        <w:fldChar w:fldCharType="begin"/>
      </w:r>
      <w:r>
        <w:rPr>
          <w:rStyle w:val="Internetverknpfung"/>
        </w:rPr>
        <w:instrText> HYPERLINK "http://offene-bibel.de/mediawiki/index.php?title=Apostelgeschichte_2" \l "note_g"</w:instrText>
      </w:r>
      <w:r>
        <w:rPr>
          <w:rStyle w:val="Internetverknpfung"/>
        </w:rPr>
        <w:fldChar w:fldCharType="separate"/>
      </w:r>
      <w:r>
        <w:rPr>
          <w:rStyle w:val="Internetverknpfung"/>
        </w:rPr>
        <w:t>FN g</w:t>
      </w:r>
      <w:r>
        <w:rPr>
          <w:rStyle w:val="Internetverknpfung"/>
        </w:rPr>
        <w:fldChar w:fldCharType="end"/>
      </w:r>
      <w:r>
        <w:rPr/>
        <w:t>.</w:t>
      </w:r>
    </w:p>
  </w:footnote>
  <w:footnote w:id="2515">
    <w:p>
      <w:pPr>
        <w:pStyle w:val="Funote"/>
        <w:rPr/>
      </w:pPr>
      <w:r>
        <w:rPr>
          <w:rStyle w:val="Funotenzeichen"/>
        </w:rPr>
        <w:footnoteRef/>
      </w:r>
      <w:r>
        <w:rPr/>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516">
    <w:p>
      <w:pPr>
        <w:pStyle w:val="Funote"/>
        <w:rPr/>
      </w:pPr>
      <w:r>
        <w:rPr>
          <w:rStyle w:val="Funotenzeichen"/>
        </w:rPr>
        <w:footnoteRef/>
      </w:r>
      <w:r>
        <w:rPr/>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517">
    <w:p>
      <w:pPr>
        <w:pStyle w:val="Funote"/>
        <w:rPr/>
      </w:pPr>
      <w:r>
        <w:rPr>
          <w:rStyle w:val="Funotenzeichen"/>
        </w:rPr>
        <w:footnoteRef/>
      </w:r>
      <w:r>
        <w:rPr/>
        <w:tab/>
        <w:t>durch den Propheten Joel Vorhergesagtes - nämlich von Gott, ein sog. »Passivum divinum«. Gut daher NGÜ: »was Gott durch den Propheten Joel angekündigt hat«.</w:t>
      </w:r>
    </w:p>
  </w:footnote>
  <w:footnote w:id="2518">
    <w:p>
      <w:pPr>
        <w:pStyle w:val="Funote"/>
        <w:rPr/>
      </w:pPr>
      <w:r>
        <w:rPr>
          <w:rStyle w:val="Funotenzeichen"/>
        </w:rPr>
        <w:footnoteRef/>
      </w:r>
      <w:r>
        <w:rPr/>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519">
    <w:p>
      <w:pPr>
        <w:pStyle w:val="Funote"/>
        <w:rPr/>
      </w:pPr>
      <w:r>
        <w:rPr>
          <w:rStyle w:val="Funotenzeichen"/>
        </w:rPr>
        <w:footnoteRef/>
      </w:r>
      <w:r>
        <w:rPr>
          <w:i/>
        </w:rPr>
        <w:tab/>
        <w:t>in den Letzten Tagen</w:t>
      </w:r>
      <w:r>
        <w:rPr/>
        <w:t xml:space="preserve"> (V. 17) + </w:t>
      </w:r>
      <w:r>
        <w:rPr>
          <w:i/>
        </w:rPr>
        <w:t>Tag des Herrn</w:t>
      </w:r>
      <w:r>
        <w:rPr/>
        <w:t xml:space="preserve"> (V. 20) - Zwei häufige Motive aus den Prophetenbüchern. Hinter ihnen steht die Erwartung, dass Gott dereinst am sog. „Tag JHWHs“ Gericht über die Menschheit halten und die Herrschaft auf Erden völlig an sich reißen wird (vgl. z.B. </w:t>
      </w:r>
      <w:r>
        <w:fldChar w:fldCharType="begin"/>
      </w:r>
      <w:r>
        <w:rPr>
          <w:rStyle w:val="Internetverknpfung"/>
        </w:rPr>
        <w:instrText> HYPERLINK "https://www.bibelwissenschaft.de/de/stichwort/32258/" \l "h8"</w:instrText>
      </w:r>
      <w:r>
        <w:rPr>
          <w:rStyle w:val="Internetverknpfung"/>
        </w:rPr>
        <w:fldChar w:fldCharType="separate"/>
      </w:r>
      <w:r>
        <w:rPr>
          <w:rStyle w:val="Internetverknpfung"/>
        </w:rPr>
        <w:t>Tag Jahwes (AT) (WibiLex)</w:t>
      </w:r>
      <w:r>
        <w:rPr>
          <w:rStyle w:val="Internetverknpfung"/>
        </w:rPr>
        <w:fldChar w:fldCharType="end"/>
      </w:r>
      <w:r>
        <w:rPr/>
        <w:t xml:space="preserve">). Diesem besagten Tag gehen die „Letzten Tage“ voraus: eine Zeit des Leids, in der sich u.a. auch kosmische Katastrophen abspielen werden (s. z.B. </w:t>
      </w:r>
      <w:r>
        <w:fldChar w:fldCharType="begin"/>
      </w:r>
      <w:r>
        <w:rPr>
          <w:rStyle w:val="Internetverknpfung"/>
        </w:rPr>
        <w:instrText> HYPERLINK "../../../../../../../../../wiki/Markus_13" \l "s24"</w:instrText>
      </w:r>
      <w:r>
        <w:rPr>
          <w:rStyle w:val="Internetverknpfung"/>
        </w:rPr>
        <w:fldChar w:fldCharType="separate"/>
      </w:r>
      <w:r>
        <w:rPr>
          <w:rStyle w:val="Internetverknpfung"/>
        </w:rPr>
        <w:t>Mk 13,24f.</w:t>
      </w:r>
      <w:r>
        <w:rPr>
          <w:rStyle w:val="Internetverknpfung"/>
        </w:rPr>
        <w:fldChar w:fldCharType="end"/>
      </w:r>
      <w:r>
        <w:rPr/>
        <w:t>: Sonne und Mond werden sich verfinstern, die Sterne werden vom Himmel fallen und die Kräfte im Himmel erschüttert werden).</w:t>
      </w:r>
    </w:p>
  </w:footnote>
  <w:footnote w:id="2520">
    <w:p>
      <w:pPr>
        <w:pStyle w:val="Funote"/>
        <w:rPr/>
      </w:pPr>
      <w:r>
        <w:rPr>
          <w:rStyle w:val="Funotenzeichen"/>
        </w:rPr>
        <w:footnoteRef/>
      </w:r>
      <w:r>
        <w:rPr/>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521">
    <w:p>
      <w:pPr>
        <w:pStyle w:val="Funote"/>
        <w:rPr/>
      </w:pPr>
      <w:r>
        <w:rPr>
          <w:rStyle w:val="Funotenzeichen"/>
        </w:rPr>
        <w:footnoteRef/>
      </w:r>
      <w:r>
        <w:rPr>
          <w:i/>
        </w:rPr>
        <w:tab/>
        <w:t>alles Fleisch</w:t>
      </w:r>
      <w:r>
        <w:rPr/>
        <w:t xml:space="preserve"> - d.h. „auf jedermann“.</w:t>
      </w:r>
    </w:p>
  </w:footnote>
  <w:footnote w:id="2522">
    <w:p>
      <w:pPr>
        <w:pStyle w:val="Funote"/>
        <w:rPr/>
      </w:pPr>
      <w:r>
        <w:rPr>
          <w:rStyle w:val="Funotenzeichen"/>
        </w:rPr>
        <w:footnoteRef/>
      </w:r>
      <w:r>
        <w:rPr/>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523">
    <w:p>
      <w:pPr>
        <w:pStyle w:val="Funote"/>
        <w:rPr/>
      </w:pPr>
      <w:r>
        <w:rPr>
          <w:rStyle w:val="Funotenzeichen"/>
        </w:rPr>
        <w:footnoteRef/>
      </w:r>
      <w:r>
        <w:rPr>
          <w:i/>
        </w:rPr>
        <w:tab/>
        <w:t>darbieten</w:t>
      </w:r>
      <w:r>
        <w:rPr/>
        <w:t xml:space="preserve"> - W. „geben“; Semitismus: Soll betont werden, dass Wunder </w:t>
      </w:r>
      <w:r>
        <w:rPr>
          <w:i/>
        </w:rPr>
        <w:t>als Zeichen</w:t>
      </w:r>
      <w:r>
        <w:rPr/>
        <w:t xml:space="preserve"> und dass Zeichen „dargeboten“ werden sollen, spricht man im Heb. davon, dass sie „gegeben“ werden (s. z.B. </w:t>
      </w:r>
      <w:r>
        <w:fldChar w:fldCharType="begin"/>
      </w:r>
      <w:r>
        <w:rPr>
          <w:rStyle w:val="Internetverknpfung"/>
        </w:rPr>
        <w:instrText> HYPERLINK "../../../../../../../../../wiki/Exodus_7" \l "s9"</w:instrText>
      </w:r>
      <w:r>
        <w:rPr>
          <w:rStyle w:val="Internetverknpfung"/>
        </w:rPr>
        <w:fldChar w:fldCharType="separate"/>
      </w:r>
      <w:r>
        <w:rPr>
          <w:rStyle w:val="Internetverknpfung"/>
        </w:rPr>
        <w:t>Ex 7,9</w:t>
      </w:r>
      <w:r>
        <w:rPr>
          <w:rStyle w:val="Internetverknpfung"/>
        </w:rPr>
        <w:fldChar w:fldCharType="end"/>
      </w:r>
      <w:r>
        <w:rPr/>
        <w:t xml:space="preserve">; </w:t>
      </w:r>
      <w:r>
        <w:fldChar w:fldCharType="begin"/>
      </w:r>
      <w:r>
        <w:rPr>
          <w:rStyle w:val="Internetverknpfung"/>
        </w:rPr>
        <w:instrText> HYPERLINK "../../../../../../../../../wiki/Deuteronomium_6" \l "s22"</w:instrText>
      </w:r>
      <w:r>
        <w:rPr>
          <w:rStyle w:val="Internetverknpfung"/>
        </w:rPr>
        <w:fldChar w:fldCharType="separate"/>
      </w:r>
      <w:r>
        <w:rPr>
          <w:rStyle w:val="Internetverknpfung"/>
        </w:rPr>
        <w:t>Dtn 6,22</w:t>
      </w:r>
      <w:r>
        <w:rPr>
          <w:rStyle w:val="Internetverknpfung"/>
        </w:rPr>
        <w:fldChar w:fldCharType="end"/>
      </w:r>
      <w:r>
        <w:rPr/>
        <w:t xml:space="preserve">; </w:t>
      </w:r>
      <w:r>
        <w:fldChar w:fldCharType="begin"/>
      </w:r>
      <w:r>
        <w:rPr>
          <w:rStyle w:val="Internetverknpfung"/>
        </w:rPr>
        <w:instrText> HYPERLINK "../../../../../../../../../wiki/Deuteronomium_13" \l "s1"</w:instrText>
      </w:r>
      <w:r>
        <w:rPr>
          <w:rStyle w:val="Internetverknpfung"/>
        </w:rPr>
        <w:fldChar w:fldCharType="separate"/>
      </w:r>
      <w:r>
        <w:rPr>
          <w:rStyle w:val="Internetverknpfung"/>
        </w:rPr>
        <w:t>13,1</w:t>
      </w:r>
      <w:r>
        <w:rPr>
          <w:rStyle w:val="Internetverknpfung"/>
        </w:rPr>
        <w:fldChar w:fldCharType="end"/>
      </w:r>
      <w:r>
        <w:rPr/>
        <w:t xml:space="preserve">; </w:t>
      </w:r>
      <w:hyperlink r:id="rId440">
        <w:r>
          <w:rPr>
            <w:rStyle w:val="Internetverknpfung"/>
          </w:rPr>
          <w:t>1 Kön 13,3</w:t>
        </w:r>
      </w:hyperlink>
      <w:r>
        <w:rPr/>
        <w:t xml:space="preserve">; </w:t>
      </w:r>
      <w:hyperlink r:id="rId441">
        <w:r>
          <w:rPr>
            <w:rStyle w:val="Internetverknpfung"/>
          </w:rPr>
          <w:t>Ez 12,6</w:t>
        </w:r>
      </w:hyperlink>
      <w:r>
        <w:rPr/>
        <w:t xml:space="preserve">; </w:t>
      </w:r>
      <w:hyperlink r:id="rId442">
        <w:r>
          <w:rPr>
            <w:rStyle w:val="Internetverknpfung"/>
          </w:rPr>
          <w:t>Joel 2,30</w:t>
        </w:r>
      </w:hyperlink>
      <w:r>
        <w:rPr/>
        <w:t xml:space="preserve">; auch </w:t>
      </w:r>
      <w:r>
        <w:fldChar w:fldCharType="begin"/>
      </w:r>
      <w:r>
        <w:rPr>
          <w:rStyle w:val="Internetverknpfung"/>
        </w:rPr>
        <w:instrText> HYPERLINK "../../../../../../../../../wiki/Matth%C3%A4us_24" \l "s24"</w:instrText>
      </w:r>
      <w:r>
        <w:rPr>
          <w:rStyle w:val="Internetverknpfung"/>
        </w:rPr>
        <w:fldChar w:fldCharType="separate"/>
      </w:r>
      <w:r>
        <w:rPr>
          <w:rStyle w:val="Internetverknpfung"/>
        </w:rPr>
        <w:t>Mt 24,24</w:t>
      </w:r>
      <w:r>
        <w:rPr>
          <w:rStyle w:val="Internetverknpfung"/>
        </w:rPr>
        <w:fldChar w:fldCharType="end"/>
      </w:r>
      <w:r>
        <w:rPr/>
        <w:t xml:space="preserve"> = </w:t>
      </w:r>
      <w:r>
        <w:fldChar w:fldCharType="begin"/>
      </w:r>
      <w:r>
        <w:rPr>
          <w:rStyle w:val="Internetverknpfung"/>
        </w:rPr>
        <w:instrText> HYPERLINK "../../../../../../../../../wiki/Markus_13" \l "s22"</w:instrText>
      </w:r>
      <w:r>
        <w:rPr>
          <w:rStyle w:val="Internetverknpfung"/>
        </w:rPr>
        <w:fldChar w:fldCharType="separate"/>
      </w:r>
      <w:r>
        <w:rPr>
          <w:rStyle w:val="Internetverknpfung"/>
        </w:rPr>
        <w:t>Mk 13,22</w:t>
      </w:r>
      <w:r>
        <w:rPr>
          <w:rStyle w:val="Internetverknpfung"/>
        </w:rPr>
        <w:fldChar w:fldCharType="end"/>
      </w:r>
      <w:r>
        <w:rPr/>
        <w:t xml:space="preserve">; </w:t>
      </w:r>
      <w:hyperlink r:id="rId443">
        <w:r>
          <w:rPr>
            <w:rStyle w:val="Internetverknpfung"/>
          </w:rPr>
          <w:t>Apg 14,3</w:t>
        </w:r>
      </w:hyperlink>
      <w:r>
        <w:rPr/>
        <w:t>.</w:t>
      </w:r>
    </w:p>
  </w:footnote>
  <w:footnote w:id="2524">
    <w:p>
      <w:pPr>
        <w:pStyle w:val="Funote"/>
        <w:rPr/>
      </w:pPr>
      <w:r>
        <w:rPr>
          <w:rStyle w:val="Funotenzeichen"/>
        </w:rPr>
        <w:footnoteRef/>
      </w:r>
      <w:r>
        <w:rPr>
          <w:i/>
        </w:rPr>
        <w:tab/>
        <w:t>Die Sonne wird verwandelt werden zu Finsternis und der Mond zu Blut</w:t>
      </w:r>
      <w:r>
        <w:rPr/>
        <w:t xml:space="preserve"> - d.h. „die Sonne wird sich verfinstern und der Mond wird blutrot werden.“</w:t>
      </w:r>
    </w:p>
  </w:footnote>
  <w:footnote w:id="2525">
    <w:p>
      <w:pPr>
        <w:pStyle w:val="Funote"/>
        <w:rPr/>
      </w:pPr>
      <w:r>
        <w:rPr>
          <w:rStyle w:val="Funotenzeichen"/>
        </w:rPr>
        <w:footnoteRef/>
      </w:r>
      <w:r>
        <w:rPr/>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526">
    <w:p>
      <w:pPr>
        <w:pStyle w:val="Funote"/>
        <w:rPr/>
      </w:pPr>
      <w:r>
        <w:rPr>
          <w:rStyle w:val="Funotenzeichen"/>
        </w:rPr>
        <w:footnoteRef/>
      </w:r>
      <w:r>
        <w:rPr>
          <w:i/>
        </w:rPr>
        <w:tab/>
        <w:t>{</w:t>
      </w:r>
      <w:r>
        <w:rPr>
          <w:i/>
          <w:strike/>
        </w:rPr>
        <w:t>Und es wird sein:</w:t>
      </w:r>
      <w:r>
        <w:rPr>
          <w:i/>
        </w:rPr>
        <w:t>}</w:t>
      </w:r>
      <w:r>
        <w:rPr/>
        <w:t xml:space="preserve"> - Im Dt. besser auszusparender Semitismus ähnlich dem in V. 17: „Und es wird sein“ soll im Heb. nur markieren, dass nun in einem anderen Modus gesprochen wird, nämlich im Kommissiv (d.h., es wird nicht mehr nur vorhergesagt, sd. </w:t>
      </w:r>
      <w:r>
        <w:rPr>
          <w:i/>
        </w:rPr>
        <w:t>versprochen</w:t>
      </w:r>
      <w:r>
        <w:rPr/>
        <w:t>).</w:t>
      </w:r>
    </w:p>
  </w:footnote>
  <w:footnote w:id="2527">
    <w:p>
      <w:pPr>
        <w:pStyle w:val="Funote"/>
        <w:rPr/>
      </w:pPr>
      <w:r>
        <w:rPr>
          <w:rStyle w:val="Funotenzeichen"/>
        </w:rPr>
        <w:footnoteRef/>
      </w:r>
      <w:r>
        <w:rPr/>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528">
    <w:p>
      <w:pPr>
        <w:pStyle w:val="Funote"/>
        <w:rPr/>
      </w:pPr>
      <w:r>
        <w:rPr>
          <w:rStyle w:val="Funotenzeichen"/>
        </w:rPr>
        <w:footnoteRef/>
      </w:r>
      <w:r>
        <w:rPr/>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529">
    <w:p>
      <w:pPr>
        <w:pStyle w:val="Funote"/>
        <w:rPr/>
      </w:pPr>
      <w:r>
        <w:rPr>
          <w:rStyle w:val="Funotenzeichen"/>
        </w:rPr>
        <w:footnoteRef/>
      </w:r>
      <w:r>
        <w:rPr>
          <w:i/>
        </w:rPr>
        <w:tab/>
        <w:t>wegen dem beschlossenen (festgesetzten) Plan und dem Vorauswissen Gottes!</w:t>
      </w:r>
      <w:r>
        <w:rPr/>
        <w:t xml:space="preserve"> - Eine für den Autoren der Apg sehr wichtige Präzisierung: Dass der Sohn Gottes getötet worden war, war ein Skandal; und dies umso mehr, als er mit seiner Kreuzigung den Tod eines </w:t>
      </w:r>
      <w:r>
        <w:rPr>
          <w:i/>
        </w:rPr>
        <w:t>Verbrechers</w:t>
      </w:r>
      <w:r>
        <w:rPr/>
        <w:t xml:space="preserve"> starb. Aus diesem Grund betont Lukas noch häufiger, dass dieser Skandal eigentlich gerade kein Skandal ist – sondern dass all dies zurückzuführen ist auf Gottes verborgenen Heilsplan. S. ähnlich </w:t>
      </w:r>
      <w:r>
        <w:fldChar w:fldCharType="begin"/>
      </w:r>
      <w:r>
        <w:rPr>
          <w:rStyle w:val="Internetverknpfung"/>
        </w:rPr>
        <w:instrText> HYPERLINK "../../../../../../../../../wiki/Lukas_24" \l "s6"</w:instrText>
      </w:r>
      <w:r>
        <w:rPr>
          <w:rStyle w:val="Internetverknpfung"/>
        </w:rPr>
        <w:fldChar w:fldCharType="separate"/>
      </w:r>
      <w:r>
        <w:rPr>
          <w:rStyle w:val="Internetverknpfung"/>
        </w:rPr>
        <w:t>Lk 24,6f.</w:t>
      </w:r>
      <w:r>
        <w:rPr>
          <w:rStyle w:val="Internetverknpfung"/>
        </w:rPr>
        <w:fldChar w:fldCharType="end"/>
      </w:r>
      <w:r>
        <w:rPr/>
        <w:t>.</w:t>
      </w:r>
      <w:r>
        <w:fldChar w:fldCharType="begin"/>
      </w:r>
      <w:r>
        <w:rPr>
          <w:rStyle w:val="Internetverknpfung"/>
        </w:rPr>
        <w:instrText> HYPERLINK "../../../../../../../../../wiki/Lukas_24" \l "s25"</w:instrText>
      </w:r>
      <w:r>
        <w:rPr>
          <w:rStyle w:val="Internetverknpfung"/>
        </w:rPr>
        <w:fldChar w:fldCharType="separate"/>
      </w:r>
      <w:r>
        <w:rPr>
          <w:rStyle w:val="Internetverknpfung"/>
        </w:rPr>
        <w:t>25f.</w:t>
      </w:r>
      <w:r>
        <w:rPr>
          <w:rStyle w:val="Internetverknpfung"/>
        </w:rPr>
        <w:fldChar w:fldCharType="end"/>
      </w:r>
      <w:r>
        <w:rPr/>
        <w:t>.</w:t>
      </w:r>
      <w:r>
        <w:fldChar w:fldCharType="begin"/>
      </w:r>
      <w:r>
        <w:rPr>
          <w:rStyle w:val="Internetverknpfung"/>
        </w:rPr>
        <w:instrText> HYPERLINK "../../../../../../../../../wiki/Lukas_24" \l "s44"</w:instrText>
      </w:r>
      <w:r>
        <w:rPr>
          <w:rStyle w:val="Internetverknpfung"/>
        </w:rPr>
        <w:fldChar w:fldCharType="separate"/>
      </w:r>
      <w:r>
        <w:rPr>
          <w:rStyle w:val="Internetverknpfung"/>
        </w:rPr>
        <w:t>44-46</w:t>
      </w:r>
      <w:r>
        <w:rPr>
          <w:rStyle w:val="Internetverknpfung"/>
        </w:rPr>
        <w:fldChar w:fldCharType="end"/>
      </w:r>
      <w:r>
        <w:rPr/>
        <w:t xml:space="preserve">; </w:t>
      </w:r>
      <w:hyperlink r:id="rId444">
        <w:r>
          <w:rPr>
            <w:rStyle w:val="Internetverknpfung"/>
          </w:rPr>
          <w:t>Apg 3,18</w:t>
        </w:r>
      </w:hyperlink>
      <w:r>
        <w:rPr/>
        <w:t xml:space="preserve">; </w:t>
      </w:r>
      <w:r>
        <w:fldChar w:fldCharType="begin"/>
      </w:r>
      <w:r>
        <w:rPr>
          <w:rStyle w:val="Internetverknpfung"/>
        </w:rPr>
        <w:instrText> HYPERLINK "../../../../../../../../../wiki/Apostelgeschichte_4" \l "s28"</w:instrText>
      </w:r>
      <w:r>
        <w:rPr>
          <w:rStyle w:val="Internetverknpfung"/>
        </w:rPr>
        <w:fldChar w:fldCharType="separate"/>
      </w:r>
      <w:r>
        <w:rPr>
          <w:rStyle w:val="Internetverknpfung"/>
        </w:rPr>
        <w:t>4,28</w:t>
      </w:r>
      <w:r>
        <w:rPr>
          <w:rStyle w:val="Internetverknpfung"/>
        </w:rPr>
        <w:fldChar w:fldCharType="end"/>
      </w:r>
      <w:r>
        <w:rPr/>
        <w:t>.</w:t>
      </w:r>
    </w:p>
  </w:footnote>
  <w:footnote w:id="2530">
    <w:p>
      <w:pPr>
        <w:pStyle w:val="Funote"/>
        <w:rPr/>
      </w:pPr>
      <w:r>
        <w:rPr>
          <w:rStyle w:val="Funotenzeichen"/>
        </w:rPr>
        <w:footnoteRef/>
      </w:r>
      <w:r>
        <w:rPr/>
        <w:tab/>
        <w:t>Gesetzloser, nämlich die der Römer, die nicht unter dem Gesetz der Juden standen (vgl. z.B. Bruce 1988, S. 63f.; ähnlich wird das Wort z.B. verwendet in 1 Kor 9,21).</w:t>
      </w:r>
    </w:p>
  </w:footnote>
  <w:footnote w:id="2531">
    <w:p>
      <w:pPr>
        <w:pStyle w:val="Funote"/>
        <w:rPr/>
      </w:pPr>
      <w:r>
        <w:rPr>
          <w:rStyle w:val="Funotenzeichen"/>
        </w:rPr>
        <w:footnoteRef/>
      </w:r>
      <w:r>
        <w:rPr/>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532">
    <w:p>
      <w:pPr>
        <w:pStyle w:val="Funote"/>
        <w:rPr/>
      </w:pPr>
      <w:r>
        <w:rPr>
          <w:rStyle w:val="Funotenzeichen"/>
        </w:rPr>
        <w:footnoteRef/>
      </w:r>
      <w:r>
        <w:rPr/>
        <w:tab/>
        <w:t>dass er unter ihm gehalten wurde - sinngemäß gut EÜ: »denn es war unmöglich, daß er vom Tod festgehalten wurde«.</w:t>
      </w:r>
    </w:p>
  </w:footnote>
  <w:footnote w:id="2533">
    <w:p>
      <w:pPr>
        <w:pStyle w:val="Funote"/>
        <w:rPr/>
      </w:pPr>
      <w:r>
        <w:rPr>
          <w:rStyle w:val="Funotenzeichen"/>
        </w:rPr>
        <w:footnoteRef/>
      </w:r>
      <w:r>
        <w:rPr/>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534">
    <w:p>
      <w:pPr>
        <w:pStyle w:val="Funote"/>
        <w:rPr/>
      </w:pPr>
      <w:r>
        <w:rPr>
          <w:rStyle w:val="Funotenzeichen"/>
        </w:rPr>
        <w:footnoteRef/>
      </w:r>
      <w:r>
        <w:rPr/>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535">
    <w:p>
      <w:pPr>
        <w:pStyle w:val="Funote"/>
        <w:rPr/>
      </w:pPr>
      <w:r>
        <w:rPr>
          <w:rStyle w:val="Funotenzeichen"/>
        </w:rPr>
        <w:footnoteRef/>
      </w:r>
      <w:r>
        <w:rPr>
          <w:i/>
        </w:rPr>
        <w:tab/>
        <w:t>wanken</w:t>
      </w:r>
      <w:r>
        <w:rPr/>
        <w:t xml:space="preserve"> - Häufige bibl. Metapher die Gefährdung, aus der direkt Vernichtung und Tod folgt (s. </w:t>
      </w:r>
      <w:r>
        <w:fldChar w:fldCharType="begin"/>
      </w:r>
      <w:r>
        <w:rPr>
          <w:rStyle w:val="Internetverknpfung"/>
        </w:rPr>
        <w:instrText> HYPERLINK "../../../../../../../../../wiki/Psalm_30" \l "note_r"</w:instrText>
      </w:r>
      <w:r>
        <w:rPr>
          <w:rStyle w:val="Internetverknpfung"/>
        </w:rPr>
        <w:fldChar w:fldCharType="separate"/>
      </w:r>
      <w:r>
        <w:rPr>
          <w:rStyle w:val="Internetverknpfung"/>
        </w:rPr>
        <w:t>FN r</w:t>
      </w:r>
      <w:r>
        <w:rPr>
          <w:rStyle w:val="Internetverknpfung"/>
        </w:rPr>
        <w:fldChar w:fldCharType="end"/>
      </w:r>
      <w:r>
        <w:rPr/>
        <w:t xml:space="preserve"> zu </w:t>
      </w:r>
      <w:r>
        <w:fldChar w:fldCharType="begin"/>
      </w:r>
      <w:r>
        <w:rPr>
          <w:rStyle w:val="Internetverknpfung"/>
        </w:rPr>
        <w:instrText> HYPERLINK "../../../../../../../../../wiki/Psalm_30" \l "s7"</w:instrText>
      </w:r>
      <w:r>
        <w:rPr>
          <w:rStyle w:val="Internetverknpfung"/>
        </w:rPr>
        <w:fldChar w:fldCharType="separate"/>
      </w:r>
      <w:r>
        <w:rPr>
          <w:rStyle w:val="Internetverknpfung"/>
        </w:rPr>
        <w:t>Ps 30,7</w:t>
      </w:r>
      <w:r>
        <w:rPr>
          <w:rStyle w:val="Internetverknpfung"/>
        </w:rPr>
        <w:fldChar w:fldCharType="end"/>
      </w:r>
      <w:r>
        <w:rPr/>
        <w:t>).</w:t>
      </w:r>
    </w:p>
  </w:footnote>
  <w:footnote w:id="2536">
    <w:p>
      <w:pPr>
        <w:pStyle w:val="Funote"/>
        <w:rPr/>
      </w:pPr>
      <w:r>
        <w:rPr>
          <w:rStyle w:val="Funotenzeichen"/>
        </w:rPr>
        <w:footnoteRef/>
      </w:r>
      <w:r>
        <w:rPr>
          <w:i/>
        </w:rPr>
        <w:tab/>
        <w:t>mein Herz</w:t>
      </w:r>
      <w:r>
        <w:rPr/>
        <w:t xml:space="preserve"> + </w:t>
      </w:r>
      <w:r>
        <w:rPr>
          <w:i/>
        </w:rPr>
        <w:t>meine Zunge</w:t>
      </w:r>
      <w:r>
        <w:rPr/>
        <w:t xml:space="preserve"> + </w:t>
      </w:r>
      <w:r>
        <w:rPr>
          <w:i/>
        </w:rPr>
        <w:t>mein Fleisch</w:t>
      </w:r>
      <w:r>
        <w:rPr/>
        <w:t xml:space="preserve"> (V. 26) + </w:t>
      </w:r>
      <w:r>
        <w:rPr>
          <w:i/>
        </w:rPr>
        <w:t>meine Seele</w:t>
      </w:r>
      <w:r>
        <w:rPr/>
        <w:t xml:space="preserv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537">
    <w:p>
      <w:pPr>
        <w:pStyle w:val="Funote"/>
        <w:rPr/>
      </w:pPr>
      <w:r>
        <w:rPr>
          <w:rStyle w:val="Funotenzeichen"/>
        </w:rPr>
        <w:footnoteRef/>
      </w:r>
      <w:r>
        <w:rPr/>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538">
    <w:p>
      <w:pPr>
        <w:pStyle w:val="Funote"/>
        <w:rPr/>
      </w:pPr>
      <w:r>
        <w:rPr>
          <w:rStyle w:val="Funotenzeichen"/>
        </w:rPr>
        <w:footnoteRef/>
      </w:r>
      <w:r>
        <w:rPr>
          <w:i/>
        </w:rPr>
        <w:tab/>
        <w:t>Hades</w:t>
      </w:r>
      <w:r>
        <w:rPr/>
        <w:t xml:space="preserve"> - gr. Begriff für das Reich des Todes.</w:t>
      </w:r>
    </w:p>
  </w:footnote>
  <w:footnote w:id="2539">
    <w:p>
      <w:pPr>
        <w:pStyle w:val="Funote"/>
        <w:rPr/>
      </w:pPr>
      <w:r>
        <w:rPr>
          <w:rStyle w:val="Funotenzeichen"/>
        </w:rPr>
        <w:footnoteRef/>
      </w:r>
      <w:r>
        <w:rPr/>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540">
    <w:p>
      <w:pPr>
        <w:pStyle w:val="Funote"/>
        <w:rPr/>
      </w:pPr>
      <w:r>
        <w:rPr>
          <w:rStyle w:val="Funotenzeichen"/>
        </w:rPr>
        <w:footnoteRef/>
      </w:r>
      <w:r>
        <w:rPr/>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541">
    <w:p>
      <w:pPr>
        <w:pStyle w:val="Funote"/>
        <w:rPr/>
      </w:pPr>
      <w:r>
        <w:rPr>
          <w:rStyle w:val="Funotenzeichen"/>
        </w:rPr>
        <w:footnoteRef/>
      </w:r>
      <w:r>
        <w:rPr/>
        <w:tab/>
        <w:t xml:space="preserve">Zu </w:t>
      </w:r>
      <w:r>
        <w:rPr>
          <w:i/>
        </w:rPr>
        <w:t>Davids Grabstätte</w:t>
      </w:r>
      <w:r>
        <w:rPr/>
        <w:t xml:space="preserve"> s. </w:t>
      </w:r>
      <w:hyperlink r:id="rId445">
        <w:r>
          <w:rPr>
            <w:rStyle w:val="Internetverknpfung"/>
          </w:rPr>
          <w:t>1 Kön 2,10</w:t>
        </w:r>
      </w:hyperlink>
      <w:r>
        <w:rPr/>
        <w:t xml:space="preserve">; </w:t>
      </w:r>
      <w:hyperlink r:id="rId446">
        <w:r>
          <w:rPr>
            <w:rStyle w:val="Internetverknpfung"/>
          </w:rPr>
          <w:t>Neh 3,16</w:t>
        </w:r>
      </w:hyperlink>
      <w:r>
        <w:rPr/>
        <w:t xml:space="preserve">. Sie befand sich in Jerusalem und erst einige Jahre zuvor hatte Herodes der Große diese Grabstätte nach einem Plünderungsversuch zusätzlich ausgebaut (vgl. </w:t>
      </w:r>
      <w:hyperlink r:id="rId447">
        <w:r>
          <w:rPr>
            <w:rStyle w:val="Internetverknpfung"/>
          </w:rPr>
          <w:t>JosAnt XVI.7</w:t>
        </w:r>
      </w:hyperlink>
      <w:r>
        <w:rPr/>
        <w:t>). Heute ist ihr Ort vergessen; eine neuere und verbreitete Tradition verortet sie allerdings interessanterweise ins selbe Gebäude, in das traditionellerweise auch der Abendmahlssaal verortet wird.</w:t>
      </w:r>
    </w:p>
  </w:footnote>
  <w:footnote w:id="2542">
    <w:p>
      <w:pPr>
        <w:pStyle w:val="Funote"/>
        <w:rPr/>
      </w:pPr>
      <w:r>
        <w:rPr>
          <w:rStyle w:val="Funotenzeichen"/>
        </w:rPr>
        <w:footnoteRef/>
      </w:r>
      <w:r>
        <w:rPr>
          <w:i/>
        </w:rPr>
        <w:tab/>
        <w:t>Prophet</w:t>
      </w:r>
      <w:r>
        <w:rPr/>
        <w:t xml:space="preserve"> - Zur Bezeichnung Davids als „Prophet“ vgl. 11QPs</w:t>
      </w:r>
      <w:r>
        <w:rPr>
          <w:position w:val="7"/>
          <w:sz w:val="16"/>
        </w:rPr>
        <w:t>a</w:t>
      </w:r>
      <w:r>
        <w:rPr/>
        <w:t xml:space="preserve"> XXVII 11: „All diese [seine Psalmen und Lieder] sprach er durch Prophetie, die ihm gegeben worden war vom Höchsten.“</w:t>
      </w:r>
    </w:p>
  </w:footnote>
  <w:footnote w:id="2543">
    <w:p>
      <w:pPr>
        <w:pStyle w:val="Funote"/>
        <w:rPr/>
      </w:pPr>
      <w:r>
        <w:rPr>
          <w:rStyle w:val="Funotenzeichen"/>
        </w:rPr>
        <w:footnoteRef/>
      </w:r>
      <w:r>
        <w:rPr/>
        <w:tab/>
        <w:t>wurden sie im Herz durchbohrt - d.h., »traf es sie mitten ins Herz« (gut KAR; ähnlich BB, GN, NL); »ging ihnen ein Stich durchs Herz« (ZINK); »Als die Leute das hörten, waren sie von dieser Botschaft tief betroffen« (HfA; ähnlich NeÜ, NGÜ).</w:t>
      </w:r>
    </w:p>
  </w:footnote>
  <w:footnote w:id="2544">
    <w:p>
      <w:pPr>
        <w:pStyle w:val="Funote"/>
        <w:rPr/>
      </w:pPr>
      <w:r>
        <w:rPr>
          <w:rStyle w:val="Funotenzeichen"/>
        </w:rPr>
        <w:footnoteRef/>
      </w:r>
      <w:r>
        <w:rPr/>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545">
    <w:p>
      <w:pPr>
        <w:pStyle w:val="Funote"/>
        <w:rPr/>
      </w:pPr>
      <w:r>
        <w:rPr>
          <w:rStyle w:val="Funotenzeichen"/>
        </w:rPr>
        <w:footnoteRef/>
      </w:r>
      <w:r>
        <w:rPr/>
        <w:tab/>
        <w:t>Textkritik: In sehr vielen Handschriften findet sich ein zusätzliches {sagt[e] er}, das aber sicher erst von späterer Hand eingefügt wurde (vgl. TCNT, S. 261).</w:t>
      </w:r>
    </w:p>
  </w:footnote>
  <w:footnote w:id="2546">
    <w:p>
      <w:pPr>
        <w:pStyle w:val="Funote"/>
        <w:rPr/>
      </w:pPr>
      <w:r>
        <w:rPr>
          <w:rStyle w:val="Funotenzeichen"/>
        </w:rPr>
        <w:footnoteRef/>
      </w:r>
      <w:r>
        <w:rPr/>
        <w:tab/>
        <w:t>Textkritik: auf - Gr. epi; untypische Präposition statt gewöhnlichem en. Einige Handschriften ändern daher nachträglich zu en, was aber wieder sicher sekundär ist. S. nächste FN.</w:t>
      </w:r>
    </w:p>
  </w:footnote>
  <w:footnote w:id="2547">
    <w:p>
      <w:pPr>
        <w:pStyle w:val="Funote"/>
        <w:rPr/>
      </w:pPr>
      <w:r>
        <w:rPr>
          <w:rStyle w:val="Funotenzeichen"/>
        </w:rPr>
        <w:footnoteRef/>
      </w:r>
      <w:r>
        <w:rPr/>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548">
    <w:p>
      <w:pPr>
        <w:pStyle w:val="Funote"/>
        <w:rPr/>
      </w:pPr>
      <w:r>
        <w:rPr>
          <w:rStyle w:val="Funotenzeichen"/>
        </w:rPr>
        <w:footnoteRef/>
      </w:r>
      <w:r>
        <w:rPr>
          <w:i/>
        </w:rPr>
        <w:tab/>
        <w:t>Verheißung</w:t>
      </w:r>
      <w:r>
        <w:rPr/>
        <w:t xml:space="preserve"> - Gemeint ist sicher die Verheißung aus </w:t>
      </w:r>
      <w:r>
        <w:fldChar w:fldCharType="begin"/>
      </w:r>
      <w:r>
        <w:rPr>
          <w:rStyle w:val="Internetverknpfung"/>
        </w:rPr>
        <w:instrText> HYPERLINK "../../../../../../../../../wiki/Apostelgeschichte_2" \l "s21"</w:instrText>
      </w:r>
      <w:r>
        <w:rPr>
          <w:rStyle w:val="Internetverknpfung"/>
        </w:rPr>
        <w:fldChar w:fldCharType="separate"/>
      </w:r>
      <w:r>
        <w:rPr>
          <w:rStyle w:val="Internetverknpfung"/>
        </w:rPr>
        <w:t>V. 21</w:t>
      </w:r>
      <w:r>
        <w:rPr>
          <w:rStyle w:val="Internetverknpfung"/>
        </w:rPr>
        <w:fldChar w:fldCharType="end"/>
      </w:r>
      <w:r>
        <w:rPr/>
        <w:t>: „Jeder, der den Namen des Herrn anruft, wird gerettet werden.“ Das ist natürlich besonders relevant für die Angesprochenen: Auch und gerade ihnen gilt die Verheißung; ihnen, die doch den Messias getötet haben!</w:t>
      </w:r>
    </w:p>
  </w:footnote>
  <w:footnote w:id="2549">
    <w:p>
      <w:pPr>
        <w:pStyle w:val="Funote"/>
        <w:rPr/>
      </w:pPr>
      <w:r>
        <w:rPr>
          <w:rStyle w:val="Funotenzeichen"/>
        </w:rPr>
        <w:footnoteRef/>
      </w:r>
      <w:r>
        <w:rPr/>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550">
    <w:p>
      <w:pPr>
        <w:pStyle w:val="Funote"/>
        <w:rPr/>
      </w:pPr>
      <w:r>
        <w:rPr>
          <w:rStyle w:val="Funotenzeichen"/>
        </w:rPr>
        <w:footnoteRef/>
      </w:r>
      <w:r>
        <w:rPr>
          <w:i/>
        </w:rPr>
        <w:tab/>
        <w:t>hinzurufen</w:t>
      </w:r>
      <w:r>
        <w:rPr/>
        <w:t xml:space="preserve"> + </w:t>
      </w:r>
      <w:r>
        <w:rPr>
          <w:i/>
        </w:rPr>
        <w:t>hinzufügen</w:t>
      </w:r>
      <w:r>
        <w:rPr/>
        <w:t xml:space="preserve"> - nämlich zur Gemeinschaft der Christen.</w:t>
        <w:br/>
      </w:r>
      <w:r>
        <w:rPr>
          <w:i/>
        </w:rPr>
        <w:t>hinzugefügt werden</w:t>
      </w:r>
      <w:r>
        <w:rPr/>
        <w:t xml:space="preserve"> ist recht sicher ein sog. „theologisches Passiv“, also eine Ausdrucksvariante zu „</w:t>
      </w:r>
      <w:r>
        <w:rPr>
          <w:i/>
        </w:rPr>
        <w:t>Gott</w:t>
      </w:r>
      <w:r>
        <w:rPr/>
        <w:t xml:space="preserve"> fügte hinzu“, s. </w:t>
      </w:r>
      <w:r>
        <w:fldChar w:fldCharType="begin"/>
      </w:r>
      <w:r>
        <w:rPr>
          <w:rStyle w:val="Internetverknpfung"/>
        </w:rPr>
        <w:instrText> HYPERLINK "../../../../../../../../../wiki/Apostelgeschichte_2" \l "s47"</w:instrText>
      </w:r>
      <w:r>
        <w:rPr>
          <w:rStyle w:val="Internetverknpfung"/>
        </w:rPr>
        <w:fldChar w:fldCharType="separate"/>
      </w:r>
      <w:r>
        <w:rPr>
          <w:rStyle w:val="Internetverknpfung"/>
        </w:rPr>
        <w:t>V 47</w:t>
      </w:r>
      <w:r>
        <w:rPr>
          <w:rStyle w:val="Internetverknpfung"/>
        </w:rPr>
        <w:fldChar w:fldCharType="end"/>
      </w:r>
      <w:r>
        <w:rPr/>
        <w:t>.</w:t>
      </w:r>
    </w:p>
  </w:footnote>
  <w:footnote w:id="2551">
    <w:p>
      <w:pPr>
        <w:pStyle w:val="Funote"/>
        <w:rPr/>
      </w:pPr>
      <w:r>
        <w:rPr>
          <w:rStyle w:val="Funotenzeichen"/>
        </w:rPr>
        <w:footnoteRef/>
      </w:r>
      <w:r>
        <w:rPr/>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552">
    <w:p>
      <w:pPr>
        <w:pStyle w:val="Funote"/>
        <w:rPr/>
      </w:pPr>
      <w:r>
        <w:rPr>
          <w:rStyle w:val="Funotenzeichen"/>
        </w:rPr>
        <w:footnoteRef/>
      </w:r>
      <w:r>
        <w:rPr/>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553">
    <w:p>
      <w:pPr>
        <w:pStyle w:val="Funote"/>
        <w:rPr/>
      </w:pPr>
      <w:r>
        <w:rPr>
          <w:rStyle w:val="Funotenzeichen"/>
        </w:rPr>
        <w:footnoteRef/>
      </w:r>
      <w:r>
        <w:rPr/>
        <w:tab/>
        <w:t>Seelen meint im Gr. wie im veralteten Deutsch »Personen«; s. ebenso z.B. Apg 7,14; 27,37 und vgl. z.B. Fitzmyer 1998, S. 267.</w:t>
      </w:r>
    </w:p>
  </w:footnote>
  <w:footnote w:id="2554">
    <w:p>
      <w:pPr>
        <w:pStyle w:val="Funote"/>
        <w:rPr/>
      </w:pPr>
      <w:r>
        <w:rPr>
          <w:rStyle w:val="Funotenzeichen"/>
        </w:rPr>
        <w:footnoteRef/>
      </w:r>
      <w:r>
        <w:rPr/>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555">
    <w:p>
      <w:pPr>
        <w:pStyle w:val="Funote"/>
        <w:rPr/>
      </w:pPr>
      <w:r>
        <w:rPr>
          <w:rStyle w:val="Funotenzeichen"/>
        </w:rPr>
        <w:footnoteRef/>
      </w:r>
      <w:r>
        <w:rPr/>
        <w:tab/>
        <w:t>Lehre - Gr. didachä, gemeint ist hier also nicht die frohe Botschaft von der Auferstehung Jesu, sondern dass auf Jesus zurückgehende »Lehrsystem«, in dem die Jünger von den Aposteln unterwiesen werden (vgl. Fitzmyer 1998, S. 270).</w:t>
      </w:r>
    </w:p>
  </w:footnote>
  <w:footnote w:id="2556">
    <w:p>
      <w:pPr>
        <w:pStyle w:val="Funote"/>
        <w:rPr/>
      </w:pPr>
      <w:r>
        <w:rPr>
          <w:rStyle w:val="Funotenzeichen"/>
        </w:rPr>
        <w:footnoteRef/>
      </w:r>
      <w:r>
        <w:rPr/>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557">
    <w:p>
      <w:pPr>
        <w:pStyle w:val="Funote"/>
        <w:rPr/>
      </w:pPr>
      <w:r>
        <w:rPr>
          <w:rStyle w:val="Funotenzeichen"/>
        </w:rPr>
        <w:footnoteRef/>
      </w:r>
      <w:r>
        <w:rPr/>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558">
    <w:p>
      <w:pPr>
        <w:pStyle w:val="Funote"/>
        <w:rPr/>
      </w:pPr>
      <w:r>
        <w:rPr>
          <w:rStyle w:val="Funotenzeichen"/>
        </w:rPr>
        <w:footnoteRef/>
      </w:r>
      <w:r>
        <w:rPr>
          <w:i/>
        </w:rPr>
        <w:tab/>
        <w:t>Brotbrechen</w:t>
      </w:r>
      <w:r>
        <w:rPr/>
        <w:t xml:space="preserve"> (V. 42) + </w:t>
      </w:r>
      <w:r>
        <w:rPr>
          <w:i/>
        </w:rPr>
        <w:t>Brot brachen</w:t>
      </w:r>
      <w:r>
        <w:rPr/>
        <w:t xml:space="preserve"> (V. 46) - Gemeint ist sicher der Vorläufer der Eucharistiefeier, der zu Zeit von Lk und Apg noch die Form eines Sättigungsmahl hatte, bei dem in Erinnerung an die Handlung Jesu beim letzten Abendmahl auch Brot gebrochen wurde. S. ebenso </w:t>
      </w:r>
      <w:r>
        <w:fldChar w:fldCharType="begin"/>
      </w:r>
      <w:r>
        <w:rPr>
          <w:rStyle w:val="Internetverknpfung"/>
        </w:rPr>
        <w:instrText> HYPERLINK "../../../../../../../../../wiki/Lukas_24" \l "s30"</w:instrText>
      </w:r>
      <w:r>
        <w:rPr>
          <w:rStyle w:val="Internetverknpfung"/>
        </w:rPr>
        <w:fldChar w:fldCharType="separate"/>
      </w:r>
      <w:r>
        <w:rPr>
          <w:rStyle w:val="Internetverknpfung"/>
        </w:rPr>
        <w:t>Lk 24,30</w:t>
      </w:r>
      <w:r>
        <w:rPr>
          <w:rStyle w:val="Internetverknpfung"/>
        </w:rPr>
        <w:fldChar w:fldCharType="end"/>
      </w:r>
      <w:r>
        <w:rPr/>
        <w:t>.</w:t>
      </w:r>
      <w:r>
        <w:fldChar w:fldCharType="begin"/>
      </w:r>
      <w:r>
        <w:rPr>
          <w:rStyle w:val="Internetverknpfung"/>
        </w:rPr>
        <w:instrText> HYPERLINK "../../../../../../../../../wiki/Lukas_24" \l "s35"</w:instrText>
      </w:r>
      <w:r>
        <w:rPr>
          <w:rStyle w:val="Internetverknpfung"/>
        </w:rPr>
        <w:fldChar w:fldCharType="separate"/>
      </w:r>
      <w:r>
        <w:rPr>
          <w:rStyle w:val="Internetverknpfung"/>
        </w:rPr>
        <w:t>35</w:t>
      </w:r>
      <w:r>
        <w:rPr>
          <w:rStyle w:val="Internetverknpfung"/>
        </w:rPr>
        <w:fldChar w:fldCharType="end"/>
      </w:r>
      <w:r>
        <w:rPr/>
        <w:t xml:space="preserve">; </w:t>
      </w:r>
      <w:r>
        <w:fldChar w:fldCharType="begin"/>
      </w:r>
      <w:r>
        <w:rPr>
          <w:rStyle w:val="Internetverknpfung"/>
        </w:rPr>
        <w:instrText> HYPERLINK "../../../../../../../../../wiki/Apostelgeschichte_20" \l "s7"</w:instrText>
      </w:r>
      <w:r>
        <w:rPr>
          <w:rStyle w:val="Internetverknpfung"/>
        </w:rPr>
        <w:fldChar w:fldCharType="separate"/>
      </w:r>
      <w:r>
        <w:rPr>
          <w:rStyle w:val="Internetverknpfung"/>
        </w:rPr>
        <w:t>Apg 20,7</w:t>
      </w:r>
      <w:r>
        <w:rPr>
          <w:rStyle w:val="Internetverknpfung"/>
        </w:rPr>
        <w:fldChar w:fldCharType="end"/>
      </w:r>
      <w:r>
        <w:rPr/>
        <w:t>.</w:t>
      </w:r>
      <w:r>
        <w:fldChar w:fldCharType="begin"/>
      </w:r>
      <w:r>
        <w:rPr>
          <w:rStyle w:val="Internetverknpfung"/>
        </w:rPr>
        <w:instrText> HYPERLINK "../../../../../../../../../wiki/Apostelgeschichte_20" \l "s11"</w:instrText>
      </w:r>
      <w:r>
        <w:rPr>
          <w:rStyle w:val="Internetverknpfung"/>
        </w:rPr>
        <w:fldChar w:fldCharType="separate"/>
      </w:r>
      <w:r>
        <w:rPr>
          <w:rStyle w:val="Internetverknpfung"/>
        </w:rPr>
        <w:t>11</w:t>
      </w:r>
      <w:r>
        <w:rPr>
          <w:rStyle w:val="Internetverknpfung"/>
        </w:rPr>
        <w:fldChar w:fldCharType="end"/>
      </w:r>
      <w:r>
        <w:rPr/>
        <w:t xml:space="preserve">; </w:t>
      </w:r>
      <w:hyperlink r:id="rId448">
        <w:r>
          <w:rPr>
            <w:rStyle w:val="Internetverknpfung"/>
          </w:rPr>
          <w:t>27,35</w:t>
        </w:r>
      </w:hyperlink>
      <w:r>
        <w:rPr/>
        <w:t>.</w:t>
      </w:r>
    </w:p>
  </w:footnote>
  <w:footnote w:id="2559">
    <w:p>
      <w:pPr>
        <w:pStyle w:val="Funote"/>
        <w:rPr/>
      </w:pPr>
      <w:r>
        <w:rPr>
          <w:rStyle w:val="Funotenzeichen"/>
        </w:rPr>
        <w:footnoteRef/>
      </w:r>
      <w:r>
        <w:rPr/>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560">
    <w:p>
      <w:pPr>
        <w:pStyle w:val="Funote"/>
        <w:rPr/>
      </w:pPr>
      <w:r>
        <w:rPr>
          <w:rStyle w:val="Funotenzeichen"/>
        </w:rPr>
        <w:footnoteRef/>
      </w:r>
      <w:r>
        <w:rPr/>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561">
    <w:p>
      <w:pPr>
        <w:pStyle w:val="Funote"/>
        <w:rPr/>
      </w:pPr>
      <w:r>
        <w:rPr>
          <w:rStyle w:val="Funotenzeichen"/>
        </w:rPr>
        <w:footnoteRef/>
      </w:r>
      <w:r>
        <w:rPr/>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562">
    <w:p>
      <w:pPr>
        <w:pStyle w:val="Funote"/>
        <w:rPr/>
      </w:pPr>
      <w:r>
        <w:rPr>
          <w:rStyle w:val="Funotenzeichen"/>
        </w:rPr>
        <w:footnoteRef/>
      </w:r>
      <w:r>
        <w:rPr>
          <w:i/>
        </w:rPr>
        <w:tab/>
        <w:t>hatten alles gemeinsam</w:t>
      </w:r>
      <w:r>
        <w:rPr/>
        <w:t xml:space="preserve"> - hierzu s. die Anmerkungen.</w:t>
      </w:r>
    </w:p>
  </w:footnote>
  <w:footnote w:id="2563">
    <w:p>
      <w:pPr>
        <w:pStyle w:val="Funote"/>
        <w:rPr/>
      </w:pPr>
      <w:r>
        <w:rPr>
          <w:rStyle w:val="Funotenzeichen"/>
        </w:rPr>
        <w:footnoteRef/>
      </w:r>
      <w:r>
        <w:rPr/>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564">
    <w:p>
      <w:pPr>
        <w:pStyle w:val="Funote"/>
        <w:rPr/>
      </w:pPr>
      <w:r>
        <w:rPr>
          <w:rStyle w:val="Funotenzeichen"/>
        </w:rPr>
        <w:footnoteRef/>
      </w:r>
      <w:r>
        <w:rPr>
          <w:i/>
        </w:rPr>
        <w:tab/>
        <w:t>im Haus</w:t>
      </w:r>
      <w:r>
        <w:rPr/>
        <w:t>, d.h. „in den Privathäusern“ im Unterschied zum Tempel.</w:t>
      </w:r>
    </w:p>
  </w:footnote>
  <w:footnote w:id="2565">
    <w:p>
      <w:pPr>
        <w:pStyle w:val="Funote"/>
        <w:rPr/>
      </w:pPr>
      <w:r>
        <w:rPr>
          <w:rStyle w:val="Funotenzeichen"/>
        </w:rPr>
        <w:footnoteRef/>
      </w:r>
      <w:r>
        <w:rPr>
          <w:i/>
        </w:rPr>
        <w:tab/>
        <w:t>Gerettete</w:t>
      </w:r>
      <w:r>
        <w:rPr/>
        <w:t xml:space="preserve"> - Sicher in Anspielung an V. 21 (=</w:t>
      </w:r>
      <w:hyperlink r:id="rId449">
        <w:r>
          <w:rPr>
            <w:rStyle w:val="Internetverknpfung"/>
          </w:rPr>
          <w:t>Joel 3,5</w:t>
        </w:r>
      </w:hyperlink>
      <w:r>
        <w:rPr/>
        <w:t xml:space="preserve">: „Gerettet“ ist der, der „den Namen des Herrn anruft“. Dies wurde von Petrus interpretiert als Ausdruck für die Taufe (s. </w:t>
      </w:r>
      <w:r>
        <w:fldChar w:fldCharType="begin"/>
      </w:r>
      <w:r>
        <w:rPr>
          <w:rStyle w:val="Internetverknpfung"/>
        </w:rPr>
        <w:instrText> HYPERLINK "http://offene-bibel.de/mediawiki/index.php?title=Apostelgeschichte_2" \l "note_az"</w:instrText>
      </w:r>
      <w:r>
        <w:rPr>
          <w:rStyle w:val="Internetverknpfung"/>
        </w:rPr>
        <w:fldChar w:fldCharType="separate"/>
      </w:r>
      <w:r>
        <w:rPr>
          <w:rStyle w:val="Internetverknpfung"/>
        </w:rPr>
        <w:t>FN az</w:t>
      </w:r>
      <w:r>
        <w:rPr>
          <w:rStyle w:val="Internetverknpfung"/>
        </w:rPr>
        <w:fldChar w:fldCharType="end"/>
      </w:r>
      <w:r>
        <w:rPr/>
        <w:t xml:space="preserve"> zu </w:t>
      </w:r>
      <w:r>
        <w:fldChar w:fldCharType="begin"/>
      </w:r>
      <w:r>
        <w:rPr>
          <w:rStyle w:val="Internetverknpfung"/>
        </w:rPr>
        <w:instrText> HYPERLINK "../../../../../../../../../wiki/Apostelgeschichte_2" \l "s38"</w:instrText>
      </w:r>
      <w:r>
        <w:rPr>
          <w:rStyle w:val="Internetverknpfung"/>
        </w:rPr>
        <w:fldChar w:fldCharType="separate"/>
      </w:r>
      <w:r>
        <w:rPr>
          <w:rStyle w:val="Internetverknpfung"/>
        </w:rPr>
        <w:t>V. 38</w:t>
      </w:r>
      <w:r>
        <w:rPr>
          <w:rStyle w:val="Internetverknpfung"/>
        </w:rPr>
        <w:fldChar w:fldCharType="end"/>
      </w:r>
      <w:r>
        <w:rPr/>
        <w:t>); also sind die, die sich der Gemeinde der Christen anschließen, die „Geretteten“ oder auch „die, die gerettet werden sollten“ (was sprachlich möglich und zumindest in der LF sinnvoller ist, da die Rettung vor der Zeit des Unheils ja noch aussteht).</w:t>
      </w:r>
    </w:p>
  </w:footnote>
  <w:footnote w:id="2566">
    <w:p>
      <w:pPr>
        <w:pStyle w:val="Funote"/>
        <w:rPr/>
      </w:pPr>
      <w:r>
        <w:rPr>
          <w:rStyle w:val="Funotenzeichen"/>
        </w:rPr>
        <w:footnoteRef/>
      </w:r>
      <w:r>
        <w:rPr/>
        <w:tab/>
        <w:t>[Status: Zuverlässig]</w:t>
      </w:r>
    </w:p>
  </w:footnote>
  <w:footnote w:id="2567">
    <w:p>
      <w:pPr>
        <w:pStyle w:val="Funote"/>
        <w:rPr/>
      </w:pPr>
      <w:r>
        <w:rPr>
          <w:rStyle w:val="Funotenzeichen"/>
        </w:rPr>
        <w:footnoteRef/>
      </w:r>
      <w:r>
        <w:rPr/>
        <w:tab/>
        <w:t>Wörtlich mehr in Richtung „jedes Mal, wenn...“, „bei jeder Gelegenheit“, was hier aber missverständlich wäre.</w:t>
      </w:r>
    </w:p>
  </w:footnote>
  <w:footnote w:id="2568">
    <w:p>
      <w:pPr>
        <w:pStyle w:val="Funote"/>
        <w:rPr/>
      </w:pPr>
      <w:r>
        <w:rPr>
          <w:rStyle w:val="Funotenzeichen"/>
        </w:rPr>
        <w:footnoteRef/>
      </w:r>
      <w:r>
        <w:rPr/>
        <w:tab/>
        <w:t>Gen. epexegeticus.</w:t>
      </w:r>
    </w:p>
  </w:footnote>
  <w:footnote w:id="2569">
    <w:p>
      <w:pPr>
        <w:pStyle w:val="Funote"/>
        <w:rPr/>
      </w:pPr>
      <w:r>
        <w:rPr>
          <w:rStyle w:val="Funotenzeichen"/>
        </w:rPr>
        <w:footnoteRef/>
      </w:r>
      <w:r>
        <w:rPr>
          <w:i/>
        </w:rPr>
        <w:tab/>
        <w:t>der herumführt</w:t>
      </w:r>
      <w:r>
        <w:rPr/>
        <w:t xml:space="preserve"> und </w:t>
      </w:r>
      <w:r>
        <w:rPr>
          <w:i/>
        </w:rPr>
        <w:t>bekannt macht</w:t>
      </w:r>
      <w:r>
        <w:rPr/>
        <w:t xml:space="preserve"> Auflösung zweier attr. </w:t>
      </w:r>
      <w:hyperlink r:id="rId450">
        <w:r>
          <w:rPr>
            <w:rStyle w:val="Internetverknpfung"/>
          </w:rPr>
          <w:t>Ptz</w:t>
        </w:r>
      </w:hyperlink>
      <w:r>
        <w:rPr/>
        <w:t>.</w:t>
      </w:r>
    </w:p>
  </w:footnote>
  <w:footnote w:id="2570">
    <w:p>
      <w:pPr>
        <w:pStyle w:val="Funote"/>
        <w:rPr/>
      </w:pPr>
      <w:r>
        <w:rPr>
          <w:rStyle w:val="Funotenzeichen"/>
        </w:rPr>
        <w:footnoteRef/>
      </w:r>
      <w:r>
        <w:rPr/>
        <w:tab/>
        <w:t>Duft ist in der Regel nicht sichtbar, deshalb wurde das Wort in einem allgemeineren Sinn übersetzt. „Sichtbar machen“ ist allerdings ebenso denkbar, weil Paulus hier vielleicht an Weihrauch denkt.</w:t>
      </w:r>
    </w:p>
  </w:footnote>
  <w:footnote w:id="2571">
    <w:p>
      <w:pPr>
        <w:pStyle w:val="Funote"/>
        <w:rPr/>
      </w:pPr>
      <w:r>
        <w:rPr>
          <w:rStyle w:val="Funotenzeichen"/>
        </w:rPr>
        <w:footnoteRef/>
      </w:r>
      <w:r>
        <w:rPr/>
        <w:tab/>
        <w:t xml:space="preserve">Oder als </w:t>
      </w:r>
      <w:hyperlink r:id="rId451">
        <w:r>
          <w:rPr>
            <w:rStyle w:val="Internetverknpfung"/>
          </w:rPr>
          <w:t>Dativus commodi</w:t>
        </w:r>
      </w:hyperlink>
      <w:r>
        <w:rPr/>
        <w:t>: „für Gott“; eine mögliche Übersetzung der Stelle wäre dann „wir leben für Gott als Wohlgeruch Christi“ (nach Mofatt bei Harris).</w:t>
      </w:r>
    </w:p>
  </w:footnote>
  <w:footnote w:id="2572">
    <w:p>
      <w:pPr>
        <w:pStyle w:val="Funote"/>
        <w:rPr/>
      </w:pPr>
      <w:r>
        <w:rPr>
          <w:rStyle w:val="Funotenzeichen"/>
        </w:rPr>
        <w:footnoteRef/>
      </w:r>
      <w:r>
        <w:rPr/>
        <w:tab/>
        <w:t xml:space="preserve">Auflösung zweier subst. </w:t>
      </w:r>
      <w:hyperlink r:id="rId452">
        <w:r>
          <w:rPr>
            <w:rStyle w:val="Internetverknpfung"/>
          </w:rPr>
          <w:t>Ptz</w:t>
        </w:r>
      </w:hyperlink>
      <w:r>
        <w:rPr/>
        <w:t>.</w:t>
      </w:r>
    </w:p>
  </w:footnote>
  <w:footnote w:id="2573">
    <w:p>
      <w:pPr>
        <w:pStyle w:val="Funote"/>
        <w:rPr/>
      </w:pPr>
      <w:r>
        <w:rPr>
          <w:rStyle w:val="Funotenzeichen"/>
        </w:rPr>
        <w:footnoteRef/>
      </w:r>
      <w:r>
        <w:rPr/>
        <w:tab/>
        <w:t xml:space="preserve">Auflösung eines subst. </w:t>
      </w:r>
      <w:hyperlink r:id="rId453">
        <w:r>
          <w:rPr>
            <w:rStyle w:val="Internetverknpfung"/>
          </w:rPr>
          <w:t>Ptz</w:t>
        </w:r>
      </w:hyperlink>
      <w:r>
        <w:rPr/>
        <w:t>. Alternativ nach Harris periphrastisches Verständnis durch direkten Bezug auf „wir sind“. Die Übersetzung lautete dann „wir machen nicht, wie so viele, Geschäfte...“</w:t>
      </w:r>
    </w:p>
  </w:footnote>
  <w:footnote w:id="2574">
    <w:p>
      <w:pPr>
        <w:pStyle w:val="Funote"/>
        <w:rPr/>
      </w:pPr>
      <w:r>
        <w:rPr>
          <w:rStyle w:val="Funotenzeichen"/>
        </w:rPr>
        <w:footnoteRef/>
      </w:r>
      <w:r>
        <w:rPr/>
        <w:tab/>
        <w:t>D.h. wohl „von Gott [Beauftragte]“</w:t>
      </w:r>
    </w:p>
  </w:footnote>
  <w:footnote w:id="2575">
    <w:p>
      <w:pPr>
        <w:pStyle w:val="Funote"/>
        <w:rPr/>
      </w:pPr>
      <w:r>
        <w:rPr>
          <w:rStyle w:val="Funotenzeichen"/>
        </w:rPr>
        <w:footnoteRef/>
      </w:r>
      <w:r>
        <w:rPr/>
        <w:tab/>
        <w:t>D.h. wohl „[in der Verantwortung] vor Gott“</w:t>
      </w:r>
    </w:p>
  </w:footnote>
  <w:footnote w:id="2576">
    <w:p>
      <w:pPr>
        <w:pStyle w:val="Funote"/>
        <w:rPr/>
      </w:pPr>
      <w:r>
        <w:rPr>
          <w:rStyle w:val="Funotenzeichen"/>
        </w:rPr>
        <w:footnoteRef/>
      </w:r>
      <w:r>
        <w:rPr/>
        <w:tab/>
        <w:t>So wörtlich. Der semantische Bezug zum „Wort Gottes“ ist im Griechischen wohl zumindest andeutungsweise vorhanden, wird bei wörtlicher Übersetzung (als „sprechen wir“) aber unberücksichtigt gelassen.</w:t>
      </w:r>
    </w:p>
  </w:footnote>
  <w:footnote w:id="2577">
    <w:p>
      <w:pPr>
        <w:pStyle w:val="Funote"/>
        <w:rPr/>
      </w:pPr>
      <w:r>
        <w:rPr>
          <w:rStyle w:val="Funotenzeichen"/>
        </w:rPr>
        <w:footnoteRef/>
      </w:r>
      <w:r>
        <w:rPr/>
        <w:tab/>
        <w:t>[Status: Zuverlässig]</w:t>
      </w:r>
    </w:p>
  </w:footnote>
  <w:footnote w:id="2578">
    <w:p>
      <w:pPr>
        <w:pStyle w:val="Funote"/>
        <w:rPr/>
      </w:pPr>
      <w:r>
        <w:rPr>
          <w:rStyle w:val="Funotenzeichen"/>
        </w:rPr>
        <w:footnoteRef/>
      </w:r>
      <w:r>
        <w:rPr/>
        <w:tab/>
        <w:t xml:space="preserve">Timotheus war ein enger Mitarbeiter des Apostels Paulus, der auch in </w:t>
      </w:r>
      <w:r>
        <w:fldChar w:fldCharType="begin"/>
      </w:r>
      <w:r>
        <w:rPr>
          <w:rStyle w:val="Internetverknpfung"/>
        </w:rPr>
        <w:instrText> HYPERLINK "../../../../../../../../../wiki/2_Korinther_1" \l "s1"</w:instrText>
      </w:r>
      <w:r>
        <w:rPr>
          <w:rStyle w:val="Internetverknpfung"/>
        </w:rPr>
        <w:fldChar w:fldCharType="separate"/>
      </w:r>
      <w:r>
        <w:rPr>
          <w:rStyle w:val="Internetverknpfung"/>
        </w:rPr>
        <w:t>2Kor 1,1</w:t>
      </w:r>
      <w:r>
        <w:rPr>
          <w:rStyle w:val="Internetverknpfung"/>
        </w:rPr>
        <w:fldChar w:fldCharType="end"/>
      </w:r>
      <w:r>
        <w:rPr/>
        <w:t xml:space="preserve">; </w:t>
      </w:r>
      <w:r>
        <w:fldChar w:fldCharType="begin"/>
      </w:r>
      <w:r>
        <w:rPr>
          <w:rStyle w:val="Internetverknpfung"/>
        </w:rPr>
        <w:instrText> HYPERLINK "../../../../../../../../../wiki/Philipper_1" \l "s1"</w:instrText>
      </w:r>
      <w:r>
        <w:rPr>
          <w:rStyle w:val="Internetverknpfung"/>
        </w:rPr>
        <w:fldChar w:fldCharType="separate"/>
      </w:r>
      <w:r>
        <w:rPr>
          <w:rStyle w:val="Internetverknpfung"/>
        </w:rPr>
        <w:t>Phil 1,1</w:t>
      </w:r>
      <w:r>
        <w:rPr>
          <w:rStyle w:val="Internetverknpfung"/>
        </w:rPr>
        <w:fldChar w:fldCharType="end"/>
      </w:r>
      <w:r>
        <w:rPr/>
        <w:t xml:space="preserve">; </w:t>
      </w:r>
      <w:r>
        <w:fldChar w:fldCharType="begin"/>
      </w:r>
      <w:r>
        <w:rPr>
          <w:rStyle w:val="Internetverknpfung"/>
        </w:rPr>
        <w:instrText> HYPERLINK "../../../../../../../../../wiki/Philemon" \l "s1"</w:instrText>
      </w:r>
      <w:r>
        <w:rPr>
          <w:rStyle w:val="Internetverknpfung"/>
        </w:rPr>
        <w:fldChar w:fldCharType="separate"/>
      </w:r>
      <w:r>
        <w:rPr>
          <w:rStyle w:val="Internetverknpfung"/>
        </w:rPr>
        <w:t>Phlm 1</w:t>
      </w:r>
      <w:r>
        <w:rPr>
          <w:rStyle w:val="Internetverknpfung"/>
        </w:rPr>
        <w:fldChar w:fldCharType="end"/>
      </w:r>
      <w:r>
        <w:rPr/>
        <w:t xml:space="preserve"> als Mitverfasser erwähnt wird; zusammen mit Silvanus auch in </w:t>
      </w:r>
      <w:hyperlink r:id="rId454">
        <w:r>
          <w:rPr>
            <w:rStyle w:val="Internetverknpfung"/>
          </w:rPr>
          <w:t>1Thess 1,1</w:t>
        </w:r>
      </w:hyperlink>
      <w:r>
        <w:rPr/>
        <w:t xml:space="preserve">; </w:t>
      </w:r>
      <w:hyperlink r:id="rId455">
        <w:r>
          <w:rPr>
            <w:rStyle w:val="Internetverknpfung"/>
          </w:rPr>
          <w:t>2Thess 1,1</w:t>
        </w:r>
      </w:hyperlink>
      <w:r>
        <w:rPr/>
        <w:t>. Nach den Angaben der Apostelgeschichte nahm Paulus ihn aufgrund seines guten Rufs unter den Gläubigen während seiner zweiten Missionsreise in Derbe in sein Mitarbeiterteam auf (</w:t>
      </w:r>
      <w:r>
        <w:fldChar w:fldCharType="begin"/>
      </w:r>
      <w:r>
        <w:rPr>
          <w:rStyle w:val="Internetverknpfung"/>
        </w:rPr>
        <w:instrText> HYPERLINK "../../../../../../../../../wiki/Apostelgeschichte_16" \l "s1"</w:instrText>
      </w:r>
      <w:r>
        <w:rPr>
          <w:rStyle w:val="Internetverknpfung"/>
        </w:rPr>
        <w:fldChar w:fldCharType="separate"/>
      </w:r>
      <w:r>
        <w:rPr>
          <w:rStyle w:val="Internetverknpfung"/>
        </w:rPr>
        <w:t>Apg 16,1-3</w:t>
      </w:r>
      <w:r>
        <w:rPr>
          <w:rStyle w:val="Internetverknpfung"/>
        </w:rPr>
        <w:fldChar w:fldCharType="end"/>
      </w:r>
      <w:r>
        <w:rPr/>
        <w:t xml:space="preserve">).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 </w:t>
      </w:r>
    </w:p>
  </w:footnote>
  <w:footnote w:id="2579">
    <w:p>
      <w:pPr>
        <w:pStyle w:val="Funote"/>
        <w:rPr/>
      </w:pPr>
      <w:r>
        <w:rPr>
          <w:rStyle w:val="Funotenzeichen"/>
        </w:rPr>
        <w:footnoteRef/>
      </w:r>
      <w:r>
        <w:rPr/>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580">
    <w:p>
      <w:pPr>
        <w:pStyle w:val="Funote"/>
        <w:rPr/>
      </w:pPr>
      <w:r>
        <w:rPr>
          <w:rStyle w:val="Funotenzeichen"/>
        </w:rPr>
        <w:footnoteRef/>
      </w:r>
      <w:r>
        <w:rPr/>
        <w:tab/>
        <w:t xml:space="preserve">Vgl. die entsprechende Fußnote zu Eph 1,1. </w:t>
      </w:r>
    </w:p>
  </w:footnote>
  <w:footnote w:id="2581">
    <w:p>
      <w:pPr>
        <w:pStyle w:val="Funote"/>
        <w:rPr/>
      </w:pPr>
      <w:r>
        <w:rPr>
          <w:rStyle w:val="Funotenzeichen"/>
        </w:rPr>
        <w:footnoteRef/>
      </w:r>
      <w:hyperlink r:id="rId456">
        <w:r>
          <w:rPr>
            <w:rStyle w:val="Internetverknpfung"/>
          </w:rPr>
          <w:tab/>
          <w:t>Generisches Maskulinum</w:t>
        </w:r>
      </w:hyperlink>
      <w:r>
        <w:rPr/>
        <w:t xml:space="preserve">. </w:t>
      </w:r>
    </w:p>
  </w:footnote>
  <w:footnote w:id="2582">
    <w:p>
      <w:pPr>
        <w:pStyle w:val="Funote"/>
        <w:rPr/>
      </w:pPr>
      <w:r>
        <w:rPr>
          <w:rStyle w:val="Funotenzeichen"/>
        </w:rPr>
        <w:footnoteRef/>
      </w:r>
      <w:r>
        <w:rPr>
          <w:i/>
        </w:rPr>
        <w:tab/>
        <w:t>in Christus</w:t>
      </w:r>
      <w:r>
        <w:rPr/>
        <w:t xml:space="preserve"> (sowie das ausführlichere „in Christus Jesus“, </w:t>
      </w:r>
      <w:r>
        <w:fldChar w:fldCharType="begin"/>
      </w:r>
      <w:r>
        <w:rPr>
          <w:rStyle w:val="Internetverknpfung"/>
        </w:rPr>
        <w:instrText> HYPERLINK "../../../../../../../../../wiki/Kolosser_1" \l "s4"</w:instrText>
      </w:r>
      <w:r>
        <w:rPr>
          <w:rStyle w:val="Internetverknpfung"/>
        </w:rPr>
        <w:fldChar w:fldCharType="separate"/>
      </w:r>
      <w:r>
        <w:rPr>
          <w:rStyle w:val="Internetverknpfung"/>
        </w:rPr>
        <w:t>Kol 1,4</w:t>
      </w:r>
      <w:r>
        <w:rPr>
          <w:rStyle w:val="Internetverknpfung"/>
        </w:rPr>
        <w:fldChar w:fldCharType="end"/>
      </w:r>
      <w:r>
        <w:rPr/>
        <w:t xml:space="preserve">) ist bei Paulus ein Lieblingsattribut, das häufig und in den verschiedensten Kontexten Anwendung findet (vgl. etwa analog </w:t>
      </w:r>
      <w:r>
        <w:fldChar w:fldCharType="begin"/>
      </w:r>
      <w:r>
        <w:rPr>
          <w:rStyle w:val="Internetverknpfung"/>
        </w:rPr>
        <w:instrText> HYPERLINK "../../../../../../../../../wiki/Epheser_1" \l "s1"</w:instrText>
      </w:r>
      <w:r>
        <w:rPr>
          <w:rStyle w:val="Internetverknpfung"/>
        </w:rPr>
        <w:fldChar w:fldCharType="separate"/>
      </w:r>
      <w:r>
        <w:rPr>
          <w:rStyle w:val="Internetverknpfung"/>
        </w:rPr>
        <w:t>Eph 1,1</w:t>
      </w:r>
      <w:r>
        <w:rPr>
          <w:rStyle w:val="Internetverknpfung"/>
        </w:rPr>
        <w:fldChar w:fldCharType="end"/>
      </w:r>
      <w:r>
        <w:rPr/>
        <w:t xml:space="preserve">). In Kol kommt es sonst nur noch in </w:t>
      </w:r>
      <w:r>
        <w:fldChar w:fldCharType="begin"/>
      </w:r>
      <w:r>
        <w:rPr>
          <w:rStyle w:val="Internetverknpfung"/>
        </w:rPr>
        <w:instrText> HYPERLINK "../../../../../../../../../wiki/Kolosser_1" \l "s28"</w:instrText>
      </w:r>
      <w:r>
        <w:rPr>
          <w:rStyle w:val="Internetverknpfung"/>
        </w:rPr>
        <w:fldChar w:fldCharType="separate"/>
      </w:r>
      <w:r>
        <w:rPr>
          <w:rStyle w:val="Internetverknpfung"/>
        </w:rPr>
        <w:t>1,28</w:t>
      </w:r>
      <w:r>
        <w:rPr>
          <w:rStyle w:val="Internetverknpfung"/>
        </w:rPr>
        <w:fldChar w:fldCharType="end"/>
      </w:r>
      <w:r>
        <w:rPr/>
        <w:t xml:space="preserve">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w:t>
      </w:r>
      <w:r>
        <w:fldChar w:fldCharType="begin"/>
      </w:r>
      <w:r>
        <w:rPr>
          <w:rStyle w:val="Internetverknpfung"/>
        </w:rPr>
        <w:instrText> HYPERLINK "../../../../../../../../../wiki/1_Korinther_15" \l "s22"</w:instrText>
      </w:r>
      <w:r>
        <w:rPr>
          <w:rStyle w:val="Internetverknpfung"/>
        </w:rPr>
        <w:fldChar w:fldCharType="separate"/>
      </w:r>
      <w:r>
        <w:rPr>
          <w:rStyle w:val="Internetverknpfung"/>
        </w:rPr>
        <w:t>1Kor 15,22</w:t>
      </w:r>
      <w:r>
        <w:rPr>
          <w:rStyle w:val="Internetverknpfung"/>
        </w:rPr>
        <w:fldChar w:fldCharType="end"/>
      </w:r>
      <w:r>
        <w:rPr/>
        <w:t xml:space="preserve">; </w:t>
      </w:r>
      <w:r>
        <w:fldChar w:fldCharType="begin"/>
      </w:r>
      <w:r>
        <w:rPr>
          <w:rStyle w:val="Internetverknpfung"/>
        </w:rPr>
        <w:instrText> HYPERLINK "../../../../../../../../../wiki/2_Korinther_5" \l "s14"</w:instrText>
      </w:r>
      <w:r>
        <w:rPr>
          <w:rStyle w:val="Internetverknpfung"/>
        </w:rPr>
        <w:fldChar w:fldCharType="separate"/>
      </w:r>
      <w:r>
        <w:rPr>
          <w:rStyle w:val="Internetverknpfung"/>
        </w:rPr>
        <w:t>2Kor 5,14-17</w:t>
      </w:r>
      <w:r>
        <w:rPr>
          <w:rStyle w:val="Internetverknpfung"/>
        </w:rPr>
        <w:fldChar w:fldCharType="end"/>
      </w:r>
      <w:r>
        <w:rPr/>
        <w:t xml:space="preserve">; </w:t>
      </w:r>
      <w:r>
        <w:fldChar w:fldCharType="begin"/>
      </w:r>
      <w:r>
        <w:rPr>
          <w:rStyle w:val="Internetverknpfung"/>
        </w:rPr>
        <w:instrText> HYPERLINK "../../../../../../../../../wiki/R%C3%B6mer_5" \l "s12"</w:instrText>
      </w:r>
      <w:r>
        <w:rPr>
          <w:rStyle w:val="Internetverknpfung"/>
        </w:rPr>
        <w:fldChar w:fldCharType="separate"/>
      </w:r>
      <w:r>
        <w:rPr>
          <w:rStyle w:val="Internetverknpfung"/>
        </w:rPr>
        <w:t>Röm 5,12-21</w:t>
      </w:r>
      <w:r>
        <w:rPr>
          <w:rStyle w:val="Internetverknpfung"/>
        </w:rPr>
        <w:fldChar w:fldCharType="end"/>
      </w:r>
      <w:r>
        <w:rPr/>
        <w:t xml:space="preserve">) (Moo 2008, 77, vgl. O'Brien 1982, 4). </w:t>
      </w:r>
    </w:p>
  </w:footnote>
  <w:footnote w:id="2583">
    <w:p>
      <w:pPr>
        <w:pStyle w:val="Funote"/>
        <w:rPr/>
      </w:pPr>
      <w:r>
        <w:rPr>
          <w:rStyle w:val="Funotenzeichen"/>
        </w:rPr>
        <w:footnoteRef/>
      </w:r>
      <w:r>
        <w:rPr/>
        <w:tab/>
        <w:t xml:space="preserve">Einige Handschriften (u.a. die wichtigen alexandrinischen </w:t>
      </w:r>
      <w:r>
        <w:rPr>
          <w:rtl w:val="true"/>
          <w:lang w:bidi="he-IL"/>
        </w:rPr>
        <w:t>א</w:t>
      </w:r>
      <w:r>
        <w:rPr/>
        <w:t xml:space="preserve">, A sowie der Mehrheitstext) ergänzen „und des Herrn Jesus Christus“, vielleicht in direkter Anlehnung an </w:t>
      </w:r>
      <w:r>
        <w:fldChar w:fldCharType="begin"/>
      </w:r>
      <w:r>
        <w:rPr>
          <w:rStyle w:val="Internetverknpfung"/>
        </w:rPr>
        <w:instrText> HYPERLINK "../../../../../../../../../wiki/Epheser_2" \l "s2"</w:instrText>
      </w:r>
      <w:r>
        <w:rPr>
          <w:rStyle w:val="Internetverknpfung"/>
        </w:rPr>
        <w:fldChar w:fldCharType="separate"/>
      </w:r>
      <w:r>
        <w:rPr>
          <w:rStyle w:val="Internetverknpfung"/>
        </w:rPr>
        <w:t>Eph 2,2</w:t>
      </w:r>
      <w:r>
        <w:rPr>
          <w:rStyle w:val="Internetverknpfung"/>
        </w:rPr>
        <w:fldChar w:fldCharType="end"/>
      </w:r>
      <w:r>
        <w:rPr/>
        <w:t xml:space="preserve">, weswegen er in NA27 wohl als sekundär eingestuft wird. Der Teil fehlt u.a. in B, D, 33, 1739. </w:t>
      </w:r>
    </w:p>
  </w:footnote>
  <w:footnote w:id="2584">
    <w:p>
      <w:pPr>
        <w:pStyle w:val="Funote"/>
        <w:rPr/>
      </w:pPr>
      <w:r>
        <w:rPr>
          <w:rStyle w:val="Funotenzeichen"/>
        </w:rPr>
        <w:footnoteRef/>
      </w:r>
      <w:r>
        <w:rPr/>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585">
    <w:p>
      <w:pPr>
        <w:pStyle w:val="Funote"/>
        <w:rPr/>
      </w:pPr>
      <w:r>
        <w:rPr>
          <w:rStyle w:val="Funotenzeichen"/>
        </w:rPr>
        <w:footnoteRef/>
      </w:r>
      <w:r>
        <w:rPr/>
        <w:tab/>
        <w:t xml:space="preserve">Vgl. die Fußnote in V. 2 bei „in Christus“. </w:t>
      </w:r>
    </w:p>
  </w:footnote>
  <w:footnote w:id="2586">
    <w:p>
      <w:pPr>
        <w:pStyle w:val="Funote"/>
        <w:rPr/>
      </w:pPr>
      <w:r>
        <w:rPr>
          <w:rStyle w:val="Funotenzeichen"/>
        </w:rPr>
        <w:footnoteRef/>
      </w:r>
      <w:r>
        <w:rPr/>
        <w:tab/>
        <w:t>Kausal aufgelöstes Ptz. coni. (vgl. Moo 2008, 84). Möglich theoretisch auch temporal: „seit“</w:t>
      </w:r>
    </w:p>
  </w:footnote>
  <w:footnote w:id="2587">
    <w:p>
      <w:pPr>
        <w:pStyle w:val="Funote"/>
        <w:rPr/>
      </w:pPr>
      <w:r>
        <w:rPr>
          <w:rStyle w:val="Funotenzeichen"/>
        </w:rPr>
        <w:footnoteRef/>
      </w:r>
      <w:r>
        <w:rPr/>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 </w:t>
      </w:r>
    </w:p>
  </w:footnote>
  <w:footnote w:id="2588">
    <w:p>
      <w:pPr>
        <w:pStyle w:val="Funote"/>
        <w:rPr/>
      </w:pPr>
      <w:r>
        <w:rPr>
          <w:rStyle w:val="Funotenzeichen"/>
        </w:rPr>
        <w:footnoteRef/>
      </w:r>
      <w:r>
        <w:rPr/>
        <w:tab/>
        <w:t xml:space="preserve">Wörtlich ein Plural. </w:t>
      </w:r>
    </w:p>
  </w:footnote>
  <w:footnote w:id="2589">
    <w:p>
      <w:pPr>
        <w:pStyle w:val="Funote"/>
        <w:rPr/>
      </w:pPr>
      <w:r>
        <w:rPr>
          <w:rStyle w:val="Funotenzeichen"/>
        </w:rPr>
        <w:footnoteRef/>
      </w:r>
      <w:r>
        <w:rPr/>
        <w:tab/>
        <w:t xml:space="preserve">Wenn eine gezielte Betonung des „vorher“ (im Gegensatz zu „schon“) intendiert ist, dann bezieht sich das vielleicht auf die Zeit, wo Epaphras in Kolossä evangelisierte, vor dem Aufkommen der Irrlehre, die mit dem Brief bekämpft wird (so seit Moule 1898, 67; vgl. Moo 2008, 86). </w:t>
      </w:r>
    </w:p>
  </w:footnote>
  <w:footnote w:id="2590">
    <w:p>
      <w:pPr>
        <w:pStyle w:val="Funote"/>
        <w:rPr/>
      </w:pPr>
      <w:r>
        <w:rPr>
          <w:rStyle w:val="Funotenzeichen"/>
        </w:rPr>
        <w:footnoteRef/>
      </w:r>
      <w:r>
        <w:rPr/>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591">
    <w:p>
      <w:pPr>
        <w:pStyle w:val="Funote"/>
        <w:rPr/>
      </w:pPr>
      <w:r>
        <w:rPr>
          <w:rStyle w:val="Funotenzeichen"/>
        </w:rPr>
        <w:footnoteRef/>
      </w:r>
      <w:r>
        <w:rPr/>
        <w:tab/>
        <w:t xml:space="preserve">Attributives Ptz. Aor., als Relativsatz aufgelöst. </w:t>
      </w:r>
    </w:p>
  </w:footnote>
  <w:footnote w:id="2592">
    <w:p>
      <w:pPr>
        <w:pStyle w:val="Funote"/>
        <w:rPr/>
      </w:pPr>
      <w:r>
        <w:rPr>
          <w:rStyle w:val="Funotenzeichen"/>
        </w:rPr>
        <w:footnoteRef/>
      </w:r>
      <w:r>
        <w:rPr/>
        <w:tab/>
        <w:t xml:space="preserve">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 </w:t>
      </w:r>
    </w:p>
  </w:footnote>
  <w:footnote w:id="2593">
    <w:p>
      <w:pPr>
        <w:pStyle w:val="Funote"/>
        <w:rPr/>
      </w:pPr>
      <w:r>
        <w:rPr>
          <w:rStyle w:val="Funotenzeichen"/>
        </w:rPr>
        <w:footnoteRef/>
      </w:r>
      <w:r>
        <w:rPr/>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594">
    <w:p>
      <w:pPr>
        <w:pStyle w:val="Funote"/>
        <w:rPr/>
      </w:pPr>
      <w:r>
        <w:rPr>
          <w:rStyle w:val="Funotenzeichen"/>
        </w:rPr>
        <w:footnoteRef/>
      </w:r>
      <w:r>
        <w:rPr/>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595">
    <w:p>
      <w:pPr>
        <w:pStyle w:val="Funote"/>
        <w:rPr/>
      </w:pPr>
      <w:r>
        <w:rPr>
          <w:rStyle w:val="Funotenzeichen"/>
        </w:rPr>
        <w:footnoteRef/>
      </w:r>
      <w:r>
        <w:rPr/>
        <w:tab/>
        <w:t>„</w:t>
      </w:r>
      <w:r>
        <w:rPr/>
        <w:t xml:space="preserve">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 </w:t>
      </w:r>
    </w:p>
  </w:footnote>
  <w:footnote w:id="2596">
    <w:p>
      <w:pPr>
        <w:pStyle w:val="Funote"/>
        <w:rPr/>
      </w:pPr>
      <w:r>
        <w:rPr>
          <w:rStyle w:val="Funotenzeichen"/>
        </w:rPr>
        <w:footnoteRef/>
      </w:r>
      <w:r>
        <w:rPr>
          <w:lang w:val="el-GR"/>
        </w:rPr>
        <w:tab/>
        <w:t>καθώς</w:t>
      </w:r>
      <w:r>
        <w:rPr/>
        <w:t xml:space="preserve"> („(genau) wie“) scheint hier die beiden Sätze auf sehr allgemeine Weise zu verbinden (Moo 2008, 89), viele Übersetzungen lassen es weg. Hier wurde analog zu 6b übersetzt, um die parallele Struktur zu unterstreichen. </w:t>
      </w:r>
    </w:p>
  </w:footnote>
  <w:footnote w:id="2597">
    <w:p>
      <w:pPr>
        <w:pStyle w:val="Funote"/>
        <w:rPr/>
      </w:pPr>
      <w:r>
        <w:rPr>
          <w:rStyle w:val="Funotenzeichen"/>
        </w:rPr>
        <w:footnoteRef/>
      </w:r>
      <w:r>
        <w:rPr/>
        <w:tab/>
        <w:t xml:space="preserve">Epaphras wird sonst nur in </w:t>
      </w:r>
      <w:hyperlink r:id="rId457">
        <w:r>
          <w:rPr>
            <w:rStyle w:val="Internetverknpfung"/>
          </w:rPr>
          <w:t>Kol 4,12f.</w:t>
        </w:r>
      </w:hyperlink>
      <w:r>
        <w:rPr/>
        <w:t xml:space="preserve"> und </w:t>
      </w:r>
      <w:r>
        <w:fldChar w:fldCharType="begin"/>
      </w:r>
      <w:r>
        <w:rPr>
          <w:rStyle w:val="Internetverknpfung"/>
        </w:rPr>
        <w:instrText> HYPERLINK "../../../../../../../../../wiki/Philemon" \l "s23"</w:instrText>
      </w:r>
      <w:r>
        <w:rPr>
          <w:rStyle w:val="Internetverknpfung"/>
        </w:rPr>
        <w:fldChar w:fldCharType="separate"/>
      </w:r>
      <w:r>
        <w:rPr>
          <w:rStyle w:val="Internetverknpfung"/>
        </w:rPr>
        <w:t>Phlm 23</w:t>
      </w:r>
      <w:r>
        <w:rPr>
          <w:rStyle w:val="Internetverknpfung"/>
        </w:rPr>
        <w:fldChar w:fldCharType="end"/>
      </w:r>
      <w:r>
        <w:rPr/>
        <w:t xml:space="preserve">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w:t>
      </w:r>
      <w:r>
        <w:fldChar w:fldCharType="begin"/>
      </w:r>
      <w:r>
        <w:rPr>
          <w:rStyle w:val="Internetverknpfung"/>
        </w:rPr>
        <w:instrText> HYPERLINK "../../../../../../../../../wiki/Philipper_2" \l "s25"</w:instrText>
      </w:r>
      <w:r>
        <w:rPr>
          <w:rStyle w:val="Internetverknpfung"/>
        </w:rPr>
        <w:fldChar w:fldCharType="separate"/>
      </w:r>
      <w:r>
        <w:rPr>
          <w:rStyle w:val="Internetverknpfung"/>
        </w:rPr>
        <w:t>Phil 2,25</w:t>
      </w:r>
      <w:r>
        <w:rPr>
          <w:rStyle w:val="Internetverknpfung"/>
        </w:rPr>
        <w:fldChar w:fldCharType="end"/>
      </w:r>
      <w:r>
        <w:rPr/>
        <w:t xml:space="preserve">; </w:t>
      </w:r>
      <w:r>
        <w:fldChar w:fldCharType="begin"/>
      </w:r>
      <w:r>
        <w:rPr>
          <w:rStyle w:val="Internetverknpfung"/>
        </w:rPr>
        <w:instrText> HYPERLINK "../../../../../../../../../wiki/Philipper_4" \l "s18"</w:instrText>
      </w:r>
      <w:r>
        <w:rPr>
          <w:rStyle w:val="Internetverknpfung"/>
        </w:rPr>
        <w:fldChar w:fldCharType="separate"/>
      </w:r>
      <w:r>
        <w:rPr>
          <w:rStyle w:val="Internetverknpfung"/>
        </w:rPr>
        <w:t>4,18</w:t>
      </w:r>
      <w:r>
        <w:rPr>
          <w:rStyle w:val="Internetverknpfung"/>
        </w:rPr>
        <w:fldChar w:fldCharType="end"/>
      </w:r>
      <w:r>
        <w:rPr/>
        <w:t xml:space="preserve"> genannten Paulus-Mitarbeiter identisch (Moo 2008, 90). </w:t>
      </w:r>
    </w:p>
  </w:footnote>
  <w:footnote w:id="2598">
    <w:p>
      <w:pPr>
        <w:pStyle w:val="Funote"/>
        <w:rPr/>
      </w:pPr>
      <w:r>
        <w:rPr>
          <w:rStyle w:val="Funotenzeichen"/>
        </w:rPr>
        <w:footnoteRef/>
      </w:r>
      <w:r>
        <w:rPr/>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(𝔓46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599">
    <w:p>
      <w:pPr>
        <w:pStyle w:val="Funote"/>
        <w:rPr/>
      </w:pPr>
      <w:r>
        <w:rPr>
          <w:rStyle w:val="Funotenzeichen"/>
        </w:rPr>
        <w:footnoteRef/>
      </w:r>
      <w:r>
        <w:rPr>
          <w:lang w:val="el-GR"/>
        </w:rPr>
        <w:tab/>
        <w:t>ἐν</w:t>
      </w:r>
      <w:r>
        <w:rPr/>
        <w:t xml:space="preserve"> („in“ (örtl.), „durch“ (instr.)) ist hier wohl instrumental gemeint. Die demonstrierte Liebe wird also durch den Heiligen Geist verursacht (Moo 2008, 91f., vgl. EÜ, NGÜ, Menge).</w:t>
      </w:r>
    </w:p>
  </w:footnote>
  <w:footnote w:id="2600">
    <w:p>
      <w:pPr>
        <w:pStyle w:val="Funote"/>
        <w:rPr/>
      </w:pPr>
      <w:r>
        <w:rPr>
          <w:rStyle w:val="Funotenzeichen"/>
        </w:rPr>
        <w:footnoteRef/>
      </w:r>
      <w:r>
        <w:rPr/>
        <w:tab/>
        <w:t xml:space="preserve">Auflösung eines attributiven Ptz. Aor. als Relativsatz. Möglich wäre auch eine „und“-Kombination. </w:t>
      </w:r>
    </w:p>
  </w:footnote>
  <w:footnote w:id="2601">
    <w:p>
      <w:pPr>
        <w:pStyle w:val="Funote"/>
        <w:rPr/>
      </w:pPr>
      <w:r>
        <w:rPr>
          <w:rStyle w:val="Funotenzeichen"/>
        </w:rPr>
        <w:footnoteRef/>
      </w:r>
      <w:r>
        <w:rPr/>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602">
    <w:p>
      <w:pPr>
        <w:pStyle w:val="Funote"/>
        <w:rPr/>
      </w:pPr>
      <w:r>
        <w:rPr>
          <w:rStyle w:val="Funotenzeichen"/>
        </w:rPr>
        <w:footnoteRef/>
      </w:r>
      <w:r>
        <w:rPr>
          <w:i/>
        </w:rPr>
        <w:tab/>
        <w:t>Fremde</w:t>
      </w:r>
      <w:r>
        <w:rPr/>
        <w:t xml:space="preserve"> Als Substantiv gebrauchtes Ptz. Pf. Pass., w. also „entfremdet“. Im NT nur 3x und nur im Ptz. Pf. Pass., immer resultativ und im Zusammenhang mit der Bundesgemeinschaft bzw. Beziehung mit Gott gebraucht (</w:t>
      </w:r>
      <w:r>
        <w:fldChar w:fldCharType="begin"/>
      </w:r>
      <w:r>
        <w:rPr>
          <w:rStyle w:val="Internetverknpfung"/>
        </w:rPr>
        <w:instrText> HYPERLINK "../../../../../../../../../wiki/Epheser_2" \l "s12"</w:instrText>
      </w:r>
      <w:r>
        <w:rPr>
          <w:rStyle w:val="Internetverknpfung"/>
        </w:rPr>
        <w:fldChar w:fldCharType="separate"/>
      </w:r>
      <w:r>
        <w:rPr>
          <w:rStyle w:val="Internetverknpfung"/>
        </w:rPr>
        <w:t>Eph 2,12</w:t>
      </w:r>
      <w:r>
        <w:rPr>
          <w:rStyle w:val="Internetverknpfung"/>
        </w:rPr>
        <w:fldChar w:fldCharType="end"/>
      </w:r>
      <w:r>
        <w:rPr/>
        <w:t xml:space="preserve">; </w:t>
      </w:r>
      <w:hyperlink r:id="rId458">
        <w:r>
          <w:rPr>
            <w:rStyle w:val="Internetverknpfung"/>
          </w:rPr>
          <w:t>4,18</w:t>
        </w:r>
      </w:hyperlink>
      <w:r>
        <w:rPr/>
        <w:t xml:space="preserve">, vgl. TWNT, </w:t>
      </w:r>
      <w:r>
        <w:rPr>
          <w:lang w:val="el-GR"/>
        </w:rPr>
        <w:t>ἀπαλλοτριόω</w:t>
      </w:r>
      <w:r>
        <w:rPr/>
        <w:t xml:space="preserve">). Auffällig ist, dass hier das erwartete Lokal-Objekt fehlt: wir also nicht erfahren, wovon die Adressaten einmal entfremdet waren. </w:t>
      </w:r>
    </w:p>
  </w:footnote>
  <w:footnote w:id="2603">
    <w:p>
      <w:pPr>
        <w:pStyle w:val="Funote"/>
        <w:rPr/>
      </w:pPr>
      <w:r>
        <w:rPr>
          <w:rStyle w:val="Funotenzeichen"/>
        </w:rPr>
        <w:footnoteRef/>
      </w:r>
      <w:r>
        <w:rPr/>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604">
    <w:p>
      <w:pPr>
        <w:pStyle w:val="Funote"/>
        <w:rPr/>
      </w:pPr>
      <w:r>
        <w:rPr>
          <w:rStyle w:val="Funotenzeichen"/>
        </w:rPr>
        <w:footnoteRef/>
      </w:r>
      <w:r>
        <w:rPr/>
        <w:tab/>
        <w:t>aufgrund (in) Kausale Interpretation von „in“, vgl. EÜ. Nicht klar ist, ob das böse Verhalten Grundlage oder Zeugnis der feindlichen Geisteshaltung ist. Darum alternativ: „[wie es] in [eurem] bösen Verhalten [zum Ausdruck kommt]“.</w:t>
      </w:r>
    </w:p>
  </w:footnote>
  <w:footnote w:id="2605">
    <w:p>
      <w:pPr>
        <w:pStyle w:val="Funote"/>
        <w:rPr/>
      </w:pPr>
      <w:r>
        <w:rPr>
          <w:rStyle w:val="Funotenzeichen"/>
        </w:rPr>
        <w:footnoteRef/>
      </w:r>
      <w:r>
        <w:rPr/>
        <w:tab/>
        <w:t xml:space="preserve">Als konzessiv verbundener Hauptsatz aufgelöstes Participium coniunctum (Ptz. Präs. Akk.). Möglich wäre auch eine Auflösung als Relativsatz, eine stärkere konzessive („obwohl“) oder temporale Deutung („während, als“). S.a. </w:t>
      </w:r>
      <w:r>
        <w:fldChar w:fldCharType="begin"/>
      </w:r>
      <w:r>
        <w:rPr>
          <w:rStyle w:val="Internetverknpfung"/>
        </w:rPr>
        <w:instrText> HYPERLINK "../../../../../../../../../wiki/Kolosser_1" \l "note_x"</w:instrText>
      </w:r>
      <w:r>
        <w:rPr>
          <w:rStyle w:val="Internetverknpfung"/>
        </w:rPr>
        <w:fldChar w:fldCharType="separate"/>
      </w:r>
      <w:r>
        <w:rPr>
          <w:rStyle w:val="Internetverknpfung"/>
        </w:rPr>
        <w:t>V. 21, Fußnote 1</w:t>
      </w:r>
      <w:r>
        <w:rPr>
          <w:rStyle w:val="Internetverknpfung"/>
        </w:rPr>
        <w:fldChar w:fldCharType="end"/>
      </w:r>
      <w:r>
        <w:rPr/>
        <w:t xml:space="preserve">. </w:t>
      </w:r>
    </w:p>
  </w:footnote>
  <w:footnote w:id="2606">
    <w:p>
      <w:pPr>
        <w:pStyle w:val="Funote"/>
        <w:rPr/>
      </w:pPr>
      <w:r>
        <w:rPr>
          <w:rStyle w:val="Funotenzeichen"/>
        </w:rPr>
        <w:footnoteRef/>
      </w:r>
      <w:r>
        <w:rPr/>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607">
    <w:p>
      <w:pPr>
        <w:pStyle w:val="Funote"/>
        <w:rPr/>
      </w:pPr>
      <w:r>
        <w:rPr>
          <w:rStyle w:val="Funotenzeichen"/>
        </w:rPr>
        <w:footnoteRef/>
      </w:r>
      <w:r>
        <w:rPr/>
        <w:tab/>
        <w:t xml:space="preserve">W: „seinen Körper des Fleisches“. Der attr. Genitiv drückt die Beschaffenheit des Bezugsworts aus. Gemeint ist mit dem „fleischlichen Körper“ wohl ein „sterblicher“ (Moo 2008, 142), der gedanklich klar von der Gemeinde als „Körper Christi“ abgegrenzt werden soll (Schweizer </w:t>
      </w:r>
      <w:r>
        <w:rPr>
          <w:position w:val="7"/>
          <w:sz w:val="16"/>
        </w:rPr>
        <w:t>2</w:t>
      </w:r>
      <w:r>
        <w:rPr/>
        <w:t xml:space="preserve">1980, 76). </w:t>
      </w:r>
    </w:p>
  </w:footnote>
  <w:footnote w:id="2608">
    <w:p>
      <w:pPr>
        <w:pStyle w:val="Funote"/>
        <w:rPr/>
      </w:pPr>
      <w:r>
        <w:rPr>
          <w:rStyle w:val="Funotenzeichen"/>
        </w:rPr>
        <w:footnoteRef/>
      </w:r>
      <w:r>
        <w:rPr/>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609">
    <w:p>
      <w:pPr>
        <w:pStyle w:val="Funote"/>
        <w:rPr/>
      </w:pPr>
      <w:r>
        <w:rPr>
          <w:rStyle w:val="Funotenzeichen"/>
        </w:rPr>
        <w:footnoteRef/>
      </w:r>
      <w:r>
        <w:rPr/>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610">
    <w:p>
      <w:pPr>
        <w:pStyle w:val="Funote"/>
        <w:rPr/>
      </w:pPr>
      <w:r>
        <w:rPr>
          <w:rStyle w:val="Funotenzeichen"/>
        </w:rPr>
        <w:footnoteRef/>
      </w:r>
      <w:r>
        <w:rPr/>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611">
    <w:p>
      <w:pPr>
        <w:pStyle w:val="Funote"/>
        <w:rPr/>
      </w:pPr>
      <w:r>
        <w:rPr>
          <w:rStyle w:val="Funotenzeichen"/>
        </w:rPr>
        <w:footnoteRef/>
      </w:r>
      <w:r>
        <w:rPr/>
        <w:tab/>
        <w:t>Adv. Ptz. Pf. Pass., zeigt die Art und Weise (modal) oder die Ursache (kausal) des Verweilens „im Glauben“ an. Hier (modal) direkt als Artangabe aufgelöst; denkbar wären auch ein verdeutlichendes „[und zwar]“ oder „[indem]“</w:t>
      </w:r>
    </w:p>
  </w:footnote>
  <w:footnote w:id="2612">
    <w:p>
      <w:pPr>
        <w:pStyle w:val="Funote"/>
        <w:rPr/>
      </w:pPr>
      <w:r>
        <w:rPr>
          <w:rStyle w:val="Funotenzeichen"/>
        </w:rPr>
        <w:footnoteRef/>
      </w:r>
      <w:r>
        <w:rPr/>
        <w:tab/>
        <w:t xml:space="preserve">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 </w:t>
      </w:r>
    </w:p>
  </w:footnote>
  <w:footnote w:id="2613">
    <w:p>
      <w:pPr>
        <w:pStyle w:val="Funote"/>
        <w:rPr/>
      </w:pPr>
      <w:r>
        <w:rPr>
          <w:rStyle w:val="Funotenzeichen"/>
        </w:rPr>
        <w:footnoteRef/>
      </w:r>
      <w:r>
        <w:rPr/>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614">
    <w:p>
      <w:pPr>
        <w:pStyle w:val="Funote"/>
        <w:rPr/>
      </w:pPr>
      <w:r>
        <w:rPr>
          <w:rStyle w:val="Funotenzeichen"/>
        </w:rPr>
        <w:footnoteRef/>
      </w:r>
      <w:r>
        <w:rPr/>
        <w:tab/>
        <w:t xml:space="preserve">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w:t>
      </w:r>
      <w:r>
        <w:fldChar w:fldCharType="begin"/>
      </w:r>
      <w:r>
        <w:rPr>
          <w:rStyle w:val="Internetverknpfung"/>
        </w:rPr>
        <w:instrText> HYPERLINK "../../../../../../../../../wiki/Kolosser_1" \l "note_o"</w:instrText>
      </w:r>
      <w:r>
        <w:rPr>
          <w:rStyle w:val="Internetverknpfung"/>
        </w:rPr>
        <w:fldChar w:fldCharType="separate"/>
      </w:r>
      <w:r>
        <w:rPr>
          <w:rStyle w:val="Internetverknpfung"/>
        </w:rPr>
        <w:t>V. 6, Fußnote o</w:t>
      </w:r>
      <w:r>
        <w:rPr>
          <w:rStyle w:val="Internetverknpfung"/>
        </w:rPr>
        <w:fldChar w:fldCharType="end"/>
      </w:r>
      <w:r>
        <w:rPr/>
        <w:t xml:space="preserve">, dann als Entsprechung zu Versöhnung aller Dinge in V. 20 (Moo 2008, 147). </w:t>
      </w:r>
    </w:p>
  </w:footnote>
  <w:footnote w:id="2615">
    <w:p>
      <w:pPr>
        <w:pStyle w:val="Funote"/>
        <w:rPr/>
      </w:pPr>
      <w:r>
        <w:rPr>
          <w:rStyle w:val="Funotenzeichen"/>
        </w:rPr>
        <w:footnoteRef/>
      </w:r>
      <w:r>
        <w:rPr/>
        <w:tab/>
        <w:t>[Status: Zuverlässig]</w:t>
      </w:r>
    </w:p>
  </w:footnote>
  <w:footnote w:id="2616">
    <w:p>
      <w:pPr>
        <w:pStyle w:val="Funote"/>
        <w:spacing w:before="0" w:after="283"/>
        <w:rPr/>
      </w:pPr>
      <w:r>
        <w:rPr>
          <w:rStyle w:val="Funotenzeichen"/>
        </w:rPr>
        <w:footnoteRef/>
      </w:r>
      <w:r>
        <w:rPr>
          <w:i/>
        </w:rPr>
        <w:tab/>
        <w:t>die zwölf Stämme in der Zerstreuung (Diaspora)</w:t>
      </w:r>
      <w:r>
        <w:rPr/>
        <w:t xml:space="preserve">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w:t>
      </w:r>
    </w:p>
    <w:p>
      <w:pPr>
        <w:pStyle w:val="Textkrper"/>
        <w:rPr/>
      </w:pPr>
      <w:r>
        <w:rPr/>
        <w:tab/>
        <w:t xml:space="preserve">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w:t>
      </w:r>
      <w:hyperlink r:id="rId459">
        <w:r>
          <w:rPr>
            <w:rStyle w:val="Internetverknpfung"/>
          </w:rPr>
          <w:t>Ps 147,2</w:t>
        </w:r>
      </w:hyperlink>
      <w:r>
        <w:rPr/>
        <w:t xml:space="preserve">; </w:t>
      </w:r>
      <w:r>
        <w:fldChar w:fldCharType="begin"/>
      </w:r>
      <w:r>
        <w:rPr>
          <w:rStyle w:val="Internetverknpfung"/>
        </w:rPr>
        <w:instrText> HYPERLINK "../../../../../../../../../wiki/Jesaja_11" \l "s12"</w:instrText>
      </w:r>
      <w:r>
        <w:rPr>
          <w:rStyle w:val="Internetverknpfung"/>
        </w:rPr>
        <w:fldChar w:fldCharType="separate"/>
      </w:r>
      <w:r>
        <w:rPr>
          <w:rStyle w:val="Internetverknpfung"/>
        </w:rPr>
        <w:t>Jes 11,12</w:t>
      </w:r>
      <w:r>
        <w:rPr>
          <w:rStyle w:val="Internetverknpfung"/>
        </w:rPr>
        <w:fldChar w:fldCharType="end"/>
      </w:r>
      <w:r>
        <w:rPr/>
        <w:t xml:space="preserve">; </w:t>
      </w:r>
      <w:r>
        <w:fldChar w:fldCharType="begin"/>
      </w:r>
      <w:r>
        <w:rPr>
          <w:rStyle w:val="Internetverknpfung"/>
        </w:rPr>
        <w:instrText> HYPERLINK "../../../../../../../../../wiki/Jesaja_14" \l "s1"</w:instrText>
      </w:r>
      <w:r>
        <w:rPr>
          <w:rStyle w:val="Internetverknpfung"/>
        </w:rPr>
        <w:fldChar w:fldCharType="separate"/>
      </w:r>
      <w:r>
        <w:rPr>
          <w:rStyle w:val="Internetverknpfung"/>
        </w:rPr>
        <w:t>14,1</w:t>
      </w:r>
      <w:r>
        <w:rPr>
          <w:rStyle w:val="Internetverknpfung"/>
        </w:rPr>
        <w:fldChar w:fldCharType="end"/>
      </w:r>
      <w:r>
        <w:rPr/>
        <w:t xml:space="preserve">; </w:t>
      </w:r>
      <w:r>
        <w:fldChar w:fldCharType="begin"/>
      </w:r>
      <w:r>
        <w:rPr>
          <w:rStyle w:val="Internetverknpfung"/>
        </w:rPr>
        <w:instrText> HYPERLINK "../../../../../../../../../wiki/Jesaja_43" \l "s5"</w:instrText>
      </w:r>
      <w:r>
        <w:rPr>
          <w:rStyle w:val="Internetverknpfung"/>
        </w:rPr>
        <w:fldChar w:fldCharType="separate"/>
      </w:r>
      <w:r>
        <w:rPr>
          <w:rStyle w:val="Internetverknpfung"/>
        </w:rPr>
        <w:t>54,5f</w:t>
      </w:r>
      <w:r>
        <w:rPr>
          <w:rStyle w:val="Internetverknpfung"/>
        </w:rPr>
        <w:fldChar w:fldCharType="end"/>
      </w:r>
      <w:r>
        <w:rPr/>
        <w:t xml:space="preserve">; </w:t>
      </w:r>
      <w:hyperlink r:id="rId460">
        <w:r>
          <w:rPr>
            <w:rStyle w:val="Internetverknpfung"/>
          </w:rPr>
          <w:t>Jer 31,10</w:t>
        </w:r>
      </w:hyperlink>
      <w:r>
        <w:rPr/>
        <w:t xml:space="preserve">; </w:t>
      </w:r>
      <w:hyperlink r:id="rId461">
        <w:r>
          <w:rPr>
            <w:rStyle w:val="Internetverknpfung"/>
          </w:rPr>
          <w:t>Ez 28,25</w:t>
        </w:r>
      </w:hyperlink>
      <w:r>
        <w:rPr/>
        <w:t xml:space="preserve"> u.ö.). Diese Vorstellung wurde im Laufe der Zeit erweitert: (a) Der Zustand der Zerstreuung wurde als Strafe Gottes für die Sündhaftigkeit Israels verstanden (s. z.B. </w:t>
      </w:r>
      <w:hyperlink r:id="rId462">
        <w:r>
          <w:rPr>
            <w:rStyle w:val="Internetverknpfung"/>
          </w:rPr>
          <w:t>Neh 1,8f</w:t>
        </w:r>
      </w:hyperlink>
      <w:r>
        <w:rPr/>
        <w:t>), (b) Jesus bringt die Sammlung des zerstreuten Israels mit seiner - des Menschensohns - Wiederkunft am Ende der Zeiten in Zusammenhang.</w:t>
        <w:br/>
        <w:t>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w:t>
      </w:r>
    </w:p>
    <w:p>
      <w:pPr>
        <w:pStyle w:val="Textkrper"/>
        <w:spacing w:before="0" w:after="283"/>
        <w:rPr/>
      </w:pPr>
      <w:r>
        <w:rPr/>
        <w:tab/>
        <w:t xml:space="preserve">Unsicher allerdings ist, ob der Brief sich dann allgemein an </w:t>
      </w:r>
      <w:r>
        <w:rPr>
          <w:i/>
        </w:rPr>
        <w:t>alle Angehörigen der zwölf Stämme</w:t>
      </w:r>
      <w:r>
        <w:rPr/>
        <w:t xml:space="preserve"> richtet, oder ob diese Vorstellung von der Sammlung der zwölf Stämme im Jakobusbrief auf die </w:t>
      </w:r>
      <w:r>
        <w:rPr>
          <w:i/>
        </w:rPr>
        <w:t>Christusgläubigen</w:t>
      </w:r>
      <w:r>
        <w:rPr/>
        <w:t xml:space="preserve"> übertragen wird.</w:t>
      </w:r>
    </w:p>
  </w:footnote>
  <w:footnote w:id="2617">
    <w:p>
      <w:pPr>
        <w:pStyle w:val="Funote"/>
        <w:rPr/>
      </w:pPr>
      <w:r>
        <w:rPr>
          <w:rStyle w:val="Funotenzeichen"/>
        </w:rPr>
        <w:footnoteRef/>
      </w:r>
      <w:r>
        <w:rPr/>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618">
    <w:p>
      <w:pPr>
        <w:pStyle w:val="Funote"/>
        <w:rPr/>
      </w:pPr>
      <w:r>
        <w:rPr>
          <w:rStyle w:val="Funotenzeichen"/>
        </w:rPr>
        <w:footnoteRef/>
      </w:r>
      <w:r>
        <w:rPr/>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619">
    <w:p>
      <w:pPr>
        <w:pStyle w:val="Funote"/>
        <w:rPr/>
      </w:pPr>
      <w:r>
        <w:rPr>
          <w:rStyle w:val="Funotenzeichen"/>
        </w:rPr>
        <w:footnoteRef/>
      </w:r>
      <w:r>
        <w:rPr/>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620">
    <w:p>
      <w:pPr>
        <w:pStyle w:val="Funote"/>
        <w:rPr/>
      </w:pPr>
      <w:r>
        <w:rPr>
          <w:rStyle w:val="Funotenzeichen"/>
        </w:rPr>
        <w:footnoteRef/>
      </w:r>
      <w:r>
        <w:fldChar w:fldCharType="begin"/>
      </w:r>
      <w:r>
        <w:rPr>
          <w:rStyle w:val="Internetverknpfung"/>
        </w:rPr>
        <w:instrText> HYPERLINK "http://www.offene-bibel.de/wiki/index.php5?title=Partizip" \l "Die_Sinnrichtungen"</w:instrText>
      </w:r>
      <w:r>
        <w:rPr>
          <w:rStyle w:val="Internetverknpfung"/>
        </w:rPr>
        <w:fldChar w:fldCharType="separate"/>
      </w:r>
      <w:r>
        <w:rPr>
          <w:rStyle w:val="Internetverknpfung"/>
        </w:rPr>
        <w:tab/>
        <w:t>Ptz. coni.</w:t>
      </w:r>
      <w:r>
        <w:rPr>
          <w:rStyle w:val="Internetverknpfung"/>
        </w:rPr>
        <w:fldChar w:fldCharType="end"/>
      </w:r>
      <w:r>
        <w:rPr/>
        <w:t xml:space="preserve">, hier als kausaler Nebensatz aufgelöst (oder als Präpositionalphrase, so Klammer). Einige Ausleger verstehen das Partizip auch imperativisches Partizip („wisst“). </w:t>
      </w:r>
    </w:p>
  </w:footnote>
  <w:footnote w:id="2621">
    <w:p>
      <w:pPr>
        <w:pStyle w:val="Funote"/>
        <w:rPr/>
      </w:pPr>
      <w:r>
        <w:rPr>
          <w:rStyle w:val="Funotenzeichen"/>
        </w:rPr>
        <w:footnoteRef/>
      </w:r>
      <w:r>
        <w:rPr/>
        <w:tab/>
        <w:t>Der Begriff hat eine sehr aktive Bedeutung – es wird nicht nur abgewartet, sondern auch entsprechend gehandelt (Dibelius 1964, 101; Blomberg 2008, 49; Mußner 1964, 65f.).</w:t>
      </w:r>
    </w:p>
  </w:footnote>
  <w:footnote w:id="2622">
    <w:p>
      <w:pPr>
        <w:pStyle w:val="Funote"/>
        <w:rPr/>
      </w:pPr>
      <w:r>
        <w:rPr>
          <w:rStyle w:val="Funotenzeichen"/>
        </w:rPr>
        <w:footnoteRef/>
      </w:r>
      <w:r>
        <w:rPr>
          <w:lang w:val="el-GR"/>
        </w:rPr>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623">
    <w:p>
      <w:pPr>
        <w:pStyle w:val="Funote"/>
        <w:rPr/>
      </w:pPr>
      <w:r>
        <w:rPr>
          <w:rStyle w:val="Funotenzeichen"/>
        </w:rPr>
        <w:footnoteRef/>
      </w:r>
      <w:r>
        <w:rPr/>
        <w:tab/>
        <w:t>Oder sinngemäßer: „Ausgang“ (cf. Johnson 1995, 178).</w:t>
      </w:r>
    </w:p>
  </w:footnote>
  <w:footnote w:id="2624">
    <w:p>
      <w:pPr>
        <w:pStyle w:val="Funote"/>
        <w:rPr/>
      </w:pPr>
      <w:r>
        <w:rPr>
          <w:rStyle w:val="Funotenzeichen"/>
        </w:rPr>
        <w:footnoteRef/>
      </w:r>
      <w:r>
        <w:rPr/>
        <w:tab/>
        <w:t xml:space="preserve">Der Imperativ Präsens markiert hier, dass nicht </w:t>
      </w:r>
      <w:r>
        <w:rPr>
          <w:i/>
        </w:rPr>
        <w:t>ein Mal ein</w:t>
      </w:r>
      <w:r>
        <w:rPr/>
        <w:t xml:space="preserve"> vollkommenes Werk Folge der Standhaftigkeit sein soll, sondern dass vollkommene Werke </w:t>
      </w:r>
      <w:r>
        <w:rPr>
          <w:i/>
        </w:rPr>
        <w:t>prinzipiell</w:t>
      </w:r>
      <w:r>
        <w:rPr/>
        <w:t xml:space="preserve"> die Folge der Standhaftigkeit sein sollen.</w:t>
      </w:r>
    </w:p>
  </w:footnote>
  <w:footnote w:id="2625">
    <w:p>
      <w:pPr>
        <w:pStyle w:val="Funote"/>
        <w:rPr/>
      </w:pPr>
      <w:r>
        <w:rPr>
          <w:rStyle w:val="Funotenzeichen"/>
        </w:rPr>
        <w:footnoteRef/>
      </w:r>
      <w:r>
        <w:rPr>
          <w:lang w:val="el-GR"/>
        </w:rPr>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626">
    <w:p>
      <w:pPr>
        <w:pStyle w:val="Funote"/>
        <w:rPr/>
      </w:pPr>
      <w:r>
        <w:rPr>
          <w:rStyle w:val="Funotenzeichen"/>
        </w:rPr>
        <w:footnoteRef/>
      </w:r>
      <w:r>
        <w:rPr/>
        <w:tab/>
        <w:t xml:space="preserve">Auflösung eines </w:t>
      </w:r>
      <w:r>
        <w:fldChar w:fldCharType="begin"/>
      </w:r>
      <w:r>
        <w:rPr>
          <w:rStyle w:val="Internetverknpfung"/>
        </w:rPr>
        <w:instrText> HYPERLINK "http://www.offene-bibel.de/wiki/index.php5?title=Partizip" \l "Die_Sinnrichtungen"</w:instrText>
      </w:r>
      <w:r>
        <w:rPr>
          <w:rStyle w:val="Internetverknpfung"/>
        </w:rPr>
        <w:fldChar w:fldCharType="separate"/>
      </w:r>
      <w:r>
        <w:rPr>
          <w:rStyle w:val="Internetverknpfung"/>
        </w:rPr>
        <w:t>Ptz. coni.</w:t>
      </w:r>
      <w:r>
        <w:rPr>
          <w:rStyle w:val="Internetverknpfung"/>
        </w:rPr>
        <w:fldChar w:fldCharType="end"/>
      </w:r>
      <w:r>
        <w:rPr/>
        <w:t xml:space="preserve"> durch </w:t>
      </w:r>
      <w:r>
        <w:rPr>
          <w:i/>
        </w:rPr>
        <w:t>und</w:t>
      </w:r>
      <w:r>
        <w:rPr/>
        <w:t>-Koordination. Möglich auch modal, temporal, kausal (so Klammer).</w:t>
      </w:r>
    </w:p>
  </w:footnote>
  <w:footnote w:id="2627">
    <w:p>
      <w:pPr>
        <w:pStyle w:val="Funote"/>
        <w:rPr/>
      </w:pPr>
      <w:r>
        <w:rPr>
          <w:rStyle w:val="Funotenzeichen"/>
        </w:rPr>
        <w:footnoteRef/>
      </w:r>
      <w:r>
        <w:rPr/>
        <w:tab/>
        <w:t>S. vorige FN.</w:t>
      </w:r>
    </w:p>
  </w:footnote>
  <w:footnote w:id="2628">
    <w:p>
      <w:pPr>
        <w:pStyle w:val="Funote"/>
        <w:rPr/>
      </w:pPr>
      <w:r>
        <w:rPr>
          <w:rStyle w:val="Funotenzeichen"/>
        </w:rPr>
        <w:footnoteRef/>
      </w:r>
      <w:r>
        <w:rPr/>
        <w:tab/>
        <w:t xml:space="preserve">Wieder spricht Jakobus einzig männliche Leser an, meint aber auch die weiblichen Leser mit (-&gt; </w:t>
      </w:r>
      <w:hyperlink r:id="rId463">
        <w:r>
          <w:rPr>
            <w:rStyle w:val="Internetverknpfung"/>
          </w:rPr>
          <w:t>Generisches Maskulinum</w:t>
        </w:r>
      </w:hyperlink>
      <w:r>
        <w:rPr/>
        <w:t>). Für die LF sei jeweils - falls vorhanden - die Übersetzungsalternative in der Klammer empfohlen.</w:t>
      </w:r>
    </w:p>
  </w:footnote>
  <w:footnote w:id="2629">
    <w:p>
      <w:pPr>
        <w:pStyle w:val="Funote"/>
        <w:spacing w:before="0" w:after="283"/>
        <w:rPr/>
      </w:pPr>
      <w:r>
        <w:rPr>
          <w:rStyle w:val="Funotenzeichen"/>
        </w:rPr>
        <w:footnoteRef/>
      </w:r>
      <w:r>
        <w:rPr>
          <w:i/>
        </w:rPr>
        <w:tab/>
        <w:t>Weisheit</w:t>
      </w:r>
      <w:r>
        <w:rPr/>
        <w:t xml:space="preserve"> - Jakobus' Verständnis von „Weisheit“ entspricht v.a. dem Weisheitskonzept der frühjüdischen Schriften: (1) Weisheit ist nicht etwas, das man von selbst erlangen könnte, sondern zunächst eine </w:t>
      </w:r>
      <w:r>
        <w:rPr>
          <w:i/>
        </w:rPr>
        <w:t>Gabe Gottes</w:t>
      </w:r>
      <w:r>
        <w:rPr/>
        <w:t xml:space="preserve"> (s. Vv. 5.17; vgl. z.B. </w:t>
      </w:r>
      <w:r>
        <w:fldChar w:fldCharType="begin"/>
      </w:r>
      <w:r>
        <w:rPr>
          <w:rStyle w:val="Internetverknpfung"/>
        </w:rPr>
        <w:instrText> HYPERLINK "../../../../../../../../../wiki/Jesaja_11" \l "s2"</w:instrText>
      </w:r>
      <w:r>
        <w:rPr>
          <w:rStyle w:val="Internetverknpfung"/>
        </w:rPr>
        <w:fldChar w:fldCharType="separate"/>
      </w:r>
      <w:r>
        <w:rPr>
          <w:rStyle w:val="Internetverknpfung"/>
        </w:rPr>
        <w:t>Jes 11,2</w:t>
      </w:r>
      <w:r>
        <w:rPr>
          <w:rStyle w:val="Internetverknpfung"/>
        </w:rPr>
        <w:fldChar w:fldCharType="end"/>
      </w:r>
      <w:r>
        <w:rPr/>
        <w:t xml:space="preserve">; </w:t>
      </w:r>
      <w:hyperlink r:id="rId464">
        <w:r>
          <w:rPr>
            <w:rStyle w:val="Internetverknpfung"/>
          </w:rPr>
          <w:t>Spr 1,7</w:t>
        </w:r>
      </w:hyperlink>
      <w:r>
        <w:rPr/>
        <w:t xml:space="preserve">; </w:t>
      </w:r>
      <w:r>
        <w:fldChar w:fldCharType="begin"/>
      </w:r>
      <w:r>
        <w:rPr>
          <w:rStyle w:val="Internetverknpfung"/>
        </w:rPr>
        <w:instrText> HYPERLINK "../../../../../../../../../wiki/Sprichw%C3%B6rter_2" \l "s6"</w:instrText>
      </w:r>
      <w:r>
        <w:rPr>
          <w:rStyle w:val="Internetverknpfung"/>
        </w:rPr>
        <w:fldChar w:fldCharType="separate"/>
      </w:r>
      <w:r>
        <w:rPr>
          <w:rStyle w:val="Internetverknpfung"/>
        </w:rPr>
        <w:t>2,6</w:t>
      </w:r>
      <w:r>
        <w:rPr>
          <w:rStyle w:val="Internetverknpfung"/>
        </w:rPr>
        <w:fldChar w:fldCharType="end"/>
      </w:r>
      <w:r>
        <w:rPr/>
        <w:t xml:space="preserve">; </w:t>
      </w:r>
      <w:hyperlink r:id="rId465">
        <w:r>
          <w:rPr>
            <w:rStyle w:val="Internetverknpfung"/>
          </w:rPr>
          <w:t>Sir 39,5</w:t>
        </w:r>
      </w:hyperlink>
      <w:r>
        <w:rPr/>
        <w:t xml:space="preserve">; </w:t>
      </w:r>
      <w:hyperlink r:id="rId466">
        <w:r>
          <w:rPr>
            <w:rStyle w:val="Internetverknpfung"/>
          </w:rPr>
          <w:t>Weish 7,7</w:t>
        </w:r>
      </w:hyperlink>
      <w:r>
        <w:rPr/>
        <w:t>.</w:t>
      </w:r>
      <w:hyperlink r:id="rId467">
        <w:r>
          <w:rPr>
            <w:rStyle w:val="Internetverknpfung"/>
          </w:rPr>
          <w:t>15</w:t>
        </w:r>
      </w:hyperlink>
      <w:r>
        <w:rPr/>
        <w:t>.</w:t>
      </w:r>
      <w:hyperlink r:id="rId468">
        <w:r>
          <w:rPr>
            <w:rStyle w:val="Internetverknpfung"/>
          </w:rPr>
          <w:t>25f</w:t>
        </w:r>
      </w:hyperlink>
      <w:r>
        <w:rPr/>
        <w:t xml:space="preserve">; </w:t>
      </w:r>
      <w:hyperlink r:id="rId469">
        <w:r>
          <w:rPr>
            <w:rStyle w:val="Internetverknpfung"/>
          </w:rPr>
          <w:t>1Kor 2,13</w:t>
        </w:r>
      </w:hyperlink>
      <w:r>
        <w:rPr/>
        <w:t xml:space="preserve">; </w:t>
      </w:r>
      <w:hyperlink r:id="rId470">
        <w:r>
          <w:rPr>
            <w:rStyle w:val="Internetverknpfung"/>
          </w:rPr>
          <w:t>12,8</w:t>
        </w:r>
      </w:hyperlink>
      <w:r>
        <w:rPr/>
        <w:t xml:space="preserve">; </w:t>
      </w:r>
      <w:r>
        <w:fldChar w:fldCharType="begin"/>
      </w:r>
      <w:r>
        <w:rPr>
          <w:rStyle w:val="Internetverknpfung"/>
        </w:rPr>
        <w:instrText> HYPERLINK "../../../../../../../../../wiki/Epheser_1" \l "s17"</w:instrText>
      </w:r>
      <w:r>
        <w:rPr>
          <w:rStyle w:val="Internetverknpfung"/>
        </w:rPr>
        <w:fldChar w:fldCharType="separate"/>
      </w:r>
      <w:r>
        <w:rPr>
          <w:rStyle w:val="Internetverknpfung"/>
        </w:rPr>
        <w:t>Eph 1,17</w:t>
      </w:r>
      <w:r>
        <w:rPr>
          <w:rStyle w:val="Internetverknpfung"/>
        </w:rPr>
        <w:fldChar w:fldCharType="end"/>
      </w:r>
      <w:r>
        <w:rPr/>
        <w:t xml:space="preserve"> u.ö.). Und (2) führt sie anders als die „irdische Weisheit“ (i.S.v. „Wissenschaft“, vgl. z.B. </w:t>
      </w:r>
      <w:hyperlink r:id="rId471">
        <w:r>
          <w:rPr>
            <w:rStyle w:val="Internetverknpfung"/>
          </w:rPr>
          <w:t>1Kor 1,19-22</w:t>
        </w:r>
      </w:hyperlink>
      <w:r>
        <w:rPr/>
        <w:t xml:space="preserve">; </w:t>
      </w:r>
      <w:hyperlink r:id="rId472">
        <w:r>
          <w:rPr>
            <w:rStyle w:val="Internetverknpfung"/>
          </w:rPr>
          <w:t>2,6f</w:t>
        </w:r>
      </w:hyperlink>
      <w:r>
        <w:rPr/>
        <w:t xml:space="preserve">) nicht zunächst zu Erkenntnis und Wissen, sondern befähigt zu </w:t>
      </w:r>
      <w:r>
        <w:rPr>
          <w:i/>
        </w:rPr>
        <w:t>gottgefälligem Handeln</w:t>
      </w:r>
      <w:r>
        <w:rPr/>
        <w:t xml:space="preserve"> (s. </w:t>
      </w:r>
      <w:r>
        <w:fldChar w:fldCharType="begin"/>
      </w:r>
      <w:r>
        <w:rPr>
          <w:rStyle w:val="Internetverknpfung"/>
        </w:rPr>
        <w:instrText> HYPERLINK "../../../../../../../../../wiki/Jakobus_3" \l "s17"</w:instrText>
      </w:r>
      <w:r>
        <w:rPr>
          <w:rStyle w:val="Internetverknpfung"/>
        </w:rPr>
        <w:fldChar w:fldCharType="separate"/>
      </w:r>
      <w:r>
        <w:rPr>
          <w:rStyle w:val="Internetverknpfung"/>
        </w:rPr>
        <w:t>Jak 3,17</w:t>
      </w:r>
      <w:r>
        <w:rPr>
          <w:rStyle w:val="Internetverknpfung"/>
        </w:rPr>
        <w:fldChar w:fldCharType="end"/>
      </w:r>
      <w:r>
        <w:rPr/>
        <w:t xml:space="preserve">; vgl. </w:t>
      </w:r>
      <w:hyperlink r:id="rId473">
        <w:r>
          <w:rPr>
            <w:rStyle w:val="Internetverknpfung"/>
          </w:rPr>
          <w:t>Weish 7,22f</w:t>
        </w:r>
      </w:hyperlink>
      <w:r>
        <w:rPr/>
        <w:t xml:space="preserve">; </w:t>
      </w:r>
      <w:hyperlink r:id="rId474">
        <w:r>
          <w:rPr>
            <w:rStyle w:val="Internetverknpfung"/>
          </w:rPr>
          <w:t>Weish 8,6-8</w:t>
        </w:r>
      </w:hyperlink>
      <w:r>
        <w:rPr/>
        <w:t xml:space="preserve">; </w:t>
      </w:r>
      <w:hyperlink r:id="rId475">
        <w:r>
          <w:rPr>
            <w:rStyle w:val="Internetverknpfung"/>
          </w:rPr>
          <w:t>9,1-4</w:t>
        </w:r>
      </w:hyperlink>
      <w:r>
        <w:rPr/>
        <w:t>.</w:t>
      </w:r>
      <w:hyperlink r:id="rId476">
        <w:r>
          <w:rPr>
            <w:rStyle w:val="Internetverknpfung"/>
          </w:rPr>
          <w:t>9-12</w:t>
        </w:r>
      </w:hyperlink>
      <w:r>
        <w:rPr/>
        <w:t>.</w:t>
      </w:r>
      <w:hyperlink r:id="rId477">
        <w:r>
          <w:rPr>
            <w:rStyle w:val="Internetverknpfung"/>
          </w:rPr>
          <w:t>17f</w:t>
        </w:r>
      </w:hyperlink>
      <w:r>
        <w:rPr/>
        <w:t xml:space="preserve">; </w:t>
      </w:r>
      <w:hyperlink r:id="rId478">
        <w:r>
          <w:rPr>
            <w:rStyle w:val="Internetverknpfung"/>
          </w:rPr>
          <w:t>4Makk 1,18-35</w:t>
        </w:r>
      </w:hyperlink>
      <w:r>
        <w:rPr/>
        <w:t xml:space="preserve">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w:t>
      </w:r>
      <w:r>
        <w:fldChar w:fldCharType="begin"/>
      </w:r>
      <w:r>
        <w:rPr>
          <w:rStyle w:val="Internetverknpfung"/>
        </w:rPr>
        <w:instrText> HYPERLINK "http://www.offene-bibel.de/wiki/index.php5?title=Jakobus_1" \l "note_e"</w:instrText>
      </w:r>
      <w:r>
        <w:rPr>
          <w:rStyle w:val="Internetverknpfung"/>
        </w:rPr>
        <w:fldChar w:fldCharType="separate"/>
      </w:r>
      <w:r>
        <w:rPr>
          <w:rStyle w:val="Internetverknpfung"/>
        </w:rPr>
        <w:t>FN e</w:t>
      </w:r>
      <w:r>
        <w:rPr>
          <w:rStyle w:val="Internetverknpfung"/>
        </w:rPr>
        <w:fldChar w:fldCharType="end"/>
      </w:r>
      <w:r>
        <w:rPr/>
        <w:t xml:space="preserve">) - und hierfür ist nach dem Verständnis des altjüdischen Schrifttums </w:t>
      </w:r>
      <w:r>
        <w:rPr>
          <w:i/>
        </w:rPr>
        <w:t>Weisheit</w:t>
      </w:r>
      <w:r>
        <w:rPr/>
        <w:t xml:space="preserve"> vonnöten, s. die obigen Stellen; besonders eindrücklich 4Makk 1,18f.28-30: </w:t>
      </w:r>
    </w:p>
    <w:p>
      <w:pPr>
        <w:pStyle w:val="Listeninhalt"/>
        <w:rPr/>
      </w:pPr>
      <w:r>
        <w:rPr/>
        <w:tab/>
        <w:t>„</w:t>
      </w:r>
      <w:r>
        <w:rPr/>
        <w:t xml:space="preserve">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w:t>
      </w:r>
      <w:hyperlink r:id="rId479">
        <w:r>
          <w:rPr>
            <w:rStyle w:val="Internetverknpfung"/>
          </w:rPr>
          <w:t>Rießler 1928</w:t>
        </w:r>
      </w:hyperlink>
      <w:r>
        <w:rPr/>
        <w:t>)</w:t>
      </w:r>
    </w:p>
  </w:footnote>
  <w:footnote w:id="2630">
    <w:p>
      <w:pPr>
        <w:pStyle w:val="Funote"/>
        <w:rPr/>
      </w:pPr>
      <w:r>
        <w:rPr>
          <w:rStyle w:val="Funotenzeichen"/>
        </w:rPr>
        <w:footnoteRef/>
      </w:r>
      <w:r>
        <w:rPr>
          <w:i/>
        </w:rPr>
        <w:tab/>
        <w:t>großzügig (vorbehaltlos)</w:t>
      </w:r>
      <w:r>
        <w:rPr/>
        <w:t xml:space="preserve"> - Beide Deutungen des Wortes sind möglich; Gott ist also je nach Verständnis entweder lediglich ein vorbehaltloser Geber (der also bedingungslos gibt) oder sogar ein großzügiger Geber. Die Deutung mit „großzügig“ könnte an die aus </w:t>
      </w:r>
      <w:r>
        <w:fldChar w:fldCharType="begin"/>
      </w:r>
      <w:r>
        <w:rPr>
          <w:rStyle w:val="Internetverknpfung"/>
        </w:rPr>
        <w:instrText> HYPERLINK "../../../../../../../../../wiki/Lukas_11" \l "s9"</w:instrText>
      </w:r>
      <w:r>
        <w:rPr>
          <w:rStyle w:val="Internetverknpfung"/>
        </w:rPr>
        <w:fldChar w:fldCharType="separate"/>
      </w:r>
      <w:r>
        <w:rPr>
          <w:rStyle w:val="Internetverknpfung"/>
        </w:rPr>
        <w:t>Lk 11,9-13</w:t>
      </w:r>
      <w:r>
        <w:rPr>
          <w:rStyle w:val="Internetverknpfung"/>
        </w:rPr>
        <w:fldChar w:fldCharType="end"/>
      </w:r>
      <w:r>
        <w:rPr/>
        <w:t xml:space="preserve"> par </w:t>
      </w:r>
      <w:r>
        <w:fldChar w:fldCharType="begin"/>
      </w:r>
      <w:r>
        <w:rPr>
          <w:rStyle w:val="Internetverknpfung"/>
        </w:rPr>
        <w:instrText> HYPERLINK "../../../../../../../../../wiki/Matth%C3%A4us_7" \l "s7"</w:instrText>
      </w:r>
      <w:r>
        <w:rPr>
          <w:rStyle w:val="Internetverknpfung"/>
        </w:rPr>
        <w:fldChar w:fldCharType="separate"/>
      </w:r>
      <w:r>
        <w:rPr>
          <w:rStyle w:val="Internetverknpfung"/>
        </w:rPr>
        <w:t>Mt 7,7-11</w:t>
      </w:r>
      <w:r>
        <w:rPr>
          <w:rStyle w:val="Internetverknpfung"/>
        </w:rPr>
        <w:fldChar w:fldCharType="end"/>
      </w:r>
      <w:r>
        <w:rPr/>
        <w:t xml:space="preserve"> bekannte Jesustradition anknüpfen und scheint außerdem besser in den Kontext zu passen.</w:t>
      </w:r>
    </w:p>
  </w:footnote>
  <w:footnote w:id="2631">
    <w:p>
      <w:pPr>
        <w:pStyle w:val="Funote"/>
        <w:rPr/>
      </w:pPr>
      <w:r>
        <w:rPr>
          <w:rStyle w:val="Funotenzeichen"/>
        </w:rPr>
        <w:footnoteRef/>
      </w:r>
      <w:r>
        <w:rPr/>
        <w:tab/>
        <w:t>Auflösung eines adv. Ptz. durch Substantivierung und Koordination „und“. Das Wort heißt meistens eher „(be)schimpfen“. Es bezieht sich hier vermutlich darauf, dass Gott sich nicht darüber beklagt, dass er Weisheit geben „muss“ (BA).</w:t>
      </w:r>
    </w:p>
  </w:footnote>
  <w:footnote w:id="2632">
    <w:p>
      <w:pPr>
        <w:pStyle w:val="Funote"/>
        <w:rPr/>
      </w:pPr>
      <w:r>
        <w:rPr>
          <w:rStyle w:val="Funotenzeichen"/>
        </w:rPr>
        <w:footnoteRef/>
      </w:r>
      <w:r>
        <w:rPr/>
        <w:tab/>
        <w:t>Auflösung eines attributiven Ptz. als Relativsatz.</w:t>
      </w:r>
    </w:p>
  </w:footnote>
  <w:footnote w:id="2633">
    <w:p>
      <w:pPr>
        <w:pStyle w:val="Funote"/>
        <w:rPr/>
      </w:pPr>
      <w:r>
        <w:rPr>
          <w:rStyle w:val="Funotenzeichen"/>
        </w:rPr>
        <w:footnoteRef/>
      </w:r>
      <w:r>
        <w:rPr/>
        <w:tab/>
        <w:t xml:space="preserve">Der Imperativ Präsens (statt Aorist) markiert hier, dass nicht </w:t>
      </w:r>
      <w:r>
        <w:rPr>
          <w:i/>
        </w:rPr>
        <w:t>ein Mal</w:t>
      </w:r>
      <w:r>
        <w:rPr/>
        <w:t xml:space="preserve">, sondern entweder </w:t>
      </w:r>
      <w:r>
        <w:rPr>
          <w:i/>
        </w:rPr>
        <w:t>prinzipiell</w:t>
      </w:r>
      <w:r>
        <w:rPr/>
        <w:t xml:space="preserve"> oder </w:t>
      </w:r>
      <w:r>
        <w:rPr>
          <w:i/>
        </w:rPr>
        <w:t>immer wieder</w:t>
      </w:r>
      <w:r>
        <w:rPr/>
        <w:t xml:space="preserve"> gebeten werden soll.</w:t>
      </w:r>
    </w:p>
  </w:footnote>
  <w:footnote w:id="2634">
    <w:p>
      <w:pPr>
        <w:pStyle w:val="Funote"/>
        <w:rPr/>
      </w:pPr>
      <w:r>
        <w:rPr>
          <w:rStyle w:val="Funotenzeichen"/>
        </w:rPr>
        <w:footnoteRef/>
      </w:r>
      <w:r>
        <w:rPr/>
        <w:tab/>
        <w:t xml:space="preserve">Modales </w:t>
      </w:r>
      <w:r>
        <w:fldChar w:fldCharType="begin"/>
      </w:r>
      <w:r>
        <w:rPr>
          <w:rStyle w:val="Internetverknpfung"/>
        </w:rPr>
        <w:instrText> HYPERLINK "http://www.offene-bibel.de/wiki/index.php5?title=Partizip" \l "Die_Sinnrichtungen"</w:instrText>
      </w:r>
      <w:r>
        <w:rPr>
          <w:rStyle w:val="Internetverknpfung"/>
        </w:rPr>
        <w:fldChar w:fldCharType="separate"/>
      </w:r>
      <w:r>
        <w:rPr>
          <w:rStyle w:val="Internetverknpfung"/>
        </w:rPr>
        <w:t>adv. Ptz.</w:t>
      </w:r>
      <w:r>
        <w:rPr>
          <w:rStyle w:val="Internetverknpfung"/>
        </w:rPr>
        <w:fldChar w:fldCharType="end"/>
      </w:r>
      <w:r>
        <w:rPr/>
        <w:t>, mit „und“-Konstruktion aufgelöst. Es sollen also keine Bedenken gegen die Bereitwilligkeit Gottes zu geben bestehen (Blomberg 2008, 52).</w:t>
      </w:r>
    </w:p>
  </w:footnote>
  <w:footnote w:id="2635">
    <w:p>
      <w:pPr>
        <w:pStyle w:val="Funote"/>
        <w:rPr/>
      </w:pPr>
      <w:r>
        <w:rPr>
          <w:rStyle w:val="Funotenzeichen"/>
        </w:rPr>
        <w:footnoteRef/>
      </w:r>
      <w:r>
        <w:rPr/>
        <w:tab/>
        <w:t>Subst. Ptz. aufgelöst.</w:t>
      </w:r>
    </w:p>
  </w:footnote>
  <w:footnote w:id="2636">
    <w:p>
      <w:pPr>
        <w:pStyle w:val="Funote"/>
        <w:rPr/>
      </w:pPr>
      <w:r>
        <w:rPr>
          <w:rStyle w:val="Funotenzeichen"/>
        </w:rPr>
        <w:footnoteRef/>
      </w:r>
      <w:r>
        <w:rPr/>
        <w:tab/>
        <w:t>Der letzte Nebensatz ersetzt im Deutschen zwei attributive Ptz., die sich wie Adjektive direkt auf die Meereswoge beziehen.</w:t>
      </w:r>
    </w:p>
  </w:footnote>
  <w:footnote w:id="2637">
    <w:p>
      <w:pPr>
        <w:pStyle w:val="Funote"/>
        <w:rPr/>
      </w:pPr>
      <w:r>
        <w:rPr>
          <w:rStyle w:val="Funotenzeichen"/>
        </w:rPr>
        <w:footnoteRef/>
      </w:r>
      <w:r>
        <w:rPr>
          <w:lang w:val="el-GR"/>
        </w:rPr>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638">
    <w:p>
      <w:pPr>
        <w:pStyle w:val="Funote"/>
        <w:rPr/>
      </w:pPr>
      <w:r>
        <w:rPr>
          <w:rStyle w:val="Funotenzeichen"/>
        </w:rPr>
        <w:footnoteRef/>
      </w:r>
      <w:r>
        <w:rPr/>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639">
    <w:p>
      <w:pPr>
        <w:pStyle w:val="Funote"/>
        <w:rPr/>
      </w:pPr>
      <w:r>
        <w:rPr>
          <w:rStyle w:val="Funotenzeichen"/>
        </w:rPr>
        <w:footnoteRef/>
      </w:r>
      <w:r>
        <w:rPr/>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640">
    <w:p>
      <w:pPr>
        <w:pStyle w:val="Funote"/>
        <w:rPr/>
      </w:pPr>
      <w:r>
        <w:rPr>
          <w:rStyle w:val="Funotenzeichen"/>
        </w:rPr>
        <w:footnoteRef/>
      </w:r>
      <w:r>
        <w:rPr/>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641">
    <w:p>
      <w:pPr>
        <w:pStyle w:val="Funote"/>
        <w:rPr/>
      </w:pPr>
      <w:r>
        <w:rPr>
          <w:rStyle w:val="Funotenzeichen"/>
        </w:rPr>
        <w:footnoteRef/>
      </w:r>
      <w:r>
        <w:rPr/>
        <w:tab/>
        <w:t xml:space="preserve">zu „Bruder“ s. </w:t>
      </w:r>
      <w:r>
        <w:fldChar w:fldCharType="begin"/>
      </w:r>
      <w:r>
        <w:rPr>
          <w:rStyle w:val="Internetverknpfung"/>
        </w:rPr>
        <w:instrText> HYPERLINK "http://www.offene-bibel.de/wiki/index.php5?title=Jakobus_1" \l "note_d"</w:instrText>
      </w:r>
      <w:r>
        <w:rPr>
          <w:rStyle w:val="Internetverknpfung"/>
        </w:rPr>
        <w:fldChar w:fldCharType="separate"/>
      </w:r>
      <w:r>
        <w:rPr>
          <w:rStyle w:val="Internetverknpfung"/>
        </w:rPr>
        <w:t>FN d</w:t>
      </w:r>
      <w:r>
        <w:rPr>
          <w:rStyle w:val="Internetverknpfung"/>
        </w:rPr>
        <w:fldChar w:fldCharType="end"/>
      </w:r>
    </w:p>
  </w:footnote>
  <w:footnote w:id="2642">
    <w:p>
      <w:pPr>
        <w:pStyle w:val="Funote"/>
        <w:rPr/>
      </w:pPr>
      <w:r>
        <w:rPr>
          <w:rStyle w:val="Funotenzeichen"/>
        </w:rPr>
        <w:footnoteRef/>
      </w:r>
      <w:r>
        <w:rPr/>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643">
    <w:p>
      <w:pPr>
        <w:pStyle w:val="Funote"/>
        <w:rPr/>
      </w:pPr>
      <w:r>
        <w:rPr>
          <w:rStyle w:val="Funotenzeichen"/>
        </w:rPr>
        <w:footnoteRef/>
      </w:r>
      <w:r>
        <w:rPr/>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644">
    <w:p>
      <w:pPr>
        <w:pStyle w:val="Funote"/>
        <w:rPr/>
      </w:pPr>
      <w:r>
        <w:rPr>
          <w:rStyle w:val="Funotenzeichen"/>
        </w:rPr>
        <w:footnoteRef/>
      </w:r>
      <w:r>
        <w:rPr/>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645">
    <w:p>
      <w:pPr>
        <w:pStyle w:val="Funote"/>
        <w:rPr/>
      </w:pPr>
      <w:r>
        <w:rPr>
          <w:rStyle w:val="Funotenzeichen"/>
        </w:rPr>
        <w:footnoteRef/>
      </w:r>
      <w:r>
        <w:rPr/>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646">
    <w:p>
      <w:pPr>
        <w:pStyle w:val="Funote"/>
        <w:rPr/>
      </w:pPr>
      <w:r>
        <w:rPr>
          <w:rStyle w:val="Funotenzeichen"/>
        </w:rPr>
        <w:footnoteRef/>
      </w:r>
      <w:r>
        <w:rPr/>
        <w:tab/>
        <w:t>Alle präsentisch übersetzten Verben in diesem Vers stehen im Urtext im gnomischen Aorist.</w:t>
      </w:r>
    </w:p>
  </w:footnote>
  <w:footnote w:id="2647">
    <w:p>
      <w:pPr>
        <w:pStyle w:val="Funote"/>
        <w:rPr/>
      </w:pPr>
      <w:r>
        <w:rPr>
          <w:rStyle w:val="Funotenzeichen"/>
        </w:rPr>
        <w:footnoteRef/>
      </w:r>
      <w:r>
        <w:rPr/>
        <w:tab/>
        <w:t xml:space="preserve">Die meisten Handschriften lesen hier „Mann“, jedoch mit klar </w:t>
      </w:r>
      <w:hyperlink r:id="rId480">
        <w:r>
          <w:rPr>
            <w:rStyle w:val="Internetverknpfung"/>
          </w:rPr>
          <w:t>generischer Bedeutung</w:t>
        </w:r>
      </w:hyperlink>
      <w:r>
        <w:rPr/>
        <w:t xml:space="preserve"> (Blomberg 2008, 69).</w:t>
      </w:r>
    </w:p>
  </w:footnote>
  <w:footnote w:id="2648">
    <w:p>
      <w:pPr>
        <w:pStyle w:val="Funote"/>
        <w:rPr/>
      </w:pPr>
      <w:r>
        <w:rPr>
          <w:rStyle w:val="Funotenzeichen"/>
        </w:rPr>
        <w:footnoteRef/>
      </w:r>
      <w:r>
        <w:rPr/>
        <w:tab/>
        <w:t xml:space="preserve">Gemeint ist, wie oben, keine geistliche Versuchung, sondern allgemein eine Schwierigkeit, eine „Prüfung“ im Leben. S. </w:t>
      </w:r>
      <w:r>
        <w:fldChar w:fldCharType="begin"/>
      </w:r>
      <w:r>
        <w:rPr>
          <w:rStyle w:val="Internetverknpfung"/>
        </w:rPr>
        <w:instrText> HYPERLINK "../../../../../../../../../wiki/Jakobus_1" \l "s2"</w:instrText>
      </w:r>
      <w:r>
        <w:rPr>
          <w:rStyle w:val="Internetverknpfung"/>
        </w:rPr>
        <w:fldChar w:fldCharType="separate"/>
      </w:r>
      <w:r>
        <w:rPr>
          <w:rStyle w:val="Internetverknpfung"/>
        </w:rPr>
        <w:t>Vv. 2-4</w:t>
      </w:r>
      <w:r>
        <w:rPr>
          <w:rStyle w:val="Internetverknpfung"/>
        </w:rPr>
        <w:fldChar w:fldCharType="end"/>
      </w:r>
      <w:r>
        <w:rPr/>
        <w:t xml:space="preserve"> (Blomberg 2008, 69).</w:t>
      </w:r>
    </w:p>
  </w:footnote>
  <w:footnote w:id="2649">
    <w:p>
      <w:pPr>
        <w:pStyle w:val="Funote"/>
        <w:rPr/>
      </w:pPr>
      <w:r>
        <w:rPr>
          <w:rStyle w:val="Funotenzeichen"/>
        </w:rPr>
        <w:footnoteRef/>
      </w:r>
      <w:r>
        <w:rPr/>
        <w:tab/>
        <w:t>Die Einfügung soll der Bedeutung des Verbs näher kommen.</w:t>
      </w:r>
    </w:p>
  </w:footnote>
  <w:footnote w:id="2650">
    <w:p>
      <w:pPr>
        <w:pStyle w:val="Funote"/>
        <w:rPr/>
      </w:pPr>
      <w:r>
        <w:rPr>
          <w:rStyle w:val="Funotenzeichen"/>
        </w:rPr>
        <w:footnoteRef/>
      </w:r>
      <w:r>
        <w:rPr/>
        <w:tab/>
        <w:t>Adv. Ptz. Aor., temporal aufgelöst; alternativ auch kausal, modal. Wörtlich: „als ein erprobt (bewährt, tüchtig, angesehen) Gewordenener“.</w:t>
      </w:r>
    </w:p>
  </w:footnote>
  <w:footnote w:id="2651">
    <w:p>
      <w:pPr>
        <w:pStyle w:val="Funote"/>
        <w:rPr/>
      </w:pPr>
      <w:r>
        <w:rPr>
          <w:rStyle w:val="Funotenzeichen"/>
        </w:rPr>
        <w:footnoteRef/>
      </w:r>
      <w:r>
        <w:rPr/>
        <w:tab/>
        <w:t>Gen. epexegeticus (NSS). „Siegeskranz, welcher das Leben ist“ (Blomberg 2008, 69).</w:t>
      </w:r>
    </w:p>
  </w:footnote>
  <w:footnote w:id="2652">
    <w:p>
      <w:pPr>
        <w:pStyle w:val="Funote"/>
        <w:rPr/>
      </w:pPr>
      <w:r>
        <w:rPr>
          <w:rStyle w:val="Funotenzeichen"/>
        </w:rPr>
        <w:footnoteRef/>
      </w:r>
      <w:r>
        <w:rPr/>
        <w:tab/>
        <w:t>Viele Handschriften ergänzen an dieser Stelle zusätzlich als Subjekt „der Herr“ oder „Gott“; die schwierigere und kürzere (und damit wohl ursprüngliche) Lesart ist jedoch diejenige ohne explizites Subjekt (Johnson 1995, 188).</w:t>
      </w:r>
    </w:p>
  </w:footnote>
  <w:footnote w:id="2653">
    <w:p>
      <w:pPr>
        <w:pStyle w:val="Funote"/>
        <w:rPr/>
      </w:pPr>
      <w:r>
        <w:rPr>
          <w:rStyle w:val="Funotenzeichen"/>
        </w:rPr>
        <w:footnoteRef/>
      </w:r>
      <w:r>
        <w:rPr/>
        <w:tab/>
        <w:t xml:space="preserve">Subst. </w:t>
      </w:r>
      <w:hyperlink r:id="rId481">
        <w:r>
          <w:rPr>
            <w:rStyle w:val="Internetverknpfung"/>
          </w:rPr>
          <w:t>Ptz.</w:t>
        </w:r>
      </w:hyperlink>
      <w:r>
        <w:rPr/>
        <w:t>, hier aufgelöst.</w:t>
      </w:r>
    </w:p>
  </w:footnote>
  <w:footnote w:id="2654">
    <w:p>
      <w:pPr>
        <w:pStyle w:val="Funote"/>
        <w:rPr/>
      </w:pPr>
      <w:r>
        <w:rPr>
          <w:rStyle w:val="Funotenzeichen"/>
        </w:rPr>
        <w:footnoteRef/>
      </w:r>
      <w:r>
        <w:rPr/>
        <w:tab/>
        <w:t>Wörtlich: „Kein Versuchter (Geprüfter, Auf-die-Probe-Gestellter)“ (Attr. Ptz. Präs.)</w:t>
      </w:r>
    </w:p>
  </w:footnote>
  <w:footnote w:id="2655">
    <w:p>
      <w:pPr>
        <w:pStyle w:val="Funote"/>
        <w:rPr/>
      </w:pPr>
      <w:r>
        <w:rPr>
          <w:rStyle w:val="Funotenzeichen"/>
        </w:rPr>
        <w:footnoteRef/>
      </w:r>
      <w:r>
        <w:rPr/>
        <w:tab/>
        <w:t>3. Sg. Imp.</w:t>
      </w:r>
    </w:p>
  </w:footnote>
  <w:footnote w:id="2656">
    <w:p>
      <w:pPr>
        <w:pStyle w:val="Funote"/>
        <w:rPr/>
      </w:pPr>
      <w:r>
        <w:rPr>
          <w:rStyle w:val="Funotenzeichen"/>
        </w:rPr>
        <w:footnoteRef/>
      </w:r>
      <w:r>
        <w:rPr>
          <w:lang w:val="el-GR"/>
        </w:rPr>
        <w:tab/>
        <w:t>ὅτι</w:t>
      </w:r>
      <w:r>
        <w:rPr/>
        <w:t xml:space="preserve"> recitativum.</w:t>
      </w:r>
    </w:p>
  </w:footnote>
  <w:footnote w:id="2657">
    <w:p>
      <w:pPr>
        <w:pStyle w:val="Funote"/>
        <w:rPr/>
      </w:pPr>
      <w:r>
        <w:rPr>
          <w:rStyle w:val="Funotenzeichen"/>
        </w:rPr>
        <w:footnoteRef/>
      </w:r>
      <w:r>
        <w:rPr/>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658">
    <w:p>
      <w:pPr>
        <w:pStyle w:val="Funote"/>
        <w:rPr/>
      </w:pPr>
      <w:r>
        <w:rPr>
          <w:rStyle w:val="Funotenzeichen"/>
        </w:rPr>
        <w:footnoteRef/>
      </w:r>
      <w:r>
        <w:rPr/>
        <w:tab/>
        <w:t xml:space="preserve">Diese Übersetzung von </w:t>
      </w:r>
      <w:r>
        <w:rPr>
          <w:lang w:val="el-GR"/>
        </w:rPr>
        <w:t>δὲ</w:t>
      </w:r>
      <w:r>
        <w:rPr/>
        <w:t xml:space="preserve"> wurde gewählt, um den Argumentationsgang wie im Urtext aufrecht zu erhalten.</w:t>
      </w:r>
    </w:p>
  </w:footnote>
  <w:footnote w:id="2659">
    <w:p>
      <w:pPr>
        <w:pStyle w:val="Funote"/>
        <w:rPr/>
      </w:pPr>
      <w:r>
        <w:rPr>
          <w:rStyle w:val="Funotenzeichen"/>
        </w:rPr>
        <w:footnoteRef/>
      </w:r>
      <w:r>
        <w:rPr/>
        <w:tab/>
        <w:t>Modale Auflösung zweier adv. Ptz. Alternativ kausal, temporal, konditional.</w:t>
      </w:r>
    </w:p>
  </w:footnote>
  <w:footnote w:id="2660">
    <w:p>
      <w:pPr>
        <w:pStyle w:val="Funote"/>
        <w:rPr/>
      </w:pPr>
      <w:r>
        <w:rPr>
          <w:rStyle w:val="Funotenzeichen"/>
        </w:rPr>
        <w:footnoteRef/>
      </w:r>
      <w:r>
        <w:rPr/>
        <w:tab/>
        <w:t>Ptc. coni. Aor.; temporal aufgelöst.</w:t>
      </w:r>
    </w:p>
  </w:footnote>
  <w:footnote w:id="2661">
    <w:p>
      <w:pPr>
        <w:pStyle w:val="Funote"/>
        <w:rPr/>
      </w:pPr>
      <w:r>
        <w:rPr>
          <w:rStyle w:val="Funotenzeichen"/>
        </w:rPr>
        <w:footnoteRef/>
      </w:r>
      <w:r>
        <w:rPr/>
        <w:tab/>
        <w:t>Eig. Futur. Die Alternative „erwachsen geworden“ passt in den Sinn der Metapher von der Begierde, dem Gebären und Erwachsenwerden der Sünde (Blomberg 2008, 72).</w:t>
      </w:r>
    </w:p>
  </w:footnote>
  <w:footnote w:id="2662">
    <w:p>
      <w:pPr>
        <w:pStyle w:val="Funote"/>
        <w:rPr/>
      </w:pPr>
      <w:r>
        <w:rPr>
          <w:rStyle w:val="Funotenzeichen"/>
        </w:rPr>
        <w:footnoteRef/>
      </w:r>
      <w:r>
        <w:rPr/>
        <w:tab/>
        <w:t>Wörtlich: „Werdet nicht getäuscht“. Alternativ auch aktiv: „Täuscht euch nicht“.</w:t>
      </w:r>
    </w:p>
  </w:footnote>
  <w:footnote w:id="2663">
    <w:p>
      <w:pPr>
        <w:pStyle w:val="Funote"/>
        <w:rPr/>
      </w:pPr>
      <w:r>
        <w:rPr>
          <w:rStyle w:val="Funotenzeichen"/>
        </w:rPr>
        <w:footnoteRef/>
      </w:r>
      <w:r>
        <w:rPr/>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664">
    <w:p>
      <w:pPr>
        <w:pStyle w:val="Funote"/>
        <w:rPr/>
      </w:pPr>
      <w:r>
        <w:rPr>
          <w:rStyle w:val="Funotenzeichen"/>
        </w:rPr>
        <w:footnoteRef/>
      </w:r>
      <w:r>
        <w:rPr/>
        <w:tab/>
        <w:t>Gemeint sind wohl die Himmelskörper als natürliche Lichtquellen (vgl. Johnson 1995, 196).</w:t>
      </w:r>
    </w:p>
  </w:footnote>
  <w:footnote w:id="2665">
    <w:p>
      <w:pPr>
        <w:pStyle w:val="Funote"/>
        <w:rPr/>
      </w:pPr>
      <w:r>
        <w:rPr>
          <w:rStyle w:val="Funotenzeichen"/>
        </w:rPr>
        <w:footnoteRef/>
      </w:r>
      <w:r>
        <w:rPr/>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666">
    <w:p>
      <w:pPr>
        <w:pStyle w:val="Funote"/>
        <w:rPr/>
      </w:pPr>
      <w:r>
        <w:rPr>
          <w:rStyle w:val="Funotenzeichen"/>
        </w:rPr>
        <w:footnoteRef/>
      </w:r>
      <w:r>
        <w:rPr/>
        <w:tab/>
        <w:t>Substantivische Auflösung eines kausalen oder modalen Ptz. Aor. Pass. (wörtlich „gewillt habend“).</w:t>
      </w:r>
    </w:p>
  </w:footnote>
  <w:footnote w:id="2667">
    <w:p>
      <w:pPr>
        <w:pStyle w:val="Funote"/>
        <w:rPr/>
      </w:pPr>
      <w:r>
        <w:rPr>
          <w:rStyle w:val="Funotenzeichen"/>
        </w:rPr>
        <w:footnoteRef/>
      </w:r>
      <w:r>
        <w:rPr/>
        <w:tab/>
        <w:t>Dat. instrumentalis.</w:t>
      </w:r>
    </w:p>
  </w:footnote>
  <w:footnote w:id="2668">
    <w:p>
      <w:pPr>
        <w:pStyle w:val="Funote"/>
        <w:rPr/>
      </w:pPr>
      <w:r>
        <w:rPr>
          <w:rStyle w:val="Funotenzeichen"/>
        </w:rPr>
        <w:footnoteRef/>
      </w:r>
      <w:r>
        <w:rPr/>
        <w:tab/>
        <w:t>So NSS. Wörtlich „Wisst“ (Imp.) oder „Ihr wisst“ (Ind., so Johnson 1995, 198). Hier als Imperativ gedeutet. Alternativ „Wisst dies:“ (Blomberg 2008, 85; Mußner 1964, 99).</w:t>
      </w:r>
    </w:p>
  </w:footnote>
  <w:footnote w:id="2669">
    <w:p>
      <w:pPr>
        <w:pStyle w:val="Funote"/>
        <w:rPr/>
      </w:pPr>
      <w:r>
        <w:rPr>
          <w:rStyle w:val="Funotenzeichen"/>
        </w:rPr>
        <w:footnoteRef/>
      </w:r>
      <w:r>
        <w:rPr/>
        <w:tab/>
        <w:t>Hier verwendet der Autor „Mann“ wieder im generischen Sinne als Synomym für „Mensch“ (Blomberg/Kamell).</w:t>
      </w:r>
    </w:p>
  </w:footnote>
  <w:footnote w:id="2670">
    <w:p>
      <w:pPr>
        <w:pStyle w:val="Funote"/>
        <w:rPr/>
      </w:pPr>
      <w:r>
        <w:rPr>
          <w:rStyle w:val="Funotenzeichen"/>
        </w:rPr>
        <w:footnoteRef/>
      </w:r>
      <w:r>
        <w:rPr/>
        <w:tab/>
        <w:t>Gen. subi.: also die Gerechtigkeit vor Gott/nach der Gott urteilt. Kann umschrieben werden: „was vor Gott gerecht ist“ (So Lut, EU, NGÜ). Wörtlich „Gerechtigkeit Gottes“ (so bei RevElb, SLT).</w:t>
      </w:r>
    </w:p>
  </w:footnote>
  <w:footnote w:id="2671">
    <w:p>
      <w:pPr>
        <w:pStyle w:val="Funote"/>
        <w:rPr/>
      </w:pPr>
      <w:r>
        <w:rPr>
          <w:rStyle w:val="Funotenzeichen"/>
        </w:rPr>
        <w:footnoteRef/>
      </w:r>
      <w:r>
        <w:rPr/>
        <w:tab/>
        <w:t>Alternativ nach NSS: „erfüllt nicht die von Gott gesetzte Gerechtigkeit.“</w:t>
      </w:r>
    </w:p>
  </w:footnote>
  <w:footnote w:id="2672">
    <w:p>
      <w:pPr>
        <w:pStyle w:val="Funote"/>
        <w:rPr/>
      </w:pPr>
      <w:r>
        <w:rPr>
          <w:rStyle w:val="Funotenzeichen"/>
        </w:rPr>
        <w:footnoteRef/>
      </w:r>
      <w:r>
        <w:rPr/>
        <w:tab/>
        <w:t>Wörtlich: „[alles] Übermaß der Schlechtigkeit“. Die Bedeutung ist eindeutig nicht „alle Schlechtigkeit, die ihr übrig habt“, sondern „von der es so viel gibt“.</w:t>
      </w:r>
    </w:p>
  </w:footnote>
  <w:footnote w:id="2673">
    <w:p>
      <w:pPr>
        <w:pStyle w:val="Funote"/>
        <w:rPr/>
      </w:pPr>
      <w:r>
        <w:rPr>
          <w:rStyle w:val="Funotenzeichen"/>
        </w:rPr>
        <w:footnoteRef/>
      </w:r>
      <w:r>
        <w:rPr/>
        <w:tab/>
        <w:t>Das Verb des ersten Satzteils ist ein Ptz. Aor., das sowohl vorzeitig, als auch gleichzeitig gedeutet werden kann. Deshalb alternativ: „Nachdem/Wenn/Weil ihr ...abgelegt habt“.</w:t>
      </w:r>
    </w:p>
  </w:footnote>
  <w:footnote w:id="2674">
    <w:p>
      <w:pPr>
        <w:pStyle w:val="Funote"/>
        <w:rPr/>
      </w:pPr>
      <w:r>
        <w:rPr>
          <w:rStyle w:val="Funotenzeichen"/>
        </w:rPr>
        <w:footnoteRef/>
      </w:r>
      <w:r>
        <w:rPr/>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675">
    <w:p>
      <w:pPr>
        <w:pStyle w:val="Funote"/>
        <w:rPr/>
      </w:pPr>
      <w:r>
        <w:rPr>
          <w:rStyle w:val="Funotenzeichen"/>
        </w:rPr>
        <w:footnoteRef/>
      </w:r>
      <w:r>
        <w:rPr/>
        <w:tab/>
        <w:t>Attr. od. adv. (modales) Ptz.</w:t>
      </w:r>
    </w:p>
  </w:footnote>
  <w:footnote w:id="2676">
    <w:p>
      <w:pPr>
        <w:pStyle w:val="Funote"/>
        <w:rPr/>
      </w:pPr>
      <w:r>
        <w:rPr>
          <w:rStyle w:val="Funotenzeichen"/>
        </w:rPr>
        <w:footnoteRef/>
      </w:r>
      <w:r>
        <w:rPr/>
        <w:tab/>
        <w:t xml:space="preserve">Adversatives </w:t>
      </w:r>
      <w:r>
        <w:rPr>
          <w:lang w:val="el-GR"/>
        </w:rPr>
        <w:t>καί</w:t>
      </w:r>
      <w:r>
        <w:rPr/>
        <w:t>, das entsprechend wiedergegeben wurde.</w:t>
      </w:r>
    </w:p>
  </w:footnote>
  <w:footnote w:id="2677">
    <w:p>
      <w:pPr>
        <w:pStyle w:val="Funote"/>
        <w:rPr/>
      </w:pPr>
      <w:r>
        <w:rPr>
          <w:rStyle w:val="Funotenzeichen"/>
        </w:rPr>
        <w:footnoteRef/>
      </w:r>
      <w:r>
        <w:rPr/>
        <w:tab/>
        <w:t>Oder: „natürliches Aussehen“ (So NSS). Wörtlich: „Aussehen/Gesicht der Schöpfung“. Dabei handelt es sich um einen Semitismus, der auch einfach mit „Gesicht“ übersetzt werden kann.</w:t>
      </w:r>
    </w:p>
  </w:footnote>
  <w:footnote w:id="2678">
    <w:p>
      <w:pPr>
        <w:pStyle w:val="Funote"/>
        <w:rPr/>
      </w:pPr>
      <w:r>
        <w:rPr>
          <w:rStyle w:val="Funotenzeichen"/>
        </w:rPr>
        <w:footnoteRef/>
      </w:r>
      <w:r>
        <w:rPr/>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679">
    <w:p>
      <w:pPr>
        <w:pStyle w:val="Funote"/>
        <w:rPr/>
      </w:pPr>
      <w:r>
        <w:rPr>
          <w:rStyle w:val="Funotenzeichen"/>
        </w:rPr>
        <w:footnoteRef/>
      </w:r>
      <w:r>
        <w:rPr/>
        <w:tab/>
        <w:t>Indefiniter Konditionalsatz.</w:t>
      </w:r>
    </w:p>
  </w:footnote>
  <w:footnote w:id="2680">
    <w:p>
      <w:pPr>
        <w:pStyle w:val="Funote"/>
        <w:rPr/>
      </w:pPr>
      <w:r>
        <w:rPr>
          <w:rStyle w:val="Funotenzeichen"/>
        </w:rPr>
        <w:footnoteRef/>
      </w:r>
      <w:r>
        <w:rPr/>
        <w:tab/>
        <w:t>Die ersten drei Verben dieses Satzes stehen eigentlich im gnomischen Aorist/Perfekt.</w:t>
      </w:r>
    </w:p>
  </w:footnote>
  <w:footnote w:id="2681">
    <w:p>
      <w:pPr>
        <w:pStyle w:val="Funote"/>
        <w:rPr/>
      </w:pPr>
      <w:r>
        <w:rPr>
          <w:rStyle w:val="Funotenzeichen"/>
        </w:rPr>
        <w:footnoteRef/>
      </w:r>
      <w:r>
        <w:rPr/>
        <w:tab/>
        <w:t>Wörtlich: „wie er beschaffen war“</w:t>
      </w:r>
    </w:p>
  </w:footnote>
  <w:footnote w:id="2682">
    <w:p>
      <w:pPr>
        <w:pStyle w:val="Funote"/>
        <w:rPr/>
      </w:pPr>
      <w:r>
        <w:rPr>
          <w:rStyle w:val="Funotenzeichen"/>
        </w:rPr>
        <w:footnoteRef/>
      </w:r>
      <w:r>
        <w:rPr/>
        <w:tab/>
        <w:t>Wörtlich: „vorbeugt“. Alternativ vorzeitig: „vertieft hat“. Hier wieder gnomisch gedeutet.</w:t>
      </w:r>
    </w:p>
  </w:footnote>
  <w:footnote w:id="2683">
    <w:p>
      <w:pPr>
        <w:pStyle w:val="Funote"/>
        <w:rPr/>
      </w:pPr>
      <w:r>
        <w:rPr>
          <w:rStyle w:val="Funotenzeichen"/>
        </w:rPr>
        <w:footnoteRef/>
      </w:r>
      <w:r>
        <w:rPr/>
        <w:tab/>
        <w:t>Oder vorzeitig: „geblieben ist“</w:t>
      </w:r>
    </w:p>
  </w:footnote>
  <w:footnote w:id="2684">
    <w:p>
      <w:pPr>
        <w:pStyle w:val="Funote"/>
        <w:rPr/>
      </w:pPr>
      <w:r>
        <w:rPr>
          <w:rStyle w:val="Funotenzeichen"/>
        </w:rPr>
        <w:footnoteRef/>
      </w:r>
      <w:r>
        <w:rPr/>
        <w:tab/>
        <w:t>Gen. qualitatis. Wörtlich: „Hörer der Vergesslichkeit“</w:t>
      </w:r>
    </w:p>
  </w:footnote>
  <w:footnote w:id="2685">
    <w:p>
      <w:pPr>
        <w:pStyle w:val="Funote"/>
        <w:rPr/>
      </w:pPr>
      <w:r>
        <w:rPr>
          <w:rStyle w:val="Funotenzeichen"/>
        </w:rPr>
        <w:footnoteRef/>
      </w:r>
      <w:r>
        <w:rPr/>
        <w:tab/>
        <w:t>Oder vorzeitig: „geworden ist“. Das modale Ptz. Aor. Pass. lässt sich analog zu den vorhergehenden Verben verschieden auflösen.</w:t>
      </w:r>
    </w:p>
  </w:footnote>
  <w:footnote w:id="2686">
    <w:p>
      <w:pPr>
        <w:pStyle w:val="Funote"/>
        <w:rPr/>
      </w:pPr>
      <w:r>
        <w:rPr>
          <w:rStyle w:val="Funotenzeichen"/>
        </w:rPr>
        <w:footnoteRef/>
      </w:r>
      <w:r>
        <w:rPr/>
        <w:tab/>
        <w:t>Eingefügt, um die durativ-iterative Bedeutung des aufgelösten attr. Ptz. Präs. besser zu erfassen.</w:t>
      </w:r>
    </w:p>
  </w:footnote>
  <w:footnote w:id="2687">
    <w:p>
      <w:pPr>
        <w:pStyle w:val="Funote"/>
        <w:rPr/>
      </w:pPr>
      <w:r>
        <w:rPr>
          <w:rStyle w:val="Funotenzeichen"/>
        </w:rPr>
        <w:footnoteRef/>
      </w:r>
      <w:r>
        <w:rPr/>
        <w:tab/>
        <w:t>Attr. Ptz. Präs.</w:t>
      </w:r>
    </w:p>
  </w:footnote>
  <w:footnote w:id="2688">
    <w:p>
      <w:pPr>
        <w:pStyle w:val="Funote"/>
        <w:rPr/>
      </w:pPr>
      <w:r>
        <w:rPr>
          <w:rStyle w:val="Funotenzeichen"/>
        </w:rPr>
        <w:footnoteRef/>
      </w:r>
      <w:r>
        <w:rPr/>
        <w:tab/>
        <w:t>Indefiniter Konditionalsatz.</w:t>
      </w:r>
    </w:p>
  </w:footnote>
  <w:footnote w:id="2689">
    <w:p>
      <w:pPr>
        <w:pStyle w:val="Funote"/>
        <w:rPr/>
      </w:pPr>
      <w:r>
        <w:rPr>
          <w:rStyle w:val="Funotenzeichen"/>
        </w:rPr>
        <w:footnoteRef/>
      </w:r>
      <w:r>
        <w:rPr/>
        <w:tab/>
        <w:t>Wörtlich: „ist dies“</w:t>
      </w:r>
    </w:p>
  </w:footnote>
  <w:footnote w:id="2690">
    <w:p>
      <w:pPr>
        <w:pStyle w:val="Funote"/>
        <w:rPr/>
      </w:pPr>
      <w:r>
        <w:rPr>
          <w:rStyle w:val="Funotenzeichen"/>
        </w:rPr>
        <w:footnoteRef/>
      </w:r>
      <w:r>
        <w:rPr/>
        <w:tab/>
        <w:t>[Status: Zuverlässig]</w:t>
      </w:r>
    </w:p>
  </w:footnote>
  <w:footnote w:id="2691">
    <w:p>
      <w:pPr>
        <w:pStyle w:val="Funote"/>
        <w:rPr/>
      </w:pPr>
      <w:r>
        <w:rPr>
          <w:rStyle w:val="Funotenzeichen"/>
        </w:rPr>
        <w:footnoteRef/>
      </w:r>
      <w:r>
        <w:rPr/>
        <w:tab/>
        <w:t>Wörtlich: „Glauben unseres Herrn“. Gen. subi.</w:t>
      </w:r>
    </w:p>
  </w:footnote>
  <w:footnote w:id="2692">
    <w:p>
      <w:pPr>
        <w:pStyle w:val="Funote"/>
        <w:rPr/>
      </w:pPr>
      <w:r>
        <w:rPr>
          <w:rStyle w:val="Funotenzeichen"/>
        </w:rPr>
        <w:footnoteRef/>
      </w:r>
      <w:r>
        <w:rPr/>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693">
    <w:p>
      <w:pPr>
        <w:pStyle w:val="Funote"/>
        <w:rPr/>
      </w:pPr>
      <w:r>
        <w:rPr>
          <w:rStyle w:val="Funotenzeichen"/>
        </w:rPr>
        <w:footnoteRef/>
      </w:r>
      <w:r>
        <w:rPr/>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w:t>
      </w:r>
      <w:r>
        <w:fldChar w:fldCharType="begin"/>
      </w:r>
      <w:r>
        <w:rPr>
          <w:rStyle w:val="Internetverknpfung"/>
        </w:rPr>
        <w:instrText> HYPERLINK "../../../../../../../../../wiki/Jakobus_5" \l "s14"</w:instrText>
      </w:r>
      <w:r>
        <w:rPr>
          <w:rStyle w:val="Internetverknpfung"/>
        </w:rPr>
        <w:fldChar w:fldCharType="separate"/>
      </w:r>
      <w:r>
        <w:rPr>
          <w:rStyle w:val="Internetverknpfung"/>
        </w:rPr>
        <w:t>5,14</w:t>
      </w:r>
      <w:r>
        <w:rPr>
          <w:rStyle w:val="Internetverknpfung"/>
        </w:rPr>
        <w:fldChar w:fldCharType="end"/>
      </w:r>
      <w:r>
        <w:rPr/>
        <w:t xml:space="preserve">) – das wäre der einzige Fall im NT, wo das Wort einen christlichen Gottesdienst meint. Auch könne der Autor auf </w:t>
      </w:r>
      <w:r>
        <w:fldChar w:fldCharType="begin"/>
      </w:r>
      <w:r>
        <w:rPr>
          <w:rStyle w:val="Internetverknpfung"/>
        </w:rPr>
        <w:instrText> HYPERLINK "../../../../../../../../../wiki/Levitikus_19" \l "s15"</w:instrText>
      </w:r>
      <w:r>
        <w:rPr>
          <w:rStyle w:val="Internetverknpfung"/>
        </w:rPr>
        <w:fldChar w:fldCharType="separate"/>
      </w:r>
      <w:r>
        <w:rPr>
          <w:rStyle w:val="Internetverknpfung"/>
        </w:rPr>
        <w:t>3. Mose 19,15</w:t>
      </w:r>
      <w:r>
        <w:rPr>
          <w:rStyle w:val="Internetverknpfung"/>
        </w:rPr>
        <w:fldChar w:fldCharType="end"/>
      </w:r>
      <w:r>
        <w:rPr/>
        <w:t xml:space="preserve">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694">
    <w:p>
      <w:pPr>
        <w:pStyle w:val="Funote"/>
        <w:rPr/>
      </w:pPr>
      <w:r>
        <w:rPr>
          <w:rStyle w:val="Funotenzeichen"/>
        </w:rPr>
        <w:footnoteRef/>
      </w:r>
      <w:r>
        <w:rPr/>
        <w:tab/>
        <w:t>Auf Griechisch ein einziges Adjektiv, „goldfingrig“.</w:t>
      </w:r>
    </w:p>
  </w:footnote>
  <w:footnote w:id="2695">
    <w:p>
      <w:pPr>
        <w:pStyle w:val="Funote"/>
        <w:rPr/>
      </w:pPr>
      <w:r>
        <w:rPr>
          <w:rStyle w:val="Funotenzeichen"/>
        </w:rPr>
        <w:footnoteRef/>
      </w:r>
      <w:r>
        <w:rPr/>
        <w:tab/>
        <w:t>Wörtlich: „strahlender“, „glänzender“</w:t>
      </w:r>
    </w:p>
  </w:footnote>
  <w:footnote w:id="2696">
    <w:p>
      <w:pPr>
        <w:pStyle w:val="Funote"/>
        <w:rPr/>
      </w:pPr>
      <w:r>
        <w:rPr>
          <w:rStyle w:val="Funotenzeichen"/>
        </w:rPr>
        <w:footnoteRef/>
      </w:r>
      <w:r>
        <w:rPr/>
        <w:tab/>
        <w:t xml:space="preserve">Subst. </w:t>
      </w:r>
      <w:hyperlink r:id="rId482">
        <w:r>
          <w:rPr>
            <w:rStyle w:val="Internetverknpfung"/>
          </w:rPr>
          <w:t>Ptz</w:t>
        </w:r>
      </w:hyperlink>
      <w:r>
        <w:rPr/>
        <w:t>.</w:t>
      </w:r>
    </w:p>
  </w:footnote>
  <w:footnote w:id="2697">
    <w:p>
      <w:pPr>
        <w:pStyle w:val="Funote"/>
        <w:rPr/>
      </w:pPr>
      <w:r>
        <w:rPr>
          <w:rStyle w:val="Funotenzeichen"/>
        </w:rPr>
        <w:footnoteRef/>
      </w:r>
      <w:r>
        <w:rPr/>
        <w:tab/>
        <w:t>Wörtlich: „hierher [auf diesen] gut[en Platz]“</w:t>
      </w:r>
    </w:p>
  </w:footnote>
  <w:footnote w:id="2698">
    <w:p>
      <w:pPr>
        <w:pStyle w:val="Funote"/>
        <w:rPr/>
      </w:pPr>
      <w:r>
        <w:rPr>
          <w:rStyle w:val="Funotenzeichen"/>
        </w:rPr>
        <w:footnoteRef/>
      </w:r>
      <w:r>
        <w:rPr/>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699">
    <w:p>
      <w:pPr>
        <w:pStyle w:val="Funote"/>
        <w:rPr/>
      </w:pPr>
      <w:r>
        <w:rPr>
          <w:rStyle w:val="Funotenzeichen"/>
        </w:rPr>
        <w:footnoteRef/>
      </w:r>
      <w:r>
        <w:rPr/>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700">
    <w:p>
      <w:pPr>
        <w:pStyle w:val="Funote"/>
        <w:rPr/>
      </w:pPr>
      <w:r>
        <w:rPr>
          <w:rStyle w:val="Funotenzeichen"/>
        </w:rPr>
        <w:footnoteRef/>
      </w:r>
      <w:r>
        <w:rPr/>
        <w:tab/>
        <w:t>Dasselbe Wort wird weiter oben für „zweifeln, Bedenken haben“ verwendet, kommt hier aber in seiner Grundbedeutung vor.</w:t>
      </w:r>
    </w:p>
  </w:footnote>
  <w:footnote w:id="2701">
    <w:p>
      <w:pPr>
        <w:pStyle w:val="Funote"/>
        <w:rPr/>
      </w:pPr>
      <w:r>
        <w:rPr>
          <w:rStyle w:val="Funotenzeichen"/>
        </w:rPr>
        <w:footnoteRef/>
      </w:r>
      <w:r>
        <w:rPr/>
        <w:tab/>
        <w:t>Wörtlich „Richter schlechter Gedanken“. Kann auch als „eine schlechte Entscheidungen fällen“ interpretiert und frei übersetzt werden (NSS). Die „Gesinnung“ kann sowohl für „leise“ wie „laute“ Gedanken stehen (Blomberg/Kamell).</w:t>
      </w:r>
    </w:p>
  </w:footnote>
  <w:footnote w:id="2702">
    <w:p>
      <w:pPr>
        <w:pStyle w:val="Funote"/>
        <w:rPr/>
      </w:pPr>
      <w:r>
        <w:rPr>
          <w:rStyle w:val="Funotenzeichen"/>
        </w:rPr>
        <w:footnoteRef/>
      </w:r>
      <w:r>
        <w:rPr/>
        <w:tab/>
        <w:t>Vv. 2-4 sind ein gewöhnlicher, prospektiver Konditionalsatz.</w:t>
      </w:r>
    </w:p>
  </w:footnote>
  <w:footnote w:id="2703">
    <w:p>
      <w:pPr>
        <w:pStyle w:val="Funote"/>
        <w:rPr/>
      </w:pPr>
      <w:r>
        <w:rPr>
          <w:rStyle w:val="Funotenzeichen"/>
        </w:rPr>
        <w:footnoteRef/>
      </w:r>
      <w:r>
        <w:rPr/>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704">
    <w:p>
      <w:pPr>
        <w:pStyle w:val="Funote"/>
        <w:rPr/>
      </w:pPr>
      <w:r>
        <w:rPr>
          <w:rStyle w:val="Funotenzeichen"/>
        </w:rPr>
        <w:footnoteRef/>
      </w:r>
      <w:r>
        <w:rPr/>
        <w:tab/>
        <w:t>Der Aorist könnte gnomisch sein. Dann: „Erwählt Gott nicht...?“ (Blomberg/Kamell).</w:t>
      </w:r>
    </w:p>
  </w:footnote>
  <w:footnote w:id="2705">
    <w:p>
      <w:pPr>
        <w:pStyle w:val="Funote"/>
        <w:rPr/>
      </w:pPr>
      <w:r>
        <w:rPr>
          <w:rStyle w:val="Funotenzeichen"/>
        </w:rPr>
        <w:footnoteRef/>
      </w:r>
      <w:r>
        <w:rPr/>
        <w:tab/>
        <w:t>Alternativ: „als Reiche...“. LUT bezieht „erwählt“ auch auf die „Reichen“ und „Erben“.</w:t>
      </w:r>
    </w:p>
  </w:footnote>
  <w:footnote w:id="2706">
    <w:p>
      <w:pPr>
        <w:pStyle w:val="Funote"/>
        <w:rPr/>
      </w:pPr>
      <w:r>
        <w:rPr>
          <w:rStyle w:val="Funotenzeichen"/>
        </w:rPr>
        <w:footnoteRef/>
      </w:r>
      <w:r>
        <w:rPr/>
        <w:tab/>
        <w:t xml:space="preserve">Das </w:t>
      </w:r>
      <w:r>
        <w:rPr>
          <w:lang w:val="el-GR"/>
        </w:rPr>
        <w:t>οὐχ</w:t>
      </w:r>
      <w:r>
        <w:rPr/>
        <w:t xml:space="preserve"> am Satzanfang bezieht sich auch auf dieses Verb.</w:t>
      </w:r>
    </w:p>
  </w:footnote>
  <w:footnote w:id="2707">
    <w:p>
      <w:pPr>
        <w:pStyle w:val="Funote"/>
        <w:rPr/>
      </w:pPr>
      <w:r>
        <w:rPr>
          <w:rStyle w:val="Funotenzeichen"/>
        </w:rPr>
        <w:footnoteRef/>
      </w:r>
      <w:r>
        <w:rPr/>
        <w:tab/>
        <w:t>Eigentlich ein Futur; drückt ein besonders starkes Gebot aus.</w:t>
      </w:r>
    </w:p>
  </w:footnote>
  <w:footnote w:id="2708">
    <w:p>
      <w:pPr>
        <w:pStyle w:val="Funote"/>
        <w:rPr/>
      </w:pPr>
      <w:r>
        <w:rPr>
          <w:rStyle w:val="Funotenzeichen"/>
        </w:rPr>
        <w:footnoteRef/>
      </w:r>
      <w:r>
        <w:rPr/>
        <w:tab/>
        <w:t xml:space="preserve">Das Adverb </w:t>
      </w:r>
      <w:r>
        <w:rPr>
          <w:lang w:val="el-GR"/>
        </w:rPr>
        <w:t>καλῶς</w:t>
      </w:r>
      <w:r>
        <w:rPr/>
        <w:t xml:space="preserve"> bezeichnet hier das moralisch Richtige. In V. 3 bezeichnet es dagegen einen angemessenen, bequemen Sitzplatz... </w:t>
      </w:r>
    </w:p>
  </w:footnote>
  <w:footnote w:id="2709">
    <w:p>
      <w:pPr>
        <w:pStyle w:val="Funote"/>
        <w:rPr/>
      </w:pPr>
      <w:r>
        <w:rPr>
          <w:rStyle w:val="Funotenzeichen"/>
        </w:rPr>
        <w:footnoteRef/>
      </w:r>
      <w:r>
        <w:rPr/>
        <w:tab/>
        <w:t>Indefiniter Konditionalsatz.</w:t>
      </w:r>
    </w:p>
  </w:footnote>
  <w:footnote w:id="2710">
    <w:p>
      <w:pPr>
        <w:pStyle w:val="Funote"/>
        <w:rPr/>
      </w:pPr>
      <w:r>
        <w:rPr>
          <w:rStyle w:val="Funotenzeichen"/>
        </w:rPr>
        <w:footnoteRef/>
      </w:r>
      <w:r>
        <w:rPr/>
        <w:tab/>
        <w:t>so NSS</w:t>
      </w:r>
    </w:p>
  </w:footnote>
  <w:footnote w:id="2711">
    <w:p>
      <w:pPr>
        <w:pStyle w:val="Funote"/>
        <w:rPr/>
      </w:pPr>
      <w:r>
        <w:rPr>
          <w:rStyle w:val="Funotenzeichen"/>
        </w:rPr>
        <w:footnoteRef/>
      </w:r>
      <w:r>
        <w:rPr/>
        <w:tab/>
        <w:t>So wörtlich. Lt. B/A hier auch „Sünder“.</w:t>
      </w:r>
    </w:p>
  </w:footnote>
  <w:footnote w:id="2712">
    <w:p>
      <w:pPr>
        <w:pStyle w:val="Funote"/>
        <w:rPr/>
      </w:pPr>
      <w:r>
        <w:rPr>
          <w:rStyle w:val="Funotenzeichen"/>
        </w:rPr>
        <w:footnoteRef/>
      </w:r>
      <w:r>
        <w:rPr/>
        <w:tab/>
        <w:t>Modale Auflösung des Ptc. coni. Möglicherweise auch kausal („weil … ihr überführt werdet“) bzw. einfach mit „und“</w:t>
      </w:r>
    </w:p>
  </w:footnote>
  <w:footnote w:id="2713">
    <w:p>
      <w:pPr>
        <w:pStyle w:val="Funote"/>
        <w:rPr/>
      </w:pPr>
      <w:r>
        <w:rPr>
          <w:rStyle w:val="Funotenzeichen"/>
        </w:rPr>
        <w:footnoteRef/>
      </w:r>
      <w:r>
        <w:rPr/>
        <w:tab/>
        <w:t>Indefiniter Konditionalsatz.</w:t>
      </w:r>
    </w:p>
  </w:footnote>
  <w:footnote w:id="2714">
    <w:p>
      <w:pPr>
        <w:pStyle w:val="Funote"/>
        <w:rPr/>
      </w:pPr>
      <w:r>
        <w:rPr>
          <w:rStyle w:val="Funotenzeichen"/>
        </w:rPr>
        <w:footnoteRef/>
      </w:r>
      <w:r>
        <w:rPr/>
        <w:tab/>
        <w:t xml:space="preserve">Bedeutung: „auch nur gegen ein Gebot verstößt“ </w:t>
      </w:r>
    </w:p>
  </w:footnote>
  <w:footnote w:id="2715">
    <w:p>
      <w:pPr>
        <w:pStyle w:val="Funote"/>
        <w:rPr/>
      </w:pPr>
      <w:r>
        <w:rPr>
          <w:rStyle w:val="Funotenzeichen"/>
        </w:rPr>
        <w:footnoteRef/>
      </w:r>
      <w:r>
        <w:rPr/>
        <w:tab/>
        <w:t xml:space="preserve">Hier steht im Urtext ein Pf., das das Resultat einer Handlung betont; daher die Einfügung „[dadurch]“.Es ist unklar, ob mit „in Einem“ – „in Allen“ einzelne Gebote oder ähnliche Bereiche gemeint sind. </w:t>
      </w:r>
    </w:p>
  </w:footnote>
  <w:footnote w:id="2716">
    <w:p>
      <w:pPr>
        <w:pStyle w:val="Funote"/>
        <w:rPr/>
      </w:pPr>
      <w:r>
        <w:rPr>
          <w:rStyle w:val="Funotenzeichen"/>
        </w:rPr>
        <w:footnoteRef/>
      </w:r>
      <w:r>
        <w:rPr/>
        <w:tab/>
        <w:t>Aus 2. Mose 20,14.13. Beide Gebote stehen hier im prohibitiver Konjunktiv, während sie in der LXX – analog zum Hebräischen – im verneinten Futur stehen, was eine ähnlich starke Verneinung ist. Hier also etwas sinngemäßer wiedergegeben.</w:t>
      </w:r>
    </w:p>
  </w:footnote>
  <w:footnote w:id="2717">
    <w:p>
      <w:pPr>
        <w:pStyle w:val="Funote"/>
        <w:rPr/>
      </w:pPr>
      <w:r>
        <w:rPr>
          <w:rStyle w:val="Funotenzeichen"/>
        </w:rPr>
        <w:footnoteRef/>
      </w:r>
      <w:r>
        <w:rPr/>
        <w:tab/>
        <w:t xml:space="preserve">Hier steht im Urtext ein Pf., das das Resultat einer Handlung betont; daher die Einfügung „[dadurch]“. </w:t>
      </w:r>
    </w:p>
  </w:footnote>
  <w:footnote w:id="2718">
    <w:p>
      <w:pPr>
        <w:pStyle w:val="Funote"/>
        <w:rPr/>
      </w:pPr>
      <w:r>
        <w:rPr>
          <w:rStyle w:val="Funotenzeichen"/>
        </w:rPr>
        <w:footnoteRef/>
      </w:r>
      <w:r>
        <w:rPr/>
        <w:tab/>
        <w:t>Indefiniter Konditionalsatz.</w:t>
      </w:r>
    </w:p>
  </w:footnote>
  <w:footnote w:id="2719">
    <w:p>
      <w:pPr>
        <w:pStyle w:val="Funote"/>
        <w:rPr/>
      </w:pPr>
      <w:r>
        <w:rPr>
          <w:rStyle w:val="Funotenzeichen"/>
        </w:rPr>
        <w:footnoteRef/>
      </w:r>
      <w:r>
        <w:rPr/>
        <w:tab/>
        <w:t>Wörtlich „durch“. Alternativ „anhand“, „auf Grundlage“.</w:t>
      </w:r>
    </w:p>
  </w:footnote>
  <w:footnote w:id="2720">
    <w:p>
      <w:pPr>
        <w:pStyle w:val="Funote"/>
        <w:rPr/>
      </w:pPr>
      <w:r>
        <w:rPr>
          <w:rStyle w:val="Funotenzeichen"/>
        </w:rPr>
        <w:footnoteRef/>
      </w:r>
      <w:r>
        <w:rPr/>
        <w:tab/>
        <w:t>Attr. Ptz.</w:t>
      </w:r>
    </w:p>
  </w:footnote>
  <w:footnote w:id="2721">
    <w:p>
      <w:pPr>
        <w:pStyle w:val="Funote"/>
        <w:rPr/>
      </w:pPr>
      <w:r>
        <w:rPr>
          <w:rStyle w:val="Funotenzeichen"/>
        </w:rPr>
        <w:footnoteRef/>
      </w:r>
      <w:r>
        <w:rPr/>
        <w:tab/>
        <w:t>Wörtlich: „Was [ist] der Nutzen“.</w:t>
      </w:r>
    </w:p>
  </w:footnote>
  <w:footnote w:id="2722">
    <w:p>
      <w:pPr>
        <w:pStyle w:val="Funote"/>
        <w:rPr/>
      </w:pPr>
      <w:r>
        <w:rPr>
          <w:rStyle w:val="Funotenzeichen"/>
        </w:rPr>
        <w:footnoteRef/>
      </w:r>
      <w:r>
        <w:rPr/>
        <w:tab/>
        <w:t>Prospektiver Konditionalsatz.</w:t>
      </w:r>
    </w:p>
  </w:footnote>
  <w:footnote w:id="2723">
    <w:p>
      <w:pPr>
        <w:pStyle w:val="Funote"/>
        <w:rPr/>
      </w:pPr>
      <w:r>
        <w:rPr>
          <w:rStyle w:val="Funotenzeichen"/>
        </w:rPr>
        <w:footnoteRef/>
      </w:r>
      <w:r>
        <w:rPr/>
        <w:tab/>
        <w:t>Griechischer Abschiedsgruß. Lt. B/A entspricht das etwa dem Dt. „Bleiben Sie gesund!“. Alternativ sicher auch „Leb wohl!“ o. ä.</w:t>
      </w:r>
    </w:p>
  </w:footnote>
  <w:footnote w:id="2724">
    <w:p>
      <w:pPr>
        <w:pStyle w:val="Funote"/>
        <w:rPr/>
      </w:pPr>
      <w:r>
        <w:rPr>
          <w:rStyle w:val="Funotenzeichen"/>
        </w:rPr>
        <w:footnoteRef/>
      </w:r>
      <w:r>
        <w:rPr/>
        <w:tab/>
        <w:t>Vulgo: „was sie zum Leben brauchen“, „das Lebensnotwendige“</w:t>
      </w:r>
    </w:p>
  </w:footnote>
  <w:footnote w:id="2725">
    <w:p>
      <w:pPr>
        <w:pStyle w:val="Funote"/>
        <w:rPr/>
      </w:pPr>
      <w:r>
        <w:rPr>
          <w:rStyle w:val="Funotenzeichen"/>
        </w:rPr>
        <w:footnoteRef/>
      </w:r>
      <w:r>
        <w:rPr/>
        <w:tab/>
        <w:t>Wörtlich: „Was [ist] der Nutzen“ (cf. 14).</w:t>
      </w:r>
    </w:p>
  </w:footnote>
  <w:footnote w:id="2726">
    <w:p>
      <w:pPr>
        <w:pStyle w:val="Funote"/>
        <w:rPr/>
      </w:pPr>
      <w:r>
        <w:rPr>
          <w:rStyle w:val="Funotenzeichen"/>
        </w:rPr>
        <w:footnoteRef/>
      </w:r>
      <w:r>
        <w:rPr/>
        <w:tab/>
        <w:t>Vv. 15-16: Wieder ein prospektiver Konditionalsatz.</w:t>
      </w:r>
    </w:p>
  </w:footnote>
  <w:footnote w:id="2727">
    <w:p>
      <w:pPr>
        <w:pStyle w:val="Funote"/>
        <w:rPr/>
      </w:pPr>
      <w:r>
        <w:rPr>
          <w:rStyle w:val="Funotenzeichen"/>
        </w:rPr>
        <w:footnoteRef/>
      </w:r>
      <w:r>
        <w:rPr/>
        <w:tab/>
        <w:t>Prospektiver Konditionalsatz.</w:t>
      </w:r>
    </w:p>
  </w:footnote>
  <w:footnote w:id="2728">
    <w:p>
      <w:pPr>
        <w:pStyle w:val="Funote"/>
        <w:rPr/>
      </w:pPr>
      <w:r>
        <w:rPr>
          <w:rStyle w:val="Funotenzeichen"/>
        </w:rPr>
        <w:footnoteRef/>
      </w:r>
      <w:r>
        <w:rPr/>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729">
    <w:p>
      <w:pPr>
        <w:pStyle w:val="Funote"/>
        <w:rPr/>
      </w:pPr>
      <w:r>
        <w:rPr>
          <w:rStyle w:val="Funotenzeichen"/>
        </w:rPr>
        <w:footnoteRef/>
      </w:r>
      <w:r>
        <w:rPr/>
        <w:tab/>
        <w:t>Wörtlich „dass nur [einer] Gott ist?“. Alternativ als Frage: „Glaubst du, dass es nur einen Gott gibt?“</w:t>
      </w:r>
    </w:p>
  </w:footnote>
  <w:footnote w:id="2730">
    <w:p>
      <w:pPr>
        <w:pStyle w:val="Funote"/>
        <w:rPr/>
      </w:pPr>
      <w:r>
        <w:rPr>
          <w:rStyle w:val="Funotenzeichen"/>
        </w:rPr>
        <w:footnoteRef/>
      </w:r>
      <w:r>
        <w:rPr/>
        <w:tab/>
        <w:t>Wörtlich: „Du handelst gut/richtig!“</w:t>
      </w:r>
    </w:p>
  </w:footnote>
  <w:footnote w:id="2731">
    <w:p>
      <w:pPr>
        <w:pStyle w:val="Funote"/>
        <w:rPr/>
      </w:pPr>
      <w:r>
        <w:rPr>
          <w:rStyle w:val="Funotenzeichen"/>
        </w:rPr>
        <w:footnoteRef/>
      </w:r>
      <w:r>
        <w:rPr/>
        <w:tab/>
        <w:t>Oder in Form einer echten Frage: „Willst du wissen/einsehen...“ (so bei Blomberg/Kamell).</w:t>
      </w:r>
    </w:p>
  </w:footnote>
  <w:footnote w:id="2732">
    <w:p>
      <w:pPr>
        <w:pStyle w:val="Funote"/>
        <w:rPr/>
      </w:pPr>
      <w:r>
        <w:rPr>
          <w:rStyle w:val="Funotenzeichen"/>
        </w:rPr>
        <w:footnoteRef/>
      </w:r>
      <w:r>
        <w:rPr/>
        <w:tab/>
        <w:t>Von B/A präferiert.</w:t>
      </w:r>
    </w:p>
  </w:footnote>
  <w:footnote w:id="2733">
    <w:p>
      <w:pPr>
        <w:pStyle w:val="Funote"/>
        <w:rPr/>
      </w:pPr>
      <w:r>
        <w:rPr>
          <w:rStyle w:val="Funotenzeichen"/>
        </w:rPr>
        <w:footnoteRef/>
      </w:r>
      <w:r>
        <w:rPr/>
        <w:tab/>
        <w:t>Hier temporale Auflösung des attributiven Ptz. Alternativ modal „indem er … darbrachte“, möglicherweise auch kausal „weil/da“. Neben der gleichzeitigen Übersetzung kann das Ptz. Aor. auch vorzeitig übersetzt werden.</w:t>
      </w:r>
    </w:p>
  </w:footnote>
  <w:footnote w:id="2734">
    <w:p>
      <w:pPr>
        <w:pStyle w:val="Funote"/>
        <w:rPr/>
      </w:pPr>
      <w:r>
        <w:rPr>
          <w:rStyle w:val="Funotenzeichen"/>
        </w:rPr>
        <w:footnoteRef/>
      </w:r>
      <w:r>
        <w:rPr/>
        <w:tab/>
        <w:t>I.e. Abrahams.</w:t>
      </w:r>
    </w:p>
  </w:footnote>
  <w:footnote w:id="2735">
    <w:p>
      <w:pPr>
        <w:pStyle w:val="Funote"/>
        <w:rPr/>
      </w:pPr>
      <w:r>
        <w:rPr>
          <w:rStyle w:val="Funotenzeichen"/>
        </w:rPr>
        <w:footnoteRef/>
      </w:r>
      <w:r>
        <w:rPr/>
        <w:tab/>
        <w:t>Imperfekt; mit durativer/iterativer Bedeutung; hier vielleicht als schrittweise Prozess zu deuten.</w:t>
      </w:r>
    </w:p>
  </w:footnote>
  <w:footnote w:id="2736">
    <w:p>
      <w:pPr>
        <w:pStyle w:val="Funote"/>
        <w:rPr/>
      </w:pPr>
      <w:r>
        <w:rPr>
          <w:rStyle w:val="Funotenzeichen"/>
        </w:rPr>
        <w:footnoteRef/>
      </w:r>
      <w:r>
        <w:rPr/>
        <w:tab/>
        <w:t>Oder dem Kontext nach „[seine]“.</w:t>
      </w:r>
    </w:p>
  </w:footnote>
  <w:footnote w:id="2737">
    <w:p>
      <w:pPr>
        <w:pStyle w:val="Funote"/>
        <w:rPr/>
      </w:pPr>
      <w:r>
        <w:rPr>
          <w:rStyle w:val="Funotenzeichen"/>
        </w:rPr>
        <w:footnoteRef/>
      </w:r>
      <w:r>
        <w:rPr/>
        <w:tab/>
        <w:t>Attr. Ptz.</w:t>
      </w:r>
    </w:p>
  </w:footnote>
  <w:footnote w:id="2738">
    <w:p>
      <w:pPr>
        <w:pStyle w:val="Funote"/>
        <w:rPr/>
      </w:pPr>
      <w:r>
        <w:rPr>
          <w:rStyle w:val="Funotenzeichen"/>
        </w:rPr>
        <w:footnoteRef/>
      </w:r>
      <w:r>
        <w:rPr/>
        <w:tab/>
        <w:t>So B/A.</w:t>
      </w:r>
    </w:p>
  </w:footnote>
  <w:footnote w:id="2739">
    <w:p>
      <w:pPr>
        <w:pStyle w:val="Funote"/>
        <w:rPr/>
      </w:pPr>
      <w:r>
        <w:rPr>
          <w:rStyle w:val="Funotenzeichen"/>
        </w:rPr>
        <w:footnoteRef/>
      </w:r>
      <w:r>
        <w:rPr/>
        <w:tab/>
        <w:t>So B/A.</w:t>
      </w:r>
    </w:p>
  </w:footnote>
  <w:footnote w:id="2740">
    <w:p>
      <w:pPr>
        <w:pStyle w:val="Funote"/>
        <w:rPr/>
      </w:pPr>
      <w:r>
        <w:rPr>
          <w:rStyle w:val="Funotenzeichen"/>
        </w:rPr>
        <w:footnoteRef/>
      </w:r>
      <w:r>
        <w:rPr/>
        <w:tab/>
        <w:t>Dat. modi.</w:t>
      </w:r>
    </w:p>
  </w:footnote>
  <w:footnote w:id="2741">
    <w:p>
      <w:pPr>
        <w:pStyle w:val="Funote"/>
        <w:rPr/>
      </w:pPr>
      <w:r>
        <w:rPr>
          <w:rStyle w:val="Funotenzeichen"/>
        </w:rPr>
        <w:footnoteRef/>
      </w:r>
      <w:r>
        <w:rPr/>
        <w:tab/>
        <w:t>Hier temporale Auflösung zweier Ptc. coni. Alternativ auch modal: „indem“ oder kausal: „weil“</w:t>
      </w:r>
    </w:p>
  </w:footnote>
  <w:footnote w:id="2742">
    <w:p>
      <w:pPr>
        <w:pStyle w:val="Funote"/>
        <w:rPr/>
      </w:pPr>
      <w:r>
        <w:rPr>
          <w:rStyle w:val="Funotenzeichen"/>
        </w:rPr>
        <w:footnoteRef/>
      </w:r>
      <w:r>
        <w:rPr/>
        <w:tab/>
        <w:t>[Status: Zuverlässig]</w:t>
      </w:r>
    </w:p>
  </w:footnote>
  <w:footnote w:id="2743">
    <w:p>
      <w:pPr>
        <w:pStyle w:val="Funote"/>
        <w:rPr/>
      </w:pPr>
      <w:r>
        <w:rPr>
          <w:rStyle w:val="Funotenzeichen"/>
        </w:rPr>
        <w:footnoteRef/>
      </w:r>
      <w:r>
        <w:rPr/>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744">
    <w:p>
      <w:pPr>
        <w:pStyle w:val="Funote"/>
        <w:rPr/>
      </w:pPr>
      <w:r>
        <w:rPr>
          <w:rStyle w:val="Funotenzeichen"/>
        </w:rPr>
        <w:footnoteRef/>
      </w:r>
      <w:r>
        <w:rPr/>
        <w:tab/>
        <w:t>Kausal aufgelöstes attributives Ptz. Hier bieten sich wohl keine alternativen Sinnrichtungen zur Auflösung an.</w:t>
      </w:r>
    </w:p>
  </w:footnote>
  <w:footnote w:id="2745">
    <w:p>
      <w:pPr>
        <w:pStyle w:val="Funote"/>
        <w:rPr/>
      </w:pPr>
      <w:r>
        <w:rPr>
          <w:rStyle w:val="Funotenzeichen"/>
        </w:rPr>
        <w:footnoteRef/>
      </w:r>
      <w:r>
        <w:rPr/>
        <w:tab/>
        <w:t>Im geistlichen Sinn auch als „fehlen“, „sündigen“. Vorgeschlagene Bedeutung hier: „wir alle begehen viele Sünden“ (B/A, NSS).</w:t>
      </w:r>
    </w:p>
  </w:footnote>
  <w:footnote w:id="2746">
    <w:p>
      <w:pPr>
        <w:pStyle w:val="Funote"/>
        <w:rPr/>
      </w:pPr>
      <w:r>
        <w:rPr>
          <w:rStyle w:val="Funotenzeichen"/>
        </w:rPr>
        <w:footnoteRef/>
      </w:r>
      <w:r>
        <w:rPr/>
        <w:tab/>
        <w:t>Wörtlich: „im Wort“</w:t>
      </w:r>
    </w:p>
  </w:footnote>
  <w:footnote w:id="2747">
    <w:p>
      <w:pPr>
        <w:pStyle w:val="Funote"/>
        <w:rPr/>
      </w:pPr>
      <w:r>
        <w:rPr>
          <w:rStyle w:val="Funotenzeichen"/>
        </w:rPr>
        <w:footnoteRef/>
      </w:r>
      <w:hyperlink r:id="rId483">
        <w:r>
          <w:rPr>
            <w:rStyle w:val="Internetverknpfung"/>
          </w:rPr>
          <w:tab/>
          <w:t>Generisches Maskulinum</w:t>
        </w:r>
      </w:hyperlink>
      <w:r>
        <w:rPr/>
        <w:t>.</w:t>
      </w:r>
    </w:p>
  </w:footnote>
  <w:footnote w:id="2748">
    <w:p>
      <w:pPr>
        <w:pStyle w:val="Funote"/>
        <w:rPr/>
      </w:pPr>
      <w:r>
        <w:rPr>
          <w:rStyle w:val="Funotenzeichen"/>
        </w:rPr>
        <w:footnoteRef/>
      </w:r>
      <w:r>
        <w:rPr/>
        <w:tab/>
        <w:t>Indefiniter Konditionalsatz.</w:t>
      </w:r>
    </w:p>
  </w:footnote>
  <w:footnote w:id="2749">
    <w:p>
      <w:pPr>
        <w:pStyle w:val="Funote"/>
        <w:rPr/>
      </w:pPr>
      <w:r>
        <w:rPr>
          <w:rStyle w:val="Funotenzeichen"/>
        </w:rPr>
        <w:footnoteRef/>
      </w:r>
      <w:r>
        <w:rPr/>
        <w:tab/>
        <w:t>Ursprünglich ein Genitiv.</w:t>
      </w:r>
    </w:p>
  </w:footnote>
  <w:footnote w:id="2750">
    <w:p>
      <w:pPr>
        <w:pStyle w:val="Funote"/>
        <w:rPr/>
      </w:pPr>
      <w:r>
        <w:rPr>
          <w:rStyle w:val="Funotenzeichen"/>
        </w:rPr>
        <w:footnoteRef/>
      </w:r>
      <w:r>
        <w:rPr/>
        <w:tab/>
        <w:t>Ursprünglich im Plural.</w:t>
      </w:r>
    </w:p>
  </w:footnote>
  <w:footnote w:id="2751">
    <w:p>
      <w:pPr>
        <w:pStyle w:val="Funote"/>
        <w:rPr/>
      </w:pPr>
      <w:r>
        <w:rPr>
          <w:rStyle w:val="Funotenzeichen"/>
        </w:rPr>
        <w:footnoteRef/>
      </w:r>
      <w:r>
        <w:rPr/>
        <w:tab/>
        <w:t>Auflösung eines „</w:t>
      </w:r>
      <w:r>
        <w:rPr>
          <w:lang w:val="el-GR"/>
        </w:rPr>
        <w:t>εἰς τὸ</w:t>
      </w:r>
      <w:r>
        <w:rPr/>
        <w:t>“ + Inf.</w:t>
      </w:r>
    </w:p>
  </w:footnote>
  <w:footnote w:id="2752">
    <w:p>
      <w:pPr>
        <w:pStyle w:val="Funote"/>
        <w:rPr/>
      </w:pPr>
      <w:r>
        <w:rPr>
          <w:rStyle w:val="Funotenzeichen"/>
        </w:rPr>
        <w:footnoteRef/>
      </w:r>
      <w:r>
        <w:rPr/>
        <w:tab/>
        <w:t xml:space="preserve">Konsekutives </w:t>
      </w:r>
      <w:r>
        <w:rPr>
          <w:lang w:val="el-GR"/>
        </w:rPr>
        <w:t>καί</w:t>
      </w:r>
      <w:r>
        <w:rPr/>
        <w:t>.</w:t>
      </w:r>
    </w:p>
  </w:footnote>
  <w:footnote w:id="2753">
    <w:p>
      <w:pPr>
        <w:pStyle w:val="Funote"/>
        <w:rPr/>
      </w:pPr>
      <w:r>
        <w:rPr>
          <w:rStyle w:val="Funotenzeichen"/>
        </w:rPr>
        <w:footnoteRef/>
      </w:r>
      <w:r>
        <w:rPr/>
        <w:tab/>
        <w:t>Indefiniter Konditionalsatz.</w:t>
      </w:r>
    </w:p>
  </w:footnote>
  <w:footnote w:id="2754">
    <w:p>
      <w:pPr>
        <w:pStyle w:val="Funote"/>
        <w:rPr/>
      </w:pPr>
      <w:r>
        <w:rPr>
          <w:rStyle w:val="Funotenzeichen"/>
        </w:rPr>
        <w:footnoteRef/>
      </w:r>
      <w:r>
        <w:rPr/>
        <w:tab/>
        <w:t>Im Urtext zwei Ptc. coni., hier konzessiv aufgelöst.</w:t>
      </w:r>
    </w:p>
  </w:footnote>
  <w:footnote w:id="2755">
    <w:p>
      <w:pPr>
        <w:pStyle w:val="Funote"/>
        <w:rPr/>
      </w:pPr>
      <w:r>
        <w:rPr>
          <w:rStyle w:val="Funotenzeichen"/>
        </w:rPr>
        <w:footnoteRef/>
      </w:r>
      <w:r>
        <w:rPr/>
        <w:tab/>
        <w:t>Wörtlich „von [dem] kleinsten“. Muss hier elativisch verstanden werden: „sehr klein“, „winzig“</w:t>
      </w:r>
    </w:p>
  </w:footnote>
  <w:footnote w:id="2756">
    <w:p>
      <w:pPr>
        <w:pStyle w:val="Funote"/>
        <w:rPr/>
      </w:pPr>
      <w:r>
        <w:rPr>
          <w:rStyle w:val="Funotenzeichen"/>
        </w:rPr>
        <w:footnoteRef/>
      </w:r>
      <w:r>
        <w:rPr/>
        <w:tab/>
        <w:t>Eine gute kommunikative Übersetzung könnte „Belieben“ sein.</w:t>
      </w:r>
    </w:p>
  </w:footnote>
  <w:footnote w:id="2757">
    <w:p>
      <w:pPr>
        <w:pStyle w:val="Funote"/>
        <w:rPr/>
      </w:pPr>
      <w:r>
        <w:rPr>
          <w:rStyle w:val="Funotenzeichen"/>
        </w:rPr>
        <w:footnoteRef/>
      </w:r>
      <w:r>
        <w:rPr/>
        <w:tab/>
        <w:t>Gen. qualitatis. Kommunikativ kann „Welt voller Unrecht“, „von Unrecht beherrschte Welt“, etc. übersetzt werden.</w:t>
      </w:r>
    </w:p>
  </w:footnote>
  <w:footnote w:id="2758">
    <w:p>
      <w:pPr>
        <w:pStyle w:val="Funote"/>
        <w:rPr/>
      </w:pPr>
      <w:r>
        <w:rPr>
          <w:rStyle w:val="Funotenzeichen"/>
        </w:rPr>
        <w:footnoteRef/>
      </w:r>
      <w:r>
        <w:rPr/>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759">
    <w:p>
      <w:pPr>
        <w:pStyle w:val="Funote"/>
        <w:rPr/>
      </w:pPr>
      <w:r>
        <w:rPr>
          <w:rStyle w:val="Funotenzeichen"/>
        </w:rPr>
        <w:footnoteRef/>
      </w:r>
      <w:r>
        <w:rPr/>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760">
    <w:p>
      <w:pPr>
        <w:pStyle w:val="Funote"/>
        <w:rPr/>
      </w:pPr>
      <w:r>
        <w:rPr>
          <w:rStyle w:val="Funotenzeichen"/>
        </w:rPr>
        <w:footnoteRef/>
      </w:r>
      <w:r>
        <w:rPr/>
        <w:tab/>
        <w:t>Je nach Akzentsetzung entweder „Rad“ oder „Bahn/Kurs“; bezeichnet allgemein etwas Rundes (Johnson; dort auf Englisch „course“; von mir entsprechend übersetzt).</w:t>
      </w:r>
    </w:p>
  </w:footnote>
  <w:footnote w:id="2761">
    <w:p>
      <w:pPr>
        <w:pStyle w:val="Funote"/>
        <w:rPr/>
      </w:pPr>
      <w:r>
        <w:rPr>
          <w:rStyle w:val="Funotenzeichen"/>
        </w:rPr>
        <w:footnoteRef/>
      </w:r>
      <w:r>
        <w:rPr/>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762">
    <w:p>
      <w:pPr>
        <w:pStyle w:val="Funote"/>
        <w:rPr/>
      </w:pPr>
      <w:r>
        <w:rPr>
          <w:rStyle w:val="Funotenzeichen"/>
        </w:rPr>
        <w:footnoteRef/>
      </w:r>
      <w:r>
        <w:rPr/>
        <w:tab/>
        <w:t>Auflösung zweier attributiver Partizipien als Relativsatz.</w:t>
      </w:r>
    </w:p>
  </w:footnote>
  <w:footnote w:id="2763">
    <w:p>
      <w:pPr>
        <w:pStyle w:val="Funote"/>
        <w:rPr/>
      </w:pPr>
      <w:r>
        <w:rPr>
          <w:rStyle w:val="Funotenzeichen"/>
        </w:rPr>
        <w:footnoteRef/>
      </w:r>
      <w:r>
        <w:rPr/>
        <w:tab/>
        <w:t>Oder „Gehenna“. Hier werden die sehr semitischen Wurzeln des Schreibens offensichtlich.</w:t>
      </w:r>
    </w:p>
  </w:footnote>
  <w:footnote w:id="2764">
    <w:p>
      <w:pPr>
        <w:pStyle w:val="Funote"/>
        <w:rPr/>
      </w:pPr>
      <w:r>
        <w:rPr>
          <w:rStyle w:val="Funotenzeichen"/>
        </w:rPr>
        <w:footnoteRef/>
      </w:r>
      <w:r>
        <w:rPr/>
        <w:tab/>
        <w:t>Das dritte attr. Ptz. Präs., hier im Pass., scheint semantisch von den übrigen getrennt zu sein. Alternativ: „sie beschmutzt ... und ... setzt ... in Brand und wird...“. Wörtlich: „die ... beschmutzende ... und ... in Brand setzende ... und ... in Brand gesetzt werdende.“</w:t>
      </w:r>
    </w:p>
  </w:footnote>
  <w:footnote w:id="2765">
    <w:p>
      <w:pPr>
        <w:pStyle w:val="Funote"/>
        <w:rPr/>
      </w:pPr>
      <w:r>
        <w:rPr>
          <w:rStyle w:val="Funotenzeichen"/>
        </w:rPr>
        <w:footnoteRef/>
      </w:r>
      <w:r>
        <w:rPr/>
        <w:tab/>
        <w:t>Dieses unbestimmte „</w:t>
      </w:r>
      <w:r>
        <w:rPr>
          <w:lang w:val="el-GR"/>
        </w:rPr>
        <w:t>πασα</w:t>
      </w:r>
      <w:r>
        <w:rPr/>
        <w:t>“ kann auch allgemeiner als „alle möglichen...“ übersetzt werden.</w:t>
      </w:r>
    </w:p>
  </w:footnote>
  <w:footnote w:id="2766">
    <w:p>
      <w:pPr>
        <w:pStyle w:val="Funote"/>
        <w:rPr/>
      </w:pPr>
      <w:r>
        <w:rPr>
          <w:rStyle w:val="Funotenzeichen"/>
        </w:rPr>
        <w:footnoteRef/>
      </w:r>
      <w:r>
        <w:rPr/>
        <w:tab/>
        <w:t>Eigentlich nur „Tiere“; im Kontrast zu den anderen Tierarten im Kontext muss hier jedoch genauer übersetzt werden. Möglich: „Vierfüßler“ (B/A), „Säugetiere“, „Landtiere“, „vierfüßige Tiere“ (NSS).</w:t>
      </w:r>
    </w:p>
  </w:footnote>
  <w:footnote w:id="2767">
    <w:p>
      <w:pPr>
        <w:pStyle w:val="Funote"/>
        <w:rPr/>
      </w:pPr>
      <w:r>
        <w:rPr>
          <w:rStyle w:val="Funotenzeichen"/>
        </w:rPr>
        <w:footnoteRef/>
      </w:r>
      <w:r>
        <w:rPr/>
        <w:tab/>
        <w:t>Dat. auctoris.</w:t>
      </w:r>
    </w:p>
  </w:footnote>
  <w:footnote w:id="2768">
    <w:p>
      <w:pPr>
        <w:pStyle w:val="Funote"/>
        <w:rPr/>
      </w:pPr>
      <w:r>
        <w:rPr>
          <w:rStyle w:val="Funotenzeichen"/>
        </w:rPr>
        <w:footnoteRef/>
      </w:r>
      <w:r>
        <w:rPr/>
        <w:tab/>
        <w:t>Hier steht im Urtext ein Pf., das „worden“ tritt also hinter das Resultat des „ist“ zurück.</w:t>
      </w:r>
    </w:p>
  </w:footnote>
  <w:footnote w:id="2769">
    <w:p>
      <w:pPr>
        <w:pStyle w:val="Funote"/>
        <w:rPr/>
      </w:pPr>
      <w:r>
        <w:rPr>
          <w:rStyle w:val="Funotenzeichen"/>
        </w:rPr>
        <w:footnoteRef/>
      </w:r>
      <w:r>
        <w:rPr/>
        <w:tab/>
        <w:t>Gen. partitivus. Wörtlich: „keiner/niemand [der] Menschen“</w:t>
      </w:r>
    </w:p>
  </w:footnote>
  <w:footnote w:id="2770">
    <w:p>
      <w:pPr>
        <w:pStyle w:val="Funote"/>
        <w:rPr/>
      </w:pPr>
      <w:r>
        <w:rPr>
          <w:rStyle w:val="Funotenzeichen"/>
        </w:rPr>
        <w:footnoteRef/>
      </w:r>
      <w:r>
        <w:rPr/>
        <w:tab/>
        <w:t>Alternativ: „[sie ist] ein“</w:t>
      </w:r>
    </w:p>
  </w:footnote>
  <w:footnote w:id="2771">
    <w:p>
      <w:pPr>
        <w:pStyle w:val="Funote"/>
        <w:rPr/>
      </w:pPr>
      <w:r>
        <w:rPr>
          <w:rStyle w:val="Funotenzeichen"/>
        </w:rPr>
        <w:footnoteRef/>
      </w:r>
      <w:r>
        <w:rPr/>
        <w:tab/>
        <w:t>B/A</w:t>
      </w:r>
    </w:p>
  </w:footnote>
  <w:footnote w:id="2772">
    <w:p>
      <w:pPr>
        <w:pStyle w:val="Funote"/>
        <w:rPr/>
      </w:pPr>
      <w:r>
        <w:rPr>
          <w:rStyle w:val="Funotenzeichen"/>
        </w:rPr>
        <w:footnoteRef/>
      </w:r>
      <w:r>
        <w:rPr/>
        <w:tab/>
        <w:t>Blomberg/Kamell.</w:t>
      </w:r>
    </w:p>
  </w:footnote>
  <w:footnote w:id="2773">
    <w:p>
      <w:pPr>
        <w:pStyle w:val="Funote"/>
        <w:rPr/>
      </w:pPr>
      <w:r>
        <w:rPr>
          <w:rStyle w:val="Funotenzeichen"/>
        </w:rPr>
        <w:footnoteRef/>
      </w:r>
      <w:r>
        <w:rPr/>
        <w:tab/>
        <w:t>Cf. 1,8</w:t>
      </w:r>
    </w:p>
  </w:footnote>
  <w:footnote w:id="2774">
    <w:p>
      <w:pPr>
        <w:pStyle w:val="Funote"/>
        <w:rPr/>
      </w:pPr>
      <w:r>
        <w:rPr>
          <w:rStyle w:val="Funotenzeichen"/>
        </w:rPr>
        <w:footnoteRef/>
      </w:r>
      <w:r>
        <w:rPr/>
        <w:tab/>
        <w:t>Instrumental (NSS). Wörtlich: „Durch sie“. Analog später im Vers.</w:t>
      </w:r>
    </w:p>
  </w:footnote>
  <w:footnote w:id="2775">
    <w:p>
      <w:pPr>
        <w:pStyle w:val="Funote"/>
        <w:rPr/>
      </w:pPr>
      <w:r>
        <w:rPr>
          <w:rStyle w:val="Funotenzeichen"/>
        </w:rPr>
        <w:footnoteRef/>
      </w:r>
      <w:r>
        <w:rPr/>
        <w:tab/>
        <w:t>Attr. Ptz. Pf. Pass. Das griechische Pf. wurde hier, wie es seiner Bedeutung am ehesten entspricht, als Zustandsperfekt übersetzt.</w:t>
      </w:r>
    </w:p>
  </w:footnote>
  <w:footnote w:id="2776">
    <w:p>
      <w:pPr>
        <w:pStyle w:val="Funote"/>
        <w:rPr/>
      </w:pPr>
      <w:r>
        <w:rPr>
          <w:rStyle w:val="Funotenzeichen"/>
        </w:rPr>
        <w:footnoteRef/>
      </w:r>
      <w:r>
        <w:rPr/>
        <w:tab/>
        <w:t>Frei zitiert nach 1 Mose 1,26f.</w:t>
      </w:r>
    </w:p>
  </w:footnote>
  <w:footnote w:id="2777">
    <w:p>
      <w:pPr>
        <w:pStyle w:val="Funote"/>
        <w:rPr/>
      </w:pPr>
      <w:r>
        <w:rPr>
          <w:rStyle w:val="Funotenzeichen"/>
        </w:rPr>
        <w:footnoteRef/>
      </w:r>
      <w:r>
        <w:rPr/>
        <w:tab/>
        <w:t>Auflösung eines AcI.</w:t>
      </w:r>
    </w:p>
  </w:footnote>
  <w:footnote w:id="2778">
    <w:p>
      <w:pPr>
        <w:pStyle w:val="Funote"/>
        <w:rPr/>
      </w:pPr>
      <w:r>
        <w:rPr>
          <w:rStyle w:val="Funotenzeichen"/>
        </w:rPr>
        <w:footnoteRef/>
      </w:r>
      <w:r>
        <w:rPr/>
        <w:tab/>
        <w:t>Wörtlich: „das Süße und das Bittere“</w:t>
      </w:r>
    </w:p>
  </w:footnote>
  <w:footnote w:id="2779">
    <w:p>
      <w:pPr>
        <w:pStyle w:val="Funote"/>
        <w:rPr/>
      </w:pPr>
      <w:r>
        <w:rPr>
          <w:rStyle w:val="Funotenzeichen"/>
        </w:rPr>
        <w:footnoteRef/>
      </w:r>
      <w:r>
        <w:rPr/>
        <w:tab/>
        <w:t>Wörtlich: „das Salzige“</w:t>
      </w:r>
    </w:p>
  </w:footnote>
  <w:footnote w:id="2780">
    <w:p>
      <w:pPr>
        <w:pStyle w:val="Funote"/>
        <w:rPr/>
      </w:pPr>
      <w:r>
        <w:rPr>
          <w:rStyle w:val="Funotenzeichen"/>
        </w:rPr>
        <w:footnoteRef/>
      </w:r>
      <w:r>
        <w:rPr/>
        <w:tab/>
        <w:t>Wörtlich: „süßes Wasser“</w:t>
      </w:r>
    </w:p>
  </w:footnote>
  <w:footnote w:id="2781">
    <w:p>
      <w:pPr>
        <w:pStyle w:val="Funote"/>
        <w:rPr/>
      </w:pPr>
      <w:r>
        <w:rPr>
          <w:rStyle w:val="Funotenzeichen"/>
        </w:rPr>
        <w:footnoteRef/>
      </w:r>
      <w:r>
        <w:rPr/>
        <w:tab/>
        <w:t>Die Bedeutung des Wortes ist die von anwendbarer Kundigkeit (Blomberg/Kamell). Kommunikativ vielleicht „erfahren“.</w:t>
      </w:r>
    </w:p>
  </w:footnote>
  <w:footnote w:id="2782">
    <w:p>
      <w:pPr>
        <w:pStyle w:val="Funote"/>
        <w:rPr/>
      </w:pPr>
      <w:r>
        <w:rPr>
          <w:rStyle w:val="Funotenzeichen"/>
        </w:rPr>
        <w:footnoteRef/>
      </w:r>
      <w:r>
        <w:rPr/>
        <w:tab/>
        <w:t>Wörtlich: „aus“</w:t>
      </w:r>
    </w:p>
  </w:footnote>
  <w:footnote w:id="2783">
    <w:p>
      <w:pPr>
        <w:pStyle w:val="Funote"/>
        <w:rPr/>
      </w:pPr>
      <w:r>
        <w:rPr>
          <w:rStyle w:val="Funotenzeichen"/>
        </w:rPr>
        <w:footnoteRef/>
      </w:r>
      <w:r>
        <w:rPr/>
        <w:tab/>
        <w:t>ie eigentliche Bedeutung ist wohl die eines „sanften Charakters“ im Gegensatz einem aufbrausenden Charakter (cf. Louw/Nida).</w:t>
      </w:r>
    </w:p>
  </w:footnote>
  <w:footnote w:id="2784">
    <w:p>
      <w:pPr>
        <w:pStyle w:val="Funote"/>
        <w:rPr/>
      </w:pPr>
      <w:r>
        <w:rPr>
          <w:rStyle w:val="Funotenzeichen"/>
        </w:rPr>
        <w:footnoteRef/>
      </w:r>
      <w:r>
        <w:rPr/>
        <w:tab/>
        <w:t>Wörtlich „Bescheidenheit [der] Weisheit“; Gen. pertinentiae, also „Bescheidenheit, die von Weisheit kommt“.</w:t>
      </w:r>
    </w:p>
  </w:footnote>
  <w:footnote w:id="2785">
    <w:p>
      <w:pPr>
        <w:pStyle w:val="Funote"/>
        <w:rPr/>
      </w:pPr>
      <w:r>
        <w:rPr>
          <w:rStyle w:val="Funotenzeichen"/>
        </w:rPr>
        <w:footnoteRef/>
      </w:r>
      <w:r>
        <w:rPr/>
        <w:tab/>
        <w:t>Blomberg/Kamell.</w:t>
      </w:r>
    </w:p>
  </w:footnote>
  <w:footnote w:id="2786">
    <w:p>
      <w:pPr>
        <w:pStyle w:val="Funote"/>
        <w:rPr/>
      </w:pPr>
      <w:r>
        <w:rPr>
          <w:rStyle w:val="Funotenzeichen"/>
        </w:rPr>
        <w:footnoteRef/>
      </w:r>
      <w:r>
        <w:rPr/>
        <w:tab/>
        <w:t>Da der deutsche Imperativ in der 3. Person nicht vorkommt, muss mit „soll“ oder „muss“ umschrieben werden.</w:t>
      </w:r>
    </w:p>
  </w:footnote>
  <w:footnote w:id="2787">
    <w:p>
      <w:pPr>
        <w:pStyle w:val="Funote"/>
        <w:rPr/>
      </w:pPr>
      <w:r>
        <w:rPr>
          <w:rStyle w:val="Funotenzeichen"/>
        </w:rPr>
        <w:footnoteRef/>
      </w:r>
      <w:r>
        <w:rPr/>
        <w:tab/>
        <w:t>Dies ist ein Imperativ Präsens. Im Gegensatz zum unmarkierten Imp. Aor. kann dieser auch die Bedeutung „hört auf, … zu tun“ haben. Blomberg merkt hier an, dass diese Bedeutungsnuance nicht unbedingt vorkommen muss.</w:t>
      </w:r>
    </w:p>
  </w:footnote>
  <w:footnote w:id="2788">
    <w:p>
      <w:pPr>
        <w:pStyle w:val="Funote"/>
        <w:rPr/>
      </w:pPr>
      <w:r>
        <w:rPr>
          <w:rStyle w:val="Funotenzeichen"/>
        </w:rPr>
        <w:footnoteRef/>
      </w:r>
      <w:r>
        <w:rPr/>
        <w:tab/>
        <w:t>Indefiniter Konditionalsatz.</w:t>
      </w:r>
    </w:p>
  </w:footnote>
  <w:footnote w:id="2789">
    <w:p>
      <w:pPr>
        <w:pStyle w:val="Funote"/>
        <w:rPr/>
      </w:pPr>
      <w:r>
        <w:rPr>
          <w:rStyle w:val="Funotenzeichen"/>
        </w:rPr>
        <w:footnoteRef/>
      </w:r>
      <w:r>
        <w:rPr/>
        <w:tab/>
        <w:t>Attributive Auflösung. Wörtlich „ist … herabkommend“. Alternativ periphrastisch: „Diese Weisheit kommt nicht von oben herab...“</w:t>
      </w:r>
    </w:p>
  </w:footnote>
  <w:footnote w:id="2790">
    <w:p>
      <w:pPr>
        <w:pStyle w:val="Funote"/>
        <w:rPr/>
      </w:pPr>
      <w:r>
        <w:rPr>
          <w:rStyle w:val="Funotenzeichen"/>
        </w:rPr>
        <w:footnoteRef/>
      </w:r>
      <w:r>
        <w:rPr/>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791">
    <w:p>
      <w:pPr>
        <w:pStyle w:val="Funote"/>
        <w:rPr/>
      </w:pPr>
      <w:r>
        <w:rPr>
          <w:rStyle w:val="Funotenzeichen"/>
        </w:rPr>
        <w:footnoteRef/>
      </w:r>
      <w:r>
        <w:rPr/>
        <w:tab/>
        <w:t>Nach der Bedeutung dieses unbestimmten „</w:t>
      </w:r>
      <w:r>
        <w:rPr>
          <w:lang w:val="el-GR"/>
        </w:rPr>
        <w:t>πάν</w:t>
      </w:r>
      <w:r>
        <w:rPr/>
        <w:t>“ eingefügt (Johnson).</w:t>
      </w:r>
    </w:p>
  </w:footnote>
  <w:footnote w:id="2792">
    <w:p>
      <w:pPr>
        <w:pStyle w:val="Funote"/>
        <w:rPr/>
      </w:pPr>
      <w:r>
        <w:rPr>
          <w:rStyle w:val="Funotenzeichen"/>
        </w:rPr>
        <w:footnoteRef/>
      </w:r>
      <w:r>
        <w:rPr/>
        <w:tab/>
        <w:t>Der Begriff drückt Niedrigkeit, Gemeinheit, Gewöhnlichkeit in einem sehr negativen Sinn aus (Johnson).</w:t>
      </w:r>
    </w:p>
  </w:footnote>
  <w:footnote w:id="2793">
    <w:p>
      <w:pPr>
        <w:pStyle w:val="Funote"/>
        <w:rPr/>
      </w:pPr>
      <w:r>
        <w:rPr>
          <w:rStyle w:val="Funotenzeichen"/>
        </w:rPr>
        <w:footnoteRef/>
      </w:r>
      <w:r>
        <w:rPr/>
        <w:tab/>
        <w:t>Johnson</w:t>
      </w:r>
    </w:p>
  </w:footnote>
  <w:footnote w:id="2794">
    <w:p>
      <w:pPr>
        <w:pStyle w:val="Funote"/>
        <w:rPr/>
      </w:pPr>
      <w:r>
        <w:rPr>
          <w:rStyle w:val="Funotenzeichen"/>
        </w:rPr>
        <w:footnoteRef/>
      </w:r>
      <w:r>
        <w:rPr/>
        <w:tab/>
        <w:t>LUT u.a. (SLT, NGÜ): „lässt sich etwas sagen“</w:t>
      </w:r>
    </w:p>
  </w:footnote>
  <w:footnote w:id="2795">
    <w:p>
      <w:pPr>
        <w:pStyle w:val="Funote"/>
        <w:rPr/>
      </w:pPr>
      <w:r>
        <w:rPr>
          <w:rStyle w:val="Funotenzeichen"/>
        </w:rPr>
        <w:footnoteRef/>
      </w:r>
      <w:r>
        <w:rPr/>
        <w:tab/>
        <w:t>Hier als koordinierender Textkonnektor (Blomberg/Kamell). Alternativ adversativ. Könnte auch einen leichten Kontrast als Aufruf zum Handeln darstellen (Johnson).</w:t>
      </w:r>
    </w:p>
  </w:footnote>
  <w:footnote w:id="2796">
    <w:p>
      <w:pPr>
        <w:pStyle w:val="Funote"/>
        <w:rPr/>
      </w:pPr>
      <w:r>
        <w:rPr>
          <w:rStyle w:val="Funotenzeichen"/>
        </w:rPr>
        <w:footnoteRef/>
      </w:r>
      <w:r>
        <w:rPr/>
        <w:tab/>
        <w:t>So Blomberg/Kamell. Wörtlich „Frucht“.</w:t>
      </w:r>
    </w:p>
  </w:footnote>
  <w:footnote w:id="2797">
    <w:p>
      <w:pPr>
        <w:pStyle w:val="Funote"/>
        <w:rPr/>
      </w:pPr>
      <w:r>
        <w:rPr>
          <w:rStyle w:val="Funotenzeichen"/>
        </w:rPr>
        <w:footnoteRef/>
      </w:r>
      <w:r>
        <w:rPr/>
        <w:tab/>
        <w:t xml:space="preserve">Wohl ein Gen. subiectivus: die Frucht </w:t>
      </w:r>
      <w:r>
        <w:rPr>
          <w:i/>
        </w:rPr>
        <w:t>ist</w:t>
      </w:r>
      <w:r>
        <w:rPr/>
        <w:t xml:space="preserve"> Gerechtigkeit.</w:t>
      </w:r>
    </w:p>
  </w:footnote>
  <w:footnote w:id="2798">
    <w:p>
      <w:pPr>
        <w:pStyle w:val="Funote"/>
        <w:rPr/>
      </w:pPr>
      <w:r>
        <w:rPr>
          <w:rStyle w:val="Funotenzeichen"/>
        </w:rPr>
        <w:footnoteRef/>
      </w:r>
      <w:r>
        <w:rPr/>
        <w:tab/>
        <w:t>Hier als Dat. commodi verstanden (Dibelius, Johnson, Blomberg/Kamell). Alternativ als Dat. auctoris: „von jenen, die...“. Dann käme aber der Frieden doppelt vor (Dibelius).</w:t>
      </w:r>
    </w:p>
  </w:footnote>
  <w:footnote w:id="2799">
    <w:p>
      <w:pPr>
        <w:pStyle w:val="Funote"/>
        <w:rPr/>
      </w:pPr>
      <w:r>
        <w:rPr>
          <w:rStyle w:val="Funotenzeichen"/>
        </w:rPr>
        <w:footnoteRef/>
      </w:r>
      <w:r>
        <w:rPr/>
        <w:tab/>
        <w:t>Attributives/substantiviertes Ptz.</w:t>
      </w:r>
    </w:p>
  </w:footnote>
  <w:footnote w:id="2800">
    <w:p>
      <w:pPr>
        <w:pStyle w:val="Funote"/>
        <w:rPr/>
      </w:pPr>
      <w:r>
        <w:rPr>
          <w:rStyle w:val="Funotenzeichen"/>
        </w:rPr>
        <w:footnoteRef/>
      </w:r>
      <w:r>
        <w:rPr/>
        <w:tab/>
        <w:t>[Status: Zuverlässig]</w:t>
      </w:r>
    </w:p>
  </w:footnote>
  <w:footnote w:id="2801">
    <w:p>
      <w:pPr>
        <w:pStyle w:val="Funote"/>
        <w:rPr/>
      </w:pPr>
      <w:r>
        <w:rPr>
          <w:rStyle w:val="Funotenzeichen"/>
        </w:rPr>
        <w:footnoteRef/>
      </w:r>
      <w:r>
        <w:rPr/>
        <w:tab/>
        <w:t>Wörtlich: „die Streite“</w:t>
      </w:r>
    </w:p>
  </w:footnote>
  <w:footnote w:id="2802">
    <w:p>
      <w:pPr>
        <w:pStyle w:val="Funote"/>
        <w:rPr/>
      </w:pPr>
      <w:r>
        <w:rPr>
          <w:rStyle w:val="Funotenzeichen"/>
        </w:rPr>
        <w:footnoteRef/>
      </w:r>
      <w:r>
        <w:rPr/>
        <w:tab/>
        <w:t>Wörtlich: „[Kommen sie] nicht daher: aus euren...“. Alternativ: „[Kommen sie] nicht daher, dass eure Gelüste...“</w:t>
      </w:r>
    </w:p>
  </w:footnote>
  <w:footnote w:id="2803">
    <w:p>
      <w:pPr>
        <w:pStyle w:val="Funote"/>
        <w:rPr/>
      </w:pPr>
      <w:r>
        <w:rPr>
          <w:rStyle w:val="Funotenzeichen"/>
        </w:rPr>
        <w:footnoteRef/>
      </w:r>
      <w:r>
        <w:rPr/>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804">
    <w:p>
      <w:pPr>
        <w:pStyle w:val="Funote"/>
        <w:rPr/>
      </w:pPr>
      <w:r>
        <w:rPr>
          <w:rStyle w:val="Funotenzeichen"/>
        </w:rPr>
        <w:footnoteRef/>
      </w:r>
      <w:r>
        <w:rPr/>
        <w:tab/>
        <w:t>Hier (wie weiter unten im Vers) wurde das „doch“ eingefügt, um den adversativen Charakter der Konjunktion zu unterstreichen.</w:t>
      </w:r>
    </w:p>
  </w:footnote>
  <w:footnote w:id="2805">
    <w:p>
      <w:pPr>
        <w:pStyle w:val="Funote"/>
        <w:rPr/>
      </w:pPr>
      <w:r>
        <w:rPr>
          <w:rStyle w:val="Funotenzeichen"/>
        </w:rPr>
        <w:footnoteRef/>
      </w:r>
      <w:r>
        <w:rPr/>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806">
    <w:p>
      <w:pPr>
        <w:pStyle w:val="Funote"/>
        <w:rPr/>
      </w:pPr>
      <w:r>
        <w:rPr>
          <w:rStyle w:val="Funotenzeichen"/>
        </w:rPr>
        <w:footnoteRef/>
      </w:r>
      <w:r>
        <w:rPr/>
        <w:tab/>
        <w:t>Wörtlich „nicht“. Bei allen Erwähnungen von „nicht“ in Vv. 2f. bleibt das Objekt im Text unerwähnt. Das macht beim Übersetzen manchmal das Einsetzen von „nichts“ erforderlich.</w:t>
      </w:r>
    </w:p>
  </w:footnote>
  <w:footnote w:id="2807">
    <w:p>
      <w:pPr>
        <w:pStyle w:val="Funote"/>
        <w:rPr/>
      </w:pPr>
      <w:r>
        <w:rPr>
          <w:rStyle w:val="Funotenzeichen"/>
        </w:rPr>
        <w:footnoteRef/>
      </w:r>
      <w:r>
        <w:rPr/>
        <w:tab/>
        <w:t>Das Wort steht im Medium; alternativ könnte es auch als „weil ihr selbst nicht bittet“ verstanden werden (Blomberg/Kamell). Dibelius ignoriert das Medium ganz, Mußner lässt offen. Selbiges gilt für 3b.</w:t>
      </w:r>
    </w:p>
  </w:footnote>
  <w:footnote w:id="2808">
    <w:p>
      <w:pPr>
        <w:pStyle w:val="Funote"/>
        <w:rPr/>
      </w:pPr>
      <w:r>
        <w:rPr>
          <w:rStyle w:val="Funotenzeichen"/>
        </w:rPr>
        <w:footnoteRef/>
      </w:r>
      <w:r>
        <w:rPr/>
        <w:tab/>
        <w:t>Alle Verben der 2. Ps. Pl. im Vers stehen im Präsens. Der Text deutet damit an, dass dies ein Vorgang ist, der unablässig bzw. immer wieder zu beobachten ist.</w:t>
      </w:r>
    </w:p>
  </w:footnote>
  <w:footnote w:id="2809">
    <w:p>
      <w:pPr>
        <w:pStyle w:val="Funote"/>
        <w:rPr/>
      </w:pPr>
      <w:r>
        <w:rPr>
          <w:rStyle w:val="Funotenzeichen"/>
        </w:rPr>
        <w:footnoteRef/>
      </w:r>
      <w:r>
        <w:rPr/>
        <w:tab/>
        <w:t xml:space="preserve">Wörtlich „nicht“. Vgl. dritte Fußnote in V. 2. </w:t>
      </w:r>
    </w:p>
  </w:footnote>
  <w:footnote w:id="2810">
    <w:p>
      <w:pPr>
        <w:pStyle w:val="Funote"/>
        <w:rPr/>
      </w:pPr>
      <w:r>
        <w:rPr>
          <w:rStyle w:val="Funotenzeichen"/>
        </w:rPr>
        <w:footnoteRef/>
      </w:r>
      <w:r>
        <w:rPr/>
        <w:tab/>
        <w:t>Wörtlich „böse“, „schlecht“ (Adverb). Im Deutschen muss umschrieben werden; der letzte Satzteil macht klar, dass das Adverb sich auf böse Hintergedanken bezieht. Denkbar auch „[mit] bösen [Hintergedanken]“ u.ä. oder schlicht „falsch“ (so Blomberg/Kamell).</w:t>
      </w:r>
    </w:p>
  </w:footnote>
  <w:footnote w:id="2811">
    <w:p>
      <w:pPr>
        <w:pStyle w:val="Funote"/>
        <w:rPr/>
      </w:pPr>
      <w:r>
        <w:rPr>
          <w:rStyle w:val="Funotenzeichen"/>
        </w:rPr>
        <w:footnoteRef/>
      </w:r>
      <w:r>
        <w:rPr/>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812">
    <w:p>
      <w:pPr>
        <w:pStyle w:val="Funote"/>
        <w:rPr/>
      </w:pPr>
      <w:r>
        <w:rPr>
          <w:rStyle w:val="Funotenzeichen"/>
        </w:rPr>
        <w:footnoteRef/>
      </w:r>
      <w:r>
        <w:rPr/>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813">
    <w:p>
      <w:pPr>
        <w:pStyle w:val="Funote"/>
        <w:rPr/>
      </w:pPr>
      <w:r>
        <w:rPr>
          <w:rStyle w:val="Funotenzeichen"/>
        </w:rPr>
        <w:footnoteRef/>
      </w:r>
      <w:r>
        <w:rPr/>
        <w:tab/>
        <w:t>Oder: „Wer immer also ... sein will, erweist...“</w:t>
      </w:r>
    </w:p>
  </w:footnote>
  <w:footnote w:id="2814">
    <w:p>
      <w:pPr>
        <w:pStyle w:val="Funote"/>
        <w:rPr/>
      </w:pPr>
      <w:r>
        <w:rPr>
          <w:rStyle w:val="Funotenzeichen"/>
        </w:rPr>
        <w:footnoteRef/>
      </w:r>
      <w:r>
        <w:rPr/>
        <w:tab/>
        <w:t>Wörtlich: „Zur Eifersucht“ = „eifersüchtig“ (nach NSS).</w:t>
      </w:r>
    </w:p>
  </w:footnote>
  <w:footnote w:id="2815">
    <w:p>
      <w:pPr>
        <w:pStyle w:val="Funote"/>
        <w:rPr/>
      </w:pPr>
      <w:r>
        <w:rPr>
          <w:rStyle w:val="Funotenzeichen"/>
        </w:rPr>
        <w:footnoteRef/>
      </w:r>
      <w:r>
        <w:rPr/>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816">
    <w:p>
      <w:pPr>
        <w:pStyle w:val="Funote"/>
        <w:rPr/>
      </w:pPr>
      <w:r>
        <w:rPr>
          <w:rStyle w:val="Funotenzeichen"/>
        </w:rPr>
        <w:footnoteRef/>
      </w:r>
      <w:r>
        <w:rPr/>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817">
    <w:p>
      <w:pPr>
        <w:pStyle w:val="Funote"/>
        <w:rPr/>
      </w:pPr>
      <w:r>
        <w:rPr>
          <w:rStyle w:val="Funotenzeichen"/>
        </w:rPr>
        <w:footnoteRef/>
      </w:r>
      <w:r>
        <w:rPr/>
        <w:tab/>
        <w:t xml:space="preserve">Die Zuordnung des Zitats ist kaum möglich. Mußner vermutet ein Zitat aus einem unbekannten Apokryphon. Es gibt Anleihen an </w:t>
      </w:r>
      <w:r>
        <w:fldChar w:fldCharType="begin"/>
      </w:r>
      <w:r>
        <w:rPr>
          <w:rStyle w:val="Internetverknpfung"/>
        </w:rPr>
        <w:instrText> HYPERLINK "../../../../../../../../../wiki/Exodus_20" \l "s5"</w:instrText>
      </w:r>
      <w:r>
        <w:rPr>
          <w:rStyle w:val="Internetverknpfung"/>
        </w:rPr>
        <w:fldChar w:fldCharType="separate"/>
      </w:r>
      <w:r>
        <w:rPr>
          <w:rStyle w:val="Internetverknpfung"/>
        </w:rPr>
        <w:t>2Mose 20,5</w:t>
      </w:r>
      <w:r>
        <w:rPr>
          <w:rStyle w:val="Internetverknpfung"/>
        </w:rPr>
        <w:fldChar w:fldCharType="end"/>
      </w:r>
      <w:r>
        <w:rPr/>
        <w:t>,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818">
    <w:p>
      <w:pPr>
        <w:pStyle w:val="Funote"/>
        <w:rPr/>
      </w:pPr>
      <w:r>
        <w:rPr>
          <w:rStyle w:val="Funotenzeichen"/>
        </w:rPr>
        <w:footnoteRef/>
      </w:r>
      <w:r>
        <w:rPr/>
        <w:tab/>
        <w:t>Dann im Gegensatz zu den „Hochmütigen“</w:t>
      </w:r>
    </w:p>
  </w:footnote>
  <w:footnote w:id="2819">
    <w:p>
      <w:pPr>
        <w:pStyle w:val="Funote"/>
        <w:rPr/>
      </w:pPr>
      <w:r>
        <w:rPr>
          <w:rStyle w:val="Funotenzeichen"/>
        </w:rPr>
        <w:footnoteRef/>
      </w:r>
      <w:hyperlink r:id="rId484">
        <w:r>
          <w:rPr>
            <w:rStyle w:val="Internetverknpfung"/>
          </w:rPr>
          <w:tab/>
          <w:t>Sprichwörter 3,34</w:t>
        </w:r>
      </w:hyperlink>
      <w:r>
        <w:rPr/>
        <w:t xml:space="preserve"> nach der Septuaginta.</w:t>
      </w:r>
    </w:p>
  </w:footnote>
  <w:footnote w:id="2820">
    <w:p>
      <w:pPr>
        <w:pStyle w:val="Funote"/>
        <w:rPr/>
      </w:pPr>
      <w:r>
        <w:rPr>
          <w:rStyle w:val="Funotenzeichen"/>
        </w:rPr>
        <w:footnoteRef/>
      </w:r>
      <w:r>
        <w:rPr/>
        <w:tab/>
        <w:t>Hier medial, was sich aber nicht ohne Weiteres ins Deutsche übertragen lässt.</w:t>
      </w:r>
    </w:p>
  </w:footnote>
  <w:footnote w:id="2821">
    <w:p>
      <w:pPr>
        <w:pStyle w:val="Funote"/>
        <w:rPr/>
      </w:pPr>
      <w:r>
        <w:rPr>
          <w:rStyle w:val="Funotenzeichen"/>
        </w:rPr>
        <w:footnoteRef/>
      </w:r>
      <w:r>
        <w:rPr/>
        <w:tab/>
        <w:t>B/A: „tretet vor Gott“. Mit dieser Übersetzung würde aber die parallele Übersetzung des zweiten Satzteils nicht funktionieren.</w:t>
      </w:r>
    </w:p>
  </w:footnote>
  <w:footnote w:id="2822">
    <w:p>
      <w:pPr>
        <w:pStyle w:val="Funote"/>
        <w:rPr/>
      </w:pPr>
      <w:r>
        <w:rPr>
          <w:rStyle w:val="Funotenzeichen"/>
        </w:rPr>
        <w:footnoteRef/>
      </w:r>
      <w:r>
        <w:rPr/>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823">
    <w:p>
      <w:pPr>
        <w:pStyle w:val="Funote"/>
        <w:rPr/>
      </w:pPr>
      <w:r>
        <w:rPr>
          <w:rStyle w:val="Funotenzeichen"/>
        </w:rPr>
        <w:footnoteRef/>
      </w:r>
      <w:r>
        <w:rPr/>
        <w:tab/>
        <w:t>3. Sg. Imp.</w:t>
      </w:r>
    </w:p>
  </w:footnote>
  <w:footnote w:id="2824">
    <w:p>
      <w:pPr>
        <w:pStyle w:val="Funote"/>
        <w:rPr/>
      </w:pPr>
      <w:r>
        <w:rPr>
          <w:rStyle w:val="Funotenzeichen"/>
        </w:rPr>
        <w:footnoteRef/>
      </w:r>
      <w:r>
        <w:rPr/>
        <w:tab/>
        <w:t>Wörtlich „Werdet erniedrigt“.</w:t>
      </w:r>
    </w:p>
  </w:footnote>
  <w:footnote w:id="2825">
    <w:p>
      <w:pPr>
        <w:pStyle w:val="Funote"/>
        <w:rPr/>
      </w:pPr>
      <w:r>
        <w:rPr>
          <w:rStyle w:val="Funotenzeichen"/>
        </w:rPr>
        <w:footnoteRef/>
      </w:r>
      <w:r>
        <w:rPr/>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826">
    <w:p>
      <w:pPr>
        <w:pStyle w:val="Funote"/>
        <w:rPr/>
      </w:pPr>
      <w:r>
        <w:rPr>
          <w:rStyle w:val="Funotenzeichen"/>
        </w:rPr>
        <w:footnoteRef/>
      </w:r>
      <w:r>
        <w:rPr/>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827">
    <w:p>
      <w:pPr>
        <w:pStyle w:val="Funote"/>
        <w:rPr/>
      </w:pPr>
      <w:r>
        <w:rPr>
          <w:rStyle w:val="Funotenzeichen"/>
        </w:rPr>
        <w:footnoteRef/>
      </w:r>
      <w:r>
        <w:rPr/>
        <w:tab/>
        <w:t>Hier Auflösung zweier attributiver Partizipien. Alternativ kann substantiviert aufgelöst werden: „Der Verleumdende … der Richtende“ (wörtlich).</w:t>
      </w:r>
    </w:p>
  </w:footnote>
  <w:footnote w:id="2828">
    <w:p>
      <w:pPr>
        <w:pStyle w:val="Funote"/>
        <w:rPr/>
      </w:pPr>
      <w:r>
        <w:rPr>
          <w:rStyle w:val="Funotenzeichen"/>
        </w:rPr>
        <w:footnoteRef/>
      </w:r>
      <w:r>
        <w:rPr/>
        <w:tab/>
        <w:t>Indefiniter Konditionalsatz.</w:t>
      </w:r>
    </w:p>
  </w:footnote>
  <w:footnote w:id="2829">
    <w:p>
      <w:pPr>
        <w:pStyle w:val="Funote"/>
        <w:rPr/>
      </w:pPr>
      <w:r>
        <w:rPr>
          <w:rStyle w:val="Funotenzeichen"/>
        </w:rPr>
        <w:footnoteRef/>
      </w:r>
      <w:r>
        <w:rPr/>
        <w:tab/>
        <w:t>Oder: „Es gibt einen...“</w:t>
      </w:r>
    </w:p>
  </w:footnote>
  <w:footnote w:id="2830">
    <w:p>
      <w:pPr>
        <w:pStyle w:val="Funote"/>
        <w:rPr/>
      </w:pPr>
      <w:r>
        <w:rPr>
          <w:rStyle w:val="Funotenzeichen"/>
        </w:rPr>
        <w:footnoteRef/>
      </w:r>
      <w:r>
        <w:rPr/>
        <w:tab/>
        <w:t>Attr. Ptz.</w:t>
      </w:r>
    </w:p>
  </w:footnote>
  <w:footnote w:id="2831">
    <w:p>
      <w:pPr>
        <w:pStyle w:val="Funote"/>
        <w:rPr/>
      </w:pPr>
      <w:r>
        <w:rPr>
          <w:rStyle w:val="Funotenzeichen"/>
        </w:rPr>
        <w:footnoteRef/>
      </w:r>
      <w:r>
        <w:rPr/>
        <w:tab/>
        <w:t>Wörtlicher: „Wohlan nun“ (B/A, NSS)</w:t>
      </w:r>
    </w:p>
  </w:footnote>
  <w:footnote w:id="2832">
    <w:p>
      <w:pPr>
        <w:pStyle w:val="Funote"/>
        <w:rPr/>
      </w:pPr>
      <w:r>
        <w:rPr>
          <w:rStyle w:val="Funotenzeichen"/>
        </w:rPr>
        <w:footnoteRef/>
      </w:r>
      <w:r>
        <w:rPr/>
        <w:tab/>
        <w:t>Attr. Ptz.</w:t>
      </w:r>
    </w:p>
  </w:footnote>
  <w:footnote w:id="2833">
    <w:p>
      <w:pPr>
        <w:pStyle w:val="Funote"/>
        <w:rPr/>
      </w:pPr>
      <w:r>
        <w:rPr>
          <w:rStyle w:val="Funotenzeichen"/>
        </w:rPr>
        <w:footnoteRef/>
      </w:r>
      <w:r>
        <w:rPr/>
        <w:tab/>
        <w:t>Alle folgenden Verben modales Futur: Eine Absichtserklärung (NSS).</w:t>
      </w:r>
    </w:p>
  </w:footnote>
  <w:footnote w:id="2834">
    <w:p>
      <w:pPr>
        <w:pStyle w:val="Funote"/>
        <w:rPr/>
      </w:pPr>
      <w:r>
        <w:rPr>
          <w:rStyle w:val="Funotenzeichen"/>
        </w:rPr>
        <w:footnoteRef/>
      </w:r>
      <w:r>
        <w:rPr/>
        <w:tab/>
        <w:t>Mit kausalem Nebensinn: „da ihr nicht wisst...“ (NSS)</w:t>
      </w:r>
    </w:p>
  </w:footnote>
  <w:footnote w:id="2835">
    <w:p>
      <w:pPr>
        <w:pStyle w:val="Funote"/>
        <w:rPr/>
      </w:pPr>
      <w:r>
        <w:rPr>
          <w:rStyle w:val="Funotenzeichen"/>
        </w:rPr>
        <w:footnoteRef/>
      </w:r>
      <w:r>
        <w:rPr/>
        <w:tab/>
        <w:t xml:space="preserve">Wörtlich „...wisst die [Dinge] des morgigen [Tages] wie {beschaffen} [ist] euer Leben“. Alternativ (unter Vernachlässigung der im NA27 gesetzten Interpunktion): „...wisst, [was] morgen [sein wird]. Was ist euer Leben?“ </w:t>
      </w:r>
    </w:p>
  </w:footnote>
  <w:footnote w:id="2836">
    <w:p>
      <w:pPr>
        <w:pStyle w:val="Funote"/>
        <w:rPr/>
      </w:pPr>
      <w:r>
        <w:rPr>
          <w:rStyle w:val="Funotenzeichen"/>
        </w:rPr>
        <w:footnoteRef/>
      </w:r>
      <w:r>
        <w:rPr/>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837">
    <w:p>
      <w:pPr>
        <w:pStyle w:val="Funote"/>
        <w:rPr/>
      </w:pPr>
      <w:r>
        <w:rPr>
          <w:rStyle w:val="Funotenzeichen"/>
        </w:rPr>
        <w:footnoteRef/>
      </w:r>
      <w:r>
        <w:rPr/>
        <w:tab/>
        <w:t>B/A, NSS.</w:t>
      </w:r>
    </w:p>
  </w:footnote>
  <w:footnote w:id="2838">
    <w:p>
      <w:pPr>
        <w:pStyle w:val="Funote"/>
        <w:rPr/>
      </w:pPr>
      <w:r>
        <w:rPr>
          <w:rStyle w:val="Funotenzeichen"/>
        </w:rPr>
        <w:footnoteRef/>
      </w:r>
      <w:r>
        <w:rPr/>
        <w:tab/>
        <w:t>Attr. Ptz.</w:t>
      </w:r>
    </w:p>
  </w:footnote>
  <w:footnote w:id="2839">
    <w:p>
      <w:pPr>
        <w:pStyle w:val="Funote"/>
        <w:rPr/>
      </w:pPr>
      <w:r>
        <w:rPr>
          <w:rStyle w:val="Funotenzeichen"/>
        </w:rPr>
        <w:footnoteRef/>
      </w:r>
      <w:r>
        <w:rPr/>
        <w:tab/>
        <w:t>Wörtlich: „wird er unsichtbar gemacht“</w:t>
      </w:r>
    </w:p>
  </w:footnote>
  <w:footnote w:id="2840">
    <w:p>
      <w:pPr>
        <w:pStyle w:val="Funote"/>
        <w:rPr/>
      </w:pPr>
      <w:r>
        <w:rPr>
          <w:rStyle w:val="Funotenzeichen"/>
        </w:rPr>
        <w:footnoteRef/>
      </w:r>
      <w:r>
        <w:rPr/>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841">
    <w:p>
      <w:pPr>
        <w:pStyle w:val="Funote"/>
        <w:rPr/>
      </w:pPr>
      <w:r>
        <w:rPr>
          <w:rStyle w:val="Funotenzeichen"/>
        </w:rPr>
        <w:footnoteRef/>
      </w:r>
      <w:r>
        <w:rPr/>
        <w:tab/>
        <w:t>Spezieller (im Gegensatz zum generellen) prospektiver Konditionalsatz: Versuch der Berechnung der Folgen einer zukünftigen Handlung.</w:t>
      </w:r>
    </w:p>
  </w:footnote>
  <w:footnote w:id="2842">
    <w:p>
      <w:pPr>
        <w:pStyle w:val="Funote"/>
        <w:rPr/>
      </w:pPr>
      <w:r>
        <w:rPr>
          <w:rStyle w:val="Funotenzeichen"/>
        </w:rPr>
        <w:footnoteRef/>
      </w:r>
      <w:r>
        <w:rPr/>
        <w:tab/>
        <w:t>Vielleicht „mit“ (cf. NSS).</w:t>
      </w:r>
    </w:p>
  </w:footnote>
  <w:footnote w:id="2843">
    <w:p>
      <w:pPr>
        <w:pStyle w:val="Funote"/>
        <w:rPr/>
      </w:pPr>
      <w:r>
        <w:rPr>
          <w:rStyle w:val="Funotenzeichen"/>
        </w:rPr>
        <w:footnoteRef/>
      </w:r>
      <w:r>
        <w:rPr/>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844">
    <w:p>
      <w:pPr>
        <w:pStyle w:val="Funote"/>
        <w:rPr/>
      </w:pPr>
      <w:r>
        <w:rPr>
          <w:rStyle w:val="Funotenzeichen"/>
        </w:rPr>
        <w:footnoteRef/>
      </w:r>
      <w:r>
        <w:rPr/>
        <w:tab/>
        <w:t>Johnson.</w:t>
      </w:r>
    </w:p>
  </w:footnote>
  <w:footnote w:id="2845">
    <w:p>
      <w:pPr>
        <w:pStyle w:val="Funote"/>
        <w:rPr/>
      </w:pPr>
      <w:r>
        <w:rPr>
          <w:rStyle w:val="Funotenzeichen"/>
        </w:rPr>
        <w:footnoteRef/>
      </w:r>
      <w:r>
        <w:rPr/>
        <w:tab/>
        <w:t>Beide Verben der 3. Ps. sind subst. Ptz.</w:t>
      </w:r>
    </w:p>
  </w:footnote>
  <w:footnote w:id="2846">
    <w:p>
      <w:pPr>
        <w:pStyle w:val="Funote"/>
        <w:rPr/>
      </w:pPr>
      <w:r>
        <w:rPr>
          <w:rStyle w:val="Funotenzeichen"/>
        </w:rPr>
        <w:footnoteRef/>
      </w:r>
      <w:r>
        <w:rPr/>
        <w:tab/>
        <w:t>[Status: Zuverlässig]</w:t>
      </w:r>
    </w:p>
  </w:footnote>
  <w:footnote w:id="2847">
    <w:p>
      <w:pPr>
        <w:pStyle w:val="Funote"/>
        <w:rPr/>
      </w:pPr>
      <w:r>
        <w:rPr>
          <w:rStyle w:val="Funotenzeichen"/>
        </w:rPr>
        <w:footnoteRef/>
      </w:r>
      <w:r>
        <w:rPr/>
        <w:tab/>
        <w:t>Modal aufgelöstes Ptc. coni.</w:t>
      </w:r>
    </w:p>
  </w:footnote>
  <w:footnote w:id="2848">
    <w:p>
      <w:pPr>
        <w:pStyle w:val="Funote"/>
        <w:rPr/>
      </w:pPr>
      <w:r>
        <w:rPr>
          <w:rStyle w:val="Funotenzeichen"/>
        </w:rPr>
        <w:footnoteRef/>
      </w:r>
      <w:r>
        <w:rPr/>
        <w:tab/>
        <w:t>Das hier gebrauchte Ptz. Präsens hat normalerweise eine durative/iterative Aspektbedeutung, die hier vermutlich aber in den Hintergrund tritt.</w:t>
      </w:r>
    </w:p>
  </w:footnote>
  <w:footnote w:id="2849">
    <w:p>
      <w:pPr>
        <w:pStyle w:val="Funote"/>
        <w:rPr/>
      </w:pPr>
      <w:r>
        <w:rPr>
          <w:rStyle w:val="Funotenzeichen"/>
        </w:rPr>
        <w:footnoteRef/>
      </w:r>
      <w:r>
        <w:rPr/>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850">
    <w:p>
      <w:pPr>
        <w:pStyle w:val="Funote"/>
        <w:rPr/>
      </w:pPr>
      <w:r>
        <w:rPr>
          <w:rStyle w:val="Funotenzeichen"/>
        </w:rPr>
        <w:footnoteRef/>
      </w:r>
      <w:r>
        <w:rPr/>
        <w:tab/>
        <w:t>Wörtlich: „mottenzerfressen geworden“</w:t>
      </w:r>
    </w:p>
  </w:footnote>
  <w:footnote w:id="2851">
    <w:p>
      <w:pPr>
        <w:pStyle w:val="Funote"/>
        <w:rPr/>
      </w:pPr>
      <w:r>
        <w:rPr>
          <w:rStyle w:val="Funotenzeichen"/>
        </w:rPr>
        <w:footnoteRef/>
      </w:r>
      <w:r>
        <w:rPr/>
        <w:tab/>
        <w:t>Da Gold weder rostet noch anläuft, ist dies entweder eine stilistische Übertreibung oder es müsste alternativ etwa „angelaufen“ oder „matt/stumpf geworden“ heißen (Blomberg/Kamell).</w:t>
      </w:r>
    </w:p>
  </w:footnote>
  <w:footnote w:id="2852">
    <w:p>
      <w:pPr>
        <w:pStyle w:val="Funote"/>
        <w:rPr/>
      </w:pPr>
      <w:r>
        <w:rPr>
          <w:rStyle w:val="Funotenzeichen"/>
        </w:rPr>
        <w:footnoteRef/>
      </w:r>
      <w:r>
        <w:rPr/>
        <w:tab/>
        <w:t>Kommunikativ: „dienen“</w:t>
      </w:r>
    </w:p>
  </w:footnote>
  <w:footnote w:id="2853">
    <w:p>
      <w:pPr>
        <w:pStyle w:val="Funote"/>
        <w:rPr/>
      </w:pPr>
      <w:r>
        <w:rPr>
          <w:rStyle w:val="Funotenzeichen"/>
        </w:rPr>
        <w:footnoteRef/>
      </w:r>
      <w:r>
        <w:rPr/>
        <w:tab/>
        <w:t>Im Original im Plural.</w:t>
      </w:r>
    </w:p>
  </w:footnote>
  <w:footnote w:id="2854">
    <w:p>
      <w:pPr>
        <w:pStyle w:val="Funote"/>
        <w:rPr/>
      </w:pPr>
      <w:r>
        <w:rPr>
          <w:rStyle w:val="Funotenzeichen"/>
        </w:rPr>
        <w:footnoteRef/>
      </w:r>
      <w:r>
        <w:rPr/>
        <w:tab/>
        <w:t>Durch das Verb impliziert (cf. B/A, NSS).</w:t>
      </w:r>
    </w:p>
  </w:footnote>
  <w:footnote w:id="2855">
    <w:p>
      <w:pPr>
        <w:pStyle w:val="Funote"/>
        <w:rPr/>
      </w:pPr>
      <w:r>
        <w:rPr>
          <w:rStyle w:val="Funotenzeichen"/>
        </w:rPr>
        <w:footnoteRef/>
      </w:r>
      <w:r>
        <w:rPr/>
        <w:tab/>
        <w:t>Attr. Ptz.</w:t>
      </w:r>
    </w:p>
  </w:footnote>
  <w:footnote w:id="2856">
    <w:p>
      <w:pPr>
        <w:pStyle w:val="Funote"/>
        <w:rPr/>
      </w:pPr>
      <w:r>
        <w:rPr>
          <w:rStyle w:val="Funotenzeichen"/>
        </w:rPr>
        <w:footnoteRef/>
      </w:r>
      <w:r>
        <w:rPr/>
        <w:tab/>
        <w:t>Ptz. Pf. Pass.; attributives Ptz.</w:t>
      </w:r>
    </w:p>
  </w:footnote>
  <w:footnote w:id="2857">
    <w:p>
      <w:pPr>
        <w:pStyle w:val="Funote"/>
        <w:rPr/>
      </w:pPr>
      <w:r>
        <w:rPr>
          <w:rStyle w:val="Funotenzeichen"/>
        </w:rPr>
        <w:footnoteRef/>
      </w:r>
      <w:r>
        <w:rPr/>
        <w:tab/>
        <w:t>Alternativ: „der [ihnen] vorenthalten wurde, schreit von euch...“</w:t>
      </w:r>
    </w:p>
  </w:footnote>
  <w:footnote w:id="2858">
    <w:p>
      <w:pPr>
        <w:pStyle w:val="Funote"/>
        <w:rPr/>
      </w:pPr>
      <w:r>
        <w:rPr>
          <w:rStyle w:val="Funotenzeichen"/>
        </w:rPr>
        <w:footnoteRef/>
      </w:r>
      <w:r>
        <w:rPr/>
        <w:tab/>
        <w:t>Transkribiert „Sabaoth“. Alternativ auch mit Übersetzung des hebräischen Worts: „Herr der Heerscharen“</w:t>
      </w:r>
    </w:p>
  </w:footnote>
  <w:footnote w:id="2859">
    <w:p>
      <w:pPr>
        <w:pStyle w:val="Funote"/>
        <w:rPr/>
      </w:pPr>
      <w:r>
        <w:rPr>
          <w:rStyle w:val="Funotenzeichen"/>
        </w:rPr>
        <w:footnoteRef/>
      </w:r>
      <w:r>
        <w:rPr/>
        <w:tab/>
        <w:t>Oder kommunikativer: „habt ein üppiges Leben geführt“ (NSS)</w:t>
      </w:r>
    </w:p>
  </w:footnote>
  <w:footnote w:id="2860">
    <w:p>
      <w:pPr>
        <w:pStyle w:val="Funote"/>
        <w:rPr/>
      </w:pPr>
      <w:r>
        <w:rPr>
          <w:rStyle w:val="Funotenzeichen"/>
        </w:rPr>
        <w:footnoteRef/>
      </w:r>
      <w:r>
        <w:rPr/>
        <w:tab/>
        <w:t>Oder kommunikativer: „habt euch dem Vergnügen hingegeben“ (NSS)</w:t>
      </w:r>
    </w:p>
  </w:footnote>
  <w:footnote w:id="2861">
    <w:p>
      <w:pPr>
        <w:pStyle w:val="Funote"/>
        <w:rPr/>
      </w:pPr>
      <w:r>
        <w:rPr>
          <w:rStyle w:val="Funotenzeichen"/>
        </w:rPr>
        <w:footnoteRef/>
      </w:r>
      <w:r>
        <w:rPr/>
        <w:tab/>
        <w:t>Wörtlich: „an [einem]“</w:t>
      </w:r>
    </w:p>
  </w:footnote>
  <w:footnote w:id="2862">
    <w:p>
      <w:pPr>
        <w:pStyle w:val="Funote"/>
        <w:rPr/>
      </w:pPr>
      <w:r>
        <w:rPr>
          <w:rStyle w:val="Funotenzeichen"/>
        </w:rPr>
        <w:footnoteRef/>
      </w:r>
      <w:r>
        <w:rPr/>
        <w:tab/>
        <w:t>Wörtlich „Tag der Schlachtung“. Dies kann sich konkret auf einen gewöhnlichen Schlachttag beziehen, der im Leben der Reichen sicherlich regelmäßig vorkam, spielt aber auf den Tag von Gottes Gericht an.</w:t>
      </w:r>
    </w:p>
  </w:footnote>
  <w:footnote w:id="2863">
    <w:p>
      <w:pPr>
        <w:pStyle w:val="Funote"/>
        <w:rPr/>
      </w:pPr>
      <w:r>
        <w:rPr>
          <w:rStyle w:val="Funotenzeichen"/>
        </w:rPr>
        <w:footnoteRef/>
      </w:r>
      <w:r>
        <w:rPr/>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864">
    <w:p>
      <w:pPr>
        <w:pStyle w:val="Funote"/>
        <w:rPr/>
      </w:pPr>
      <w:r>
        <w:rPr>
          <w:rStyle w:val="Funotenzeichen"/>
        </w:rPr>
        <w:footnoteRef/>
      </w:r>
      <w:r>
        <w:rPr/>
        <w:tab/>
        <w:t>Oder „ihr habt verurteilt, ihr habt den Gerechten ermordet“ (so die wortlautgetreue REB).</w:t>
      </w:r>
    </w:p>
  </w:footnote>
  <w:footnote w:id="2865">
    <w:p>
      <w:pPr>
        <w:pStyle w:val="Funote"/>
        <w:rPr/>
      </w:pPr>
      <w:r>
        <w:rPr>
          <w:rStyle w:val="Funotenzeichen"/>
        </w:rPr>
        <w:footnoteRef/>
      </w:r>
      <w:r>
        <w:rPr/>
        <w:tab/>
        <w:t>Der letzte Satzteil ist vom vorherigen eigentümlich abgetrennt. Manche Exegeten sehen das als Grund, ein „obwohl“ zu ergänzen.</w:t>
      </w:r>
    </w:p>
  </w:footnote>
  <w:footnote w:id="2866">
    <w:p>
      <w:pPr>
        <w:pStyle w:val="Funote"/>
        <w:rPr/>
      </w:pPr>
      <w:r>
        <w:rPr>
          <w:rStyle w:val="Funotenzeichen"/>
        </w:rPr>
        <w:footnoteRef/>
      </w:r>
      <w:r>
        <w:rPr/>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867">
    <w:p>
      <w:pPr>
        <w:pStyle w:val="Funote"/>
        <w:rPr/>
      </w:pPr>
      <w:r>
        <w:rPr>
          <w:rStyle w:val="Funotenzeichen"/>
        </w:rPr>
        <w:footnoteRef/>
      </w:r>
      <w:r>
        <w:rPr/>
        <w:tab/>
        <w:t>Auflösung eines modalen Ptc. coni., alternativ temp. Oder „und geduldig auf sie wartet“.</w:t>
      </w:r>
    </w:p>
  </w:footnote>
  <w:footnote w:id="2868">
    <w:p>
      <w:pPr>
        <w:pStyle w:val="Funote"/>
        <w:rPr/>
      </w:pPr>
      <w:r>
        <w:rPr>
          <w:rStyle w:val="Funotenzeichen"/>
        </w:rPr>
        <w:footnoteRef/>
      </w:r>
      <w:r>
        <w:rPr/>
        <w:tab/>
        <w:t>Anspielung auf Hos 6,4 (Bauckham).</w:t>
      </w:r>
    </w:p>
  </w:footnote>
  <w:footnote w:id="2869">
    <w:p>
      <w:pPr>
        <w:pStyle w:val="Funote"/>
        <w:rPr/>
      </w:pPr>
      <w:r>
        <w:rPr>
          <w:rStyle w:val="Funotenzeichen"/>
        </w:rPr>
        <w:footnoteRef/>
      </w:r>
      <w:r>
        <w:rPr/>
        <w:tab/>
        <w:t>Das hier verwendete griechische Perfekt betont das Resultat eines Vorgangs, weswegen hier mit Zustandspassiv übersetzt wurde.</w:t>
      </w:r>
    </w:p>
  </w:footnote>
  <w:footnote w:id="2870">
    <w:p>
      <w:pPr>
        <w:pStyle w:val="Funote"/>
        <w:rPr/>
      </w:pPr>
      <w:r>
        <w:rPr>
          <w:rStyle w:val="Funotenzeichen"/>
        </w:rPr>
        <w:footnoteRef/>
      </w:r>
      <w:r>
        <w:rPr/>
        <w:tab/>
        <w:t>Imperativ Präsens. Oder: „Hört auf, …“ Im Gegensatz zum unmarkierten Imp. Aor. hat dieser häufig negativ die Bedeutung „hör(t) auf, … zu tun“ bzw. positiv „Tu(t) … weiterhin/immer wieder“ haben.</w:t>
      </w:r>
    </w:p>
  </w:footnote>
  <w:footnote w:id="2871">
    <w:p>
      <w:pPr>
        <w:pStyle w:val="Funote"/>
        <w:rPr/>
      </w:pPr>
      <w:r>
        <w:rPr>
          <w:rStyle w:val="Funotenzeichen"/>
        </w:rPr>
        <w:footnoteRef/>
      </w:r>
      <w:r>
        <w:rPr/>
        <w:tab/>
        <w:t>Auflösung eines subst. Ptz. Aor. Kann ein Rückbezug auf die Propheten sein, ist aber offen formuliert.</w:t>
      </w:r>
    </w:p>
  </w:footnote>
  <w:footnote w:id="2872">
    <w:p>
      <w:pPr>
        <w:pStyle w:val="Funote"/>
        <w:rPr/>
      </w:pPr>
      <w:r>
        <w:rPr>
          <w:rStyle w:val="Funotenzeichen"/>
        </w:rPr>
        <w:footnoteRef/>
      </w:r>
      <w:r>
        <w:rPr/>
        <w:tab/>
        <w:t>Cf. 1,3</w:t>
      </w:r>
    </w:p>
  </w:footnote>
  <w:footnote w:id="2873">
    <w:p>
      <w:pPr>
        <w:pStyle w:val="Funote"/>
        <w:rPr/>
      </w:pPr>
      <w:r>
        <w:rPr>
          <w:rStyle w:val="Funotenzeichen"/>
        </w:rPr>
        <w:footnoteRef/>
      </w:r>
      <w:r>
        <w:rPr/>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874">
    <w:p>
      <w:pPr>
        <w:pStyle w:val="Funote"/>
        <w:rPr/>
      </w:pPr>
      <w:r>
        <w:rPr>
          <w:rStyle w:val="Funotenzeichen"/>
        </w:rPr>
        <w:footnoteRef/>
      </w:r>
      <w:r>
        <w:rPr/>
        <w:tab/>
        <w:t>Imp. Präs. Dieser markiert gelegentlich die Aufforderung, etwas weiterhin/immer wieder zu tun bzw.(endgültig) mit etwas aufzuhören.</w:t>
      </w:r>
    </w:p>
  </w:footnote>
  <w:footnote w:id="2875">
    <w:p>
      <w:pPr>
        <w:pStyle w:val="Funote"/>
        <w:rPr/>
      </w:pPr>
      <w:r>
        <w:rPr>
          <w:rStyle w:val="Funotenzeichen"/>
        </w:rPr>
        <w:footnoteRef/>
      </w:r>
      <w:r>
        <w:rPr/>
        <w:tab/>
        <w:t>3. Sg. Imp. Präs.; s. o.</w:t>
      </w:r>
    </w:p>
  </w:footnote>
  <w:footnote w:id="2876">
    <w:p>
      <w:pPr>
        <w:pStyle w:val="Funote"/>
        <w:rPr/>
      </w:pPr>
      <w:r>
        <w:rPr>
          <w:rStyle w:val="Funotenzeichen"/>
        </w:rPr>
        <w:footnoteRef/>
      </w:r>
      <w:r>
        <w:rPr/>
        <w:tab/>
        <w:t>Wörtlich: „damit ihr nicht unter das Gericht fallt“</w:t>
      </w:r>
    </w:p>
  </w:footnote>
  <w:footnote w:id="2877">
    <w:p>
      <w:pPr>
        <w:pStyle w:val="Funote"/>
        <w:rPr/>
      </w:pPr>
      <w:r>
        <w:rPr>
          <w:rStyle w:val="Funotenzeichen"/>
        </w:rPr>
        <w:footnoteRef/>
      </w:r>
      <w:r>
        <w:rPr/>
        <w:tab/>
        <w:t>3. Sg. Imp. Präs.; s. o.</w:t>
      </w:r>
    </w:p>
  </w:footnote>
  <w:footnote w:id="2878">
    <w:p>
      <w:pPr>
        <w:pStyle w:val="Funote"/>
        <w:rPr/>
      </w:pPr>
      <w:r>
        <w:rPr>
          <w:rStyle w:val="Funotenzeichen"/>
        </w:rPr>
        <w:footnoteRef/>
      </w:r>
      <w:r>
        <w:rPr/>
        <w:tab/>
        <w:t>3. Sg. Imp. Präs.; s. o.</w:t>
      </w:r>
    </w:p>
  </w:footnote>
  <w:footnote w:id="2879">
    <w:p>
      <w:pPr>
        <w:pStyle w:val="Funote"/>
        <w:rPr/>
      </w:pPr>
      <w:r>
        <w:rPr>
          <w:rStyle w:val="Funotenzeichen"/>
        </w:rPr>
        <w:footnoteRef/>
      </w:r>
      <w:r>
        <w:rPr/>
        <w:tab/>
        <w:t>Die drei Bedingungssätze in diesem und dem folgenden Vers können auch als direkte Fragen verstanden werden. Meine Übesetzung folgt der Zeichensetzung im NA27.</w:t>
      </w:r>
    </w:p>
  </w:footnote>
  <w:footnote w:id="2880">
    <w:p>
      <w:pPr>
        <w:pStyle w:val="Funote"/>
        <w:rPr/>
      </w:pPr>
      <w:r>
        <w:rPr>
          <w:rStyle w:val="Funotenzeichen"/>
        </w:rPr>
        <w:footnoteRef/>
      </w:r>
      <w:r>
        <w:rPr/>
        <w:tab/>
        <w:t>Die Definition des Wortes wäre wohl „durch Krankheit geschwächt“ (Cf. B/A)</w:t>
      </w:r>
    </w:p>
  </w:footnote>
  <w:footnote w:id="2881">
    <w:p>
      <w:pPr>
        <w:pStyle w:val="Funote"/>
        <w:rPr/>
      </w:pPr>
      <w:r>
        <w:rPr>
          <w:rStyle w:val="Funotenzeichen"/>
        </w:rPr>
        <w:footnoteRef/>
      </w:r>
      <w:r>
        <w:rPr/>
        <w:tab/>
        <w:t>3. Sg. Imp. Präs.; s. o.</w:t>
      </w:r>
    </w:p>
  </w:footnote>
  <w:footnote w:id="2882">
    <w:p>
      <w:pPr>
        <w:pStyle w:val="Funote"/>
        <w:rPr/>
      </w:pPr>
      <w:r>
        <w:rPr>
          <w:rStyle w:val="Funotenzeichen"/>
        </w:rPr>
        <w:footnoteRef/>
      </w:r>
      <w:r>
        <w:rPr/>
        <w:tab/>
        <w:t>3. Pl. Imp. Aor. Med.</w:t>
      </w:r>
    </w:p>
  </w:footnote>
  <w:footnote w:id="2883">
    <w:p>
      <w:pPr>
        <w:pStyle w:val="Funote"/>
        <w:rPr/>
      </w:pPr>
      <w:r>
        <w:rPr>
          <w:rStyle w:val="Funotenzeichen"/>
        </w:rPr>
        <w:footnoteRef/>
      </w:r>
      <w:r>
        <w:rPr/>
        <w:tab/>
        <w:t>Instrumentaler Dativ.</w:t>
      </w:r>
    </w:p>
  </w:footnote>
  <w:footnote w:id="2884">
    <w:p>
      <w:pPr>
        <w:pStyle w:val="Funote"/>
        <w:rPr/>
      </w:pPr>
      <w:r>
        <w:rPr>
          <w:rStyle w:val="Funotenzeichen"/>
        </w:rPr>
        <w:footnoteRef/>
      </w:r>
      <w:r>
        <w:rPr/>
        <w:tab/>
        <w:t>Adv. Ptz. Aor., das vorzeitig oder gleichzeitig übersetzt werden kann; hier modal interpretiert und mit „und + Verb“ übersetzt. Oder „indem sie ihn ... salben“. Alternativ temporal: „nachdem sie ihn … gesalbt haben“, „während sie ihn … salben“.</w:t>
      </w:r>
    </w:p>
  </w:footnote>
  <w:footnote w:id="2885">
    <w:p>
      <w:pPr>
        <w:pStyle w:val="Funote"/>
        <w:rPr/>
      </w:pPr>
      <w:r>
        <w:rPr>
          <w:rStyle w:val="Funotenzeichen"/>
        </w:rPr>
        <w:footnoteRef/>
      </w:r>
      <w:r>
        <w:rPr/>
        <w:tab/>
        <w:t>Wörtlich: „des Glaubens“; Gen. pertinentiae (Das Gebet geschieht im Glauben.; NSS).</w:t>
      </w:r>
    </w:p>
  </w:footnote>
  <w:footnote w:id="2886">
    <w:p>
      <w:pPr>
        <w:pStyle w:val="Funote"/>
        <w:rPr/>
      </w:pPr>
      <w:r>
        <w:rPr>
          <w:rStyle w:val="Funotenzeichen"/>
        </w:rPr>
        <w:footnoteRef/>
      </w:r>
      <w:r>
        <w:rPr/>
        <w:tab/>
        <w:t>Wörtlich: „wenn er ein Sünden begangen habender ist“ (Ptz. Pf.); periphrastisch (umschreibend; NSS).</w:t>
      </w:r>
    </w:p>
  </w:footnote>
  <w:footnote w:id="2887">
    <w:p>
      <w:pPr>
        <w:pStyle w:val="Funote"/>
        <w:rPr/>
      </w:pPr>
      <w:r>
        <w:rPr>
          <w:rStyle w:val="Funotenzeichen"/>
        </w:rPr>
        <w:footnoteRef/>
      </w:r>
      <w:r>
        <w:rPr/>
        <w:tab/>
        <w:t>Prospektiver Konditionalsatz (Eventualis). Der Vers sieht Krankheit also nicht im Zusammenhang mit Sünde.</w:t>
      </w:r>
    </w:p>
  </w:footnote>
  <w:footnote w:id="2888">
    <w:p>
      <w:pPr>
        <w:pStyle w:val="Funote"/>
        <w:rPr/>
      </w:pPr>
      <w:r>
        <w:rPr>
          <w:rStyle w:val="Funotenzeichen"/>
        </w:rPr>
        <w:footnoteRef/>
      </w:r>
      <w:r>
        <w:rPr/>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889">
    <w:p>
      <w:pPr>
        <w:pStyle w:val="Funote"/>
        <w:rPr/>
      </w:pPr>
      <w:r>
        <w:rPr>
          <w:rStyle w:val="Funotenzeichen"/>
        </w:rPr>
        <w:footnoteRef/>
      </w:r>
      <w:r>
        <w:rPr/>
        <w:tab/>
        <w:t>Wörtlich: „er betete [dem] Gebet“; dies ist ein Dat. modi, also „er betete mit einem Gebet“ (Semitismus). Übersetzung nach Blomberg, NSS.</w:t>
      </w:r>
    </w:p>
  </w:footnote>
  <w:footnote w:id="2890">
    <w:p>
      <w:pPr>
        <w:pStyle w:val="Funote"/>
        <w:rPr/>
      </w:pPr>
      <w:r>
        <w:rPr>
          <w:rStyle w:val="Funotenzeichen"/>
        </w:rPr>
        <w:footnoteRef/>
      </w:r>
      <w:r>
        <w:rPr/>
        <w:tab/>
        <w:t>Hier offenbar eine „Nachbildung des hebr. infinitivus absolutus“ (NSS).</w:t>
      </w:r>
    </w:p>
  </w:footnote>
  <w:footnote w:id="2891">
    <w:p>
      <w:pPr>
        <w:pStyle w:val="Funote"/>
        <w:rPr/>
      </w:pPr>
      <w:r>
        <w:rPr>
          <w:rStyle w:val="Funotenzeichen"/>
        </w:rPr>
        <w:footnoteRef/>
      </w:r>
      <w:r>
        <w:rPr/>
        <w:tab/>
        <w:t>Wörtlich: „gab Regen“</w:t>
      </w:r>
    </w:p>
  </w:footnote>
  <w:footnote w:id="2892">
    <w:p>
      <w:pPr>
        <w:pStyle w:val="Funote"/>
        <w:rPr/>
      </w:pPr>
      <w:r>
        <w:rPr>
          <w:rStyle w:val="Funotenzeichen"/>
        </w:rPr>
        <w:footnoteRef/>
      </w:r>
      <w:r>
        <w:rPr/>
        <w:tab/>
        <w:t xml:space="preserve">3. Sg. Imp. </w:t>
      </w:r>
    </w:p>
  </w:footnote>
  <w:footnote w:id="2893">
    <w:p>
      <w:pPr>
        <w:pStyle w:val="Funote"/>
        <w:rPr/>
      </w:pPr>
      <w:r>
        <w:rPr>
          <w:rStyle w:val="Funotenzeichen"/>
        </w:rPr>
        <w:footnoteRef/>
      </w:r>
      <w:r>
        <w:rPr/>
        <w:tab/>
        <w:t>Wörtlich: „von [der] Verirrung/vom Irrtum seines Weges“</w:t>
      </w:r>
    </w:p>
  </w:footnote>
  <w:footnote w:id="2894">
    <w:p>
      <w:pPr>
        <w:pStyle w:val="Funote"/>
        <w:rPr/>
      </w:pPr>
      <w:r>
        <w:rPr>
          <w:rStyle w:val="Funotenzeichen"/>
        </w:rPr>
        <w:footnoteRef/>
      </w:r>
      <w:r>
        <w:rPr/>
        <w:tab/>
        <w:t>Auflösung eines subst. Ptz.</w:t>
      </w:r>
    </w:p>
  </w:footnote>
  <w:footnote w:id="2895">
    <w:p>
      <w:pPr>
        <w:pStyle w:val="Funote"/>
        <w:rPr/>
      </w:pPr>
      <w:r>
        <w:rPr>
          <w:rStyle w:val="Funotenzeichen"/>
        </w:rPr>
        <w:footnoteRef/>
      </w:r>
      <w:r>
        <w:rPr/>
        <w:tab/>
        <w:t>Vv. 19-20: Gewöhnlicher, prospektiver Konditionalsatz.</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
    <w:lvl w:ilvl="0">
      <w:start w:val="1"/>
      <w:numFmt w:val="none"/>
      <w:suff w:val="nothing"/>
      <w:lvlText w:val=""/>
      <w:lvlJc w:val="left"/>
      <w:pPr>
        <w:ind w:left="0" w:hanging="0"/>
      </w:pPr>
    </w:lvl>
    <w:lvl w:ilvl="1">
      <w:start w:val="1"/>
      <w:pStyle w:val="Berschrift2"/>
      <w:numFmt w:val="none"/>
      <w:suff w:val="nothing"/>
      <w:lvlText w:val=""/>
      <w:lvlJc w:val="left"/>
      <w:pPr>
        <w:ind w:left="0" w:hanging="0"/>
      </w:pPr>
    </w:lvl>
    <w:lvl w:ilvl="2">
      <w:start w:val="1"/>
      <w:pStyle w:val="Berschrift3"/>
      <w:numFmt w:val="none"/>
      <w:suff w:val="nothing"/>
      <w:lvlText w:val=""/>
      <w:lvlJc w:val="left"/>
      <w:pPr>
        <w:ind w:left="0" w:hanging="0"/>
      </w:pPr>
    </w:lvl>
    <w:lvl w:ilvl="3">
      <w:start w:val="1"/>
      <w:pStyle w:val="Berschrift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Aufzhlungszeichen">
    <w:name w:val="Aufzählungszeichen"/>
    <w:qFormat/>
    <w:rPr>
      <w:rFonts w:ascii="OpenSymbol" w:hAnsi="OpenSymbol" w:eastAsia="OpenSymbol" w:cs="OpenSymbol"/>
    </w:rPr>
  </w:style>
  <w:style w:type="character" w:styleId="Nummerierungszeichen">
    <w:name w:val="Nummerierungszeichen"/>
    <w:qFormat/>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 w:type="paragraph" w:styleId="Listeninhalt">
    <w:name w:val="Listeninhalt"/>
    <w:basedOn w:val="Normal"/>
    <w:qFormat/>
    <w:pPr>
      <w:ind w:left="567" w:hanging="0"/>
    </w:pPr>
    <w:rPr/>
  </w:style>
  <w:style w:type="paragraph" w:styleId="Listenkopf">
    <w:name w:val="Listenkopf"/>
    <w:basedOn w:val="Normal"/>
    <w:next w:val="Listeninhalt"/>
    <w:qFormat/>
    <w:pPr>
      <w:ind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mediawiki/index.php%3Ftitle=Nehemia_9,29&amp;action=edit&amp;redlink=1" TargetMode="External"/><Relationship Id="rId2" Type="http://schemas.openxmlformats.org/officeDocument/2006/relationships/hyperlink" Target="http://www.bibelwissenschaft.de/wibilex/das-bibellexikon/lexikon/sachwort/anzeigen/details/moab-moabiter-3/ch/d763214e547e5d75aa217082da90a2ea/" TargetMode="External"/><Relationship Id="rId3" Type="http://schemas.openxmlformats.org/officeDocument/2006/relationships/hyperlink" Target="../../../../../../../../../mediawiki/index.php%3Ftitle=Richter_3&amp;action=edit&amp;redlink=1" TargetMode="External"/><Relationship Id="rId4" Type="http://schemas.openxmlformats.org/officeDocument/2006/relationships/hyperlink" Target="../../../../../../../../../mediawiki/index.php%3Ftitle=Matth%C3%A4us_20&amp;action=edit&amp;redlink=1" TargetMode="External"/><Relationship Id="rId5" Type="http://schemas.openxmlformats.org/officeDocument/2006/relationships/hyperlink" Target="../../../../../../../../../mediawiki/index.php%3Ftitle=Lk_12&amp;action=edit&amp;redlink=1" TargetMode="External"/><Relationship Id="rId6" Type="http://schemas.openxmlformats.org/officeDocument/2006/relationships/hyperlink" Target="../../../../../../../../../mediawiki/index.php%3Ftitle=Deuteronomium_4&amp;action=edit&amp;redlink=1" TargetMode="External"/><Relationship Id="rId7" Type="http://schemas.openxmlformats.org/officeDocument/2006/relationships/hyperlink" Target="../../../../../../../../../mediawiki/index.php%3Ftitle=Jeremia_38&amp;action=edit&amp;redlink=1" TargetMode="External"/><Relationship Id="rId8" Type="http://schemas.openxmlformats.org/officeDocument/2006/relationships/hyperlink" Target="../../../../../../../../../mediawiki/index.php%3Ftitle=Jer_42&amp;action=edit&amp;redlink=1" TargetMode="External"/><Relationship Id="rId9" Type="http://schemas.openxmlformats.org/officeDocument/2006/relationships/hyperlink" Target="../../../../../../../../../mediawiki/index.php%3Ftitle=1Samuel_25&amp;action=edit&amp;redlink=1" TargetMode="External"/><Relationship Id="rId10" Type="http://schemas.openxmlformats.org/officeDocument/2006/relationships/hyperlink" Target="../../../../../../../../../mediawiki/index.php%3Ftitle=1K%C3%B6nige_8&amp;action=edit&amp;redlink=1" TargetMode="External"/><Relationship Id="rId11" Type="http://schemas.openxmlformats.org/officeDocument/2006/relationships/hyperlink" Target="../../../../../../../../../mediawiki/index.php%3Ftitle=Deuteronomium_25&amp;action=edit&amp;redlink=1" TargetMode="External"/><Relationship Id="rId12" Type="http://schemas.openxmlformats.org/officeDocument/2006/relationships/hyperlink" Target="../../../../../../../../../mediawiki/index.php%3Ftitle=1Samuel_20&amp;action=edit&amp;redlink=1" TargetMode="External"/><Relationship Id="rId13" Type="http://schemas.openxmlformats.org/officeDocument/2006/relationships/hyperlink" Target="../../../../../../../../../mediawiki/index.php%3Ftitle=1Samuel_20&amp;action=edit&amp;redlink=1" TargetMode="External"/><Relationship Id="rId14" Type="http://schemas.openxmlformats.org/officeDocument/2006/relationships/hyperlink" Target="../../../../../../../../../mediawiki/index.php%3Ftitle=Ijob_36&amp;action=edit&amp;redlink=1" TargetMode="External"/><Relationship Id="rId15" Type="http://schemas.openxmlformats.org/officeDocument/2006/relationships/hyperlink" Target="../../../../../../../../../mediawiki/index.php%3Ftitle=Ijob_36&amp;action=edit&amp;redlink=1" TargetMode="External"/><Relationship Id="rId16" Type="http://schemas.openxmlformats.org/officeDocument/2006/relationships/hyperlink" Target="../../../../../../../../../mediawiki/index.php%3Ftitle=Psalm_69&amp;action=edit&amp;redlink=1" TargetMode="External"/><Relationship Id="rId17" Type="http://schemas.openxmlformats.org/officeDocument/2006/relationships/hyperlink" Target="https://www.bibelwissenschaft.de/stichwort/15921/" TargetMode="External"/><Relationship Id="rId18" Type="http://schemas.openxmlformats.org/officeDocument/2006/relationships/hyperlink" Target="../../../../../../../../../mediawiki/index.php%3Ftitle=2Samuel_6&amp;action=edit&amp;redlink=1" TargetMode="External"/><Relationship Id="rId19" Type="http://schemas.openxmlformats.org/officeDocument/2006/relationships/hyperlink" Target="../../../../../../../../../wiki/Generisches_Maskulinum" TargetMode="External"/><Relationship Id="rId20" Type="http://schemas.openxmlformats.org/officeDocument/2006/relationships/hyperlink" Target="../../../../../../../../../wiki/Psalter" TargetMode="External"/><Relationship Id="rId21" Type="http://schemas.openxmlformats.org/officeDocument/2006/relationships/hyperlink" Target="../../../../../../../../../mediawiki/index.php%3Ftitle=Daniel_6&amp;action=edit&amp;redlink=1" TargetMode="External"/><Relationship Id="rId22" Type="http://schemas.openxmlformats.org/officeDocument/2006/relationships/hyperlink" Target="../../../../../../../../../mediawiki/index.php%3Ftitle=2_Samuel_16&amp;action=edit&amp;redlink=1" TargetMode="External"/><Relationship Id="rId23" Type="http://schemas.openxmlformats.org/officeDocument/2006/relationships/hyperlink" Target="http://www.offene-bibel.de/wiki/index.php5?title=Sela" TargetMode="External"/><Relationship Id="rId24" Type="http://schemas.openxmlformats.org/officeDocument/2006/relationships/hyperlink" Target="https://www.bibelwissenschaft.de/stichwort/35418/" TargetMode="External"/><Relationship Id="rId25" Type="http://schemas.openxmlformats.org/officeDocument/2006/relationships/hyperlink" Target="http://www.offene-bibel.de/wiki/index.php5?title=Sela" TargetMode="External"/><Relationship Id="rId26" Type="http://schemas.openxmlformats.org/officeDocument/2006/relationships/hyperlink" Target="../../../../../../../../../mediawiki/index.php%3Ftitle=Psalm_55&amp;action=edit&amp;redlink=1" TargetMode="External"/><Relationship Id="rId27" Type="http://schemas.openxmlformats.org/officeDocument/2006/relationships/hyperlink" Target="../../../../../../../../../mediawiki/index.php%3Ftitle=Jesaja_24&amp;action=edit&amp;redlink=1" TargetMode="External"/><Relationship Id="rId28" Type="http://schemas.openxmlformats.org/officeDocument/2006/relationships/hyperlink" Target="../../../../../../../../../mediawiki/index.php%3Ftitle=Hosea_4&amp;action=edit&amp;redlink=1" TargetMode="External"/><Relationship Id="rId29" Type="http://schemas.openxmlformats.org/officeDocument/2006/relationships/hyperlink" Target="../../../../../../../../../mediawiki/index.php%3Ftitle=Habakkuk_3&amp;action=edit&amp;redlink=1" TargetMode="External"/><Relationship Id="rId30" Type="http://schemas.openxmlformats.org/officeDocument/2006/relationships/hyperlink" Target="http://www.offene-bibel.de/wiki/index.php5?title=Sela" TargetMode="External"/><Relationship Id="rId31" Type="http://schemas.openxmlformats.org/officeDocument/2006/relationships/hyperlink" Target="../../../../../../../../../mediawiki/index.php%3Ftitle=Ezechiel_33&amp;action=edit&amp;redlink=1" TargetMode="External"/><Relationship Id="rId32" Type="http://schemas.openxmlformats.org/officeDocument/2006/relationships/hyperlink" Target="../../../../../../../../../mediawiki/index.php%3Ftitle=Ezechiel_18&amp;action=edit&amp;redlink=1" TargetMode="External"/><Relationship Id="rId33" Type="http://schemas.openxmlformats.org/officeDocument/2006/relationships/hyperlink" Target="../../../../../../../../../mediawiki/index.php%3Ftitle=Jesaja_24&amp;action=edit&amp;redlink=1" TargetMode="External"/><Relationship Id="rId34" Type="http://schemas.openxmlformats.org/officeDocument/2006/relationships/hyperlink" Target="../../../../../../../../../mediawiki/index.php%3Ftitle=Klagelied_1&amp;action=edit&amp;redlink=1" TargetMode="External"/><Relationship Id="rId35" Type="http://schemas.openxmlformats.org/officeDocument/2006/relationships/hyperlink" Target="../../../../../../../../../mediawiki/index.php%3Ftitle=Genesis_30&amp;action=edit&amp;redlink=1" TargetMode="External"/><Relationship Id="rId36" Type="http://schemas.openxmlformats.org/officeDocument/2006/relationships/hyperlink" Target="../../../../../../../../../mediawiki/index.php%3Ftitle=Exodus_32&amp;action=edit&amp;redlink=1" TargetMode="External"/><Relationship Id="rId37" Type="http://schemas.openxmlformats.org/officeDocument/2006/relationships/hyperlink" Target="../../../../../../../../../mediawiki/index.php%3Ftitle=Deuteronomium_9&amp;action=edit&amp;redlink=1" TargetMode="External"/><Relationship Id="rId38" Type="http://schemas.openxmlformats.org/officeDocument/2006/relationships/hyperlink" Target="../../../../../../../../../mediawiki/index.php%3Ftitle=1Samuel_2&amp;action=edit&amp;redlink=1" TargetMode="External"/><Relationship Id="rId39" Type="http://schemas.openxmlformats.org/officeDocument/2006/relationships/hyperlink" Target="../../../../../../../../../mediawiki/index.php%3Ftitle=Psalm_21&amp;action=edit&amp;redlink=1" TargetMode="External"/><Relationship Id="rId40" Type="http://schemas.openxmlformats.org/officeDocument/2006/relationships/hyperlink" Target="../../../../../../../../../mediawiki/index.php%3Ftitle=Leviticus_26&amp;action=edit&amp;redlink=1" TargetMode="External"/><Relationship Id="rId41" Type="http://schemas.openxmlformats.org/officeDocument/2006/relationships/hyperlink" Target="../../../../../../../../../mediawiki/index.php%3Ftitle=2Chronik_25&amp;action=edit&amp;redlink=1" TargetMode="External"/><Relationship Id="rId42" Type="http://schemas.openxmlformats.org/officeDocument/2006/relationships/hyperlink" Target="../../../../../../../../../mediawiki/index.php%3Ftitle=Psalm_64&amp;action=edit&amp;redlink=1" TargetMode="External"/><Relationship Id="rId43" Type="http://schemas.openxmlformats.org/officeDocument/2006/relationships/hyperlink" Target="../../../../../../../../../mediawiki/index.php%3Ftitle=Jesaja_3&amp;action=edit&amp;redlink=1" TargetMode="External"/><Relationship Id="rId44" Type="http://schemas.openxmlformats.org/officeDocument/2006/relationships/hyperlink" Target="https://www.bibelwissenschaft.de/stichwort/23844/" TargetMode="External"/><Relationship Id="rId45" Type="http://schemas.openxmlformats.org/officeDocument/2006/relationships/hyperlink" Target="../../../../../../../../../mediawiki/index.php%3Ftitle=Psalm_89&amp;action=edit&amp;redlink=1" TargetMode="External"/><Relationship Id="rId46" Type="http://schemas.openxmlformats.org/officeDocument/2006/relationships/hyperlink" Target="../../../../../../../../../mediawiki/index.php%3Ftitle=Psalm_89&amp;action=edit&amp;redlink=1" TargetMode="External"/><Relationship Id="rId47" Type="http://schemas.openxmlformats.org/officeDocument/2006/relationships/hyperlink" Target="https://www.bibelwissenschaft.de/stichwort/35418/" TargetMode="External"/><Relationship Id="rId48" Type="http://schemas.openxmlformats.org/officeDocument/2006/relationships/hyperlink" Target="../../../../../../../../../mediawiki/index.php%3Ftitle=1Samuel_1&amp;action=edit&amp;redlink=1" TargetMode="External"/><Relationship Id="rId49" Type="http://schemas.openxmlformats.org/officeDocument/2006/relationships/hyperlink" Target="../../../../../../../../../mediawiki/index.php%3Ftitle=Psalm_44&amp;action=edit&amp;redlink=1" TargetMode="External"/><Relationship Id="rId50" Type="http://schemas.openxmlformats.org/officeDocument/2006/relationships/hyperlink" Target="../../../../../../../../../mediawiki/index.php%3Ftitle=Jesaja_49&amp;action=edit&amp;redlink=1" TargetMode="External"/><Relationship Id="rId51" Type="http://schemas.openxmlformats.org/officeDocument/2006/relationships/hyperlink" Target="../../../../../../../../../mediawiki/index.php%3Ftitle=Klagelieder_5&amp;action=edit&amp;redlink=1" TargetMode="External"/><Relationship Id="rId52" Type="http://schemas.openxmlformats.org/officeDocument/2006/relationships/hyperlink" Target="../../../../../../../../../mediawiki/index.php%3Ftitle=Psalm_92&amp;action=edit&amp;redlink=1" TargetMode="External"/><Relationship Id="rId53" Type="http://schemas.openxmlformats.org/officeDocument/2006/relationships/hyperlink" Target="http://www.offene-bibel.de/wiki/index.php5?title=Sela" TargetMode="External"/><Relationship Id="rId54" Type="http://schemas.openxmlformats.org/officeDocument/2006/relationships/hyperlink" Target="https://www.bibelwissenschaft.de/stichwort/33830/" TargetMode="External"/><Relationship Id="rId55" Type="http://schemas.openxmlformats.org/officeDocument/2006/relationships/hyperlink" Target="../../../../../../../../../wiki/Psalm_9" TargetMode="External"/><Relationship Id="rId56" Type="http://schemas.openxmlformats.org/officeDocument/2006/relationships/hyperlink" Target="../../../../../../../../../mediawiki/index.php%3Ftitle=Sprichw%C3%B6rter_10&amp;action=edit&amp;redlink=1" TargetMode="External"/><Relationship Id="rId57" Type="http://schemas.openxmlformats.org/officeDocument/2006/relationships/hyperlink" Target="../../../../../../../../../mediawiki/index.php%3Ftitle=Psalm_46&amp;action=edit&amp;redlink=1" TargetMode="External"/><Relationship Id="rId58" Type="http://schemas.openxmlformats.org/officeDocument/2006/relationships/hyperlink" Target="../../../../../../../../../mediawiki/index.php%3Ftitle=Psalm_62&amp;action=edit&amp;redlink=1" TargetMode="External"/><Relationship Id="rId59" Type="http://schemas.openxmlformats.org/officeDocument/2006/relationships/hyperlink" Target="../../../../../../../../../mediawiki/index.php%3Ftitle=Psalm_112&amp;action=edit&amp;redlink=1" TargetMode="External"/><Relationship Id="rId60" Type="http://schemas.openxmlformats.org/officeDocument/2006/relationships/hyperlink" Target="../../../../../../../../../mediawiki/index.php%3Ftitle=Psalm_125&amp;action=edit&amp;redlink=1" TargetMode="External"/><Relationship Id="rId61" Type="http://schemas.openxmlformats.org/officeDocument/2006/relationships/hyperlink" Target="../../../../../../../../../mediawiki/index.php%3Ftitle=Jeremia_16&amp;action=edit&amp;redlink=1" TargetMode="External"/><Relationship Id="rId62" Type="http://schemas.openxmlformats.org/officeDocument/2006/relationships/hyperlink" Target="../../../../../../../../../mediawiki/index.php%3Ftitle=Habakuk_1&amp;action=edit&amp;redlink=1" TargetMode="External"/><Relationship Id="rId63" Type="http://schemas.openxmlformats.org/officeDocument/2006/relationships/hyperlink" Target="../../../../../../../../../mediawiki/index.php%3Ftitle=1Samuel_1&amp;action=edit&amp;redlink=1" TargetMode="External"/><Relationship Id="rId64" Type="http://schemas.openxmlformats.org/officeDocument/2006/relationships/hyperlink" Target="../../../../../../../../../mediawiki/index.php%3Ftitle=Psalm_44&amp;action=edit&amp;redlink=1" TargetMode="External"/><Relationship Id="rId65" Type="http://schemas.openxmlformats.org/officeDocument/2006/relationships/hyperlink" Target="../../../../../../../../../mediawiki/index.php%3Ftitle=Jesaja_49&amp;action=edit&amp;redlink=1" TargetMode="External"/><Relationship Id="rId66" Type="http://schemas.openxmlformats.org/officeDocument/2006/relationships/hyperlink" Target="../../../../../../../../../mediawiki/index.php%3Ftitle=Klagelieder_5&amp;action=edit&amp;redlink=1" TargetMode="External"/><Relationship Id="rId67" Type="http://schemas.openxmlformats.org/officeDocument/2006/relationships/hyperlink" Target="../../../../../../../../../mediawiki/index.php%3Ftitle=Richter_16&amp;action=edit&amp;redlink=1" TargetMode="External"/><Relationship Id="rId68" Type="http://schemas.openxmlformats.org/officeDocument/2006/relationships/hyperlink" Target="../../../../../../../../../mediawiki/index.php%3Ftitle=Psalm_46&amp;action=edit&amp;redlink=1" TargetMode="External"/><Relationship Id="rId69" Type="http://schemas.openxmlformats.org/officeDocument/2006/relationships/hyperlink" Target="../../../../../../../../../mediawiki/index.php%3Ftitle=Psalm_48&amp;action=edit&amp;redlink=1" TargetMode="External"/><Relationship Id="rId70" Type="http://schemas.openxmlformats.org/officeDocument/2006/relationships/hyperlink" Target="../../../../../../../../../mediawiki/index.php%3Ftitle=Psalm_61&amp;action=edit&amp;redlink=1" TargetMode="External"/><Relationship Id="rId71" Type="http://schemas.openxmlformats.org/officeDocument/2006/relationships/hyperlink" Target="../../../../../../../../../mediawiki/index.php%3Ftitle=Jeremia_50&amp;action=edit&amp;redlink=1" TargetMode="External"/><Relationship Id="rId72" Type="http://schemas.openxmlformats.org/officeDocument/2006/relationships/hyperlink" Target="../../../../../../../../../mediawiki/index.php%3Ftitle=Psalm_59&amp;action=edit&amp;redlink=1" TargetMode="External"/><Relationship Id="rId73" Type="http://schemas.openxmlformats.org/officeDocument/2006/relationships/hyperlink" Target="../../../../../../../../../mediawiki/index.php%3Ftitle=Psalm_83&amp;action=edit&amp;redlink=1" TargetMode="External"/><Relationship Id="rId74" Type="http://schemas.openxmlformats.org/officeDocument/2006/relationships/hyperlink" Target="../../../../../../../../../mediawiki/index.php%3Ftitle=Ezechiel_38&amp;action=edit&amp;redlink=1" TargetMode="External"/><Relationship Id="rId75" Type="http://schemas.openxmlformats.org/officeDocument/2006/relationships/hyperlink" Target="../../../../../../../../../wiki/Genesis_25" TargetMode="External"/><Relationship Id="rId76" Type="http://schemas.openxmlformats.org/officeDocument/2006/relationships/hyperlink" Target="../../../../../../../../../mediawiki/index.php%3Ftitle=Exodus_22&amp;action=edit&amp;redlink=1" TargetMode="External"/><Relationship Id="rId77" Type="http://schemas.openxmlformats.org/officeDocument/2006/relationships/hyperlink" Target="../../../../../../../../../mediawiki/index.php%3Ftitle=Deuteronomium_23&amp;action=edit&amp;redlink=1" TargetMode="External"/><Relationship Id="rId78" Type="http://schemas.openxmlformats.org/officeDocument/2006/relationships/hyperlink" Target="../../../../../../../../../mediawiki/index.php%3Ftitle=Ezechiel_18&amp;action=edit&amp;redlink=1" TargetMode="External"/><Relationship Id="rId79" Type="http://schemas.openxmlformats.org/officeDocument/2006/relationships/hyperlink" Target="../../../../../../../../../mediawiki/index.php%3Ftitle=Exodus_23&amp;action=edit&amp;redlink=1" TargetMode="External"/><Relationship Id="rId80" Type="http://schemas.openxmlformats.org/officeDocument/2006/relationships/hyperlink" Target="../../../../../../../../../mediawiki/index.php%3Ftitle=Deuteronomium_27&amp;action=edit&amp;redlink=1" TargetMode="External"/><Relationship Id="rId81" Type="http://schemas.openxmlformats.org/officeDocument/2006/relationships/hyperlink" Target="../../../../../../../../../mediawiki/index.php%3Ftitle=Sprichw%C3%B6rter_10&amp;action=edit&amp;redlink=1" TargetMode="External"/><Relationship Id="rId82" Type="http://schemas.openxmlformats.org/officeDocument/2006/relationships/hyperlink" Target="../../../../../../../../../mediawiki/index.php%3Ftitle=Psalm_46&amp;action=edit&amp;redlink=1" TargetMode="External"/><Relationship Id="rId83" Type="http://schemas.openxmlformats.org/officeDocument/2006/relationships/hyperlink" Target="../../../../../../../../../mediawiki/index.php%3Ftitle=Psalm_62&amp;action=edit&amp;redlink=1" TargetMode="External"/><Relationship Id="rId84" Type="http://schemas.openxmlformats.org/officeDocument/2006/relationships/hyperlink" Target="../../../../../../../../../mediawiki/index.php%3Ftitle=Psalm_112&amp;action=edit&amp;redlink=1" TargetMode="External"/><Relationship Id="rId85" Type="http://schemas.openxmlformats.org/officeDocument/2006/relationships/hyperlink" Target="../../../../../../../../../mediawiki/index.php%3Ftitle=Psalm_125&amp;action=edit&amp;redlink=1" TargetMode="External"/><Relationship Id="rId86" Type="http://schemas.openxmlformats.org/officeDocument/2006/relationships/hyperlink" Target="../../../../../../../../../mediawiki/index.php%3Ftitle=Psalm_78&amp;action=edit&amp;redlink=1" TargetMode="External"/><Relationship Id="rId87" Type="http://schemas.openxmlformats.org/officeDocument/2006/relationships/hyperlink" Target="../../../../../../../../../mediawiki/index.php%3Ftitle=Micha_2&amp;action=edit&amp;redlink=1" TargetMode="External"/><Relationship Id="rId88" Type="http://schemas.openxmlformats.org/officeDocument/2006/relationships/hyperlink" Target="http://www.bibelwissenschaft.de/stichwort/33830/" TargetMode="External"/><Relationship Id="rId89" Type="http://schemas.openxmlformats.org/officeDocument/2006/relationships/hyperlink" Target="../../../../../../../../../mediawiki/index.php%3Ftitle=Sprichw%C3%B6rter_5&amp;action=edit&amp;redlink=1" TargetMode="External"/><Relationship Id="rId90" Type="http://schemas.openxmlformats.org/officeDocument/2006/relationships/hyperlink" Target="../../../../../../../../../mediawiki/index.php%3Ftitle=Sprichw%C3%B6rter_15&amp;action=edit&amp;redlink=1" TargetMode="External"/><Relationship Id="rId91" Type="http://schemas.openxmlformats.org/officeDocument/2006/relationships/hyperlink" Target="../../../../../../../../../mediawiki/index.php%3Ftitle=Ijob_15&amp;action=edit&amp;redlink=1" TargetMode="External"/><Relationship Id="rId92" Type="http://schemas.openxmlformats.org/officeDocument/2006/relationships/hyperlink" Target="../../../../../../../../../mediawiki/index.php%3Ftitle=Josua_13&amp;action=edit&amp;redlink=1" TargetMode="External"/><Relationship Id="rId93" Type="http://schemas.openxmlformats.org/officeDocument/2006/relationships/hyperlink" Target="../../../../../../../../../mediawiki/index.php%3Ftitle=Josua_14&amp;action=edit&amp;redlink=1" TargetMode="External"/><Relationship Id="rId94" Type="http://schemas.openxmlformats.org/officeDocument/2006/relationships/hyperlink" Target="../../../../../../../../../mediawiki/index.php%3Ftitle=Richter_18&amp;action=edit&amp;redlink=1" TargetMode="External"/><Relationship Id="rId95" Type="http://schemas.openxmlformats.org/officeDocument/2006/relationships/hyperlink" Target="../../../../../../../../../mediawiki/index.php%3Ftitle=Ijob_21&amp;action=edit&amp;redlink=1" TargetMode="External"/><Relationship Id="rId96" Type="http://schemas.openxmlformats.org/officeDocument/2006/relationships/hyperlink" Target="../../../../../../../../../mediawiki/index.php%3Ftitle=Sprichw%C3%B6rter_13&amp;action=edit&amp;redlink=1" TargetMode="External"/><Relationship Id="rId97" Type="http://schemas.openxmlformats.org/officeDocument/2006/relationships/hyperlink" Target="../../../../../../../../../mediawiki/index.php%3Ftitle=Ijob_20&amp;action=edit&amp;redlink=1" TargetMode="External"/><Relationship Id="rId98" Type="http://schemas.openxmlformats.org/officeDocument/2006/relationships/hyperlink" Target="../../../../../../../../../mediawiki/index.php%3Ftitle=Psalm_46&amp;action=edit&amp;redlink=1" TargetMode="External"/><Relationship Id="rId99" Type="http://schemas.openxmlformats.org/officeDocument/2006/relationships/hyperlink" Target="../../../../../../../../../mediawiki/index.php%3Ftitle=Psalm_143&amp;action=edit&amp;redlink=1" TargetMode="External"/><Relationship Id="rId100" Type="http://schemas.openxmlformats.org/officeDocument/2006/relationships/hyperlink" Target="../../../../../../../../../mediawiki/index.php%3Ftitle=Zefanja_3&amp;action=edit&amp;redlink=1" TargetMode="External"/><Relationship Id="rId101" Type="http://schemas.openxmlformats.org/officeDocument/2006/relationships/hyperlink" Target="../../../../../../../../../mediawiki/index.php%3Ftitle=Psalm_35&amp;action=edit&amp;redlink=1" TargetMode="External"/><Relationship Id="rId102" Type="http://schemas.openxmlformats.org/officeDocument/2006/relationships/hyperlink" Target="../../../../../../../../../mediawiki/index.php%3Ftitle=Psalm_44&amp;action=edit&amp;redlink=1" TargetMode="External"/><Relationship Id="rId103" Type="http://schemas.openxmlformats.org/officeDocument/2006/relationships/hyperlink" Target="../../../../../../../../../mediawiki/index.php%3Ftitle=Psalm_69&amp;action=edit&amp;redlink=1" TargetMode="External"/><Relationship Id="rId104" Type="http://schemas.openxmlformats.org/officeDocument/2006/relationships/hyperlink" Target="../../../../../../../../../mediawiki/index.php%3Ftitle=2Samuel_22&amp;action=edit&amp;redlink=1" TargetMode="External"/><Relationship Id="rId105" Type="http://schemas.openxmlformats.org/officeDocument/2006/relationships/hyperlink" Target="https://www.bibelwissenschaft.de/stichwort/15921/" TargetMode="External"/><Relationship Id="rId106" Type="http://schemas.openxmlformats.org/officeDocument/2006/relationships/hyperlink" Target="../../../../../../../../../mediawiki/index.php%3Ftitle=2Samuel_6&amp;action=edit&amp;redlink=1" TargetMode="External"/><Relationship Id="rId107" Type="http://schemas.openxmlformats.org/officeDocument/2006/relationships/hyperlink" Target="http://en.wikisource.org/wiki/Gesenius&apos;_Hebrew_Grammar/144" TargetMode="External"/><Relationship Id="rId108" Type="http://schemas.openxmlformats.org/officeDocument/2006/relationships/hyperlink" Target="http://wp.patheos.com.s3.amazonaws.com/blogs/exploringourmatrix/files/2012/11/Ancient-Hebrew-view-of-universe.png" TargetMode="External"/><Relationship Id="rId109" Type="http://schemas.openxmlformats.org/officeDocument/2006/relationships/hyperlink" Target="../../../../../../../../../mediawiki/index.php%3Ftitle=Psalm_103&amp;action=edit&amp;redlink=1" TargetMode="External"/><Relationship Id="rId110" Type="http://schemas.openxmlformats.org/officeDocument/2006/relationships/hyperlink" Target="../../../../../../../../../mediawiki/index.php%3Ftitle=Psalm_111&amp;action=edit&amp;redlink=1" TargetMode="External"/><Relationship Id="rId111" Type="http://schemas.openxmlformats.org/officeDocument/2006/relationships/hyperlink" Target="../../../../../../../../../mediawiki/index.php%3Ftitle=Psalm_119&amp;action=edit&amp;redlink=1" TargetMode="External"/><Relationship Id="rId112" Type="http://schemas.openxmlformats.org/officeDocument/2006/relationships/hyperlink" Target="../../../../../../../../../mediawiki/index.php%3Ftitle=Psalm_119&amp;action=edit&amp;redlink=1" TargetMode="External"/><Relationship Id="rId113" Type="http://schemas.openxmlformats.org/officeDocument/2006/relationships/hyperlink" Target="../../../../../../../../../mediawiki/index.php%3Ftitle=Psalm_119&amp;action=edit&amp;redlink=1" TargetMode="External"/><Relationship Id="rId114" Type="http://schemas.openxmlformats.org/officeDocument/2006/relationships/hyperlink" Target="../../../../../../../../../mediawiki/index.php%3Ftitle=Psalm_119&amp;action=edit&amp;redlink=1" TargetMode="External"/><Relationship Id="rId115" Type="http://schemas.openxmlformats.org/officeDocument/2006/relationships/hyperlink" Target="../../../../../../../../../mediawiki/index.php%3Ftitle=Psalm_119&amp;action=edit&amp;redlink=1" TargetMode="External"/><Relationship Id="rId116" Type="http://schemas.openxmlformats.org/officeDocument/2006/relationships/hyperlink" Target="../../../../../../../../../mediawiki/index.php%3Ftitle=Psalm_119&amp;action=edit&amp;redlink=1" TargetMode="External"/><Relationship Id="rId117" Type="http://schemas.openxmlformats.org/officeDocument/2006/relationships/hyperlink" Target="../../../../../../../../../mediawiki/index.php%3Ftitle=Psalm_119&amp;action=edit&amp;redlink=1" TargetMode="External"/><Relationship Id="rId118" Type="http://schemas.openxmlformats.org/officeDocument/2006/relationships/hyperlink" Target="../../../../../../../../../mediawiki/index.php%3Ftitle=Psalm_119&amp;action=edit&amp;redlink=1" TargetMode="External"/><Relationship Id="rId119" Type="http://schemas.openxmlformats.org/officeDocument/2006/relationships/hyperlink" Target="../../../../../../../../../mediawiki/index.php%3Ftitle=Psalm_119&amp;action=edit&amp;redlink=1" TargetMode="External"/><Relationship Id="rId120" Type="http://schemas.openxmlformats.org/officeDocument/2006/relationships/hyperlink" Target="../../../../../../../../../mediawiki/index.php%3Ftitle=Psalm_119&amp;action=edit&amp;redlink=1" TargetMode="External"/><Relationship Id="rId121" Type="http://schemas.openxmlformats.org/officeDocument/2006/relationships/hyperlink" Target="../../../../../../../../../mediawiki/index.php%3Ftitle=Psalm_119&amp;action=edit&amp;redlink=1" TargetMode="External"/><Relationship Id="rId122" Type="http://schemas.openxmlformats.org/officeDocument/2006/relationships/hyperlink" Target="../../../../../../../../../mediawiki/index.php%3Ftitle=Psalm_119&amp;action=edit&amp;redlink=1" TargetMode="External"/><Relationship Id="rId123" Type="http://schemas.openxmlformats.org/officeDocument/2006/relationships/hyperlink" Target="../../../../../../../../../mediawiki/index.php%3Ftitle=Deuteronomium_10&amp;action=edit&amp;redlink=1" TargetMode="External"/><Relationship Id="rId124" Type="http://schemas.openxmlformats.org/officeDocument/2006/relationships/hyperlink" Target="../../../../../../../../../mediawiki/index.php%3Ftitle=1K%C3%B6nige_8&amp;action=edit&amp;redlink=1" TargetMode="External"/><Relationship Id="rId125" Type="http://schemas.openxmlformats.org/officeDocument/2006/relationships/hyperlink" Target="../../../../../../../../../mediawiki/index.php%3Ftitle=2Chronik_2&amp;action=edit&amp;redlink=1" TargetMode="External"/><Relationship Id="rId126" Type="http://schemas.openxmlformats.org/officeDocument/2006/relationships/hyperlink" Target="../../../../../../../../../mediawiki/index.php%3Ftitle=2Chronik_6&amp;action=edit&amp;redlink=1" TargetMode="External"/><Relationship Id="rId127" Type="http://schemas.openxmlformats.org/officeDocument/2006/relationships/hyperlink" Target="../../../../../../../../../wiki/Levitikus_4" TargetMode="External"/><Relationship Id="rId128" Type="http://schemas.openxmlformats.org/officeDocument/2006/relationships/hyperlink" Target="../../../../../../../../../wiki/Levitikus_5" TargetMode="External"/><Relationship Id="rId129" Type="http://schemas.openxmlformats.org/officeDocument/2006/relationships/hyperlink" Target="../../../../../../../../../mediawiki/index.php%3Ftitle=Ijob_16&amp;action=edit&amp;redlink=1" TargetMode="External"/><Relationship Id="rId130" Type="http://schemas.openxmlformats.org/officeDocument/2006/relationships/hyperlink" Target="../../../../../../../../../mediawiki/index.php%3Ftitle=Psalm_35&amp;action=edit&amp;redlink=1" TargetMode="External"/><Relationship Id="rId131" Type="http://schemas.openxmlformats.org/officeDocument/2006/relationships/hyperlink" Target="../../../../../../../../../mediawiki/index.php%3Ftitle=Psalm_44&amp;action=edit&amp;redlink=1" TargetMode="External"/><Relationship Id="rId132" Type="http://schemas.openxmlformats.org/officeDocument/2006/relationships/hyperlink" Target="../../../../../../../../../mediawiki/index.php%3Ftitle=Psalm_64&amp;action=edit&amp;redlink=1" TargetMode="External"/><Relationship Id="rId133" Type="http://schemas.openxmlformats.org/officeDocument/2006/relationships/hyperlink" Target="../../../../../../../../../mediawiki/index.php%3Ftitle=Psalm_25&amp;action=edit&amp;redlink=1" TargetMode="External"/><Relationship Id="rId134" Type="http://schemas.openxmlformats.org/officeDocument/2006/relationships/hyperlink" Target="../../../../../../../../../mediawiki/index.php%3Ftitle=Ezechiel_39&amp;action=edit&amp;redlink=1" TargetMode="External"/><Relationship Id="rId135" Type="http://schemas.openxmlformats.org/officeDocument/2006/relationships/hyperlink" Target="../../../../../../../../../mediawiki/index.php%3Ftitle=Psalm_35&amp;action=edit&amp;redlink=1" TargetMode="External"/><Relationship Id="rId136" Type="http://schemas.openxmlformats.org/officeDocument/2006/relationships/hyperlink" Target="http://www.bibelwissenschaft.de/nc/wibilex/das-bibellexikon/details/quelle/WIBI/referenz/24713/" TargetMode="External"/><Relationship Id="rId137" Type="http://schemas.openxmlformats.org/officeDocument/2006/relationships/hyperlink" Target="../../../../../../../../../mediawiki/index.php%3Ftitle=1Makkab%C3%A4er_4&amp;action=edit&amp;redlink=1" TargetMode="External"/><Relationship Id="rId138" Type="http://schemas.openxmlformats.org/officeDocument/2006/relationships/hyperlink" Target="../../../../../../../../../mediawiki/index.php%3Ftitle=2Makkab%C3%A4er_10&amp;action=edit&amp;redlink=1" TargetMode="External"/><Relationship Id="rId139" Type="http://schemas.openxmlformats.org/officeDocument/2006/relationships/hyperlink" Target="../../../../../../../../../wiki/Genesis_25" TargetMode="External"/><Relationship Id="rId140" Type="http://schemas.openxmlformats.org/officeDocument/2006/relationships/hyperlink" Target="../../../../../../../../../mediawiki/index.php%3Ftitle=Deuteronomium_28&amp;action=edit&amp;redlink=1" TargetMode="External"/><Relationship Id="rId141" Type="http://schemas.openxmlformats.org/officeDocument/2006/relationships/hyperlink" Target="../../../../../../../../../mediawiki/index.php%3Ftitle=Deuteronomium_28&amp;action=edit&amp;redlink=1" TargetMode="External"/><Relationship Id="rId142" Type="http://schemas.openxmlformats.org/officeDocument/2006/relationships/hyperlink" Target="../../../../../../../../../mediawiki/index.php%3Ftitle=Psalm_34&amp;action=edit&amp;redlink=1" TargetMode="External"/><Relationship Id="rId143" Type="http://schemas.openxmlformats.org/officeDocument/2006/relationships/hyperlink" Target="../../../../../../../../../mediawiki/index.php%3Ftitle=Psalm_47&amp;action=edit&amp;redlink=1" TargetMode="External"/><Relationship Id="rId144" Type="http://schemas.openxmlformats.org/officeDocument/2006/relationships/hyperlink" Target="../../../../../../../../../mediawiki/index.php%3Ftitle=Psalm_64&amp;action=edit&amp;redlink=1" TargetMode="External"/><Relationship Id="rId145" Type="http://schemas.openxmlformats.org/officeDocument/2006/relationships/hyperlink" Target="../../../../../../../../../mediawiki/index.php%3Ftitle=1Chronik_16&amp;action=edit&amp;redlink=1" TargetMode="External"/><Relationship Id="rId146" Type="http://schemas.openxmlformats.org/officeDocument/2006/relationships/hyperlink" Target="../../../../../../../../../mediawiki/index.php%3Ftitle=Psalm_96&amp;action=edit&amp;redlink=1" TargetMode="External"/><Relationship Id="rId147" Type="http://schemas.openxmlformats.org/officeDocument/2006/relationships/hyperlink" Target="../../../../../../../../../mediawiki/index.php%3Ftitle=Psalm_111&amp;action=edit&amp;redlink=1" TargetMode="External"/><Relationship Id="rId148" Type="http://schemas.openxmlformats.org/officeDocument/2006/relationships/hyperlink" Target="../../../../../../../../../mediawiki/index.php%3Ftitle=Psalm_21&amp;action=edit&amp;redlink=1" TargetMode="External"/><Relationship Id="rId149" Type="http://schemas.openxmlformats.org/officeDocument/2006/relationships/hyperlink" Target="../../../../../../../../../mediawiki/index.php%3Ftitle=Psalm_45&amp;action=edit&amp;redlink=1" TargetMode="External"/><Relationship Id="rId150" Type="http://schemas.openxmlformats.org/officeDocument/2006/relationships/hyperlink" Target="../../../../../../../../../mediawiki/index.php%3Ftitle=Ijob_40&amp;action=edit&amp;redlink=1" TargetMode="External"/><Relationship Id="rId151" Type="http://schemas.openxmlformats.org/officeDocument/2006/relationships/hyperlink" Target="../../../../../../../../../mediawiki/index.php%3Ftitle=Ijob_40&amp;action=edit&amp;redlink=1" TargetMode="External"/><Relationship Id="rId152" Type="http://schemas.openxmlformats.org/officeDocument/2006/relationships/hyperlink" Target="../../../../../../../../../mediawiki/index.php%3Ftitle=Sprichw%C3%B6rter_31&amp;action=edit&amp;redlink=1" TargetMode="External"/><Relationship Id="rId153" Type="http://schemas.openxmlformats.org/officeDocument/2006/relationships/hyperlink" Target="../../../../../../../../../mediawiki/index.php%3Ftitle=Jesaja_63&amp;action=edit&amp;redlink=1" TargetMode="External"/><Relationship Id="rId154" Type="http://schemas.openxmlformats.org/officeDocument/2006/relationships/hyperlink" Target="../../../../../../../../../wiki/Genesis_1" TargetMode="External"/><Relationship Id="rId155" Type="http://schemas.openxmlformats.org/officeDocument/2006/relationships/hyperlink" Target="../../../../../../../../../mediawiki/index.php%3Ftitle=Ijob_37&amp;action=edit&amp;redlink=1" TargetMode="External"/><Relationship Id="rId156" Type="http://schemas.openxmlformats.org/officeDocument/2006/relationships/hyperlink" Target="../../../../../../../../../mediawiki/index.php%3Ftitle=Ezechiel_1&amp;action=edit&amp;redlink=1" TargetMode="External"/><Relationship Id="rId157" Type="http://schemas.openxmlformats.org/officeDocument/2006/relationships/hyperlink" Target="../../../../../../../../../mediawiki/index.php%3Ftitle=Ijob_9&amp;action=edit&amp;redlink=1" TargetMode="External"/><Relationship Id="rId158" Type="http://schemas.openxmlformats.org/officeDocument/2006/relationships/hyperlink" Target="../../../../../../../../../mediawiki/index.php%3Ftitle=Jesaja_42&amp;action=edit&amp;redlink=1" TargetMode="External"/><Relationship Id="rId159" Type="http://schemas.openxmlformats.org/officeDocument/2006/relationships/hyperlink" Target="../../../../../../../../../mediawiki/index.php%3Ftitle=Ijob_37&amp;action=edit&amp;redlink=1" TargetMode="External"/><Relationship Id="rId160" Type="http://schemas.openxmlformats.org/officeDocument/2006/relationships/hyperlink" Target="../../../../../../../../../mediawiki/index.php%3Ftitle=Ezechiel_31&amp;action=edit&amp;redlink=1" TargetMode="External"/><Relationship Id="rId161" Type="http://schemas.openxmlformats.org/officeDocument/2006/relationships/hyperlink" Target="../../../../../../../../../mediawiki/index.php%3Ftitle=1_K%C3%B6nige_4&amp;action=edit&amp;redlink=1" TargetMode="External"/><Relationship Id="rId162" Type="http://schemas.openxmlformats.org/officeDocument/2006/relationships/hyperlink" Target="../../../../../../../../../mediawiki/index.php%3Ftitle=Jesaja_2&amp;action=edit&amp;redlink=1" TargetMode="External"/><Relationship Id="rId163" Type="http://schemas.openxmlformats.org/officeDocument/2006/relationships/hyperlink" Target="../../../../../../../../../mediawiki/index.php%3Ftitle=Jesaja_37&amp;action=edit&amp;redlink=1" TargetMode="External"/><Relationship Id="rId164" Type="http://schemas.openxmlformats.org/officeDocument/2006/relationships/hyperlink" Target="../../../../../../../../../mediawiki/index.php%3Ftitle=Leviticus_11&amp;action=edit&amp;redlink=1" TargetMode="External"/><Relationship Id="rId165" Type="http://schemas.openxmlformats.org/officeDocument/2006/relationships/hyperlink" Target="../../../../../../../../../mediawiki/index.php%3Ftitle=Psalm_69&amp;action=edit&amp;redlink=1" TargetMode="External"/><Relationship Id="rId166" Type="http://schemas.openxmlformats.org/officeDocument/2006/relationships/hyperlink" Target="http://www.offene-bibel.de/wiki/index.php5?title=&#1493;&#1456;" TargetMode="External"/><Relationship Id="rId167" Type="http://schemas.openxmlformats.org/officeDocument/2006/relationships/hyperlink" Target="../../../../../../../../../wiki/Generisches_Maskulinum" TargetMode="External"/><Relationship Id="rId168" Type="http://schemas.openxmlformats.org/officeDocument/2006/relationships/hyperlink" Target="../../../../../../../../../mediawiki/index.php%3Ftitle=Ijob_29&amp;action=edit&amp;redlink=1" TargetMode="External"/><Relationship Id="rId169" Type="http://schemas.openxmlformats.org/officeDocument/2006/relationships/hyperlink" Target="../../../../../../../../../mediawiki/index.php%3Ftitle=Ijob_40&amp;action=edit&amp;redlink=1" TargetMode="External"/><Relationship Id="rId170" Type="http://schemas.openxmlformats.org/officeDocument/2006/relationships/hyperlink" Target="../../../../../../../../../mediawiki/index.php%3Ftitle=Micha_7&amp;action=edit&amp;redlink=1" TargetMode="External"/><Relationship Id="rId171" Type="http://schemas.openxmlformats.org/officeDocument/2006/relationships/hyperlink" Target="../../../../../../../../../wiki/Generisches_Maskulinum" TargetMode="External"/><Relationship Id="rId172" Type="http://schemas.openxmlformats.org/officeDocument/2006/relationships/hyperlink" Target="../../../../../../../../../mediawiki/index.php%3Ftitle=2_K%C3%B6nige_14&amp;action=edit&amp;redlink=1" TargetMode="External"/><Relationship Id="rId173" Type="http://schemas.openxmlformats.org/officeDocument/2006/relationships/hyperlink" Target="../../../../../../../../../mediawiki/index.php%3Ftitle=Deuteronomium_15&amp;action=edit&amp;redlink=1" TargetMode="External"/><Relationship Id="rId174" Type="http://schemas.openxmlformats.org/officeDocument/2006/relationships/hyperlink" Target="../../../../../../../../../mediawiki/index.php%3Ftitle=Deuteronomium_24&amp;action=edit&amp;redlink=1" TargetMode="External"/><Relationship Id="rId175" Type="http://schemas.openxmlformats.org/officeDocument/2006/relationships/hyperlink" Target="../../../../../../../../../mediawiki/index.php%3Ftitle=1_K%C3%B6nige_13&amp;action=edit&amp;redlink=1" TargetMode="External"/><Relationship Id="rId176" Type="http://schemas.openxmlformats.org/officeDocument/2006/relationships/hyperlink" Target="../../../../../../../../../mediawiki/index.php%3Ftitle=Ezechiel_38&amp;action=edit&amp;redlink=1" TargetMode="External"/><Relationship Id="rId177" Type="http://schemas.openxmlformats.org/officeDocument/2006/relationships/hyperlink" Target="../../../../../../../../../mediawiki/index.php%3Ftitle=Constructio_ad_sensum&amp;action=edit&amp;redlink=1" TargetMode="External"/><Relationship Id="rId178" Type="http://schemas.openxmlformats.org/officeDocument/2006/relationships/hyperlink" Target="../../../../../../../../../wiki/LXX" TargetMode="External"/><Relationship Id="rId179" Type="http://schemas.openxmlformats.org/officeDocument/2006/relationships/hyperlink" Target="../../../../../../../../../wiki/Partizip" TargetMode="External"/><Relationship Id="rId180" Type="http://schemas.openxmlformats.org/officeDocument/2006/relationships/hyperlink" Target="../../../../../../../../../wiki/Partizip" TargetMode="External"/><Relationship Id="rId181" Type="http://schemas.openxmlformats.org/officeDocument/2006/relationships/hyperlink" Target="../../../../../../../../../wiki/Partizip" TargetMode="External"/><Relationship Id="rId182" Type="http://schemas.openxmlformats.org/officeDocument/2006/relationships/hyperlink" Target="../../../../../../../../../wiki/Partizip" TargetMode="External"/><Relationship Id="rId183" Type="http://schemas.openxmlformats.org/officeDocument/2006/relationships/hyperlink" Target="../../../../../../../../../wiki/Exodus_3" TargetMode="External"/><Relationship Id="rId184" Type="http://schemas.openxmlformats.org/officeDocument/2006/relationships/hyperlink" Target="../../../../../../../../../mediawiki/index.php%3Ftitle=Richter_6&amp;action=edit&amp;redlink=1" TargetMode="External"/><Relationship Id="rId185" Type="http://schemas.openxmlformats.org/officeDocument/2006/relationships/hyperlink" Target="../../../../../../../../../wiki/Generisches_Maskulinum" TargetMode="External"/><Relationship Id="rId186" Type="http://schemas.openxmlformats.org/officeDocument/2006/relationships/hyperlink" Target="../../../../../../../../../wiki/Genitivus_absolutus" TargetMode="External"/><Relationship Id="rId187" Type="http://schemas.openxmlformats.org/officeDocument/2006/relationships/hyperlink" Target="../../../../../../../../../wiki/%E1%BD%8D%CF%84%CE%B9_recitativum" TargetMode="External"/><Relationship Id="rId188" Type="http://schemas.openxmlformats.org/officeDocument/2006/relationships/hyperlink" Target="../../../../../../../../../mediawiki/index.php%3Ftitle=Passivum_divinum&amp;action=edit&amp;redlink=1" TargetMode="External"/><Relationship Id="rId189" Type="http://schemas.openxmlformats.org/officeDocument/2006/relationships/hyperlink" Target="../../../../../../../../../mediawiki/index.php%3Ftitle=Imperfekt&amp;action=edit&amp;redlink=1" TargetMode="External"/><Relationship Id="rId190" Type="http://schemas.openxmlformats.org/officeDocument/2006/relationships/hyperlink" Target="../../../../../../../../../wiki/Partizip" TargetMode="External"/><Relationship Id="rId191" Type="http://schemas.openxmlformats.org/officeDocument/2006/relationships/hyperlink" Target="../../../../../../../../../wiki/Ptz._coni." TargetMode="External"/><Relationship Id="rId192" Type="http://schemas.openxmlformats.org/officeDocument/2006/relationships/hyperlink" Target="../../../../../../../../../wiki/Ptz._conj." TargetMode="External"/><Relationship Id="rId193" Type="http://schemas.openxmlformats.org/officeDocument/2006/relationships/hyperlink" Target="../../../../../../../../../wiki/Ptz._conj." TargetMode="External"/><Relationship Id="rId194" Type="http://schemas.openxmlformats.org/officeDocument/2006/relationships/hyperlink" Target="../../../../../../../../../wiki/Ptz._conj." TargetMode="External"/><Relationship Id="rId195" Type="http://schemas.openxmlformats.org/officeDocument/2006/relationships/hyperlink" Target="../../../../../../../../../mediawiki/index.php%3Ftitle=AcI&amp;action=edit&amp;redlink=1" TargetMode="External"/><Relationship Id="rId196" Type="http://schemas.openxmlformats.org/officeDocument/2006/relationships/hyperlink" Target="../../../../../../../../../wiki/Ptc._coni." TargetMode="External"/><Relationship Id="rId197" Type="http://schemas.openxmlformats.org/officeDocument/2006/relationships/hyperlink" Target="../../../../../../../../../wiki/Ptc._coni." TargetMode="External"/><Relationship Id="rId198" Type="http://schemas.openxmlformats.org/officeDocument/2006/relationships/hyperlink" Target="../../../../../../../../../wiki/Ptz._conj." TargetMode="External"/><Relationship Id="rId199" Type="http://schemas.openxmlformats.org/officeDocument/2006/relationships/hyperlink" Target="../../../../../../../../../mediawiki/index.php%3Ftitle=Inchoatives_Imperfekt&amp;action=edit&amp;redlink=1" TargetMode="External"/><Relationship Id="rId200" Type="http://schemas.openxmlformats.org/officeDocument/2006/relationships/hyperlink" Target="../../../../../../../../../wiki/Ptz._conj." TargetMode="External"/><Relationship Id="rId201" Type="http://schemas.openxmlformats.org/officeDocument/2006/relationships/hyperlink" Target="../../../../../../../../../wiki/Ptz._conj." TargetMode="External"/><Relationship Id="rId202" Type="http://schemas.openxmlformats.org/officeDocument/2006/relationships/hyperlink" Target="../../../../../../../../../wiki/Beschreibendes_Partizip" TargetMode="External"/><Relationship Id="rId203" Type="http://schemas.openxmlformats.org/officeDocument/2006/relationships/hyperlink" Target="../../../../../../../../../wiki/Ptz._conj." TargetMode="External"/><Relationship Id="rId204" Type="http://schemas.openxmlformats.org/officeDocument/2006/relationships/hyperlink" Target="../../../../../../../../../mediawiki/index.php%3Ftitle=Inchoatives_Imperfekt&amp;action=edit&amp;redlink=1" TargetMode="External"/><Relationship Id="rId205" Type="http://schemas.openxmlformats.org/officeDocument/2006/relationships/hyperlink" Target="../../../../../../../../../wiki/Gen._abs." TargetMode="External"/><Relationship Id="rId206" Type="http://schemas.openxmlformats.org/officeDocument/2006/relationships/hyperlink" Target="../../../../../../../../../mediawiki/index.php%3Ftitle=Imperfekt&amp;action=edit&amp;redlink=1" TargetMode="External"/><Relationship Id="rId207" Type="http://schemas.openxmlformats.org/officeDocument/2006/relationships/hyperlink" Target="../../../../../../../../../wiki/Ptz._conj." TargetMode="External"/><Relationship Id="rId208" Type="http://schemas.openxmlformats.org/officeDocument/2006/relationships/hyperlink" Target="../../../../../../../../../mediawiki/index.php%3Ftitle=Imperfekt&amp;action=edit&amp;redlink=1" TargetMode="External"/><Relationship Id="rId209" Type="http://schemas.openxmlformats.org/officeDocument/2006/relationships/hyperlink" Target="../../../../../../../../../wiki/Ptz._conj." TargetMode="External"/><Relationship Id="rId210" Type="http://schemas.openxmlformats.org/officeDocument/2006/relationships/hyperlink" Target="../../../../../../../../../wiki/Ptz._conj." TargetMode="External"/><Relationship Id="rId211" Type="http://schemas.openxmlformats.org/officeDocument/2006/relationships/hyperlink" Target="../../../../../../../../../wiki/Ptz._conj." TargetMode="External"/><Relationship Id="rId212" Type="http://schemas.openxmlformats.org/officeDocument/2006/relationships/hyperlink" Target="../../../../../../../../../wiki/Ptz._conj." TargetMode="External"/><Relationship Id="rId213" Type="http://schemas.openxmlformats.org/officeDocument/2006/relationships/hyperlink" Target="../../../../../../../../../mediawiki/index.php%3Ftitle=Imperfekt&amp;action=edit&amp;redlink=1" TargetMode="External"/><Relationship Id="rId214" Type="http://schemas.openxmlformats.org/officeDocument/2006/relationships/hyperlink" Target="../../../../../../../../../wiki/Ptz._conj." TargetMode="External"/><Relationship Id="rId215" Type="http://schemas.openxmlformats.org/officeDocument/2006/relationships/hyperlink" Target="../../../../../../../../../wiki/Historisches_Pr%C3%A4sens" TargetMode="External"/><Relationship Id="rId216" Type="http://schemas.openxmlformats.org/officeDocument/2006/relationships/hyperlink" Target="../../../../../../../../../wiki/Attributives_Partizip" TargetMode="External"/><Relationship Id="rId217" Type="http://schemas.openxmlformats.org/officeDocument/2006/relationships/hyperlink" Target="../../../../../../../../../wiki/Historisches_Pr%C3%A4sens" TargetMode="External"/><Relationship Id="rId218" Type="http://schemas.openxmlformats.org/officeDocument/2006/relationships/hyperlink" Target="../../../../../../../../../wiki/Historisches_Pr%C3%A4sens" TargetMode="External"/><Relationship Id="rId219" Type="http://schemas.openxmlformats.org/officeDocument/2006/relationships/hyperlink" Target="../../../../../../../../../wiki/Historisches_Pr%C3%A4sens" TargetMode="External"/><Relationship Id="rId220" Type="http://schemas.openxmlformats.org/officeDocument/2006/relationships/hyperlink" Target="../../../../../../../../../wiki/Ptz._conj." TargetMode="External"/><Relationship Id="rId221" Type="http://schemas.openxmlformats.org/officeDocument/2006/relationships/hyperlink" Target="../../../../../../../../../wiki/Ptz._conj." TargetMode="External"/><Relationship Id="rId222" Type="http://schemas.openxmlformats.org/officeDocument/2006/relationships/hyperlink" Target="../../../../../../../../../wiki/Pleonastisches_Partizip" TargetMode="External"/><Relationship Id="rId223" Type="http://schemas.openxmlformats.org/officeDocument/2006/relationships/hyperlink" Target="../../../../../../../../../mediawiki/index.php%3Ftitle=Imperfekt&amp;action=edit&amp;redlink=1" TargetMode="External"/><Relationship Id="rId224" Type="http://schemas.openxmlformats.org/officeDocument/2006/relationships/hyperlink" Target="../../../../../../../../../wiki/Ptz._conj." TargetMode="External"/><Relationship Id="rId225" Type="http://schemas.openxmlformats.org/officeDocument/2006/relationships/hyperlink" Target="../../../../../../../../../wiki/AcP" TargetMode="External"/><Relationship Id="rId226" Type="http://schemas.openxmlformats.org/officeDocument/2006/relationships/hyperlink" Target="../../../../../../../../../wiki/Beschreibendes_Partizip" TargetMode="External"/><Relationship Id="rId227" Type="http://schemas.openxmlformats.org/officeDocument/2006/relationships/hyperlink" Target="../../../../../../../../../mediawiki/index.php%3Ftitle=Imperfekt&amp;action=edit&amp;redlink=1" TargetMode="External"/><Relationship Id="rId228" Type="http://schemas.openxmlformats.org/officeDocument/2006/relationships/hyperlink" Target="../../../../../../../../../mediawiki/index.php%3Ftitle=Gen._part.&amp;action=edit&amp;redlink=1" TargetMode="External"/><Relationship Id="rId229" Type="http://schemas.openxmlformats.org/officeDocument/2006/relationships/hyperlink" Target="../../../../../../../../../wiki/Ptz._conj." TargetMode="External"/><Relationship Id="rId230" Type="http://schemas.openxmlformats.org/officeDocument/2006/relationships/hyperlink" Target="../../../../../../../../../wiki/Ptz._conj." TargetMode="External"/><Relationship Id="rId231" Type="http://schemas.openxmlformats.org/officeDocument/2006/relationships/hyperlink" Target="../../../../../../../../../wiki/%E1%BD%8D%CF%84%CE%B9_recitativum" TargetMode="External"/><Relationship Id="rId232" Type="http://schemas.openxmlformats.org/officeDocument/2006/relationships/hyperlink" Target="../../../../../../../../../wiki/Subst._Ptz." TargetMode="External"/><Relationship Id="rId233" Type="http://schemas.openxmlformats.org/officeDocument/2006/relationships/hyperlink" Target="../../../../../../../../../wiki/Historisches_Pr%C3%A4sens" TargetMode="External"/><Relationship Id="rId234" Type="http://schemas.openxmlformats.org/officeDocument/2006/relationships/hyperlink" Target="../../../../../../../../../mediawiki/index.php%3Ftitle=AcI&amp;action=edit&amp;redlink=1" TargetMode="External"/><Relationship Id="rId235" Type="http://schemas.openxmlformats.org/officeDocument/2006/relationships/hyperlink" Target="../../../../../../../../../wiki/Attributives_Partizip" TargetMode="External"/><Relationship Id="rId236" Type="http://schemas.openxmlformats.org/officeDocument/2006/relationships/hyperlink" Target="../../../../../../../../../mediawiki/index.php%3Ftitle=Temporaler_Dativ&amp;action=edit&amp;redlink=1" TargetMode="External"/><Relationship Id="rId237" Type="http://schemas.openxmlformats.org/officeDocument/2006/relationships/hyperlink" Target="../../../../../../../../../wiki/Historisches_Pr%C3%A4sens" TargetMode="External"/><Relationship Id="rId238" Type="http://schemas.openxmlformats.org/officeDocument/2006/relationships/hyperlink" Target="../../../../../../../../../mediawiki/index.php%3Ftitle=Attr._Ptz.&amp;action=edit&amp;redlink=1" TargetMode="External"/><Relationship Id="rId239" Type="http://schemas.openxmlformats.org/officeDocument/2006/relationships/hyperlink" Target="../../../../../../../../../wiki/Historisches_Pr%C3%A4sens" TargetMode="External"/><Relationship Id="rId240" Type="http://schemas.openxmlformats.org/officeDocument/2006/relationships/hyperlink" Target="../../../../../../../../../mediawiki/index.php%3Ftitle=Temporaler_Dativ&amp;action=edit&amp;redlink=1" TargetMode="External"/><Relationship Id="rId241" Type="http://schemas.openxmlformats.org/officeDocument/2006/relationships/hyperlink" Target="../../../../../../../../../wiki/Ptz._conj." TargetMode="External"/><Relationship Id="rId242" Type="http://schemas.openxmlformats.org/officeDocument/2006/relationships/hyperlink" Target="../../../../../../../../../mediawiki/index.php%3Ftitle=Constructio_ad_sensum&amp;action=edit&amp;redlink=1" TargetMode="External"/><Relationship Id="rId243" Type="http://schemas.openxmlformats.org/officeDocument/2006/relationships/hyperlink" Target="../../../../../../../../../wiki/Ptz._conj." TargetMode="External"/><Relationship Id="rId244" Type="http://schemas.openxmlformats.org/officeDocument/2006/relationships/hyperlink" Target="../../../../../../../../../wiki/Pleonastisches_Partizip" TargetMode="External"/><Relationship Id="rId245" Type="http://schemas.openxmlformats.org/officeDocument/2006/relationships/hyperlink" Target="../../../../../../../../../wiki/%E1%BD%8D%CF%84%CE%B9_recitativum" TargetMode="External"/><Relationship Id="rId246" Type="http://schemas.openxmlformats.org/officeDocument/2006/relationships/hyperlink" Target="../../../../../../../../../wiki/Historisches_Pr%C3%A4sens" TargetMode="External"/><Relationship Id="rId247" Type="http://schemas.openxmlformats.org/officeDocument/2006/relationships/hyperlink" Target="../../../../../../../../../wiki/Historisches_Pr%C3%A4sens" TargetMode="External"/><Relationship Id="rId248" Type="http://schemas.openxmlformats.org/officeDocument/2006/relationships/hyperlink" Target="../../../../../../../../../mediawiki/index.php%3Ftitle=Attr._Ptz.&amp;action=edit&amp;redlink=1" TargetMode="External"/><Relationship Id="rId249" Type="http://schemas.openxmlformats.org/officeDocument/2006/relationships/hyperlink" Target="../../../../../../../../../wiki/Ptz._conj." TargetMode="External"/><Relationship Id="rId250" Type="http://schemas.openxmlformats.org/officeDocument/2006/relationships/hyperlink" Target="../../../../../../../../../wiki/Ptz._conj." TargetMode="External"/><Relationship Id="rId251" Type="http://schemas.openxmlformats.org/officeDocument/2006/relationships/hyperlink" Target="../../../../../../../../../wiki/Generisches_Maskulinum" TargetMode="External"/><Relationship Id="rId252" Type="http://schemas.openxmlformats.org/officeDocument/2006/relationships/hyperlink" Target="../../../../../../../../../wiki/Historisches_Pr%C3%A4sens" TargetMode="External"/><Relationship Id="rId253" Type="http://schemas.openxmlformats.org/officeDocument/2006/relationships/hyperlink" Target="../../../../../../../../../wiki/Ptz._conj." TargetMode="External"/><Relationship Id="rId254" Type="http://schemas.openxmlformats.org/officeDocument/2006/relationships/hyperlink" Target="../../../../../../../../../wiki/Ptz._conj." TargetMode="External"/><Relationship Id="rId255" Type="http://schemas.openxmlformats.org/officeDocument/2006/relationships/hyperlink" Target="../../../../../../../../../wiki/Historisches_Pr%C3%A4sens" TargetMode="External"/><Relationship Id="rId256" Type="http://schemas.openxmlformats.org/officeDocument/2006/relationships/hyperlink" Target="../../../../../../../../../wiki/Ptz._conj." TargetMode="External"/><Relationship Id="rId257" Type="http://schemas.openxmlformats.org/officeDocument/2006/relationships/hyperlink" Target="../../../../../../../../../wiki/Substantiviertes_Partizip" TargetMode="External"/><Relationship Id="rId258" Type="http://schemas.openxmlformats.org/officeDocument/2006/relationships/hyperlink" Target="../../../../../../../../../wiki/Ptz._conj." TargetMode="External"/><Relationship Id="rId259" Type="http://schemas.openxmlformats.org/officeDocument/2006/relationships/hyperlink" Target="../../../../../../../../../mediawiki/index.php%3Ftitle=Constructio_ad_sensum&amp;action=edit&amp;redlink=1" TargetMode="External"/><Relationship Id="rId260" Type="http://schemas.openxmlformats.org/officeDocument/2006/relationships/hyperlink" Target="../../../../../../../../../wiki/Ptz._conj." TargetMode="External"/><Relationship Id="rId261" Type="http://schemas.openxmlformats.org/officeDocument/2006/relationships/hyperlink" Target="../../../../../../../../../mediawiki/index.php%3Ftitle=Imperfekt&amp;action=edit&amp;redlink=1" TargetMode="External"/><Relationship Id="rId262" Type="http://schemas.openxmlformats.org/officeDocument/2006/relationships/hyperlink" Target="../../../../../../../../../wiki/Genitivus_absolutus" TargetMode="External"/><Relationship Id="rId263" Type="http://schemas.openxmlformats.org/officeDocument/2006/relationships/hyperlink" Target="../../../../../../../../../wiki/Substantiviertes_Partizip" TargetMode="External"/><Relationship Id="rId264" Type="http://schemas.openxmlformats.org/officeDocument/2006/relationships/hyperlink" Target="../../../../../../../../../mediawiki/index.php%3Ftitle=Appositiver_Genitiv&amp;action=edit&amp;redlink=1" TargetMode="External"/><Relationship Id="rId265" Type="http://schemas.openxmlformats.org/officeDocument/2006/relationships/hyperlink" Target="../../../../../../../../../wiki/Ptz._conj." TargetMode="External"/><Relationship Id="rId266" Type="http://schemas.openxmlformats.org/officeDocument/2006/relationships/hyperlink" Target="../../../../../../../../../wiki/Subst._Ptz." TargetMode="External"/><Relationship Id="rId267" Type="http://schemas.openxmlformats.org/officeDocument/2006/relationships/hyperlink" Target="../../../../../../../../../mediawiki/index.php%3Ftitle=Imperfekt&amp;action=edit&amp;redlink=1" TargetMode="External"/><Relationship Id="rId268" Type="http://schemas.openxmlformats.org/officeDocument/2006/relationships/hyperlink" Target="../../../../../../../../../wiki/Gen._abs." TargetMode="External"/><Relationship Id="rId269" Type="http://schemas.openxmlformats.org/officeDocument/2006/relationships/hyperlink" Target="../../../../../../../../../wiki/Ptz._conj." TargetMode="External"/><Relationship Id="rId270" Type="http://schemas.openxmlformats.org/officeDocument/2006/relationships/hyperlink" Target="../../../../../../../../../mediawiki/index.php%3Ftitle=Imperfekt&amp;action=edit&amp;redlink=1" TargetMode="External"/><Relationship Id="rId271" Type="http://schemas.openxmlformats.org/officeDocument/2006/relationships/hyperlink" Target="../../../../../../../../../mediawiki/index.php%3Ftitle=Infinitiv&amp;action=edit&amp;redlink=1" TargetMode="External"/><Relationship Id="rId272" Type="http://schemas.openxmlformats.org/officeDocument/2006/relationships/hyperlink" Target="../../../../../../../../../wiki/Ptz._conj." TargetMode="External"/><Relationship Id="rId273" Type="http://schemas.openxmlformats.org/officeDocument/2006/relationships/hyperlink" Target="../../../../../../../../../wiki/Gen._abs." TargetMode="External"/><Relationship Id="rId274" Type="http://schemas.openxmlformats.org/officeDocument/2006/relationships/hyperlink" Target="../../../../../../../../../wiki/Umschreibendes_Partizip" TargetMode="External"/><Relationship Id="rId275" Type="http://schemas.openxmlformats.org/officeDocument/2006/relationships/hyperlink" Target="../../../../../../../../../wiki/Ptz._conj." TargetMode="External"/><Relationship Id="rId276" Type="http://schemas.openxmlformats.org/officeDocument/2006/relationships/hyperlink" Target="../../../../../../../../../wiki/Ptz._conj." TargetMode="External"/><Relationship Id="rId277" Type="http://schemas.openxmlformats.org/officeDocument/2006/relationships/hyperlink" Target="../../../../../../../../../wiki/Ptz._conj." TargetMode="External"/><Relationship Id="rId278" Type="http://schemas.openxmlformats.org/officeDocument/2006/relationships/hyperlink" Target="../../../../../../../../../wiki/Periphrastische_Konjugation" TargetMode="External"/><Relationship Id="rId279" Type="http://schemas.openxmlformats.org/officeDocument/2006/relationships/hyperlink" Target="../../../../../../../../../wiki/Ptz._conj." TargetMode="External"/><Relationship Id="rId280" Type="http://schemas.openxmlformats.org/officeDocument/2006/relationships/hyperlink" Target="../../../../../../../../../wiki/AcP" TargetMode="External"/><Relationship Id="rId281" Type="http://schemas.openxmlformats.org/officeDocument/2006/relationships/hyperlink" Target="../../../../../../../../../wiki/Ptz._conj." TargetMode="External"/><Relationship Id="rId282" Type="http://schemas.openxmlformats.org/officeDocument/2006/relationships/hyperlink" Target="../../../../../../../../../wiki/Gen._abs." TargetMode="External"/><Relationship Id="rId283" Type="http://schemas.openxmlformats.org/officeDocument/2006/relationships/hyperlink" Target="../../../../../../../../../wiki/Dekapolis" TargetMode="External"/><Relationship Id="rId284" Type="http://schemas.openxmlformats.org/officeDocument/2006/relationships/hyperlink" Target="../../../../../../../../../wiki/Gen._abs." TargetMode="External"/><Relationship Id="rId285" Type="http://schemas.openxmlformats.org/officeDocument/2006/relationships/hyperlink" Target="../../../../../../../../../wiki/Ptz._conj." TargetMode="External"/><Relationship Id="rId286" Type="http://schemas.openxmlformats.org/officeDocument/2006/relationships/hyperlink" Target="../../../../../../../../../wiki/Beschreibendes_Partizip" TargetMode="External"/><Relationship Id="rId287" Type="http://schemas.openxmlformats.org/officeDocument/2006/relationships/hyperlink" Target="../../../../../../../../../wiki/Ptz._conj." TargetMode="External"/><Relationship Id="rId288" Type="http://schemas.openxmlformats.org/officeDocument/2006/relationships/hyperlink" Target="../../../../../../../../../wiki/Beschreibendes_Partizip" TargetMode="External"/><Relationship Id="rId289" Type="http://schemas.openxmlformats.org/officeDocument/2006/relationships/hyperlink" Target="http://lsj.translatum.gr/wiki/&#963;&#965;&#957;&#952;&#955;&#943;&#946;&#969;" TargetMode="External"/><Relationship Id="rId290" Type="http://schemas.openxmlformats.org/officeDocument/2006/relationships/hyperlink" Target="../../../../../../../../../wiki/Ptz._conj." TargetMode="External"/><Relationship Id="rId291" Type="http://schemas.openxmlformats.org/officeDocument/2006/relationships/hyperlink" Target="../../../../../../../../../mediawiki/index.php%3Ftitle=Attr._Ptz.&amp;action=edit&amp;redlink=1" TargetMode="External"/><Relationship Id="rId292" Type="http://schemas.openxmlformats.org/officeDocument/2006/relationships/hyperlink" Target="../../../../../../../../../mediawiki/index.php%3Ftitle=Imperfekt&amp;action=edit&amp;redlink=1" TargetMode="External"/><Relationship Id="rId293" Type="http://schemas.openxmlformats.org/officeDocument/2006/relationships/hyperlink" Target="../../../../../../../../../wiki/Ptz._conj." TargetMode="External"/><Relationship Id="rId294" Type="http://schemas.openxmlformats.org/officeDocument/2006/relationships/hyperlink" Target="../../../../../../../../../mediawiki/index.php%3Ftitle=Imperfekt&amp;action=edit&amp;redlink=1" TargetMode="External"/><Relationship Id="rId295" Type="http://schemas.openxmlformats.org/officeDocument/2006/relationships/hyperlink" Target="../../../../../../../../../mediawiki/index.php%3Ftitle=Atr._Ptz.&amp;action=edit&amp;redlink=1" TargetMode="External"/><Relationship Id="rId296" Type="http://schemas.openxmlformats.org/officeDocument/2006/relationships/hyperlink" Target="../../../../../../../../../wiki/Gen._abs." TargetMode="External"/><Relationship Id="rId297" Type="http://schemas.openxmlformats.org/officeDocument/2006/relationships/hyperlink" Target="../../../../../../../../../wiki/Ptz._conj." TargetMode="External"/><Relationship Id="rId298" Type="http://schemas.openxmlformats.org/officeDocument/2006/relationships/hyperlink" Target="../../../../../../../../../wiki/AcP" TargetMode="External"/><Relationship Id="rId299" Type="http://schemas.openxmlformats.org/officeDocument/2006/relationships/hyperlink" Target="../../../../../../../../../wiki/Ptz._conj." TargetMode="External"/><Relationship Id="rId300" Type="http://schemas.openxmlformats.org/officeDocument/2006/relationships/hyperlink" Target="../../../../../../../../../wiki/Gen._abs." TargetMode="External"/><Relationship Id="rId301" Type="http://schemas.openxmlformats.org/officeDocument/2006/relationships/hyperlink" Target="../../../../../../../../../wiki/Gen._abs." TargetMode="External"/><Relationship Id="rId302" Type="http://schemas.openxmlformats.org/officeDocument/2006/relationships/hyperlink" Target="../../../../../../../../../wiki/Ptz._conj." TargetMode="External"/><Relationship Id="rId303" Type="http://schemas.openxmlformats.org/officeDocument/2006/relationships/hyperlink" Target="../../../../../../../../../wiki/Ptz._conj." TargetMode="External"/><Relationship Id="rId304" Type="http://schemas.openxmlformats.org/officeDocument/2006/relationships/hyperlink" Target="../../../../../../../../../wiki/Ptz._conj." TargetMode="External"/><Relationship Id="rId305" Type="http://schemas.openxmlformats.org/officeDocument/2006/relationships/hyperlink" Target="../../../../../../../../../wiki/Ptz._conj." TargetMode="External"/><Relationship Id="rId306" Type="http://schemas.openxmlformats.org/officeDocument/2006/relationships/hyperlink" Target="../../../../../../../../../wiki/Ptz._conj." TargetMode="External"/><Relationship Id="rId307" Type="http://schemas.openxmlformats.org/officeDocument/2006/relationships/hyperlink" Target="../../../../../../../../../mediawiki/index.php%3Ftitle=Imperfekt&amp;action=edit&amp;redlink=1" TargetMode="External"/><Relationship Id="rId308" Type="http://schemas.openxmlformats.org/officeDocument/2006/relationships/hyperlink" Target="../../../../../../../../../wiki/Ptz._conj." TargetMode="External"/><Relationship Id="rId309" Type="http://schemas.openxmlformats.org/officeDocument/2006/relationships/hyperlink" Target="../../../../../../../../../wiki/Gen._abs." TargetMode="External"/><Relationship Id="rId310" Type="http://schemas.openxmlformats.org/officeDocument/2006/relationships/hyperlink" Target="../../../../../../../../../mediawiki/index.php%3Ftitle=Temporaler_Dativ&amp;action=edit&amp;redlink=1" TargetMode="External"/><Relationship Id="rId311" Type="http://schemas.openxmlformats.org/officeDocument/2006/relationships/hyperlink" Target="../../../../../../../../../wiki/Gen._abs." TargetMode="External"/><Relationship Id="rId312" Type="http://schemas.openxmlformats.org/officeDocument/2006/relationships/hyperlink" Target="../../../../../../../../../wiki/Beschreibendes_Partizip" TargetMode="External"/><Relationship Id="rId313" Type="http://schemas.openxmlformats.org/officeDocument/2006/relationships/hyperlink" Target="../../../../../../../../../wiki/Beschreibendes_Partizip" TargetMode="External"/><Relationship Id="rId314" Type="http://schemas.openxmlformats.org/officeDocument/2006/relationships/hyperlink" Target="../../../../../../../../../wiki/Ptz._conj." TargetMode="External"/><Relationship Id="rId315" Type="http://schemas.openxmlformats.org/officeDocument/2006/relationships/hyperlink" Target="../../../../../../../../../wiki/Ptz._conj." TargetMode="External"/><Relationship Id="rId316" Type="http://schemas.openxmlformats.org/officeDocument/2006/relationships/hyperlink" Target="../../../../../../../../../wiki/Ptz._conj." TargetMode="External"/><Relationship Id="rId317" Type="http://schemas.openxmlformats.org/officeDocument/2006/relationships/hyperlink" Target="../../../../../../../../../wiki/Ptz._conj." TargetMode="External"/><Relationship Id="rId318" Type="http://schemas.openxmlformats.org/officeDocument/2006/relationships/hyperlink" Target="../../../../../../../../../wiki/Ptz._conj." TargetMode="External"/><Relationship Id="rId319" Type="http://schemas.openxmlformats.org/officeDocument/2006/relationships/hyperlink" Target="../../../../../../../../../wiki/Beschreibendes_Partizip" TargetMode="External"/><Relationship Id="rId320" Type="http://schemas.openxmlformats.org/officeDocument/2006/relationships/hyperlink" Target="../../../../../../../../../wiki/Ptz._conj." TargetMode="External"/><Relationship Id="rId321" Type="http://schemas.openxmlformats.org/officeDocument/2006/relationships/hyperlink" Target="../../../../../../../../../wiki/Ptz._conj." TargetMode="External"/><Relationship Id="rId322" Type="http://schemas.openxmlformats.org/officeDocument/2006/relationships/hyperlink" Target="../../../../../../../../../wiki/Ptz._conj." TargetMode="External"/><Relationship Id="rId323" Type="http://schemas.openxmlformats.org/officeDocument/2006/relationships/hyperlink" Target="../../../../../../../../../wiki/Gen._abs." TargetMode="External"/><Relationship Id="rId324" Type="http://schemas.openxmlformats.org/officeDocument/2006/relationships/hyperlink" Target="../../../../../../../../../mediawiki/index.php%3Ftitle=Ptc._conj.&amp;action=edit&amp;redlink=1" TargetMode="External"/><Relationship Id="rId325" Type="http://schemas.openxmlformats.org/officeDocument/2006/relationships/hyperlink" Target="../../../../../../../../../mediawiki/index.php%3Ftitle=Imperfekt&amp;action=edit&amp;redlink=1" TargetMode="External"/><Relationship Id="rId326" Type="http://schemas.openxmlformats.org/officeDocument/2006/relationships/hyperlink" Target="../../../../../../../../../wiki/Ptz._conj." TargetMode="External"/><Relationship Id="rId327" Type="http://schemas.openxmlformats.org/officeDocument/2006/relationships/hyperlink" Target="../../../../../../../../../mediawiki/index.php%3Ftitle=Ingressiver_Aorist&amp;action=edit&amp;redlink=1" TargetMode="External"/><Relationship Id="rId328" Type="http://schemas.openxmlformats.org/officeDocument/2006/relationships/hyperlink" Target="../../../../../../../../../wiki/Ptz._conj." TargetMode="External"/><Relationship Id="rId329" Type="http://schemas.openxmlformats.org/officeDocument/2006/relationships/hyperlink" Target="../../../../../../../../../wiki/Ptz._conj." TargetMode="External"/><Relationship Id="rId330" Type="http://schemas.openxmlformats.org/officeDocument/2006/relationships/hyperlink" Target="../../../../../../../../../wiki/Subst._Ptz." TargetMode="External"/><Relationship Id="rId331" Type="http://schemas.openxmlformats.org/officeDocument/2006/relationships/hyperlink" Target="../../../../../../../../../mediawiki/index.php%3Ftitle=Attr._Ptz.&amp;action=edit&amp;redlink=1" TargetMode="External"/><Relationship Id="rId332" Type="http://schemas.openxmlformats.org/officeDocument/2006/relationships/hyperlink" Target="../../../../../../../../../wiki/Ptz._conj." TargetMode="External"/><Relationship Id="rId333" Type="http://schemas.openxmlformats.org/officeDocument/2006/relationships/hyperlink" Target="../../../../../../../../../mediawiki/index.php%3Ftitle=Instr._Dativ&amp;action=edit&amp;redlink=1" TargetMode="External"/><Relationship Id="rId334" Type="http://schemas.openxmlformats.org/officeDocument/2006/relationships/hyperlink" Target="../../../../../../../../../mediawiki/index.php%3Ftitle=Instr._Dativ&amp;action=edit&amp;redlink=1" TargetMode="External"/><Relationship Id="rId335" Type="http://schemas.openxmlformats.org/officeDocument/2006/relationships/hyperlink" Target="../../../../../../../../../mediawiki/index.php%3Ftitle=Instr._Dativ&amp;action=edit&amp;redlink=1" TargetMode="External"/><Relationship Id="rId336" Type="http://schemas.openxmlformats.org/officeDocument/2006/relationships/hyperlink" Target="../../../../../../../../../mediawiki/index.php%3Ftitle=Imperfekt&amp;action=edit&amp;redlink=1" TargetMode="External"/><Relationship Id="rId337" Type="http://schemas.openxmlformats.org/officeDocument/2006/relationships/hyperlink" Target="../../../../../../../../../mediawiki/index.php%3Ftitle=Instr._Dat.&amp;action=edit&amp;redlink=1" TargetMode="External"/><Relationship Id="rId338" Type="http://schemas.openxmlformats.org/officeDocument/2006/relationships/hyperlink" Target="../../../../../../../../../wiki/Ptz._conj." TargetMode="External"/><Relationship Id="rId339" Type="http://schemas.openxmlformats.org/officeDocument/2006/relationships/hyperlink" Target="../../../../../../../../../mediawiki/index.php%3Ftitle=Imperfekt&amp;action=edit&amp;redlink=1" TargetMode="External"/><Relationship Id="rId340" Type="http://schemas.openxmlformats.org/officeDocument/2006/relationships/hyperlink" Target="../../../../../../../../../wiki/Subst._Ptz." TargetMode="External"/><Relationship Id="rId341" Type="http://schemas.openxmlformats.org/officeDocument/2006/relationships/hyperlink" Target="../../../../../../../../../wiki/Umschreibendes_Partizip" TargetMode="External"/><Relationship Id="rId342" Type="http://schemas.openxmlformats.org/officeDocument/2006/relationships/hyperlink" Target="../../../../../../../../../wiki/Historisches_Pr%C3%A4sens" TargetMode="External"/><Relationship Id="rId343" Type="http://schemas.openxmlformats.org/officeDocument/2006/relationships/hyperlink" Target="../../../../../../../../../wiki/Subst._Ptz." TargetMode="External"/><Relationship Id="rId344" Type="http://schemas.openxmlformats.org/officeDocument/2006/relationships/hyperlink" Target="../../../../../../../../../wiki/Ptz._conj." TargetMode="External"/><Relationship Id="rId345" Type="http://schemas.openxmlformats.org/officeDocument/2006/relationships/hyperlink" Target="../../../../../../../../../wiki/Ptz._conj." TargetMode="External"/><Relationship Id="rId346" Type="http://schemas.openxmlformats.org/officeDocument/2006/relationships/hyperlink" Target="../../../../../../../../../mediawiki/index.php%3Ftitle=Imperfekt&amp;action=edit&amp;redlink=1" TargetMode="External"/><Relationship Id="rId347" Type="http://schemas.openxmlformats.org/officeDocument/2006/relationships/hyperlink" Target="../../../../../../../../../wiki/Ptz._conj." TargetMode="External"/><Relationship Id="rId348" Type="http://schemas.openxmlformats.org/officeDocument/2006/relationships/hyperlink" Target="../../../../../../../../../wiki/Ptz._conj." TargetMode="External"/><Relationship Id="rId349" Type="http://schemas.openxmlformats.org/officeDocument/2006/relationships/hyperlink" Target="../../../../../../../../../wiki/Ptz._conj." TargetMode="External"/><Relationship Id="rId350" Type="http://schemas.openxmlformats.org/officeDocument/2006/relationships/hyperlink" Target="../../../../../../../../../wiki/Ptz._conj." TargetMode="External"/><Relationship Id="rId351" Type="http://schemas.openxmlformats.org/officeDocument/2006/relationships/hyperlink" Target="../../../../../../../../../wiki/Ptz._conj." TargetMode="External"/><Relationship Id="rId352" Type="http://schemas.openxmlformats.org/officeDocument/2006/relationships/hyperlink" Target="../../../../../../../../../wiki/Ptz._conj." TargetMode="External"/><Relationship Id="rId353" Type="http://schemas.openxmlformats.org/officeDocument/2006/relationships/hyperlink" Target="../../../../../../../../../wiki/Ptz._conj." TargetMode="External"/><Relationship Id="rId354" Type="http://schemas.openxmlformats.org/officeDocument/2006/relationships/hyperlink" Target="../../../../../../../../../wiki/Ptz._conj." TargetMode="External"/><Relationship Id="rId355" Type="http://schemas.openxmlformats.org/officeDocument/2006/relationships/hyperlink" Target="../../../../../../../../../wiki/Ptz._conj." TargetMode="External"/><Relationship Id="rId356" Type="http://schemas.openxmlformats.org/officeDocument/2006/relationships/hyperlink" Target="../../../../../../../../../wiki/Ptz._conj." TargetMode="External"/><Relationship Id="rId357" Type="http://schemas.openxmlformats.org/officeDocument/2006/relationships/hyperlink" Target="../../../../../../../../../mediawiki/index.php%3Ftitle=Attr._Ptz.&amp;action=edit&amp;redlink=1" TargetMode="External"/><Relationship Id="rId358" Type="http://schemas.openxmlformats.org/officeDocument/2006/relationships/hyperlink" Target="../../../../../../../../../mediawiki/index.php%3Ftitle=Imperfekt&amp;action=edit&amp;redlink=1" TargetMode="External"/><Relationship Id="rId359" Type="http://schemas.openxmlformats.org/officeDocument/2006/relationships/hyperlink" Target="../../../../../../../../../wiki/Ptz._conj." TargetMode="External"/><Relationship Id="rId360" Type="http://schemas.openxmlformats.org/officeDocument/2006/relationships/hyperlink" Target="../../../../../../../../../wiki/Ptz._conj." TargetMode="External"/><Relationship Id="rId361" Type="http://schemas.openxmlformats.org/officeDocument/2006/relationships/hyperlink" Target="../../../../../../../../../wiki/Ptz._conj." TargetMode="External"/><Relationship Id="rId362" Type="http://schemas.openxmlformats.org/officeDocument/2006/relationships/hyperlink" Target="../../../../../../../../../wiki/Pleonastisches_Partizip" TargetMode="External"/><Relationship Id="rId363" Type="http://schemas.openxmlformats.org/officeDocument/2006/relationships/hyperlink" Target="../../../../../../../../../mediawiki/index.php%3Ftitle=AcI&amp;action=edit&amp;redlink=1" TargetMode="External"/><Relationship Id="rId364" Type="http://schemas.openxmlformats.org/officeDocument/2006/relationships/hyperlink" Target="../../../../../../../../../wiki/Pleonastisches_Partizip" TargetMode="External"/><Relationship Id="rId365" Type="http://schemas.openxmlformats.org/officeDocument/2006/relationships/hyperlink" Target="../../../../../../../../../mediawiki/index.php%3Ftitle=AcI&amp;action=edit&amp;redlink=1" TargetMode="External"/><Relationship Id="rId366" Type="http://schemas.openxmlformats.org/officeDocument/2006/relationships/hyperlink" Target="../../../../../../../../../wiki/Pleonastisches_Partizip" TargetMode="External"/><Relationship Id="rId367" Type="http://schemas.openxmlformats.org/officeDocument/2006/relationships/hyperlink" Target="../../../../../../../../../wiki/Ptz._conj." TargetMode="External"/><Relationship Id="rId368" Type="http://schemas.openxmlformats.org/officeDocument/2006/relationships/hyperlink" Target="../../../../../../../../../mediawiki/index.php%3Ftitle=Reich_Gottes&amp;action=edit&amp;redlink=1" TargetMode="External"/><Relationship Id="rId369" Type="http://schemas.openxmlformats.org/officeDocument/2006/relationships/hyperlink" Target="http://www.zeno.org/Pape-1880/A/&#960;&#959;&#955;&#973;&#962;" TargetMode="External"/><Relationship Id="rId370" Type="http://schemas.openxmlformats.org/officeDocument/2006/relationships/hyperlink" Target="../../../../../../../../../mediawiki/index.php%3Ftitle=2K%C3%B6nige_16&amp;action=edit&amp;redlink=1" TargetMode="External"/><Relationship Id="rId371" Type="http://schemas.openxmlformats.org/officeDocument/2006/relationships/hyperlink" Target="../../../../../../../../../mediawiki/index.php%3Ftitle=2K%C3%B6nige_21&amp;action=edit&amp;redlink=1" TargetMode="External"/><Relationship Id="rId372" Type="http://schemas.openxmlformats.org/officeDocument/2006/relationships/hyperlink" Target="../../../../../../../../../wiki/Ptz._conj." TargetMode="External"/><Relationship Id="rId373" Type="http://schemas.openxmlformats.org/officeDocument/2006/relationships/hyperlink" Target="../../../../../../../../../wiki/Ptz._conj." TargetMode="External"/><Relationship Id="rId374" Type="http://schemas.openxmlformats.org/officeDocument/2006/relationships/hyperlink" Target="../../../../../../../../../wiki/Ptz._conj." TargetMode="External"/><Relationship Id="rId375" Type="http://schemas.openxmlformats.org/officeDocument/2006/relationships/hyperlink" Target="../../../../../../../../../wiki/Ptz._conj." TargetMode="External"/><Relationship Id="rId376" Type="http://schemas.openxmlformats.org/officeDocument/2006/relationships/hyperlink" Target="../../../../../../../../../wiki/Ptz._conj." TargetMode="External"/><Relationship Id="rId377" Type="http://schemas.openxmlformats.org/officeDocument/2006/relationships/hyperlink" Target="../../../../../../../../../wiki/Ptz._conj." TargetMode="External"/><Relationship Id="rId378" Type="http://schemas.openxmlformats.org/officeDocument/2006/relationships/hyperlink" Target="../../../../../../../../../wiki/Ptz._conj." TargetMode="External"/><Relationship Id="rId379" Type="http://schemas.openxmlformats.org/officeDocument/2006/relationships/hyperlink" Target="../../../../../../../../../wiki/Ptz._conj." TargetMode="External"/><Relationship Id="rId380" Type="http://schemas.openxmlformats.org/officeDocument/2006/relationships/hyperlink" Target="../../../../../../../../../wiki/Ptz._conj." TargetMode="External"/><Relationship Id="rId381" Type="http://schemas.openxmlformats.org/officeDocument/2006/relationships/hyperlink" Target="../../../../../../../../../mediawiki/index.php%3Ftitle=Pleonastisches_Ptz.&amp;action=edit&amp;redlink=1" TargetMode="External"/><Relationship Id="rId382" Type="http://schemas.openxmlformats.org/officeDocument/2006/relationships/hyperlink" Target="../../../../../../../../../wiki/Ptz._conj." TargetMode="External"/><Relationship Id="rId383" Type="http://schemas.openxmlformats.org/officeDocument/2006/relationships/hyperlink" Target="../../../../../../../../../wiki/Ptz._conj." TargetMode="External"/><Relationship Id="rId384" Type="http://schemas.openxmlformats.org/officeDocument/2006/relationships/hyperlink" Target="../../../../../../../../../wiki/Ptz._conj." TargetMode="External"/><Relationship Id="rId385" Type="http://schemas.openxmlformats.org/officeDocument/2006/relationships/hyperlink" Target="../../../../../../../../../wiki/Ptz._conj." TargetMode="External"/><Relationship Id="rId386" Type="http://schemas.openxmlformats.org/officeDocument/2006/relationships/hyperlink" Target="../../../../../../../../../mediawiki/index.php%3Ftitle=Dat._commodi&amp;action=edit&amp;redlink=1" TargetMode="External"/><Relationship Id="rId387" Type="http://schemas.openxmlformats.org/officeDocument/2006/relationships/hyperlink" Target="../../../../../../../../../mediawiki/index.php%3Ftitle=Dat._commodi&amp;action=edit&amp;redlink=1" TargetMode="External"/><Relationship Id="rId388" Type="http://schemas.openxmlformats.org/officeDocument/2006/relationships/hyperlink" Target="../../../../../../../../../mediawiki/index.php%3Ftitle=Hebr%C3%A4er_2&amp;action=edit&amp;redlink=1" TargetMode="External"/><Relationship Id="rId389" Type="http://schemas.openxmlformats.org/officeDocument/2006/relationships/hyperlink" Target="../../../../../../../../../wiki/Ptz._conj." TargetMode="External"/><Relationship Id="rId390" Type="http://schemas.openxmlformats.org/officeDocument/2006/relationships/hyperlink" Target="../../../../../../../../../wiki/Ptz._conj." TargetMode="External"/><Relationship Id="rId391" Type="http://schemas.openxmlformats.org/officeDocument/2006/relationships/hyperlink" Target="../../../../../../../../../wiki/Ptz._conj." TargetMode="External"/><Relationship Id="rId392" Type="http://schemas.openxmlformats.org/officeDocument/2006/relationships/hyperlink" Target="../../../../../../../../../wiki/Ptz._conj." TargetMode="External"/><Relationship Id="rId393" Type="http://schemas.openxmlformats.org/officeDocument/2006/relationships/hyperlink" Target="../../../../../../../../../wiki/Ptz._conj." TargetMode="External"/><Relationship Id="rId394" Type="http://schemas.openxmlformats.org/officeDocument/2006/relationships/hyperlink" Target="../../../../../../../../../wiki/Ptz._conj." TargetMode="External"/><Relationship Id="rId395" Type="http://schemas.openxmlformats.org/officeDocument/2006/relationships/hyperlink" Target="../../../../../../../../../mediawiki/index.php%3Ftitle=Impferfekt&amp;action=edit&amp;redlink=1" TargetMode="External"/><Relationship Id="rId396" Type="http://schemas.openxmlformats.org/officeDocument/2006/relationships/hyperlink" Target="../../../../../../../../../mediawiki/index.php%3Ftitle=Ingressives_Aorist&amp;action=edit&amp;redlink=1" TargetMode="External"/><Relationship Id="rId397" Type="http://schemas.openxmlformats.org/officeDocument/2006/relationships/hyperlink" Target="../../../../../../../../../wiki/Ptz._conj." TargetMode="External"/><Relationship Id="rId398" Type="http://schemas.openxmlformats.org/officeDocument/2006/relationships/hyperlink" Target="../../../../../../../../../wiki/Ptz._conj." TargetMode="External"/><Relationship Id="rId399" Type="http://schemas.openxmlformats.org/officeDocument/2006/relationships/hyperlink" Target="../../../../../../../../../mediawiki/index.php%3Ftitle=Imperfekt&amp;action=edit&amp;redlink=1" TargetMode="External"/><Relationship Id="rId400" Type="http://schemas.openxmlformats.org/officeDocument/2006/relationships/hyperlink" Target="../../../../../../../../../wiki/Ptz._conj." TargetMode="External"/><Relationship Id="rId401" Type="http://schemas.openxmlformats.org/officeDocument/2006/relationships/hyperlink" Target="../../../../../../../../../mediawiki/index.php%3Ftitle=Pleonatische_Partizip&amp;action=edit&amp;redlink=1" TargetMode="External"/><Relationship Id="rId402" Type="http://schemas.openxmlformats.org/officeDocument/2006/relationships/hyperlink" Target="http://nbn-resolving.de/urn:nbn:de:bsz:21-opus-68738" TargetMode="External"/><Relationship Id="rId403" Type="http://schemas.openxmlformats.org/officeDocument/2006/relationships/hyperlink" Target="http://nbn-resolving.de/urn:nbn:de:bsz:21-opus-68738" TargetMode="External"/><Relationship Id="rId404" Type="http://schemas.openxmlformats.org/officeDocument/2006/relationships/hyperlink" Target="../../../../../../../../../wiki/Ptz._conj." TargetMode="External"/><Relationship Id="rId405" Type="http://schemas.openxmlformats.org/officeDocument/2006/relationships/hyperlink" Target="../../../../../../../../../wiki/Ptz._conj." TargetMode="External"/><Relationship Id="rId406" Type="http://schemas.openxmlformats.org/officeDocument/2006/relationships/hyperlink" Target="../../../../../../../../../wiki/Ptz._conj." TargetMode="External"/><Relationship Id="rId407" Type="http://schemas.openxmlformats.org/officeDocument/2006/relationships/hyperlink" Target="../../../../../../../../../wiki/Ptz._conj." TargetMode="External"/><Relationship Id="rId408" Type="http://schemas.openxmlformats.org/officeDocument/2006/relationships/hyperlink" Target="../../../../../../../../../wiki/Ptz._conj." TargetMode="External"/><Relationship Id="rId409" Type="http://schemas.openxmlformats.org/officeDocument/2006/relationships/hyperlink" Target="http://erwin-reidinger.heimat.eu/HP_Bilder/TempelanlageInJerusalem.pdf" TargetMode="External"/><Relationship Id="rId410" Type="http://schemas.openxmlformats.org/officeDocument/2006/relationships/hyperlink" Target="../../../../../../../../../mediawiki/index.php%3Ftitle=Lukas_22&amp;action=edit&amp;redlink=1" TargetMode="External"/><Relationship Id="rId411" Type="http://schemas.openxmlformats.org/officeDocument/2006/relationships/hyperlink" Target="../../../../../../../../../mediawiki/index.php%3Ftitle=Jeremia_31&amp;action=edit&amp;redlink=1" TargetMode="External"/><Relationship Id="rId412" Type="http://schemas.openxmlformats.org/officeDocument/2006/relationships/hyperlink" Target="../../../../../../../../../mediawiki/index.php%3Ftitle=Jeremia_33&amp;action=edit&amp;redlink=1" TargetMode="External"/><Relationship Id="rId413" Type="http://schemas.openxmlformats.org/officeDocument/2006/relationships/hyperlink" Target="../../../../../../../../../mediawiki/index.php%3Ftitle=Joel_3&amp;action=edit&amp;redlink=1" TargetMode="External"/><Relationship Id="rId414" Type="http://schemas.openxmlformats.org/officeDocument/2006/relationships/hyperlink" Target="../../../../../../../../../mediawiki/index.php%3Ftitle=Sacharja_8&amp;action=edit&amp;redlink=1" TargetMode="External"/><Relationship Id="rId415" Type="http://schemas.openxmlformats.org/officeDocument/2006/relationships/hyperlink" Target="http://www.unifr.ch/bkv/kapitel3689.htm" TargetMode="External"/><Relationship Id="rId416" Type="http://schemas.openxmlformats.org/officeDocument/2006/relationships/hyperlink" Target="../../../../../../../../../mediawiki/index.php%3Ftitle=Jesaja_34&amp;action=edit&amp;redlink=1" TargetMode="External"/><Relationship Id="rId417" Type="http://schemas.openxmlformats.org/officeDocument/2006/relationships/hyperlink" Target="https://www.bibelwissenschaft.de/stichwort/30031/" TargetMode="External"/><Relationship Id="rId418" Type="http://schemas.openxmlformats.org/officeDocument/2006/relationships/hyperlink" Target="https://goo.gl/cxyLrL" TargetMode="External"/><Relationship Id="rId419" Type="http://schemas.openxmlformats.org/officeDocument/2006/relationships/hyperlink" Target="https://www.bibelwissenschaft.de/stichwort/25696/" TargetMode="External"/><Relationship Id="rId420" Type="http://schemas.openxmlformats.org/officeDocument/2006/relationships/hyperlink" Target="../../../../../../../../../wiki/Historisches_Pr%C3%A4sens" TargetMode="External"/><Relationship Id="rId421" Type="http://schemas.openxmlformats.org/officeDocument/2006/relationships/hyperlink" Target="../../../../../../../../../mediawiki/index.php%3Ftitle=Lukas_22&amp;action=edit&amp;redlink=1" TargetMode="External"/><Relationship Id="rId422" Type="http://schemas.openxmlformats.org/officeDocument/2006/relationships/hyperlink" Target="../../../../../../../../../mediawiki/index.php%3Ftitle=Matth%C3%A4us_27&amp;action=edit&amp;redlink=1" TargetMode="External"/><Relationship Id="rId423" Type="http://schemas.openxmlformats.org/officeDocument/2006/relationships/hyperlink" Target="../../../../../../../../../mediawiki/index.php%3Ftitle=Lukas_22&amp;action=edit&amp;redlink=1" TargetMode="External"/><Relationship Id="rId424" Type="http://schemas.openxmlformats.org/officeDocument/2006/relationships/hyperlink" Target="../../../../../../../../../mediawiki/index.php%3Ftitle=Sacharja_13&amp;action=edit&amp;redlink=1" TargetMode="External"/><Relationship Id="rId425" Type="http://schemas.openxmlformats.org/officeDocument/2006/relationships/hyperlink" Target="../../../../../../../../../mediawiki/index.php%3Ftitle=Imperfekt&amp;action=edit&amp;redlink=1" TargetMode="External"/><Relationship Id="rId426" Type="http://schemas.openxmlformats.org/officeDocument/2006/relationships/hyperlink" Target="../../../../../../../../../mediawiki/index.php%3Ftitle=Matth%C3%A4us_26&amp;action=edit&amp;redlink=1" TargetMode="External"/><Relationship Id="rId427" Type="http://schemas.openxmlformats.org/officeDocument/2006/relationships/hyperlink" Target="http://www.learningsites.com/Jerusalem/BurntHouse_home.php" TargetMode="External"/><Relationship Id="rId428" Type="http://schemas.openxmlformats.org/officeDocument/2006/relationships/hyperlink" Target="../../../../../../../../../wiki/Gen._abs." TargetMode="External"/><Relationship Id="rId429" Type="http://schemas.openxmlformats.org/officeDocument/2006/relationships/hyperlink" Target="../../../../../../../../../wiki/Gen._abs." TargetMode="External"/><Relationship Id="rId430" Type="http://schemas.openxmlformats.org/officeDocument/2006/relationships/hyperlink" Target="../../../../../../../../../wiki/Ptz._coni." TargetMode="External"/><Relationship Id="rId431" Type="http://schemas.openxmlformats.org/officeDocument/2006/relationships/hyperlink" Target="../../../../../../../../../wiki/Ptz._coni." TargetMode="External"/><Relationship Id="rId432" Type="http://schemas.openxmlformats.org/officeDocument/2006/relationships/hyperlink" Target="../../../../../../../../../wiki/Historisches_Pr%C3%A4sens" TargetMode="External"/><Relationship Id="rId433" Type="http://schemas.openxmlformats.org/officeDocument/2006/relationships/hyperlink" Target="../../../../../../../../../wiki/%E1%BD%8D%CF%84%CE%B9_recitativum" TargetMode="External"/><Relationship Id="rId434" Type="http://schemas.openxmlformats.org/officeDocument/2006/relationships/hyperlink" Target="../../../../../../../../../wiki/Ptz._coni." TargetMode="External"/><Relationship Id="rId435" Type="http://schemas.openxmlformats.org/officeDocument/2006/relationships/hyperlink" Target="../../../../../../../../../wiki/Generisches_Maskulinum" TargetMode="External"/><Relationship Id="rId436" Type="http://schemas.openxmlformats.org/officeDocument/2006/relationships/hyperlink" Target="../../../../../../../../../wiki/Historisches_Pr%C3%A4sens" TargetMode="External"/><Relationship Id="rId437" Type="http://schemas.openxmlformats.org/officeDocument/2006/relationships/hyperlink" Target="../../../../../../../../../mediawiki/index.php%3Ftitle=Die_griechischen_Kasus&amp;action=edit&amp;redlink=1" TargetMode="External"/><Relationship Id="rId438" Type="http://schemas.openxmlformats.org/officeDocument/2006/relationships/hyperlink" Target="../../../../../../../../../wiki/Historisches_Pr%C3%A4sens" TargetMode="External"/><Relationship Id="rId439" Type="http://schemas.openxmlformats.org/officeDocument/2006/relationships/hyperlink" Target="../../../../../../../../../mediawiki/index.php%3Ftitle=Apostelgeschichte_10&amp;action=edit&amp;redlink=1" TargetMode="External"/><Relationship Id="rId440" Type="http://schemas.openxmlformats.org/officeDocument/2006/relationships/hyperlink" Target="../../../../../../../../../mediawiki/index.php%3Ftitle=1K%C3%B6nige_13&amp;action=edit&amp;redlink=1" TargetMode="External"/><Relationship Id="rId441" Type="http://schemas.openxmlformats.org/officeDocument/2006/relationships/hyperlink" Target="../../../../../../../../../mediawiki/index.php%3Ftitle=Ezechiel_12&amp;action=edit&amp;redlink=1" TargetMode="External"/><Relationship Id="rId442" Type="http://schemas.openxmlformats.org/officeDocument/2006/relationships/hyperlink" Target="../../../../../../../../../mediawiki/index.php%3Ftitle=Joel_2&amp;action=edit&amp;redlink=1" TargetMode="External"/><Relationship Id="rId443" Type="http://schemas.openxmlformats.org/officeDocument/2006/relationships/hyperlink" Target="../../../../../../../../../mediawiki/index.php%3Ftitle=Apostelgeschichte_14&amp;action=edit&amp;redlink=1" TargetMode="External"/><Relationship Id="rId444" Type="http://schemas.openxmlformats.org/officeDocument/2006/relationships/hyperlink" Target="../../../../../../../../../mediawiki/index.php%3Ftitle=Apostelgeschichte_3&amp;action=edit&amp;redlink=1" TargetMode="External"/><Relationship Id="rId445" Type="http://schemas.openxmlformats.org/officeDocument/2006/relationships/hyperlink" Target="../../../../../../../../../mediawiki/index.php%3Ftitle=1K%C3%B6nige_2&amp;action=edit&amp;redlink=1" TargetMode="External"/><Relationship Id="rId446" Type="http://schemas.openxmlformats.org/officeDocument/2006/relationships/hyperlink" Target="../../../../../../../../../mediawiki/index.php%3Ftitle=Nehemia_3&amp;action=edit&amp;redlink=1" TargetMode="External"/><Relationship Id="rId447" Type="http://schemas.openxmlformats.org/officeDocument/2006/relationships/hyperlink" Target="http://sacred-texts.com/jud/josephus/ant-16.htm" TargetMode="External"/><Relationship Id="rId448" Type="http://schemas.openxmlformats.org/officeDocument/2006/relationships/hyperlink" Target="../../../../../../../../../mediawiki/index.php%3Ftitle=Apostelgeschichte_27&amp;action=edit&amp;redlink=1" TargetMode="External"/><Relationship Id="rId449" Type="http://schemas.openxmlformats.org/officeDocument/2006/relationships/hyperlink" Target="../../../../../../../../../mediawiki/index.php%3Ftitle=Joel_3&amp;action=edit&amp;redlink=1" TargetMode="External"/><Relationship Id="rId450" Type="http://schemas.openxmlformats.org/officeDocument/2006/relationships/hyperlink" Target="../../../../../../../../../wiki/Ptz" TargetMode="External"/><Relationship Id="rId451" Type="http://schemas.openxmlformats.org/officeDocument/2006/relationships/hyperlink" Target="../../../../../../../../../mediawiki/index.php%3Ftitle=Dativus_commodi&amp;action=edit&amp;redlink=1" TargetMode="External"/><Relationship Id="rId452" Type="http://schemas.openxmlformats.org/officeDocument/2006/relationships/hyperlink" Target="../../../../../../../../../wiki/Ptz" TargetMode="External"/><Relationship Id="rId453" Type="http://schemas.openxmlformats.org/officeDocument/2006/relationships/hyperlink" Target="../../../../../../../../../wiki/Ptz" TargetMode="External"/><Relationship Id="rId454" Type="http://schemas.openxmlformats.org/officeDocument/2006/relationships/hyperlink" Target="../../../../../../../../../mediawiki/index.php%3Ftitle=1_Thessalonicher_1&amp;action=edit&amp;redlink=1" TargetMode="External"/><Relationship Id="rId455" Type="http://schemas.openxmlformats.org/officeDocument/2006/relationships/hyperlink" Target="../../../../../../../../../mediawiki/index.php%3Ftitle=2_Thessalonicher_1&amp;action=edit&amp;redlink=1" TargetMode="External"/><Relationship Id="rId456" Type="http://schemas.openxmlformats.org/officeDocument/2006/relationships/hyperlink" Target="../../../../../../../../../wiki/Generisches_Maskulinum" TargetMode="External"/><Relationship Id="rId457" Type="http://schemas.openxmlformats.org/officeDocument/2006/relationships/hyperlink" Target="../../../../../../../../../mediawiki/index.php%3Ftitle=Kolosser_4&amp;action=edit&amp;redlink=1" TargetMode="External"/><Relationship Id="rId458" Type="http://schemas.openxmlformats.org/officeDocument/2006/relationships/hyperlink" Target="../../../../../../../../../mediawiki/index.php%3Ftitle=Epheser_4&amp;action=edit&amp;redlink=1" TargetMode="External"/><Relationship Id="rId459" Type="http://schemas.openxmlformats.org/officeDocument/2006/relationships/hyperlink" Target="../../../../../../../../../mediawiki/index.php%3Ftitle=Psalm_147&amp;action=edit&amp;redlink=1" TargetMode="External"/><Relationship Id="rId460" Type="http://schemas.openxmlformats.org/officeDocument/2006/relationships/hyperlink" Target="../../../../../../../../../mediawiki/index.php%3Ftitle=Jeremia_31&amp;action=edit&amp;redlink=1" TargetMode="External"/><Relationship Id="rId461" Type="http://schemas.openxmlformats.org/officeDocument/2006/relationships/hyperlink" Target="../../../../../../../../../mediawiki/index.php%3Ftitle=Ezechiel_28&amp;action=edit&amp;redlink=1" TargetMode="External"/><Relationship Id="rId462" Type="http://schemas.openxmlformats.org/officeDocument/2006/relationships/hyperlink" Target="../../../../../../../../../mediawiki/index.php%3Ftitle=Nehemia_1&amp;action=edit&amp;redlink=1" TargetMode="External"/><Relationship Id="rId463" Type="http://schemas.openxmlformats.org/officeDocument/2006/relationships/hyperlink" Target="../../../../../../../../../wiki/Generisches_Maskulinum" TargetMode="External"/><Relationship Id="rId464" Type="http://schemas.openxmlformats.org/officeDocument/2006/relationships/hyperlink" Target="../../../../../../../../../mediawiki/index.php%3Ftitle=Sprichw%C3%B6rter_1&amp;action=edit&amp;redlink=1" TargetMode="External"/><Relationship Id="rId465" Type="http://schemas.openxmlformats.org/officeDocument/2006/relationships/hyperlink" Target="../../../../../../../../../mediawiki/index.php%3Ftitle=Jesus_Sirach_39,5&amp;action=edit&amp;redlink=1" TargetMode="External"/><Relationship Id="rId466" Type="http://schemas.openxmlformats.org/officeDocument/2006/relationships/hyperlink" Target="../../../../../../../../../mediawiki/index.php%3Ftitle=Weisheit_7&amp;action=edit&amp;redlink=1" TargetMode="External"/><Relationship Id="rId467" Type="http://schemas.openxmlformats.org/officeDocument/2006/relationships/hyperlink" Target="../../../../../../../../../mediawiki/index.php%3Ftitle=Weisheit_7&amp;action=edit&amp;redlink=1" TargetMode="External"/><Relationship Id="rId468" Type="http://schemas.openxmlformats.org/officeDocument/2006/relationships/hyperlink" Target="../../../../../../../../../mediawiki/index.php%3Ftitle=Weisheit_7&amp;action=edit&amp;redlink=1" TargetMode="External"/><Relationship Id="rId469" Type="http://schemas.openxmlformats.org/officeDocument/2006/relationships/hyperlink" Target="../../../../../../../../../mediawiki/index.php%3Ftitle=1Korinther_2&amp;action=edit&amp;redlink=1" TargetMode="External"/><Relationship Id="rId470" Type="http://schemas.openxmlformats.org/officeDocument/2006/relationships/hyperlink" Target="../../../../../../../../../mediawiki/index.php%3Ftitle=1Korinther_12&amp;action=edit&amp;redlink=1" TargetMode="External"/><Relationship Id="rId471" Type="http://schemas.openxmlformats.org/officeDocument/2006/relationships/hyperlink" Target="../../../../../../../../../mediawiki/index.php%3Ftitle=1Korinther_1&amp;action=edit&amp;redlink=1" TargetMode="External"/><Relationship Id="rId472" Type="http://schemas.openxmlformats.org/officeDocument/2006/relationships/hyperlink" Target="../../../../../../../../../mediawiki/index.php%3Ftitle=1Korinther_2&amp;action=edit&amp;redlink=1" TargetMode="External"/><Relationship Id="rId473" Type="http://schemas.openxmlformats.org/officeDocument/2006/relationships/hyperlink" Target="../../../../../../../../../mediawiki/index.php%3Ftitle=Weisheit_7&amp;action=edit&amp;redlink=1" TargetMode="External"/><Relationship Id="rId474" Type="http://schemas.openxmlformats.org/officeDocument/2006/relationships/hyperlink" Target="../../../../../../../../../mediawiki/index.php%3Ftitle=Weisheit_8&amp;action=edit&amp;redlink=1" TargetMode="External"/><Relationship Id="rId475" Type="http://schemas.openxmlformats.org/officeDocument/2006/relationships/hyperlink" Target="../../../../../../../../../mediawiki/index.php%3Ftitle=Weisheit_9&amp;action=edit&amp;redlink=1" TargetMode="External"/><Relationship Id="rId476" Type="http://schemas.openxmlformats.org/officeDocument/2006/relationships/hyperlink" Target="../../../../../../../../../mediawiki/index.php%3Ftitle=Weisheit_9&amp;action=edit&amp;redlink=1" TargetMode="External"/><Relationship Id="rId477" Type="http://schemas.openxmlformats.org/officeDocument/2006/relationships/hyperlink" Target="../../../../../../../../../mediawiki/index.php%3Ftitle=Weisheit_9&amp;action=edit&amp;redlink=1" TargetMode="External"/><Relationship Id="rId478" Type="http://schemas.openxmlformats.org/officeDocument/2006/relationships/hyperlink" Target="http://de.wikisource.org/wiki/Das_vierte_Buch_der_Makkab&#228;er" TargetMode="External"/><Relationship Id="rId479" Type="http://schemas.openxmlformats.org/officeDocument/2006/relationships/hyperlink" Target="http://de.wikisource.org/wiki/Das_vierte_Buch_der_Makkab&#228;er" TargetMode="External"/><Relationship Id="rId480" Type="http://schemas.openxmlformats.org/officeDocument/2006/relationships/hyperlink" Target="../../../../../../../../../wiki/Generisches_Maskulinum" TargetMode="External"/><Relationship Id="rId481" Type="http://schemas.openxmlformats.org/officeDocument/2006/relationships/hyperlink" Target="../../../../../../../../../wiki/Partizip" TargetMode="External"/><Relationship Id="rId482" Type="http://schemas.openxmlformats.org/officeDocument/2006/relationships/hyperlink" Target="../../../../../../../../../wiki/Partizip" TargetMode="External"/><Relationship Id="rId483" Type="http://schemas.openxmlformats.org/officeDocument/2006/relationships/hyperlink" Target="../../../../../../../../../wiki/Generisches_Maskulinum" TargetMode="External"/><Relationship Id="rId484" Type="http://schemas.openxmlformats.org/officeDocument/2006/relationships/hyperlink" Target="../../../../../../../../../mediawiki/index.php%3Ftitle=Sprichw%C3%B6rter_3&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LibreOffice/6.0.7.3$Windows_X86_64 LibreOffice_project/dc89aa7a9eabfd848af146d5086077aeed2ae4a5</Application>
  <Pages>42</Pages>
  <Words>237791</Words>
  <Characters>1369723</Characters>
  <CharactersWithSpaces>1607527</CharactersWithSpaces>
  <Paragraphs>3080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